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Test: Double-Numbering Fix</w:t>
      </w:r>
    </w:p>
    <w:p>
      <w:r>
        <w:t>This document tests various numbering scenarios to ensure they are NOT double-numbered.</w:t>
      </w:r>
    </w:p>
    <w:p>
      <w:pPr>
        <w:pStyle w:val="Heading2"/>
      </w:pPr>
      <w:r>
        <w:t>Section 1: Already Numbered Items (Should stay as-is)</w:t>
      </w:r>
    </w:p>
    <w:p>
      <w:r>
        <w:t>These items have existing numbering and should NOT get double-numbered:</w:t>
      </w:r>
    </w:p>
    <w:p>
      <w:r>
        <w:rPr>
          <w:b/>
        </w:rPr>
        <w:t xml:space="preserve">I. </w:t>
      </w:r>
      <w:r>
        <w:t>Implications for Students</w:t>
      </w:r>
    </w:p>
    <w:p>
      <w:r>
        <w:rPr>
          <w:b/>
        </w:rPr>
        <w:t xml:space="preserve">II. </w:t>
      </w:r>
      <w:r>
        <w:t>Implications for Teachers</w:t>
      </w:r>
    </w:p>
    <w:p>
      <w:r>
        <w:rPr>
          <w:b/>
        </w:rPr>
        <w:t xml:space="preserve">1.1 </w:t>
      </w:r>
      <w:r>
        <w:t>Background Information</w:t>
      </w:r>
    </w:p>
    <w:p>
      <w:r>
        <w:rPr>
          <w:b/>
        </w:rPr>
        <w:t xml:space="preserve">1.2 </w:t>
      </w:r>
      <w:r>
        <w:t>Methods Used</w:t>
      </w:r>
    </w:p>
    <w:p>
      <w:pPr>
        <w:pStyle w:val="Heading2"/>
      </w:pPr>
      <w:r>
        <w:t>Section 2: Items Without Numbering (Can be auto-numbered)</w:t>
      </w:r>
    </w:p>
    <w:p>
      <w:r>
        <w:t>These items can be auto-numbered by Word if needed:</w:t>
      </w:r>
    </w:p>
    <w:p>
      <w:pPr>
        <w:pStyle w:val="ListNumber"/>
      </w:pPr>
      <w:r>
        <w:t>Item without existing numbering</w:t>
      </w:r>
    </w:p>
    <w:p>
      <w:pPr>
        <w:pStyle w:val="ListNumber"/>
      </w:pPr>
      <w:r>
        <w:t>Another item without numbering</w:t>
      </w:r>
    </w:p>
    <w:p>
      <w:pPr>
        <w:pStyle w:val="ListNumber"/>
      </w:pPr>
      <w:r>
        <w:t>Third item without numbering</w:t>
      </w:r>
    </w:p>
    <w:p>
      <w:pPr>
        <w:pStyle w:val="Heading2"/>
      </w:pPr>
      <w:r>
        <w:t>Section 3: Comparison</w:t>
      </w:r>
    </w:p>
    <w:p>
      <w:r>
        <w:rPr>
          <w:b/>
        </w:rPr>
        <w:t xml:space="preserve">WRONG (double-numbered): </w:t>
      </w:r>
      <w:r>
        <w:t>1. I. Implications for Students</w:t>
      </w:r>
    </w:p>
    <w:p>
      <w:r>
        <w:rPr>
          <w:b/>
        </w:rPr>
        <w:t xml:space="preserve">CORRECT (single-numbered): </w:t>
      </w:r>
    </w:p>
    <w:p>
      <w:r>
        <w:rPr>
          <w:b/>
        </w:rPr>
        <w:t xml:space="preserve">I. </w:t>
      </w:r>
      <w:r>
        <w:t>Implications for Students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