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ONE</w:t>
      </w:r>
    </w:p>
    <w:p>
      <w:pPr>
        <w:pStyle w:val="Heading2"/>
        <w:jc w:val="center"/>
      </w:pPr>
      <w:r>
        <w:t>INTRODUCTION</w:t>
      </w:r>
    </w:p>
    <w:p>
      <w:r>
        <w:rPr>
          <w:b/>
        </w:rPr>
        <w:t>1.1 Background of Study</w:t>
      </w:r>
    </w:p>
    <w:p>
      <w:r>
        <w:t>This thesis presents a comprehensive study on the development of intelligent document formatting systems. The research focuses on pattern-based approaches that can automatically detect and apply academic formatting standards to various types of documents.</w:t>
      </w:r>
    </w:p>
    <w:p>
      <w:r>
        <w:t>Academic institutions around the world require students to follow strict formatting guidelines when submitting their theses and dissertations. These guidelines typically specify requirements for margins, font sizes, line spacing, heading styles, and page numbering.</w:t>
      </w:r>
    </w:p>
    <w:p>
      <w:r>
        <w:rPr>
          <w:b/>
        </w:rPr>
        <w:t>1.2 Problem Statement</w:t>
      </w:r>
    </w:p>
    <w:p>
      <w:r>
        <w:t>Many students struggle with the formatting requirements of their academic institutions. This often leads to delays in submission and unnecessary stress during the final stages of thesis completion.</w:t>
      </w:r>
    </w:p>
    <w:p>
      <w:r>
        <w:rPr>
          <w:b/>
        </w:rPr>
        <w:t>1.3 Objectives</w:t>
      </w:r>
    </w:p>
    <w:p>
      <w:r>
        <w:t>The objectives of this study are:</w:t>
      </w:r>
    </w:p>
    <w:p>
      <w:pPr>
        <w:pStyle w:val="ListNumber"/>
      </w:pPr>
      <w:r>
        <w:t>1. To develop an automated document formatting system</w:t>
      </w:r>
    </w:p>
    <w:p>
      <w:pPr>
        <w:pStyle w:val="ListNumber"/>
      </w:pPr>
      <w:r>
        <w:t>2. To implement pattern recognition for academic content</w:t>
      </w:r>
    </w:p>
    <w:p>
      <w:pPr>
        <w:pStyle w:val="ListNumber"/>
      </w:pPr>
      <w:r>
        <w:t>3. To ensure compatibility with multiple institutional guidelines</w:t>
      </w:r>
    </w:p>
    <w:p/>
    <w:p>
      <w:r>
        <w:rPr>
          <w:b/>
        </w:rPr>
        <w:t>Table 1.1: Summary of Formatting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Requirement</w:t>
            </w:r>
          </w:p>
        </w:tc>
        <w:tc>
          <w:tcPr>
            <w:tcW w:type="dxa" w:w="2880"/>
          </w:tcPr>
          <w:p>
            <w:r>
              <w:t>Standard</w:t>
            </w:r>
          </w:p>
        </w:tc>
      </w:tr>
      <w:tr>
        <w:tc>
          <w:tcPr>
            <w:tcW w:type="dxa" w:w="2880"/>
          </w:tcPr>
          <w:p>
            <w:r>
              <w:t>Font</w:t>
            </w:r>
          </w:p>
        </w:tc>
        <w:tc>
          <w:tcPr>
            <w:tcW w:type="dxa" w:w="2880"/>
          </w:tcPr>
          <w:p>
            <w:r>
              <w:t>Times New Roman</w:t>
            </w:r>
          </w:p>
        </w:tc>
        <w:tc>
          <w:tcPr>
            <w:tcW w:type="dxa" w:w="2880"/>
          </w:tcPr>
          <w:p>
            <w:r>
              <w:t>12pt</w:t>
            </w:r>
          </w:p>
        </w:tc>
      </w:tr>
      <w:tr>
        <w:tc>
          <w:tcPr>
            <w:tcW w:type="dxa" w:w="2880"/>
          </w:tcPr>
          <w:p>
            <w:r>
              <w:t>Margins</w:t>
            </w:r>
          </w:p>
        </w:tc>
        <w:tc>
          <w:tcPr>
            <w:tcW w:type="dxa" w:w="2880"/>
          </w:tcPr>
          <w:p>
            <w:r>
              <w:t>1 inch all sides</w:t>
            </w:r>
          </w:p>
        </w:tc>
        <w:tc>
          <w:tcPr>
            <w:tcW w:type="dxa" w:w="2880"/>
          </w:tcPr>
          <w:p>
            <w:r>
              <w:t>Standard</w:t>
            </w:r>
          </w:p>
        </w:tc>
      </w:tr>
      <w:tr>
        <w:tc>
          <w:tcPr>
            <w:tcW w:type="dxa" w:w="2880"/>
          </w:tcPr>
          <w:p>
            <w:r>
              <w:t>Line Spacing</w:t>
            </w:r>
          </w:p>
        </w:tc>
        <w:tc>
          <w:tcPr>
            <w:tcW w:type="dxa" w:w="2880"/>
          </w:tcPr>
          <w:p>
            <w:r>
              <w:t>Double</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