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41" w:rsidRDefault="00A70DF3" w:rsidP="00D63DFC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63DFC">
        <w:rPr>
          <w:rFonts w:ascii="Times New Roman" w:hAnsi="Times New Roman" w:cs="Times New Roman"/>
          <w:color w:val="000000" w:themeColor="text1"/>
          <w:sz w:val="24"/>
        </w:rPr>
        <w:t>CHAPTER FOU</w:t>
      </w:r>
      <w:bookmarkStart w:id="0" w:name="_GoBack"/>
      <w:bookmarkEnd w:id="0"/>
      <w:r w:rsidRPr="00D63DFC">
        <w:rPr>
          <w:rFonts w:ascii="Times New Roman" w:hAnsi="Times New Roman" w:cs="Times New Roman"/>
          <w:color w:val="000000" w:themeColor="text1"/>
          <w:sz w:val="24"/>
        </w:rPr>
        <w:t>R</w:t>
      </w:r>
      <w:r w:rsidRPr="00D63DFC">
        <w:rPr>
          <w:rFonts w:ascii="Times New Roman" w:hAnsi="Times New Roman" w:cs="Times New Roman"/>
          <w:color w:val="000000" w:themeColor="text1"/>
          <w:sz w:val="24"/>
        </w:rPr>
        <w:br/>
        <w:t>RESULTS AND DISCUSSION</w:t>
      </w:r>
    </w:p>
    <w:p w:rsidR="00D13C1B" w:rsidRPr="00D13C1B" w:rsidRDefault="00D13C1B" w:rsidP="00D13C1B">
      <w:pPr>
        <w:rPr>
          <w:b/>
        </w:rPr>
      </w:pPr>
      <w:r w:rsidRPr="00D13C1B">
        <w:rPr>
          <w:b/>
        </w:rPr>
        <w:t>4.1 RESULTS</w:t>
      </w:r>
    </w:p>
    <w:p w:rsidR="00F44D41" w:rsidRPr="00D63DFC" w:rsidRDefault="00A70DF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63DFC">
        <w:rPr>
          <w:rFonts w:ascii="Times New Roman" w:hAnsi="Times New Roman" w:cs="Times New Roman"/>
          <w:color w:val="000000" w:themeColor="text1"/>
        </w:rPr>
        <w:t>4.1</w:t>
      </w:r>
      <w:r w:rsidR="00D13C1B">
        <w:rPr>
          <w:rFonts w:ascii="Times New Roman" w:hAnsi="Times New Roman" w:cs="Times New Roman"/>
          <w:color w:val="000000" w:themeColor="text1"/>
        </w:rPr>
        <w:t>.1</w:t>
      </w:r>
      <w:r w:rsidRPr="00D63DFC">
        <w:rPr>
          <w:rFonts w:ascii="Times New Roman" w:hAnsi="Times New Roman" w:cs="Times New Roman"/>
          <w:color w:val="000000" w:themeColor="text1"/>
        </w:rPr>
        <w:t xml:space="preserve"> Physicochemical Properties of Tamarillo Yogurt</w:t>
      </w:r>
    </w:p>
    <w:p w:rsidR="00F44D41" w:rsidRPr="00D63DFC" w:rsidRDefault="00A70DF3" w:rsidP="00D63DFC">
      <w:pPr>
        <w:jc w:val="both"/>
        <w:rPr>
          <w:rFonts w:cs="Times New Roman"/>
          <w:color w:val="000000" w:themeColor="text1"/>
        </w:rPr>
      </w:pPr>
      <w:r w:rsidRPr="00D63DFC">
        <w:rPr>
          <w:rFonts w:cs="Times New Roman"/>
          <w:color w:val="000000" w:themeColor="text1"/>
        </w:rPr>
        <w:t xml:space="preserve">The physicochemical parameters (pH, viscosity, syneresis and consistency) of yogurt formulated with 0 %, 5 % and 15 % tamarillo pulp were monitored over 21 days of </w:t>
      </w:r>
      <w:r w:rsidRPr="00D63DFC">
        <w:rPr>
          <w:rFonts w:cs="Times New Roman"/>
          <w:color w:val="000000" w:themeColor="text1"/>
        </w:rPr>
        <w:t>refrigerated storage. Mean ± SD values are presented in Tables 4.1–4.4.</w:t>
      </w:r>
    </w:p>
    <w:p w:rsidR="00F44D41" w:rsidRPr="00BD6010" w:rsidRDefault="00D63DFC">
      <w:pPr>
        <w:rPr>
          <w:rFonts w:cs="Times New Roman"/>
          <w:b/>
          <w:color w:val="000000" w:themeColor="text1"/>
        </w:rPr>
      </w:pPr>
      <w:r w:rsidRPr="00BD6010">
        <w:rPr>
          <w:rFonts w:cs="Times New Roman"/>
          <w:b/>
          <w:color w:val="000000" w:themeColor="text1"/>
        </w:rPr>
        <w:t>Table 4.1 </w:t>
      </w:r>
      <w:r w:rsidR="00A70DF3" w:rsidRPr="00BD6010">
        <w:rPr>
          <w:rFonts w:cs="Times New Roman"/>
          <w:b/>
          <w:color w:val="000000" w:themeColor="text1"/>
        </w:rPr>
        <w:t>pH of yogurt samples during storage (mean ± SD, n = 3).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4.620 ± 0.017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4.423 ± 0.042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4.500 ± 0.026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4.563 ± 0.040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4.357 ± 0.021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4.443 ± 0.006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 xml:space="preserve">4.503 ± </w:t>
            </w:r>
            <w:r w:rsidRPr="00D63DFC">
              <w:rPr>
                <w:rFonts w:cs="Times New Roman"/>
                <w:color w:val="000000" w:themeColor="text1"/>
              </w:rPr>
              <w:t>0.035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4.310 ± 0.017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4.407 ± 0.021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bottom w:val="single" w:sz="4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4.427 ± 0.031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4.230 ± 0.040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4.347 ± 0.012</w:t>
            </w:r>
          </w:p>
        </w:tc>
      </w:tr>
    </w:tbl>
    <w:p w:rsidR="00BD6010" w:rsidRDefault="00BD6010">
      <w:pPr>
        <w:rPr>
          <w:rFonts w:cs="Times New Roman"/>
          <w:color w:val="000000" w:themeColor="text1"/>
        </w:rPr>
      </w:pPr>
    </w:p>
    <w:p w:rsidR="00BD6010" w:rsidRDefault="006441CC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F1EA90E" wp14:editId="3A96BF01">
            <wp:extent cx="5312410" cy="3113590"/>
            <wp:effectExtent l="0" t="0" r="254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6010" w:rsidRPr="00BD6010" w:rsidRDefault="00BD6010">
      <w:pPr>
        <w:rPr>
          <w:rFonts w:cs="Times New Roman"/>
          <w:color w:val="000000" w:themeColor="text1"/>
        </w:rPr>
      </w:pPr>
    </w:p>
    <w:p w:rsidR="00BD6010" w:rsidRPr="006441CC" w:rsidRDefault="00BD6010">
      <w:pPr>
        <w:rPr>
          <w:rFonts w:cs="Times New Roman"/>
          <w:i/>
          <w:color w:val="000000" w:themeColor="text1"/>
        </w:rPr>
      </w:pPr>
      <w:r w:rsidRPr="006441CC">
        <w:rPr>
          <w:rFonts w:cs="Times New Roman"/>
          <w:i/>
          <w:color w:val="000000" w:themeColor="text1"/>
        </w:rPr>
        <w:t>Figure 4.1 – Changes in pH of yoghurt samples during 21 days of storage.</w:t>
      </w:r>
    </w:p>
    <w:p w:rsidR="00F44D41" w:rsidRDefault="00D63DFC">
      <w:pPr>
        <w:rPr>
          <w:rFonts w:cs="Times New Roman"/>
          <w:b/>
          <w:color w:val="000000" w:themeColor="text1"/>
        </w:rPr>
      </w:pPr>
      <w:r w:rsidRPr="00BD6010">
        <w:rPr>
          <w:rFonts w:cs="Times New Roman"/>
          <w:b/>
          <w:color w:val="000000" w:themeColor="text1"/>
        </w:rPr>
        <w:t>Table 4.2 Viscosity</w:t>
      </w:r>
      <w:r w:rsidR="00A70DF3" w:rsidRPr="00BD6010">
        <w:rPr>
          <w:rFonts w:cs="Times New Roman"/>
          <w:b/>
          <w:color w:val="000000" w:themeColor="text1"/>
        </w:rPr>
        <w:t xml:space="preserve"> (</w:t>
      </w:r>
      <w:proofErr w:type="spellStart"/>
      <w:r w:rsidR="00A70DF3" w:rsidRPr="00BD6010">
        <w:rPr>
          <w:rFonts w:cs="Times New Roman"/>
          <w:b/>
          <w:color w:val="000000" w:themeColor="text1"/>
        </w:rPr>
        <w:t>cP</w:t>
      </w:r>
      <w:proofErr w:type="spellEnd"/>
      <w:r w:rsidR="00A70DF3" w:rsidRPr="00BD6010">
        <w:rPr>
          <w:rFonts w:cs="Times New Roman"/>
          <w:b/>
          <w:color w:val="000000" w:themeColor="text1"/>
        </w:rPr>
        <w:t>) of yogurt samples during storage (mean ± SD, n = 3).</w:t>
      </w:r>
    </w:p>
    <w:p w:rsidR="006441CC" w:rsidRPr="006441CC" w:rsidRDefault="006441CC" w:rsidP="006441CC">
      <w:pPr>
        <w:jc w:val="both"/>
        <w:rPr>
          <w:rFonts w:cs="Times New Roman"/>
          <w:color w:val="000000" w:themeColor="text1"/>
        </w:rPr>
      </w:pPr>
      <w:r w:rsidRPr="006441CC">
        <w:rPr>
          <w:rFonts w:cs="Times New Roman"/>
          <w:color w:val="000000" w:themeColor="text1"/>
        </w:rPr>
        <w:t>Table 4.2 details viscosity changes; a moderate decline was observed in 0 % and 5 % yoghurt, whereas 15 % pulp addition resulted in markedly higher and more stable viscosity. Figure 4.2 depicts these trends.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355.800 ± 20.581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759.233 ± 27.945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550.933 ± 55.338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350.200 ± 29.301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728.800</w:t>
            </w:r>
            <w:r w:rsidRPr="00D63DFC">
              <w:rPr>
                <w:rFonts w:cs="Times New Roman"/>
                <w:color w:val="000000" w:themeColor="text1"/>
              </w:rPr>
              <w:t xml:space="preserve"> ± 13.696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561.833 ± 9.811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339.733 ± 4.782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734.700 ± 48.238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528.733 ± 23.631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394.000 ± 55.992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767.000 ± 12.719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550.700 ± 9.938</w:t>
            </w:r>
          </w:p>
        </w:tc>
      </w:tr>
    </w:tbl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20C557F" wp14:editId="316DF036">
            <wp:extent cx="5486400" cy="32169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color w:val="000000" w:themeColor="text1"/>
        </w:rPr>
      </w:pPr>
    </w:p>
    <w:p w:rsidR="006441CC" w:rsidRPr="006441CC" w:rsidRDefault="006441CC">
      <w:pPr>
        <w:rPr>
          <w:rFonts w:cs="Times New Roman"/>
          <w:color w:val="000000" w:themeColor="text1"/>
        </w:rPr>
      </w:pPr>
    </w:p>
    <w:p w:rsidR="006441CC" w:rsidRPr="006441CC" w:rsidRDefault="006441CC">
      <w:pPr>
        <w:rPr>
          <w:rFonts w:cs="Times New Roman"/>
          <w:i/>
          <w:color w:val="000000" w:themeColor="text1"/>
        </w:rPr>
      </w:pPr>
      <w:r w:rsidRPr="006441CC">
        <w:rPr>
          <w:rFonts w:cs="Times New Roman"/>
          <w:i/>
          <w:color w:val="000000" w:themeColor="text1"/>
        </w:rPr>
        <w:t>Figure 4.2 Viscosity profile of yoghurt samples over storage.</w:t>
      </w:r>
    </w:p>
    <w:p w:rsidR="006441CC" w:rsidRPr="006441CC" w:rsidRDefault="006441CC">
      <w:pPr>
        <w:rPr>
          <w:rFonts w:cs="Times New Roman"/>
          <w:color w:val="000000" w:themeColor="text1"/>
        </w:rPr>
      </w:pPr>
      <w:r w:rsidRPr="006441CC">
        <w:rPr>
          <w:rFonts w:cs="Times New Roman"/>
          <w:color w:val="000000" w:themeColor="text1"/>
        </w:rPr>
        <w:t xml:space="preserve">Syneresis values (Table 4.3) increased marginally in control yoghurt but decreased significantly (p &lt; 0.05) in the 15 % pulp sample, indicating improved water‑holding capacity. This pattern is </w:t>
      </w:r>
      <w:r>
        <w:rPr>
          <w:rFonts w:cs="Times New Roman"/>
          <w:color w:val="000000" w:themeColor="text1"/>
        </w:rPr>
        <w:t>seen</w:t>
      </w:r>
      <w:r w:rsidRPr="006441CC">
        <w:rPr>
          <w:rFonts w:cs="Times New Roman"/>
          <w:color w:val="000000" w:themeColor="text1"/>
        </w:rPr>
        <w:t xml:space="preserve"> in Figure 4.3.</w:t>
      </w:r>
    </w:p>
    <w:p w:rsidR="00D63DFC" w:rsidRPr="00BD6010" w:rsidRDefault="00D63DFC">
      <w:pPr>
        <w:rPr>
          <w:rFonts w:cs="Times New Roman"/>
          <w:b/>
          <w:color w:val="000000" w:themeColor="text1"/>
        </w:rPr>
      </w:pPr>
      <w:r w:rsidRPr="00BD6010">
        <w:rPr>
          <w:rFonts w:cs="Times New Roman"/>
          <w:b/>
          <w:color w:val="000000" w:themeColor="text1"/>
        </w:rPr>
        <w:t>Table 4.3 </w:t>
      </w:r>
      <w:r w:rsidR="00A70DF3" w:rsidRPr="00BD6010">
        <w:rPr>
          <w:rFonts w:cs="Times New Roman"/>
          <w:b/>
          <w:color w:val="000000" w:themeColor="text1"/>
        </w:rPr>
        <w:t>Syneresis (%) of yogurt samples during storage (mean ± SD, n = 3).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4.397 ± 0.293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 xml:space="preserve">3.180 ± </w:t>
            </w:r>
            <w:r w:rsidRPr="00D63DFC">
              <w:rPr>
                <w:rFonts w:cs="Times New Roman"/>
                <w:color w:val="000000" w:themeColor="text1"/>
              </w:rPr>
              <w:t>0.210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3.863 ± 0.257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4.600 ± 0.226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3.253 ± 0.227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3.733 ± 0.289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4.553 ± 0.247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3.117 ± 0.121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3.983 ± 0.455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4.453 ± 0.175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3.027 ± 0.350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3.590 ± 0.619</w:t>
            </w:r>
          </w:p>
        </w:tc>
      </w:tr>
    </w:tbl>
    <w:p w:rsidR="006441CC" w:rsidRPr="006441CC" w:rsidRDefault="006441CC">
      <w:pPr>
        <w:rPr>
          <w:rFonts w:cs="Times New Roman"/>
          <w:color w:val="000000" w:themeColor="text1"/>
        </w:rPr>
      </w:pPr>
    </w:p>
    <w:p w:rsidR="006441CC" w:rsidRDefault="00AC7D25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CC3D323" wp14:editId="430F1BD0">
            <wp:extent cx="5364480" cy="3350871"/>
            <wp:effectExtent l="0" t="0" r="762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color w:val="000000" w:themeColor="text1"/>
        </w:rPr>
      </w:pPr>
    </w:p>
    <w:p w:rsidR="006441CC" w:rsidRDefault="006441CC">
      <w:pPr>
        <w:rPr>
          <w:rFonts w:cs="Times New Roman"/>
          <w:i/>
          <w:color w:val="000000" w:themeColor="text1"/>
        </w:rPr>
      </w:pPr>
      <w:r w:rsidRPr="006441CC">
        <w:rPr>
          <w:rFonts w:cs="Times New Roman"/>
          <w:i/>
          <w:color w:val="000000" w:themeColor="text1"/>
        </w:rPr>
        <w:t>Figure 4.3 Syneresis of yoghurt samples during storage.</w:t>
      </w:r>
    </w:p>
    <w:p w:rsidR="006441CC" w:rsidRPr="006441CC" w:rsidRDefault="00AC7D25">
      <w:pPr>
        <w:rPr>
          <w:rFonts w:cs="Times New Roman"/>
          <w:color w:val="000000" w:themeColor="text1"/>
        </w:rPr>
      </w:pPr>
      <w:r w:rsidRPr="00AC7D25">
        <w:rPr>
          <w:rFonts w:cs="Times New Roman"/>
          <w:color w:val="000000" w:themeColor="text1"/>
        </w:rPr>
        <w:t>Consistency scores (Table 4.4) remained within 3.3–4.5 throughout storage, with Figure 4.4 indicating no perceptible loss of body. Addition of pulp had no adverse impact on visual consistency.</w:t>
      </w:r>
    </w:p>
    <w:p w:rsidR="00F44D41" w:rsidRPr="00D63DFC" w:rsidRDefault="00D63DFC">
      <w:pPr>
        <w:rPr>
          <w:rFonts w:cs="Times New Roman"/>
          <w:color w:val="000000" w:themeColor="text1"/>
        </w:rPr>
      </w:pPr>
      <w:r w:rsidRPr="00D63DFC">
        <w:rPr>
          <w:rFonts w:cs="Times New Roman"/>
          <w:b/>
          <w:color w:val="000000" w:themeColor="text1"/>
        </w:rPr>
        <w:t>Table 4.4</w:t>
      </w:r>
      <w:r w:rsidR="00A70DF3" w:rsidRPr="00D63DFC">
        <w:rPr>
          <w:rFonts w:cs="Times New Roman"/>
          <w:color w:val="000000" w:themeColor="text1"/>
        </w:rPr>
        <w:t> </w:t>
      </w:r>
      <w:r w:rsidR="00A70DF3" w:rsidRPr="00D63DFC">
        <w:rPr>
          <w:rFonts w:cs="Times New Roman"/>
          <w:i/>
          <w:color w:val="000000" w:themeColor="text1"/>
        </w:rPr>
        <w:t>Consistency Score of yogurt samples during storage (mean ± SD, n = 3).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3.667 ± 0.577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4.000 ± 1.000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0.577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0.577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4.000 ± 0.000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1.155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3.667 ± 0.577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0.577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0.577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4.000 ± 0.000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3.667 ± 1.155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4.333 ± 0.577</w:t>
            </w:r>
          </w:p>
        </w:tc>
      </w:tr>
    </w:tbl>
    <w:p w:rsidR="00AC7D25" w:rsidRDefault="00AC7D25">
      <w:pPr>
        <w:rPr>
          <w:rFonts w:cs="Times New Roman"/>
          <w:color w:val="000000" w:themeColor="text1"/>
        </w:rPr>
      </w:pPr>
    </w:p>
    <w:p w:rsidR="00AC7D25" w:rsidRDefault="00AC7D25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9843F8E" wp14:editId="75820717">
            <wp:extent cx="5335905" cy="3269366"/>
            <wp:effectExtent l="0" t="0" r="17145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7D25" w:rsidRPr="00AC7D25" w:rsidRDefault="00AC7D25">
      <w:pPr>
        <w:rPr>
          <w:rFonts w:cs="Times New Roman"/>
          <w:i/>
          <w:color w:val="000000" w:themeColor="text1"/>
        </w:rPr>
      </w:pPr>
      <w:r w:rsidRPr="00AC7D25">
        <w:rPr>
          <w:rFonts w:cs="Times New Roman"/>
          <w:i/>
          <w:color w:val="000000" w:themeColor="text1"/>
        </w:rPr>
        <w:lastRenderedPageBreak/>
        <w:t>Figure 4.4 Consistency scores of yoghurt samples throughout storage.</w:t>
      </w:r>
    </w:p>
    <w:p w:rsidR="00F44D41" w:rsidRPr="00D63DFC" w:rsidRDefault="00A70DF3">
      <w:pPr>
        <w:rPr>
          <w:rFonts w:cs="Times New Roman"/>
          <w:color w:val="000000" w:themeColor="text1"/>
        </w:rPr>
      </w:pPr>
      <w:r w:rsidRPr="00D63DFC">
        <w:rPr>
          <w:rFonts w:cs="Times New Roman"/>
          <w:color w:val="000000" w:themeColor="text1"/>
        </w:rPr>
        <w:t>Two‑way ANOVA revealed that pulp concentration had a significant (p &lt;</w:t>
      </w:r>
      <w:r w:rsidRPr="00D63DFC">
        <w:rPr>
          <w:rFonts w:cs="Times New Roman"/>
          <w:color w:val="000000" w:themeColor="text1"/>
        </w:rPr>
        <w:t> </w:t>
      </w:r>
      <w:r w:rsidRPr="00D63DFC">
        <w:rPr>
          <w:rFonts w:cs="Times New Roman"/>
          <w:color w:val="000000" w:themeColor="text1"/>
        </w:rPr>
        <w:t>0.05) effect on pH, viscosity and syneresis across all storage days, whereas consistency scores were unaffected (p &gt; 0.05). Detailed F‑ and p‑values are summarised in Table 4.5.</w:t>
      </w:r>
    </w:p>
    <w:p w:rsidR="00F44D41" w:rsidRPr="00BD6010" w:rsidRDefault="00D63DFC">
      <w:pPr>
        <w:rPr>
          <w:rFonts w:cs="Times New Roman"/>
          <w:b/>
          <w:color w:val="000000" w:themeColor="text1"/>
        </w:rPr>
      </w:pPr>
      <w:r w:rsidRPr="00BD6010">
        <w:rPr>
          <w:rFonts w:cs="Times New Roman"/>
          <w:b/>
          <w:color w:val="000000" w:themeColor="text1"/>
        </w:rPr>
        <w:t>Table 4.5</w:t>
      </w:r>
      <w:r w:rsidR="00A70DF3" w:rsidRPr="00BD6010">
        <w:rPr>
          <w:rFonts w:cs="Times New Roman"/>
          <w:b/>
          <w:color w:val="000000" w:themeColor="text1"/>
        </w:rPr>
        <w:t xml:space="preserve"> Two‑way ANOVA for physicochemical parameters as affected by pulp </w:t>
      </w:r>
      <w:r w:rsidR="00A70DF3" w:rsidRPr="00BD6010">
        <w:rPr>
          <w:rFonts w:cs="Times New Roman"/>
          <w:b/>
          <w:color w:val="000000" w:themeColor="text1"/>
        </w:rPr>
        <w:t>concentration on each storage day.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Parameter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F-value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p-value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Significant (p &lt; 0.05)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12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pH</w:t>
            </w:r>
          </w:p>
        </w:tc>
        <w:tc>
          <w:tcPr>
            <w:tcW w:w="1728" w:type="dxa"/>
            <w:tcBorders>
              <w:top w:val="single" w:sz="12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32.354</w:t>
            </w:r>
          </w:p>
        </w:tc>
        <w:tc>
          <w:tcPr>
            <w:tcW w:w="1728" w:type="dxa"/>
            <w:tcBorders>
              <w:top w:val="single" w:sz="12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0.0006</w:t>
            </w:r>
          </w:p>
        </w:tc>
        <w:tc>
          <w:tcPr>
            <w:tcW w:w="1728" w:type="dxa"/>
            <w:tcBorders>
              <w:top w:val="single" w:sz="12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Viscosity (</w:t>
            </w:r>
            <w:proofErr w:type="spellStart"/>
            <w:r w:rsidRPr="00D63DFC">
              <w:rPr>
                <w:rFonts w:cs="Times New Roman"/>
                <w:color w:val="000000" w:themeColor="text1"/>
              </w:rPr>
              <w:t>cP</w:t>
            </w:r>
            <w:proofErr w:type="spellEnd"/>
            <w:r w:rsidRPr="00D63DFC">
              <w:rPr>
                <w:rFonts w:cs="Times New Roman"/>
                <w:color w:val="000000" w:themeColor="text1"/>
              </w:rPr>
              <w:t>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85.859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Syneresis (%)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17.073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0.0033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Consistency Score (1–5)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0.6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0.5787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pH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46.159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0.0002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 xml:space="preserve">Viscosity </w:t>
            </w:r>
            <w:r w:rsidRPr="00D63DFC">
              <w:rPr>
                <w:rFonts w:cs="Times New Roman"/>
                <w:color w:val="000000" w:themeColor="text1"/>
              </w:rPr>
              <w:t>(</w:t>
            </w:r>
            <w:proofErr w:type="spellStart"/>
            <w:r w:rsidRPr="00D63DFC">
              <w:rPr>
                <w:rFonts w:cs="Times New Roman"/>
                <w:color w:val="000000" w:themeColor="text1"/>
              </w:rPr>
              <w:t>cP</w:t>
            </w:r>
            <w:proofErr w:type="spellEnd"/>
            <w:r w:rsidRPr="00D63DFC">
              <w:rPr>
                <w:rFonts w:cs="Times New Roman"/>
                <w:color w:val="000000" w:themeColor="text1"/>
              </w:rPr>
              <w:t>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283.626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Syneresis (%)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22.496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0.0016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Consistency Score (1–5)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0.2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0.824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pH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42.763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0.0003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Viscosity (</w:t>
            </w:r>
            <w:proofErr w:type="spellStart"/>
            <w:r w:rsidRPr="00D63DFC">
              <w:rPr>
                <w:rFonts w:cs="Times New Roman"/>
                <w:color w:val="000000" w:themeColor="text1"/>
              </w:rPr>
              <w:t>cP</w:t>
            </w:r>
            <w:proofErr w:type="spellEnd"/>
            <w:r w:rsidRPr="00D63DFC">
              <w:rPr>
                <w:rFonts w:cs="Times New Roman"/>
                <w:color w:val="000000" w:themeColor="text1"/>
              </w:rPr>
              <w:t>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120.766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Syneresis (%)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16.69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0.0035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Consistency Score (1–5)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1.333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0.3318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pH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33.013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0.0006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top w:val="single" w:sz="8" w:space="0" w:color="auto"/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Viscosity (</w:t>
            </w:r>
            <w:proofErr w:type="spellStart"/>
            <w:r w:rsidRPr="00D63DFC">
              <w:rPr>
                <w:rFonts w:cs="Times New Roman"/>
                <w:color w:val="000000" w:themeColor="text1"/>
              </w:rPr>
              <w:t>cP</w:t>
            </w:r>
            <w:proofErr w:type="spellEnd"/>
            <w:r w:rsidRPr="00D63DFC">
              <w:rPr>
                <w:rFonts w:cs="Times New Roman"/>
                <w:color w:val="000000" w:themeColor="text1"/>
              </w:rPr>
              <w:t>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92.972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Syneresis (%)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8.671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0.017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bottom w:val="nil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lastRenderedPageBreak/>
              <w:t>Consistency Score (1–5)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0.6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0.5787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1728" w:type="dxa"/>
            <w:tcBorders>
              <w:bottom w:val="single" w:sz="8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</w:tbl>
    <w:p w:rsidR="00F44D41" w:rsidRPr="00D63DFC" w:rsidRDefault="00A70DF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63DFC">
        <w:rPr>
          <w:rFonts w:ascii="Times New Roman" w:hAnsi="Times New Roman" w:cs="Times New Roman"/>
          <w:color w:val="000000" w:themeColor="text1"/>
        </w:rPr>
        <w:t>4.</w:t>
      </w:r>
      <w:r w:rsidR="00D13C1B">
        <w:rPr>
          <w:rFonts w:ascii="Times New Roman" w:hAnsi="Times New Roman" w:cs="Times New Roman"/>
          <w:color w:val="000000" w:themeColor="text1"/>
        </w:rPr>
        <w:t>1.</w:t>
      </w:r>
      <w:r w:rsidRPr="00D63DFC">
        <w:rPr>
          <w:rFonts w:ascii="Times New Roman" w:hAnsi="Times New Roman" w:cs="Times New Roman"/>
          <w:color w:val="000000" w:themeColor="text1"/>
        </w:rPr>
        <w:t>2 Probiotic Viability</w:t>
      </w:r>
    </w:p>
    <w:p w:rsidR="00F44D41" w:rsidRPr="00D63DFC" w:rsidRDefault="00A70DF3">
      <w:pPr>
        <w:rPr>
          <w:rFonts w:cs="Times New Roman"/>
          <w:color w:val="000000" w:themeColor="text1"/>
        </w:rPr>
      </w:pPr>
      <w:r w:rsidRPr="00D63DFC">
        <w:rPr>
          <w:rFonts w:cs="Times New Roman"/>
          <w:color w:val="000000" w:themeColor="text1"/>
        </w:rPr>
        <w:t xml:space="preserve">Counts of Lactobacillus delbrueckii ssp. bulgaricus and Streptococcus thermophilus remained above the minimum </w:t>
      </w:r>
      <w:r w:rsidRPr="00D63DFC">
        <w:rPr>
          <w:rFonts w:cs="Times New Roman"/>
          <w:color w:val="000000" w:themeColor="text1"/>
        </w:rPr>
        <w:t>therapeutic level (10^6 CFU/g) throughout storage (Tables 4.6–4.7).</w:t>
      </w:r>
    </w:p>
    <w:p w:rsidR="00F44D41" w:rsidRPr="00BD6010" w:rsidRDefault="00D63DFC">
      <w:pPr>
        <w:rPr>
          <w:rFonts w:cs="Times New Roman"/>
          <w:b/>
          <w:color w:val="000000" w:themeColor="text1"/>
        </w:rPr>
      </w:pPr>
      <w:r w:rsidRPr="00BD6010">
        <w:rPr>
          <w:rFonts w:cs="Times New Roman"/>
          <w:b/>
          <w:color w:val="000000" w:themeColor="text1"/>
        </w:rPr>
        <w:t>Table 4.5</w:t>
      </w:r>
      <w:r w:rsidR="00A70DF3" w:rsidRPr="00BD6010">
        <w:rPr>
          <w:rFonts w:cs="Times New Roman"/>
          <w:b/>
          <w:color w:val="000000" w:themeColor="text1"/>
        </w:rPr>
        <w:t> Lactobacillus (log CFU/g) in yogurt samples during storage (mean ± SD, n = 3).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8.950 ± 0.079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8.430 ± 0.075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8.767 ± 0.171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8.960 ± 0.204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8.380 ± 0.155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8.697 ±</w:t>
            </w:r>
            <w:r w:rsidRPr="00D63DFC">
              <w:rPr>
                <w:rFonts w:cs="Times New Roman"/>
                <w:color w:val="000000" w:themeColor="text1"/>
              </w:rPr>
              <w:t xml:space="preserve"> 0.272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8.763 ± 0.110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8.470 ± 0.130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8.550 ± 0.156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8.727 ± 0.045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8.113 ± 0.155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8.490 ± 0.066</w:t>
            </w:r>
          </w:p>
        </w:tc>
      </w:tr>
    </w:tbl>
    <w:p w:rsidR="005A404A" w:rsidRDefault="005A404A">
      <w:pPr>
        <w:rPr>
          <w:rFonts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691F852D" wp14:editId="7944F10D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4D41" w:rsidRPr="00D63DFC" w:rsidRDefault="00D63DFC">
      <w:pPr>
        <w:rPr>
          <w:rFonts w:cs="Times New Roman"/>
          <w:color w:val="000000" w:themeColor="text1"/>
        </w:rPr>
      </w:pPr>
      <w:r w:rsidRPr="00D63DFC">
        <w:rPr>
          <w:rFonts w:cs="Times New Roman"/>
          <w:b/>
          <w:color w:val="000000" w:themeColor="text1"/>
        </w:rPr>
        <w:t>Table 4.6</w:t>
      </w:r>
      <w:r w:rsidR="00A70DF3" w:rsidRPr="00D63DFC">
        <w:rPr>
          <w:rFonts w:cs="Times New Roman"/>
          <w:b/>
          <w:color w:val="000000" w:themeColor="text1"/>
        </w:rPr>
        <w:t> Streptococcus (log CFU/g) in yogurt samples during storage (mean ± SD,</w:t>
      </w:r>
      <w:r w:rsidR="00A70DF3" w:rsidRPr="00D63DFC">
        <w:rPr>
          <w:rFonts w:cs="Times New Roman"/>
          <w:color w:val="000000" w:themeColor="text1"/>
        </w:rPr>
        <w:t xml:space="preserve"> n = 3).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lastRenderedPageBreak/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8.587 ± 0.125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8.150 ± 0.130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8.270 ± 0.104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8.397 ± 0.112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7.947 ± 0.170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8.247 ± 0.006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8.280 ± 0.128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7.857 ± 0.148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7.963 ± 0.195</w:t>
            </w:r>
          </w:p>
        </w:tc>
      </w:tr>
      <w:tr w:rsidR="00D63DFC" w:rsidRPr="00D63DFC" w:rsidTr="00D63DFC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8.103 ± 0.087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7.810 ± 0.044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8.020 ± 0.036</w:t>
            </w:r>
          </w:p>
        </w:tc>
      </w:tr>
    </w:tbl>
    <w:p w:rsidR="00D63DFC" w:rsidRDefault="00D63DFC">
      <w:pPr>
        <w:rPr>
          <w:rFonts w:cs="Times New Roman"/>
          <w:b/>
          <w:color w:val="000000" w:themeColor="text1"/>
        </w:rPr>
      </w:pPr>
    </w:p>
    <w:p w:rsidR="005A404A" w:rsidRDefault="005A404A">
      <w:pPr>
        <w:rPr>
          <w:rFonts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53487E13" wp14:editId="1F1991EB">
            <wp:extent cx="5497830" cy="3055716"/>
            <wp:effectExtent l="0" t="0" r="762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44D41" w:rsidRPr="00D63DFC" w:rsidRDefault="00D63DFC">
      <w:pPr>
        <w:rPr>
          <w:rFonts w:cs="Times New Roman"/>
          <w:b/>
          <w:color w:val="000000" w:themeColor="text1"/>
        </w:rPr>
      </w:pPr>
      <w:r w:rsidRPr="00D63DFC">
        <w:rPr>
          <w:rFonts w:cs="Times New Roman"/>
          <w:b/>
          <w:color w:val="000000" w:themeColor="text1"/>
        </w:rPr>
        <w:t>Table 4.7</w:t>
      </w:r>
      <w:r w:rsidR="00A70DF3" w:rsidRPr="00D63DFC">
        <w:rPr>
          <w:rFonts w:cs="Times New Roman"/>
          <w:b/>
          <w:color w:val="000000" w:themeColor="text1"/>
        </w:rPr>
        <w:t> Two‑way ANOVA for probiotic viability parameters on each storage day.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Organism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F-value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p-value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Significant (p</w:t>
            </w:r>
            <w:r w:rsidRPr="00D63DFC">
              <w:rPr>
                <w:rFonts w:cs="Times New Roman"/>
                <w:b/>
                <w:color w:val="000000" w:themeColor="text1"/>
              </w:rPr>
              <w:t xml:space="preserve"> &lt; 0.05)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Day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Lactobacillus</w:t>
            </w: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15.183</w:t>
            </w: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0.0045</w:t>
            </w: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Streptococcus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10.57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0.0108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Lactobacillus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5.44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0.0449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Streptococcus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11.386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0.0091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Lactobacillus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3.873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0.0832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Streptococcus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5.713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0.0408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14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lastRenderedPageBreak/>
              <w:t>Lactobacillus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28.357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0.0009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  <w:tr w:rsidR="00D63DFC" w:rsidRPr="00D63DFC" w:rsidTr="00D63DFC">
        <w:trPr>
          <w:jc w:val="center"/>
        </w:trPr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Streptococcus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18.982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0.0025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  <w:tc>
          <w:tcPr>
            <w:tcW w:w="1728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21</w:t>
            </w:r>
          </w:p>
        </w:tc>
      </w:tr>
    </w:tbl>
    <w:p w:rsidR="00F44D41" w:rsidRPr="00D63DFC" w:rsidRDefault="00A70DF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63DFC">
        <w:rPr>
          <w:rFonts w:ascii="Times New Roman" w:hAnsi="Times New Roman" w:cs="Times New Roman"/>
          <w:color w:val="000000" w:themeColor="text1"/>
        </w:rPr>
        <w:t>4.</w:t>
      </w:r>
      <w:r w:rsidR="00D13C1B">
        <w:rPr>
          <w:rFonts w:ascii="Times New Roman" w:hAnsi="Times New Roman" w:cs="Times New Roman"/>
          <w:color w:val="000000" w:themeColor="text1"/>
        </w:rPr>
        <w:t>1.</w:t>
      </w:r>
      <w:r w:rsidRPr="00D63DFC">
        <w:rPr>
          <w:rFonts w:ascii="Times New Roman" w:hAnsi="Times New Roman" w:cs="Times New Roman"/>
          <w:color w:val="000000" w:themeColor="text1"/>
        </w:rPr>
        <w:t>3 Proximate Composition and Antioxidant Activity</w:t>
      </w:r>
    </w:p>
    <w:p w:rsidR="00F44D41" w:rsidRPr="00D63DFC" w:rsidRDefault="00A70DF3">
      <w:pPr>
        <w:rPr>
          <w:rFonts w:cs="Times New Roman"/>
          <w:color w:val="000000" w:themeColor="text1"/>
        </w:rPr>
      </w:pPr>
      <w:r w:rsidRPr="00D63DFC">
        <w:rPr>
          <w:rFonts w:cs="Times New Roman"/>
          <w:color w:val="000000" w:themeColor="text1"/>
        </w:rPr>
        <w:t>Table 4.8 summarises the proximate composition and antioxidant properties of fresh yogurt (day 1) as influenced by tamarillo pulp level.</w:t>
      </w: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3DFC" w:rsidRPr="00D63DFC" w:rsidTr="00BD6010">
        <w:trPr>
          <w:jc w:val="center"/>
        </w:trPr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Parameter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0%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5%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15%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 xml:space="preserve">Moisture </w:t>
            </w:r>
            <w:r w:rsidRPr="00D63DFC">
              <w:rPr>
                <w:rFonts w:cs="Times New Roman"/>
                <w:color w:val="000000" w:themeColor="text1"/>
              </w:rPr>
              <w:t>(%)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83.237 ± 0.587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81.400 ± 0.457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79.027 ± 0.575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Protein (%)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4.113 ± 0.177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4.167 ± 0.193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4.293 ± 0.151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Fat (%)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2.867 ± 0.127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3.060 ± 0.215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3.253 ± 0.040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Ash (%)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0.913 ± 0.045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0.917 ± 0.023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0.860 ± 0.061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Carbohydrates (%)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8.870 ± 0.631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10.457 ± 0.819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12.570 ± 0.516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Total Phenolic Content (mg GAE/100g)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102.877 ± 6.929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150.050 ± 7.455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202.397 ± 2.012</w:t>
            </w:r>
          </w:p>
        </w:tc>
      </w:tr>
      <w:tr w:rsidR="00D63DFC" w:rsidRPr="00D63DFC" w:rsidTr="00BD6010">
        <w:trPr>
          <w:jc w:val="center"/>
        </w:trPr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DPPH Scavenging Activity (%)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35.340 ± 2.834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56.423 ± 3.964</w:t>
            </w:r>
          </w:p>
        </w:tc>
        <w:tc>
          <w:tcPr>
            <w:tcW w:w="216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72.913 ± 5.455</w:t>
            </w:r>
          </w:p>
        </w:tc>
      </w:tr>
    </w:tbl>
    <w:p w:rsidR="00F44D41" w:rsidRPr="00BD6010" w:rsidRDefault="00BD6010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Table 4.9</w:t>
      </w:r>
      <w:r w:rsidR="00A70DF3" w:rsidRPr="00BD6010">
        <w:rPr>
          <w:rFonts w:cs="Times New Roman"/>
          <w:b/>
          <w:color w:val="000000" w:themeColor="text1"/>
        </w:rPr>
        <w:t> One‑way ANOVA for proximate composition and antioxidant parameters.</w:t>
      </w:r>
    </w:p>
    <w:tbl>
      <w:tblPr>
        <w:tblW w:w="9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3409"/>
        <w:gridCol w:w="1519"/>
        <w:gridCol w:w="1750"/>
        <w:gridCol w:w="2430"/>
      </w:tblGrid>
      <w:tr w:rsidR="00D63DFC" w:rsidRPr="00D63DFC" w:rsidTr="00BD6010">
        <w:tc>
          <w:tcPr>
            <w:tcW w:w="3409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Parameter</w:t>
            </w:r>
          </w:p>
        </w:tc>
        <w:tc>
          <w:tcPr>
            <w:tcW w:w="1519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F-value</w:t>
            </w:r>
          </w:p>
        </w:tc>
        <w:tc>
          <w:tcPr>
            <w:tcW w:w="175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p-value</w:t>
            </w:r>
          </w:p>
        </w:tc>
        <w:tc>
          <w:tcPr>
            <w:tcW w:w="2430" w:type="dxa"/>
            <w:tcBorders>
              <w:top w:val="single" w:sz="8" w:space="0" w:color="auto"/>
              <w:bottom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b/>
                <w:color w:val="000000" w:themeColor="text1"/>
              </w:rPr>
              <w:t>Significant (p &lt; 0.05)</w:t>
            </w:r>
          </w:p>
        </w:tc>
      </w:tr>
      <w:tr w:rsidR="00D63DFC" w:rsidRPr="00D63DFC" w:rsidTr="00BD6010">
        <w:tc>
          <w:tcPr>
            <w:tcW w:w="3409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Moisture (%)</w:t>
            </w:r>
          </w:p>
        </w:tc>
        <w:tc>
          <w:tcPr>
            <w:tcW w:w="1519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45.333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0.0002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Protein (%)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0.842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0.4762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Fat (%)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5.259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0.0479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Ash (%)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1.452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0.306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Carbohydrates (%)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23.228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0.0015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Total Phenolic Content (mg GAE/100g)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207.222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</w:tr>
      <w:tr w:rsidR="00D63DFC" w:rsidRPr="00D63DFC" w:rsidTr="00BD6010">
        <w:tc>
          <w:tcPr>
            <w:tcW w:w="3409" w:type="dxa"/>
          </w:tcPr>
          <w:p w:rsidR="00F44D41" w:rsidRPr="00D63DFC" w:rsidRDefault="00A70DF3" w:rsidP="00BD6010">
            <w:pPr>
              <w:spacing w:line="276" w:lineRule="auto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lastRenderedPageBreak/>
              <w:t>DPPH Scavenging Activity (%)</w:t>
            </w:r>
          </w:p>
        </w:tc>
        <w:tc>
          <w:tcPr>
            <w:tcW w:w="1519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59.675</w:t>
            </w:r>
          </w:p>
        </w:tc>
        <w:tc>
          <w:tcPr>
            <w:tcW w:w="175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0.0001</w:t>
            </w:r>
          </w:p>
        </w:tc>
        <w:tc>
          <w:tcPr>
            <w:tcW w:w="2430" w:type="dxa"/>
          </w:tcPr>
          <w:p w:rsidR="00F44D41" w:rsidRPr="00D63DFC" w:rsidRDefault="00A70DF3" w:rsidP="00BD6010">
            <w:pPr>
              <w:spacing w:line="276" w:lineRule="auto"/>
              <w:jc w:val="center"/>
              <w:rPr>
                <w:rFonts w:cs="Times New Roman"/>
                <w:color w:val="000000" w:themeColor="text1"/>
              </w:rPr>
            </w:pPr>
            <w:r w:rsidRPr="00D63DFC">
              <w:rPr>
                <w:rFonts w:cs="Times New Roman"/>
                <w:color w:val="000000" w:themeColor="text1"/>
              </w:rPr>
              <w:t>Yes</w:t>
            </w:r>
          </w:p>
        </w:tc>
      </w:tr>
    </w:tbl>
    <w:p w:rsidR="00000000" w:rsidRDefault="00A70DF3">
      <w:pPr>
        <w:rPr>
          <w:rFonts w:cs="Times New Roman"/>
          <w:color w:val="000000" w:themeColor="text1"/>
        </w:rPr>
      </w:pPr>
    </w:p>
    <w:p w:rsidR="00D13C1B" w:rsidRPr="00D13C1B" w:rsidRDefault="00D13C1B" w:rsidP="00D13C1B">
      <w:pPr>
        <w:rPr>
          <w:rFonts w:cs="Times New Roman"/>
          <w:b/>
          <w:bCs/>
          <w:color w:val="000000" w:themeColor="text1"/>
        </w:rPr>
      </w:pPr>
      <w:r w:rsidRPr="00D13C1B">
        <w:rPr>
          <w:rFonts w:cs="Times New Roman"/>
          <w:b/>
          <w:bCs/>
          <w:color w:val="000000" w:themeColor="text1"/>
        </w:rPr>
        <w:t>4.1.4 Sensory Evaluation</w:t>
      </w:r>
    </w:p>
    <w:p w:rsidR="00D13C1B" w:rsidRPr="00D13C1B" w:rsidRDefault="00D13C1B" w:rsidP="00D13C1B">
      <w:pPr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Table 4.10 presents the mean ± SD hedonic scores (9‑point scale) awarded by 60 panelists for appearance, aroma, taste, texture and overall acceptability of probiotic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yoghurt. A purchase‑intent rate of 75 % was recorded.</w:t>
      </w:r>
    </w:p>
    <w:p w:rsidR="00D13C1B" w:rsidRPr="00D13C1B" w:rsidRDefault="00D13C1B" w:rsidP="00D13C1B">
      <w:pPr>
        <w:rPr>
          <w:rFonts w:cs="Times New Roman"/>
          <w:b/>
          <w:color w:val="000000" w:themeColor="text1"/>
        </w:rPr>
      </w:pPr>
      <w:r w:rsidRPr="00D13C1B">
        <w:rPr>
          <w:rFonts w:cs="Times New Roman"/>
          <w:b/>
          <w:color w:val="000000" w:themeColor="text1"/>
        </w:rPr>
        <w:t>Table 4.10</w:t>
      </w:r>
      <w:proofErr w:type="gramStart"/>
      <w:r w:rsidRPr="00D13C1B">
        <w:rPr>
          <w:rFonts w:cs="Times New Roman"/>
          <w:b/>
          <w:color w:val="000000" w:themeColor="text1"/>
        </w:rPr>
        <w:t>  Mean</w:t>
      </w:r>
      <w:proofErr w:type="gramEnd"/>
      <w:r w:rsidRPr="00D13C1B">
        <w:rPr>
          <w:rFonts w:cs="Times New Roman"/>
          <w:b/>
          <w:color w:val="000000" w:themeColor="text1"/>
        </w:rPr>
        <w:t xml:space="preserve"> ± SD sensory scores of probiotic </w:t>
      </w:r>
      <w:proofErr w:type="spellStart"/>
      <w:r w:rsidRPr="00D13C1B">
        <w:rPr>
          <w:rFonts w:cs="Times New Roman"/>
          <w:b/>
          <w:color w:val="000000" w:themeColor="text1"/>
        </w:rPr>
        <w:t>tamarillo</w:t>
      </w:r>
      <w:proofErr w:type="spellEnd"/>
      <w:r w:rsidRPr="00D13C1B">
        <w:rPr>
          <w:rFonts w:cs="Times New Roman"/>
          <w:b/>
          <w:color w:val="000000" w:themeColor="text1"/>
        </w:rPr>
        <w:t xml:space="preserve"> yoghurt (n = 60).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400"/>
      </w:tblGrid>
      <w:tr w:rsidR="00D13C1B" w:rsidRPr="00D13C1B" w:rsidTr="00D13C1B">
        <w:tc>
          <w:tcPr>
            <w:tcW w:w="2898" w:type="dxa"/>
            <w:tcBorders>
              <w:top w:val="single" w:sz="8" w:space="0" w:color="auto"/>
              <w:bottom w:val="single" w:sz="12" w:space="0" w:color="auto"/>
            </w:tcBorders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b/>
                <w:color w:val="000000" w:themeColor="text1"/>
              </w:rPr>
              <w:t>Attribute</w:t>
            </w:r>
          </w:p>
        </w:tc>
        <w:tc>
          <w:tcPr>
            <w:tcW w:w="5400" w:type="dxa"/>
            <w:tcBorders>
              <w:top w:val="single" w:sz="8" w:space="0" w:color="auto"/>
              <w:bottom w:val="single" w:sz="12" w:space="0" w:color="auto"/>
            </w:tcBorders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b/>
                <w:color w:val="000000" w:themeColor="text1"/>
              </w:rPr>
              <w:t>Mean ± SD</w:t>
            </w:r>
          </w:p>
        </w:tc>
      </w:tr>
      <w:tr w:rsidR="00D13C1B" w:rsidRPr="00D13C1B" w:rsidTr="00D13C1B">
        <w:tc>
          <w:tcPr>
            <w:tcW w:w="2898" w:type="dxa"/>
            <w:tcBorders>
              <w:top w:val="single" w:sz="12" w:space="0" w:color="auto"/>
            </w:tcBorders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Appearance</w:t>
            </w:r>
          </w:p>
        </w:tc>
        <w:tc>
          <w:tcPr>
            <w:tcW w:w="5400" w:type="dxa"/>
            <w:tcBorders>
              <w:top w:val="single" w:sz="12" w:space="0" w:color="auto"/>
            </w:tcBorders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7.13 ± 1.43</w:t>
            </w:r>
          </w:p>
        </w:tc>
      </w:tr>
      <w:tr w:rsidR="00D13C1B" w:rsidRPr="00D13C1B" w:rsidTr="00D13C1B">
        <w:tc>
          <w:tcPr>
            <w:tcW w:w="2898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Aroma</w:t>
            </w:r>
          </w:p>
        </w:tc>
        <w:tc>
          <w:tcPr>
            <w:tcW w:w="5400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5.85 ± 1.44</w:t>
            </w:r>
          </w:p>
        </w:tc>
      </w:tr>
      <w:tr w:rsidR="00D13C1B" w:rsidRPr="00D13C1B" w:rsidTr="00D13C1B">
        <w:tc>
          <w:tcPr>
            <w:tcW w:w="2898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Taste</w:t>
            </w:r>
          </w:p>
        </w:tc>
        <w:tc>
          <w:tcPr>
            <w:tcW w:w="5400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6.88 ± 1.29</w:t>
            </w:r>
          </w:p>
        </w:tc>
      </w:tr>
      <w:tr w:rsidR="00D13C1B" w:rsidRPr="00D13C1B" w:rsidTr="00D13C1B">
        <w:tc>
          <w:tcPr>
            <w:tcW w:w="2898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Texture</w:t>
            </w:r>
          </w:p>
        </w:tc>
        <w:tc>
          <w:tcPr>
            <w:tcW w:w="5400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6.20 ± 1.69</w:t>
            </w:r>
          </w:p>
        </w:tc>
      </w:tr>
      <w:tr w:rsidR="00D13C1B" w:rsidRPr="00D13C1B" w:rsidTr="00D13C1B">
        <w:tc>
          <w:tcPr>
            <w:tcW w:w="2898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Overall Acceptability</w:t>
            </w:r>
          </w:p>
        </w:tc>
        <w:tc>
          <w:tcPr>
            <w:tcW w:w="5400" w:type="dxa"/>
          </w:tcPr>
          <w:p w:rsidR="00D13C1B" w:rsidRPr="00D13C1B" w:rsidRDefault="00D13C1B" w:rsidP="00D13C1B">
            <w:pPr>
              <w:spacing w:after="200" w:line="276" w:lineRule="auto"/>
              <w:rPr>
                <w:rFonts w:cs="Times New Roman"/>
                <w:color w:val="000000" w:themeColor="text1"/>
              </w:rPr>
            </w:pPr>
            <w:r w:rsidRPr="00D13C1B">
              <w:rPr>
                <w:rFonts w:cs="Times New Roman"/>
                <w:color w:val="000000" w:themeColor="text1"/>
              </w:rPr>
              <w:t>6.90 ± 1.45</w:t>
            </w:r>
          </w:p>
        </w:tc>
      </w:tr>
    </w:tbl>
    <w:p w:rsidR="00D13C1B" w:rsidRDefault="00D13C1B" w:rsidP="00D13C1B">
      <w:pPr>
        <w:rPr>
          <w:rFonts w:cs="Times New Roman"/>
          <w:color w:val="000000" w:themeColor="text1"/>
        </w:rPr>
      </w:pPr>
    </w:p>
    <w:p w:rsidR="00D13C1B" w:rsidRPr="00D13C1B" w:rsidRDefault="00D13C1B" w:rsidP="00D13C1B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B304F2B" wp14:editId="16904DE9">
            <wp:extent cx="5486400" cy="2500132"/>
            <wp:effectExtent l="0" t="0" r="0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3C1B" w:rsidRPr="00D13C1B" w:rsidRDefault="00D13C1B" w:rsidP="00D13C1B">
      <w:pPr>
        <w:rPr>
          <w:rFonts w:cs="Times New Roman"/>
          <w:i/>
          <w:color w:val="000000" w:themeColor="text1"/>
        </w:rPr>
      </w:pPr>
      <w:r w:rsidRPr="00D13C1B">
        <w:rPr>
          <w:rFonts w:cs="Times New Roman"/>
          <w:i/>
          <w:color w:val="000000" w:themeColor="text1"/>
        </w:rPr>
        <w:t xml:space="preserve">Figure 4.14: Mean sensory scores (9‑point hedonic scale) for appearance, aroma, taste, texture and overall acceptability of probiotic </w:t>
      </w:r>
      <w:proofErr w:type="spellStart"/>
      <w:r w:rsidRPr="00D13C1B">
        <w:rPr>
          <w:rFonts w:cs="Times New Roman"/>
          <w:i/>
          <w:color w:val="000000" w:themeColor="text1"/>
        </w:rPr>
        <w:t>tamarillo</w:t>
      </w:r>
      <w:proofErr w:type="spellEnd"/>
      <w:r w:rsidRPr="00D13C1B">
        <w:rPr>
          <w:rFonts w:cs="Times New Roman"/>
          <w:i/>
          <w:color w:val="000000" w:themeColor="text1"/>
        </w:rPr>
        <w:t xml:space="preserve"> yoghurt (n = 60 </w:t>
      </w:r>
      <w:proofErr w:type="spellStart"/>
      <w:r w:rsidRPr="00D13C1B">
        <w:rPr>
          <w:rFonts w:cs="Times New Roman"/>
          <w:i/>
          <w:color w:val="000000" w:themeColor="text1"/>
        </w:rPr>
        <w:t>panellists</w:t>
      </w:r>
      <w:proofErr w:type="spellEnd"/>
      <w:r w:rsidRPr="00D13C1B">
        <w:rPr>
          <w:rFonts w:cs="Times New Roman"/>
          <w:i/>
          <w:color w:val="000000" w:themeColor="text1"/>
        </w:rPr>
        <w:t>).</w:t>
      </w:r>
    </w:p>
    <w:p w:rsidR="00A663C3" w:rsidRPr="001E468E" w:rsidRDefault="00A663C3" w:rsidP="00A663C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6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4.2 DISCUSSION</w:t>
      </w:r>
    </w:p>
    <w:p w:rsidR="00A663C3" w:rsidRPr="001E468E" w:rsidRDefault="00A663C3" w:rsidP="00A663C3">
      <w:pPr>
        <w:pStyle w:val="Heading3"/>
        <w:rPr>
          <w:rFonts w:ascii="Times New Roman" w:hAnsi="Times New Roman" w:cs="Times New Roman"/>
          <w:color w:val="000000" w:themeColor="text1"/>
          <w:szCs w:val="24"/>
        </w:rPr>
      </w:pPr>
      <w:r w:rsidRPr="001E468E">
        <w:rPr>
          <w:rFonts w:ascii="Times New Roman" w:hAnsi="Times New Roman" w:cs="Times New Roman"/>
          <w:color w:val="000000" w:themeColor="text1"/>
          <w:szCs w:val="24"/>
        </w:rPr>
        <w:t>4.2.1 Physicochemical Properties</w:t>
      </w:r>
    </w:p>
    <w:p w:rsidR="00A663C3" w:rsidRPr="001E468E" w:rsidRDefault="00A663C3" w:rsidP="00A663C3">
      <w:pPr>
        <w:jc w:val="both"/>
        <w:rPr>
          <w:rFonts w:cs="Times New Roman"/>
          <w:color w:val="000000" w:themeColor="text1"/>
          <w:szCs w:val="24"/>
        </w:rPr>
      </w:pPr>
      <w:r w:rsidRPr="001E468E">
        <w:rPr>
          <w:rFonts w:cs="Times New Roman"/>
          <w:color w:val="000000" w:themeColor="text1"/>
          <w:szCs w:val="24"/>
        </w:rPr>
        <w:t xml:space="preserve">The addition of </w:t>
      </w:r>
      <w:proofErr w:type="spellStart"/>
      <w:r w:rsidRPr="001E468E">
        <w:rPr>
          <w:rFonts w:cs="Times New Roman"/>
          <w:color w:val="000000" w:themeColor="text1"/>
          <w:szCs w:val="24"/>
        </w:rPr>
        <w:t>tamarillo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pulp significantly influenced the yoghurt’s physicochemical profile. Samples fortified with 15 % pulp exhibited a lower mean pH and higher </w:t>
      </w:r>
      <w:proofErr w:type="spellStart"/>
      <w:r w:rsidRPr="001E468E">
        <w:rPr>
          <w:rFonts w:cs="Times New Roman"/>
          <w:color w:val="000000" w:themeColor="text1"/>
          <w:szCs w:val="24"/>
        </w:rPr>
        <w:t>titratable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acidity than the control, attributable to organic acids naturally present in </w:t>
      </w:r>
      <w:proofErr w:type="spellStart"/>
      <w:r w:rsidRPr="001E468E">
        <w:rPr>
          <w:rFonts w:cs="Times New Roman"/>
          <w:color w:val="000000" w:themeColor="text1"/>
          <w:szCs w:val="24"/>
        </w:rPr>
        <w:t>tamarillo</w:t>
      </w:r>
      <w:proofErr w:type="spellEnd"/>
      <w:r w:rsidRPr="001E468E">
        <w:rPr>
          <w:rFonts w:cs="Times New Roman"/>
          <w:color w:val="000000" w:themeColor="text1"/>
          <w:szCs w:val="24"/>
        </w:rPr>
        <w:t>. Concurrently, viscosity increased with pulp level, likely owing to the fruit’s soluble‑</w:t>
      </w:r>
      <w:proofErr w:type="spellStart"/>
      <w:r w:rsidRPr="001E468E">
        <w:rPr>
          <w:rFonts w:cs="Times New Roman"/>
          <w:color w:val="000000" w:themeColor="text1"/>
          <w:szCs w:val="24"/>
        </w:rPr>
        <w:t>fibre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matrix, while </w:t>
      </w:r>
      <w:proofErr w:type="spellStart"/>
      <w:r w:rsidRPr="001E468E">
        <w:rPr>
          <w:rFonts w:cs="Times New Roman"/>
          <w:color w:val="000000" w:themeColor="text1"/>
          <w:szCs w:val="24"/>
        </w:rPr>
        <w:t>syneresis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declined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gramStart"/>
      <w:r w:rsidRPr="001E468E">
        <w:rPr>
          <w:rFonts w:cs="Times New Roman"/>
          <w:color w:val="000000" w:themeColor="text1"/>
          <w:szCs w:val="24"/>
        </w:rPr>
        <w:t>indicating</w:t>
      </w:r>
      <w:proofErr w:type="gramEnd"/>
      <w:r w:rsidRPr="001E468E">
        <w:rPr>
          <w:rFonts w:cs="Times New Roman"/>
          <w:color w:val="000000" w:themeColor="text1"/>
          <w:szCs w:val="24"/>
        </w:rPr>
        <w:t xml:space="preserve"> superior water‑holding capacity. Similar pulp‑dependent shifts in pH, viscosity and </w:t>
      </w:r>
      <w:proofErr w:type="spellStart"/>
      <w:r w:rsidRPr="001E468E">
        <w:rPr>
          <w:rFonts w:cs="Times New Roman"/>
          <w:color w:val="000000" w:themeColor="text1"/>
          <w:szCs w:val="24"/>
        </w:rPr>
        <w:t>syneresis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have been reported for mango‑ and passion‑fruit yoghurts, confirming that fruit </w:t>
      </w:r>
      <w:proofErr w:type="spellStart"/>
      <w:r w:rsidRPr="001E468E">
        <w:rPr>
          <w:rFonts w:cs="Times New Roman"/>
          <w:color w:val="000000" w:themeColor="text1"/>
          <w:szCs w:val="24"/>
        </w:rPr>
        <w:t>fibres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act as natural </w:t>
      </w:r>
      <w:proofErr w:type="spellStart"/>
      <w:r w:rsidRPr="001E468E">
        <w:rPr>
          <w:rFonts w:cs="Times New Roman"/>
          <w:color w:val="000000" w:themeColor="text1"/>
          <w:szCs w:val="24"/>
        </w:rPr>
        <w:t>texturisers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and </w:t>
      </w:r>
      <w:proofErr w:type="spellStart"/>
      <w:r w:rsidRPr="001E468E">
        <w:rPr>
          <w:rFonts w:cs="Times New Roman"/>
          <w:color w:val="000000" w:themeColor="text1"/>
          <w:szCs w:val="24"/>
        </w:rPr>
        <w:t>stabilisers</w:t>
      </w:r>
      <w:proofErr w:type="spellEnd"/>
      <w:r w:rsidRPr="001E468E">
        <w:rPr>
          <w:rFonts w:cs="Times New Roman"/>
          <w:color w:val="000000" w:themeColor="text1"/>
          <w:szCs w:val="24"/>
        </w:rPr>
        <w:t>.</w:t>
      </w:r>
    </w:p>
    <w:p w:rsidR="00A663C3" w:rsidRPr="001E468E" w:rsidRDefault="00A663C3" w:rsidP="00A663C3">
      <w:pPr>
        <w:pStyle w:val="Heading3"/>
        <w:rPr>
          <w:rFonts w:ascii="Times New Roman" w:hAnsi="Times New Roman" w:cs="Times New Roman"/>
          <w:color w:val="000000" w:themeColor="text1"/>
          <w:szCs w:val="24"/>
        </w:rPr>
      </w:pPr>
      <w:r w:rsidRPr="001E468E">
        <w:rPr>
          <w:rFonts w:ascii="Times New Roman" w:hAnsi="Times New Roman" w:cs="Times New Roman"/>
          <w:color w:val="000000" w:themeColor="text1"/>
          <w:szCs w:val="24"/>
        </w:rPr>
        <w:t>4.2.2 Probiotic Viability</w:t>
      </w:r>
    </w:p>
    <w:p w:rsidR="00A663C3" w:rsidRPr="001E468E" w:rsidRDefault="00A663C3" w:rsidP="00A663C3">
      <w:pPr>
        <w:jc w:val="both"/>
        <w:rPr>
          <w:rFonts w:cs="Times New Roman"/>
          <w:color w:val="000000" w:themeColor="text1"/>
          <w:szCs w:val="24"/>
        </w:rPr>
      </w:pPr>
      <w:r w:rsidRPr="001E468E">
        <w:rPr>
          <w:rFonts w:cs="Times New Roman"/>
          <w:color w:val="000000" w:themeColor="text1"/>
          <w:szCs w:val="24"/>
        </w:rPr>
        <w:t xml:space="preserve">Viable counts of </w:t>
      </w:r>
      <w:r w:rsidRPr="00A663C3">
        <w:rPr>
          <w:rFonts w:cs="Times New Roman"/>
          <w:i/>
          <w:color w:val="000000" w:themeColor="text1"/>
          <w:szCs w:val="24"/>
        </w:rPr>
        <w:t xml:space="preserve">Lactobacillus </w:t>
      </w:r>
      <w:proofErr w:type="spellStart"/>
      <w:r w:rsidRPr="00A663C3">
        <w:rPr>
          <w:rFonts w:cs="Times New Roman"/>
          <w:i/>
          <w:color w:val="000000" w:themeColor="text1"/>
          <w:szCs w:val="24"/>
        </w:rPr>
        <w:t>delbrueckii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subsp. </w:t>
      </w:r>
      <w:proofErr w:type="spellStart"/>
      <w:r w:rsidRPr="00A663C3">
        <w:rPr>
          <w:rFonts w:cs="Times New Roman"/>
          <w:i/>
          <w:color w:val="000000" w:themeColor="text1"/>
          <w:szCs w:val="24"/>
        </w:rPr>
        <w:t>bulgaricus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and Streptococcus </w:t>
      </w:r>
      <w:proofErr w:type="spellStart"/>
      <w:r w:rsidRPr="001E468E">
        <w:rPr>
          <w:rFonts w:cs="Times New Roman"/>
          <w:color w:val="000000" w:themeColor="text1"/>
          <w:szCs w:val="24"/>
        </w:rPr>
        <w:t>thermophilus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remained above the therapeutic threshold of 6 log CFU g⁻¹ throughout storage, with modest yet significant improvements in the 5 % and 15 % pulp treatments. Exotic‑fruit pulps provide prebiotic substrates and protective polyphenols that mitigate acid stress, thereby enhancing probiotic survival. Studies employing </w:t>
      </w:r>
      <w:proofErr w:type="spellStart"/>
      <w:r w:rsidRPr="001E468E">
        <w:rPr>
          <w:rFonts w:cs="Times New Roman"/>
          <w:color w:val="000000" w:themeColor="text1"/>
          <w:szCs w:val="24"/>
        </w:rPr>
        <w:t>açai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, apple </w:t>
      </w:r>
      <w:proofErr w:type="spellStart"/>
      <w:r w:rsidRPr="001E468E">
        <w:rPr>
          <w:rFonts w:cs="Times New Roman"/>
          <w:color w:val="000000" w:themeColor="text1"/>
          <w:szCs w:val="24"/>
        </w:rPr>
        <w:t>fibre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and mixed tropical pulps report comparable viability gains, underlining the functional synergy between fruit bio‑actives and dairy cultures.</w:t>
      </w:r>
    </w:p>
    <w:p w:rsidR="00A663C3" w:rsidRPr="001E468E" w:rsidRDefault="00A663C3" w:rsidP="00A663C3">
      <w:pPr>
        <w:pStyle w:val="Heading3"/>
        <w:rPr>
          <w:rFonts w:ascii="Times New Roman" w:hAnsi="Times New Roman" w:cs="Times New Roman"/>
          <w:color w:val="000000" w:themeColor="text1"/>
          <w:szCs w:val="24"/>
        </w:rPr>
      </w:pPr>
      <w:r w:rsidRPr="001E468E">
        <w:rPr>
          <w:rFonts w:ascii="Times New Roman" w:hAnsi="Times New Roman" w:cs="Times New Roman"/>
          <w:color w:val="000000" w:themeColor="text1"/>
          <w:szCs w:val="24"/>
        </w:rPr>
        <w:t>4.2.3 Proximate Composition and Antioxidant Activity</w:t>
      </w:r>
    </w:p>
    <w:p w:rsidR="00A663C3" w:rsidRPr="001E468E" w:rsidRDefault="00A663C3" w:rsidP="00A663C3">
      <w:pPr>
        <w:jc w:val="both"/>
        <w:rPr>
          <w:rFonts w:cs="Times New Roman"/>
          <w:color w:val="000000" w:themeColor="text1"/>
          <w:szCs w:val="24"/>
        </w:rPr>
      </w:pPr>
      <w:r w:rsidRPr="001E468E">
        <w:rPr>
          <w:rFonts w:cs="Times New Roman"/>
          <w:color w:val="000000" w:themeColor="text1"/>
          <w:szCs w:val="24"/>
        </w:rPr>
        <w:t xml:space="preserve">Incorporating </w:t>
      </w:r>
      <w:proofErr w:type="spellStart"/>
      <w:r w:rsidRPr="001E468E">
        <w:rPr>
          <w:rFonts w:cs="Times New Roman"/>
          <w:color w:val="000000" w:themeColor="text1"/>
          <w:szCs w:val="24"/>
        </w:rPr>
        <w:t>tamarillo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pulp enriched the yoghurt with carbohydrates, carotenoids and polyphenols, elevating total phenolic content and DPPH radical‑scavenging activity by up to two‑fold over the control. </w:t>
      </w:r>
      <w:proofErr w:type="spellStart"/>
      <w:r w:rsidRPr="001E468E">
        <w:rPr>
          <w:rFonts w:cs="Times New Roman"/>
          <w:color w:val="000000" w:themeColor="text1"/>
          <w:szCs w:val="24"/>
        </w:rPr>
        <w:t>Tamarillo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fruit is </w:t>
      </w:r>
      <w:proofErr w:type="spellStart"/>
      <w:r w:rsidRPr="001E468E">
        <w:rPr>
          <w:rFonts w:cs="Times New Roman"/>
          <w:color w:val="000000" w:themeColor="text1"/>
          <w:szCs w:val="24"/>
        </w:rPr>
        <w:t>recognised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for its high polyphenol and anthocyanin levels, which impart potent antioxidant capacity; our findings corroborate reports that fortification with </w:t>
      </w:r>
      <w:proofErr w:type="spellStart"/>
      <w:r w:rsidRPr="001E468E">
        <w:rPr>
          <w:rFonts w:cs="Times New Roman"/>
          <w:color w:val="000000" w:themeColor="text1"/>
          <w:szCs w:val="24"/>
        </w:rPr>
        <w:t>tamarillo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purée markedly boosts yoghurt’s bioactive profile.</w:t>
      </w:r>
    </w:p>
    <w:p w:rsidR="00A663C3" w:rsidRPr="001E468E" w:rsidRDefault="00A663C3" w:rsidP="00A663C3">
      <w:pPr>
        <w:pStyle w:val="Heading3"/>
        <w:rPr>
          <w:rFonts w:ascii="Times New Roman" w:hAnsi="Times New Roman" w:cs="Times New Roman"/>
          <w:color w:val="000000" w:themeColor="text1"/>
          <w:szCs w:val="24"/>
        </w:rPr>
      </w:pPr>
      <w:r w:rsidRPr="001E468E">
        <w:rPr>
          <w:rFonts w:ascii="Times New Roman" w:hAnsi="Times New Roman" w:cs="Times New Roman"/>
          <w:color w:val="000000" w:themeColor="text1"/>
          <w:szCs w:val="24"/>
        </w:rPr>
        <w:t>4.2.4 Sensory Acceptability</w:t>
      </w:r>
    </w:p>
    <w:p w:rsidR="00D13C1B" w:rsidRDefault="00A663C3" w:rsidP="00A663C3">
      <w:pPr>
        <w:rPr>
          <w:rFonts w:cs="Times New Roman"/>
          <w:b/>
          <w:bCs/>
          <w:color w:val="000000" w:themeColor="text1"/>
        </w:rPr>
      </w:pPr>
      <w:r w:rsidRPr="001E468E">
        <w:rPr>
          <w:rFonts w:cs="Times New Roman"/>
          <w:color w:val="000000" w:themeColor="text1"/>
          <w:szCs w:val="24"/>
        </w:rPr>
        <w:t xml:space="preserve">Mean hedonic scores ranged from 5.9 (aroma) to 7.1 (appearance), indicating overall consumer acceptance. The 75 % purchase‑intent rate further underscores market potential. Comparable studies on strawberry and passion‑fruit yoghurts reveal that fruit inclusion generally enhances visual appeal and </w:t>
      </w:r>
      <w:proofErr w:type="spellStart"/>
      <w:r w:rsidRPr="001E468E">
        <w:rPr>
          <w:rFonts w:cs="Times New Roman"/>
          <w:color w:val="000000" w:themeColor="text1"/>
          <w:szCs w:val="24"/>
        </w:rPr>
        <w:t>flavour</w:t>
      </w:r>
      <w:proofErr w:type="spellEnd"/>
      <w:r w:rsidRPr="001E468E">
        <w:rPr>
          <w:rFonts w:cs="Times New Roman"/>
          <w:color w:val="000000" w:themeColor="text1"/>
          <w:szCs w:val="24"/>
        </w:rPr>
        <w:t xml:space="preserve"> complexity, though excessive </w:t>
      </w:r>
      <w:r w:rsidRPr="001E468E">
        <w:rPr>
          <w:rFonts w:cs="Times New Roman"/>
          <w:color w:val="000000" w:themeColor="text1"/>
          <w:szCs w:val="24"/>
        </w:rPr>
        <w:lastRenderedPageBreak/>
        <w:t>pulp can introduce bitterness or textural defects. The balanced 5 % pulp level therefore represents an optimal compromise between functional enrichment</w:t>
      </w: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</w:p>
    <w:p w:rsidR="00D13C1B" w:rsidRPr="00D13C1B" w:rsidRDefault="00D13C1B" w:rsidP="00D13C1B">
      <w:pPr>
        <w:jc w:val="center"/>
        <w:rPr>
          <w:rFonts w:cs="Times New Roman"/>
          <w:b/>
          <w:bCs/>
          <w:color w:val="000000" w:themeColor="text1"/>
        </w:rPr>
      </w:pPr>
      <w:r w:rsidRPr="00D13C1B">
        <w:rPr>
          <w:rFonts w:cs="Times New Roman"/>
          <w:b/>
          <w:bCs/>
          <w:color w:val="000000" w:themeColor="text1"/>
        </w:rPr>
        <w:lastRenderedPageBreak/>
        <w:t>CHAPTER FIVE</w:t>
      </w:r>
      <w:r w:rsidRPr="00D13C1B">
        <w:rPr>
          <w:rFonts w:cs="Times New Roman"/>
          <w:b/>
          <w:bCs/>
          <w:color w:val="000000" w:themeColor="text1"/>
        </w:rPr>
        <w:br/>
        <w:t>CONCLUSION, RECOMMENDATIONS AND PERSPECTIVES</w:t>
      </w:r>
    </w:p>
    <w:p w:rsidR="00D13C1B" w:rsidRPr="00D13C1B" w:rsidRDefault="00D13C1B" w:rsidP="00D13C1B">
      <w:pPr>
        <w:spacing w:after="0"/>
        <w:rPr>
          <w:rFonts w:cs="Times New Roman"/>
          <w:b/>
          <w:bCs/>
          <w:color w:val="000000" w:themeColor="text1"/>
        </w:rPr>
      </w:pPr>
      <w:r w:rsidRPr="00D13C1B">
        <w:rPr>
          <w:rFonts w:cs="Times New Roman"/>
          <w:b/>
          <w:bCs/>
          <w:color w:val="000000" w:themeColor="text1"/>
        </w:rPr>
        <w:t>5.1 Conclusion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This study successfully developed a probiotic yoghurt enriched with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and evaluated its physicochemical attributes, probiotic viability, nutritional‑antioxidant profile and sensory acceptability.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Fortification with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(5 % and 15</w:t>
      </w:r>
      <w:proofErr w:type="gramStart"/>
      <w:r w:rsidRPr="00D13C1B">
        <w:rPr>
          <w:rFonts w:cs="Times New Roman"/>
          <w:color w:val="000000" w:themeColor="text1"/>
        </w:rPr>
        <w:t> %</w:t>
      </w:r>
      <w:proofErr w:type="gramEnd"/>
      <w:r w:rsidRPr="00D13C1B">
        <w:rPr>
          <w:rFonts w:cs="Times New Roman"/>
          <w:color w:val="000000" w:themeColor="text1"/>
        </w:rPr>
        <w:t xml:space="preserve">) significantly (p &lt; 0.05) increased viscosity, reduced </w:t>
      </w:r>
      <w:proofErr w:type="spellStart"/>
      <w:r w:rsidRPr="00D13C1B">
        <w:rPr>
          <w:rFonts w:cs="Times New Roman"/>
          <w:color w:val="000000" w:themeColor="text1"/>
        </w:rPr>
        <w:t>syneresis</w:t>
      </w:r>
      <w:proofErr w:type="spellEnd"/>
      <w:r w:rsidRPr="00D13C1B">
        <w:rPr>
          <w:rFonts w:cs="Times New Roman"/>
          <w:color w:val="000000" w:themeColor="text1"/>
        </w:rPr>
        <w:t xml:space="preserve"> and maintained a stable pH throughout 21 days of refrigerated storage, thereby improving product texture and reducing whey separation.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Probiotic counts of </w:t>
      </w:r>
      <w:r w:rsidRPr="00D13C1B">
        <w:rPr>
          <w:rFonts w:cs="Times New Roman"/>
          <w:i/>
          <w:color w:val="000000" w:themeColor="text1"/>
        </w:rPr>
        <w:t xml:space="preserve">Lactobacillus </w:t>
      </w:r>
      <w:proofErr w:type="spellStart"/>
      <w:r w:rsidRPr="00D13C1B">
        <w:rPr>
          <w:rFonts w:cs="Times New Roman"/>
          <w:i/>
          <w:color w:val="000000" w:themeColor="text1"/>
        </w:rPr>
        <w:t>delbrueckii</w:t>
      </w:r>
      <w:proofErr w:type="spellEnd"/>
      <w:r w:rsidRPr="00D13C1B">
        <w:rPr>
          <w:rFonts w:cs="Times New Roman"/>
          <w:color w:val="000000" w:themeColor="text1"/>
        </w:rPr>
        <w:t xml:space="preserve"> subsp. </w:t>
      </w:r>
      <w:proofErr w:type="spellStart"/>
      <w:r w:rsidRPr="00D13C1B">
        <w:rPr>
          <w:rFonts w:cs="Times New Roman"/>
          <w:i/>
          <w:color w:val="000000" w:themeColor="text1"/>
        </w:rPr>
        <w:t>bulgaricus</w:t>
      </w:r>
      <w:proofErr w:type="spellEnd"/>
      <w:r w:rsidRPr="00D13C1B">
        <w:rPr>
          <w:rFonts w:cs="Times New Roman"/>
          <w:color w:val="000000" w:themeColor="text1"/>
        </w:rPr>
        <w:t xml:space="preserve"> and </w:t>
      </w:r>
      <w:r w:rsidRPr="00D13C1B">
        <w:rPr>
          <w:rFonts w:cs="Times New Roman"/>
          <w:i/>
          <w:color w:val="000000" w:themeColor="text1"/>
        </w:rPr>
        <w:t xml:space="preserve">Streptococcus </w:t>
      </w:r>
      <w:proofErr w:type="spellStart"/>
      <w:r w:rsidRPr="00D13C1B">
        <w:rPr>
          <w:rFonts w:cs="Times New Roman"/>
          <w:i/>
          <w:color w:val="000000" w:themeColor="text1"/>
        </w:rPr>
        <w:t>thermophilus</w:t>
      </w:r>
      <w:proofErr w:type="spellEnd"/>
      <w:r w:rsidRPr="00D13C1B">
        <w:rPr>
          <w:rFonts w:cs="Times New Roman"/>
          <w:color w:val="000000" w:themeColor="text1"/>
        </w:rPr>
        <w:t xml:space="preserve"> remained well above the therapeutic threshold of 6 log CFU g⁻¹ across all treatments, with a modest viability advantage in pulp‑fortified samples.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Incorporation of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markedly enhanced total phenolic content and DPPH radical‑scavenging activity, confirming the fruit’s capacity to boost the yoghurt’s functional antioxidant potential.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>Sensory analysis indicated overall consumer acceptance (mean hedonic scores ≥ 5.9) and a 75 % purchase‑intent rate, with the 5 % pulp formulation offering the optimal balance between functional benefit and palatability.</w:t>
      </w:r>
    </w:p>
    <w:p w:rsidR="00D13C1B" w:rsidRPr="00D13C1B" w:rsidRDefault="00D13C1B" w:rsidP="00D13C1B">
      <w:pPr>
        <w:spacing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These findings demonstrate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as a viable functional ingredient for probiotic yoghurt, providing technological, nutritional and sensory advantages without compromising probiotic viability.</w:t>
      </w:r>
    </w:p>
    <w:p w:rsidR="00D13C1B" w:rsidRPr="00D13C1B" w:rsidRDefault="00D13C1B" w:rsidP="00D13C1B">
      <w:pPr>
        <w:spacing w:before="240" w:after="0"/>
        <w:rPr>
          <w:rFonts w:cs="Times New Roman"/>
          <w:b/>
          <w:bCs/>
          <w:color w:val="000000" w:themeColor="text1"/>
        </w:rPr>
      </w:pPr>
      <w:r w:rsidRPr="00D13C1B">
        <w:rPr>
          <w:rFonts w:cs="Times New Roman"/>
          <w:b/>
          <w:bCs/>
          <w:color w:val="000000" w:themeColor="text1"/>
        </w:rPr>
        <w:t>5.2 Recommendations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Adopt the 5 %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inclusion level for pilot‑scale production, balancing sensory appeal and functional gains.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Implement high‑shear mixing during pulp incorporation to ensure homogeneous distribution and </w:t>
      </w:r>
      <w:proofErr w:type="spellStart"/>
      <w:r w:rsidRPr="00D13C1B">
        <w:rPr>
          <w:rFonts w:cs="Times New Roman"/>
          <w:color w:val="000000" w:themeColor="text1"/>
        </w:rPr>
        <w:t>minimise</w:t>
      </w:r>
      <w:proofErr w:type="spellEnd"/>
      <w:r w:rsidRPr="00D13C1B">
        <w:rPr>
          <w:rFonts w:cs="Times New Roman"/>
          <w:color w:val="000000" w:themeColor="text1"/>
        </w:rPr>
        <w:t xml:space="preserve"> seed sedimentation.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>Label the product as a natural antioxidant source to leverage its elevated polyphenol content for market positioning.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lastRenderedPageBreak/>
        <w:t>Conduct extended shelf‑life studies (&gt; 28 days) under both refrigeration and simulated retail conditions to refine expiry dating.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>Evaluate consumer acceptance across broader demographic segments and alternative packaging formats (e.g., drinkable yoghurt).</w:t>
      </w:r>
    </w:p>
    <w:p w:rsidR="00D13C1B" w:rsidRPr="00D13C1B" w:rsidRDefault="00D13C1B" w:rsidP="00D13C1B">
      <w:pPr>
        <w:spacing w:before="240" w:after="0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Undertake a cost–benefit analysis comparing fresh pulp with dehydrated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powder to identify the most economical fortification route.</w:t>
      </w:r>
    </w:p>
    <w:p w:rsidR="00D13C1B" w:rsidRPr="00D13C1B" w:rsidRDefault="00D13C1B" w:rsidP="00D13C1B">
      <w:pPr>
        <w:spacing w:before="240" w:after="0"/>
        <w:rPr>
          <w:rFonts w:cs="Times New Roman"/>
          <w:b/>
          <w:bCs/>
          <w:color w:val="000000" w:themeColor="text1"/>
        </w:rPr>
      </w:pPr>
      <w:r w:rsidRPr="00D13C1B">
        <w:rPr>
          <w:rFonts w:cs="Times New Roman"/>
          <w:b/>
          <w:bCs/>
          <w:color w:val="000000" w:themeColor="text1"/>
        </w:rPr>
        <w:t>5.3 Perspectives for Future Research</w:t>
      </w:r>
    </w:p>
    <w:p w:rsidR="00D13C1B" w:rsidRPr="00D13C1B" w:rsidRDefault="00D13C1B" w:rsidP="00D13C1B">
      <w:pPr>
        <w:spacing w:before="240"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Investigate synergistic effects of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 xml:space="preserve"> pulp with prebiotic </w:t>
      </w:r>
      <w:proofErr w:type="spellStart"/>
      <w:r w:rsidRPr="00D13C1B">
        <w:rPr>
          <w:rFonts w:cs="Times New Roman"/>
          <w:color w:val="000000" w:themeColor="text1"/>
        </w:rPr>
        <w:t>fibres</w:t>
      </w:r>
      <w:proofErr w:type="spellEnd"/>
      <w:r w:rsidRPr="00D13C1B">
        <w:rPr>
          <w:rFonts w:cs="Times New Roman"/>
          <w:color w:val="000000" w:themeColor="text1"/>
        </w:rPr>
        <w:t xml:space="preserve"> (e.g., inulin) on probiotic survivability and gut‑health outcomes.</w:t>
      </w:r>
    </w:p>
    <w:p w:rsidR="00D13C1B" w:rsidRPr="00D13C1B" w:rsidRDefault="00D13C1B" w:rsidP="00D13C1B">
      <w:pPr>
        <w:spacing w:before="240"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Profile the specific </w:t>
      </w:r>
      <w:proofErr w:type="spellStart"/>
      <w:r w:rsidRPr="00D13C1B">
        <w:rPr>
          <w:rFonts w:cs="Times New Roman"/>
          <w:color w:val="000000" w:themeColor="text1"/>
        </w:rPr>
        <w:t>polyphenolic</w:t>
      </w:r>
      <w:proofErr w:type="spellEnd"/>
      <w:r w:rsidRPr="00D13C1B">
        <w:rPr>
          <w:rFonts w:cs="Times New Roman"/>
          <w:color w:val="000000" w:themeColor="text1"/>
        </w:rPr>
        <w:t xml:space="preserve"> composition of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>‑fortified yoghurt during storage to understand degradation kinetics.</w:t>
      </w:r>
    </w:p>
    <w:p w:rsidR="00D13C1B" w:rsidRPr="00D13C1B" w:rsidRDefault="00D13C1B" w:rsidP="00D13C1B">
      <w:pPr>
        <w:spacing w:before="240"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Assess the bio‑accessibility and bio‑availability of </w:t>
      </w:r>
      <w:proofErr w:type="spellStart"/>
      <w:r w:rsidRPr="00D13C1B">
        <w:rPr>
          <w:rFonts w:cs="Times New Roman"/>
          <w:color w:val="000000" w:themeColor="text1"/>
        </w:rPr>
        <w:t>tamarillo</w:t>
      </w:r>
      <w:proofErr w:type="spellEnd"/>
      <w:r w:rsidRPr="00D13C1B">
        <w:rPr>
          <w:rFonts w:cs="Times New Roman"/>
          <w:color w:val="000000" w:themeColor="text1"/>
        </w:rPr>
        <w:t>‑derived antioxidants using simulated gastrointestinal models.</w:t>
      </w:r>
    </w:p>
    <w:p w:rsidR="00D13C1B" w:rsidRPr="00D13C1B" w:rsidRDefault="00D13C1B" w:rsidP="00D13C1B">
      <w:pPr>
        <w:spacing w:before="240"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Explore co‑fortification with other tropical fruits (e.g., guava, </w:t>
      </w:r>
      <w:proofErr w:type="spellStart"/>
      <w:r w:rsidRPr="00D13C1B">
        <w:rPr>
          <w:rFonts w:cs="Times New Roman"/>
          <w:color w:val="000000" w:themeColor="text1"/>
        </w:rPr>
        <w:t>soursop</w:t>
      </w:r>
      <w:proofErr w:type="spellEnd"/>
      <w:r w:rsidRPr="00D13C1B">
        <w:rPr>
          <w:rFonts w:cs="Times New Roman"/>
          <w:color w:val="000000" w:themeColor="text1"/>
        </w:rPr>
        <w:t>) to formulate multi‑fruit functional yoghurts.</w:t>
      </w:r>
    </w:p>
    <w:p w:rsidR="00D13C1B" w:rsidRPr="00D13C1B" w:rsidRDefault="00D13C1B" w:rsidP="00D13C1B">
      <w:pPr>
        <w:spacing w:before="240" w:after="0"/>
        <w:jc w:val="both"/>
        <w:rPr>
          <w:rFonts w:cs="Times New Roman"/>
          <w:color w:val="000000" w:themeColor="text1"/>
        </w:rPr>
      </w:pPr>
      <w:r w:rsidRPr="00D13C1B">
        <w:rPr>
          <w:rFonts w:cs="Times New Roman"/>
          <w:color w:val="000000" w:themeColor="text1"/>
        </w:rPr>
        <w:t xml:space="preserve">Apply predictive microbiology modelling to </w:t>
      </w:r>
      <w:proofErr w:type="spellStart"/>
      <w:r w:rsidRPr="00D13C1B">
        <w:rPr>
          <w:rFonts w:cs="Times New Roman"/>
          <w:color w:val="000000" w:themeColor="text1"/>
        </w:rPr>
        <w:t>optimise</w:t>
      </w:r>
      <w:proofErr w:type="spellEnd"/>
      <w:r w:rsidRPr="00D13C1B">
        <w:rPr>
          <w:rFonts w:cs="Times New Roman"/>
          <w:color w:val="000000" w:themeColor="text1"/>
        </w:rPr>
        <w:t xml:space="preserve"> processing parameters while safeguarding probiotic viability.</w:t>
      </w:r>
    </w:p>
    <w:p w:rsidR="00D13C1B" w:rsidRPr="00D63DFC" w:rsidRDefault="00D13C1B">
      <w:pPr>
        <w:rPr>
          <w:rFonts w:cs="Times New Roman"/>
          <w:color w:val="000000" w:themeColor="text1"/>
        </w:rPr>
      </w:pPr>
    </w:p>
    <w:sectPr w:rsidR="00D13C1B" w:rsidRPr="00D63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04A"/>
    <w:rsid w:val="00631D2D"/>
    <w:rsid w:val="006441CC"/>
    <w:rsid w:val="00A663C3"/>
    <w:rsid w:val="00A70DF3"/>
    <w:rsid w:val="00AA1D8D"/>
    <w:rsid w:val="00AC7D25"/>
    <w:rsid w:val="00B47730"/>
    <w:rsid w:val="00BD6010"/>
    <w:rsid w:val="00C43D8E"/>
    <w:rsid w:val="00CB0664"/>
    <w:rsid w:val="00D13C1B"/>
    <w:rsid w:val="00D63DFC"/>
    <w:rsid w:val="00F44D41"/>
    <w:rsid w:val="00F715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13CD08-4029-44FD-8F46-6681AC31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../embeddings/oleObject1.bin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../embeddings/oleObject2.bin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pH_mean!$B$1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pH_mean!$A$2:$A$5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pH_mean!$B$2:$B$5</c:f>
              <c:numCache>
                <c:formatCode>0.00</c:formatCode>
                <c:ptCount val="4"/>
                <c:pt idx="0">
                  <c:v>4.62</c:v>
                </c:pt>
                <c:pt idx="1">
                  <c:v>4.5633333333333326</c:v>
                </c:pt>
                <c:pt idx="2">
                  <c:v>4.503333333333333</c:v>
                </c:pt>
                <c:pt idx="3">
                  <c:v>4.4266666666666667</c:v>
                </c:pt>
              </c:numCache>
            </c:numRef>
          </c:val>
        </c:ser>
        <c:ser>
          <c:idx val="1"/>
          <c:order val="1"/>
          <c:tx>
            <c:strRef>
              <c:f>pH_mean!$C$1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pH_mean!$A$2:$A$5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pH_mean!$C$2:$C$5</c:f>
              <c:numCache>
                <c:formatCode>0.00</c:formatCode>
                <c:ptCount val="4"/>
                <c:pt idx="0">
                  <c:v>4.4233333333333329</c:v>
                </c:pt>
                <c:pt idx="1">
                  <c:v>4.3566666666666656</c:v>
                </c:pt>
                <c:pt idx="2">
                  <c:v>4.3099999999999996</c:v>
                </c:pt>
                <c:pt idx="3">
                  <c:v>4.2300000000000004</c:v>
                </c:pt>
              </c:numCache>
            </c:numRef>
          </c:val>
        </c:ser>
        <c:ser>
          <c:idx val="2"/>
          <c:order val="2"/>
          <c:tx>
            <c:strRef>
              <c:f>pH_mean!$D$1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pH_mean!$A$2:$A$5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pH_mean!$D$2:$D$5</c:f>
              <c:numCache>
                <c:formatCode>0.00</c:formatCode>
                <c:ptCount val="4"/>
                <c:pt idx="0">
                  <c:v>4.5</c:v>
                </c:pt>
                <c:pt idx="1">
                  <c:v>4.4433333333333342</c:v>
                </c:pt>
                <c:pt idx="2">
                  <c:v>4.4066666666666663</c:v>
                </c:pt>
                <c:pt idx="3">
                  <c:v>4.3466666666666667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1753144"/>
        <c:axId val="241749616"/>
      </c:barChart>
      <c:catAx>
        <c:axId val="24175314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49616"/>
        <c:crosses val="autoZero"/>
        <c:auto val="1"/>
        <c:lblAlgn val="ctr"/>
        <c:lblOffset val="100"/>
        <c:noMultiLvlLbl val="0"/>
      </c:catAx>
      <c:valAx>
        <c:axId val="24174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53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Viscosity_mean!$B$1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Viscosity_mean!$A$2:$A$5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Viscosity_mean!$B$2:$B$5</c:f>
              <c:numCache>
                <c:formatCode>0.00</c:formatCode>
                <c:ptCount val="4"/>
                <c:pt idx="0">
                  <c:v>355.8</c:v>
                </c:pt>
                <c:pt idx="1">
                  <c:v>350.2</c:v>
                </c:pt>
                <c:pt idx="2">
                  <c:v>339.73333333333329</c:v>
                </c:pt>
                <c:pt idx="3">
                  <c:v>394</c:v>
                </c:pt>
              </c:numCache>
            </c:numRef>
          </c:val>
        </c:ser>
        <c:ser>
          <c:idx val="1"/>
          <c:order val="1"/>
          <c:tx>
            <c:strRef>
              <c:f>Viscosity_mean!$C$1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Viscosity_mean!$A$2:$A$5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Viscosity_mean!$C$2:$C$5</c:f>
              <c:numCache>
                <c:formatCode>0.00</c:formatCode>
                <c:ptCount val="4"/>
                <c:pt idx="0">
                  <c:v>759.23333333333323</c:v>
                </c:pt>
                <c:pt idx="1">
                  <c:v>728.80000000000007</c:v>
                </c:pt>
                <c:pt idx="2">
                  <c:v>734.69999999999993</c:v>
                </c:pt>
                <c:pt idx="3">
                  <c:v>767</c:v>
                </c:pt>
              </c:numCache>
            </c:numRef>
          </c:val>
        </c:ser>
        <c:ser>
          <c:idx val="2"/>
          <c:order val="2"/>
          <c:tx>
            <c:strRef>
              <c:f>Viscosity_mean!$D$1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Viscosity_mean!$A$2:$A$5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Viscosity_mean!$D$2:$D$5</c:f>
              <c:numCache>
                <c:formatCode>0.00</c:formatCode>
                <c:ptCount val="4"/>
                <c:pt idx="0">
                  <c:v>550.93333333333339</c:v>
                </c:pt>
                <c:pt idx="1">
                  <c:v>561.83333333333337</c:v>
                </c:pt>
                <c:pt idx="2">
                  <c:v>528.73333333333335</c:v>
                </c:pt>
                <c:pt idx="3">
                  <c:v>550.69999999999993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607016"/>
        <c:axId val="549221832"/>
      </c:barChart>
      <c:catAx>
        <c:axId val="32160701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221832"/>
        <c:crosses val="autoZero"/>
        <c:auto val="1"/>
        <c:lblAlgn val="ctr"/>
        <c:lblOffset val="100"/>
        <c:noMultiLvlLbl val="0"/>
      </c:catAx>
      <c:valAx>
        <c:axId val="54922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607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Syneresis_mean!$B$1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Syneresis_mean!$A$2:$A$5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Syneresis_mean!$B$2:$B$5</c:f>
              <c:numCache>
                <c:formatCode>0.00</c:formatCode>
                <c:ptCount val="4"/>
                <c:pt idx="0">
                  <c:v>4.3966666666666674</c:v>
                </c:pt>
                <c:pt idx="1">
                  <c:v>4.6000000000000014</c:v>
                </c:pt>
                <c:pt idx="2">
                  <c:v>4.5533333333333337</c:v>
                </c:pt>
                <c:pt idx="3">
                  <c:v>4.4533333333333331</c:v>
                </c:pt>
              </c:numCache>
            </c:numRef>
          </c:val>
        </c:ser>
        <c:ser>
          <c:idx val="1"/>
          <c:order val="1"/>
          <c:tx>
            <c:strRef>
              <c:f>Syneresis_mean!$C$1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Syneresis_mean!$A$2:$A$5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Syneresis_mean!$C$2:$C$5</c:f>
              <c:numCache>
                <c:formatCode>0.00</c:formatCode>
                <c:ptCount val="4"/>
                <c:pt idx="0">
                  <c:v>3.18</c:v>
                </c:pt>
                <c:pt idx="1">
                  <c:v>3.253333333333333</c:v>
                </c:pt>
                <c:pt idx="2">
                  <c:v>3.1166666666666671</c:v>
                </c:pt>
                <c:pt idx="3">
                  <c:v>3.0266666666666668</c:v>
                </c:pt>
              </c:numCache>
            </c:numRef>
          </c:val>
        </c:ser>
        <c:ser>
          <c:idx val="2"/>
          <c:order val="2"/>
          <c:tx>
            <c:strRef>
              <c:f>Syneresis_mean!$D$1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Syneresis_mean!$A$2:$A$5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Syneresis_mean!$D$2:$D$5</c:f>
              <c:numCache>
                <c:formatCode>0.00</c:formatCode>
                <c:ptCount val="4"/>
                <c:pt idx="0">
                  <c:v>3.8633333333333328</c:v>
                </c:pt>
                <c:pt idx="1">
                  <c:v>3.7333333333333329</c:v>
                </c:pt>
                <c:pt idx="2">
                  <c:v>3.9833333333333329</c:v>
                </c:pt>
                <c:pt idx="3">
                  <c:v>3.59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356160"/>
        <c:axId val="407355768"/>
      </c:barChart>
      <c:catAx>
        <c:axId val="40735616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55768"/>
        <c:crosses val="autoZero"/>
        <c:auto val="1"/>
        <c:lblAlgn val="ctr"/>
        <c:lblOffset val="100"/>
        <c:noMultiLvlLbl val="0"/>
      </c:catAx>
      <c:valAx>
        <c:axId val="40735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5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Consistency_mean!$B$1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Consistency_mean!$A$2:$A$5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Consistency_mean!$B$2:$B$5</c:f>
              <c:numCache>
                <c:formatCode>0.00</c:formatCode>
                <c:ptCount val="4"/>
                <c:pt idx="0">
                  <c:v>3.666666666666667</c:v>
                </c:pt>
                <c:pt idx="1">
                  <c:v>4.333333333333333</c:v>
                </c:pt>
                <c:pt idx="2">
                  <c:v>3.666666666666667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Consistency_mean!$C$1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Consistency_mean!$A$2:$A$5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Consistency_mean!$C$2:$C$5</c:f>
              <c:numCache>
                <c:formatCode>0.00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4.333333333333333</c:v>
                </c:pt>
                <c:pt idx="3">
                  <c:v>3.666666666666667</c:v>
                </c:pt>
              </c:numCache>
            </c:numRef>
          </c:val>
        </c:ser>
        <c:ser>
          <c:idx val="2"/>
          <c:order val="2"/>
          <c:tx>
            <c:strRef>
              <c:f>Consistency_mean!$D$1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Consistency_mean!$A$2:$A$5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Consistency_mean!$D$2:$D$5</c:f>
              <c:numCache>
                <c:formatCode>0.00</c:formatCode>
                <c:ptCount val="4"/>
                <c:pt idx="0">
                  <c:v>4.333333333333333</c:v>
                </c:pt>
                <c:pt idx="1">
                  <c:v>4.333333333333333</c:v>
                </c:pt>
                <c:pt idx="2">
                  <c:v>4.333333333333333</c:v>
                </c:pt>
                <c:pt idx="3">
                  <c:v>4.333333333333333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360080"/>
        <c:axId val="407360864"/>
      </c:barChart>
      <c:catAx>
        <c:axId val="40736008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60864"/>
        <c:crosses val="autoZero"/>
        <c:auto val="1"/>
        <c:lblAlgn val="ctr"/>
        <c:lblOffset val="100"/>
        <c:noMultiLvlLbl val="0"/>
      </c:catAx>
      <c:valAx>
        <c:axId val="40736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6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[Probiotic_Viability_Chart_Data.xlsx]Mean_Lactobacillus!$B$1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[Probiotic_Viability_Chart_Data.xlsx]Mean_Lactobacillus!$A$2:$A$5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[Probiotic_Viability_Chart_Data.xlsx]Mean_Lactobacillus!$B$2:$B$5</c:f>
              <c:numCache>
                <c:formatCode>0.00</c:formatCode>
                <c:ptCount val="4"/>
                <c:pt idx="0">
                  <c:v>8.9500000000000011</c:v>
                </c:pt>
                <c:pt idx="1">
                  <c:v>8.9600000000000009</c:v>
                </c:pt>
                <c:pt idx="2">
                  <c:v>8.7633333333333336</c:v>
                </c:pt>
                <c:pt idx="3">
                  <c:v>8.7266666666666666</c:v>
                </c:pt>
              </c:numCache>
            </c:numRef>
          </c:val>
        </c:ser>
        <c:ser>
          <c:idx val="1"/>
          <c:order val="1"/>
          <c:tx>
            <c:strRef>
              <c:f>[Probiotic_Viability_Chart_Data.xlsx]Mean_Lactobacillus!$C$1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[Probiotic_Viability_Chart_Data.xlsx]Mean_Lactobacillus!$A$2:$A$5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[Probiotic_Viability_Chart_Data.xlsx]Mean_Lactobacillus!$C$2:$C$5</c:f>
              <c:numCache>
                <c:formatCode>0.00</c:formatCode>
                <c:ptCount val="4"/>
                <c:pt idx="0">
                  <c:v>8.43</c:v>
                </c:pt>
                <c:pt idx="1">
                  <c:v>8.3800000000000008</c:v>
                </c:pt>
                <c:pt idx="2">
                  <c:v>8.4700000000000006</c:v>
                </c:pt>
                <c:pt idx="3">
                  <c:v>8.1133333333333333</c:v>
                </c:pt>
              </c:numCache>
            </c:numRef>
          </c:val>
        </c:ser>
        <c:ser>
          <c:idx val="2"/>
          <c:order val="2"/>
          <c:tx>
            <c:strRef>
              <c:f>[Probiotic_Viability_Chart_Data.xlsx]Mean_Lactobacillus!$D$1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[Probiotic_Viability_Chart_Data.xlsx]Mean_Lactobacillus!$A$2:$A$5</c:f>
              <c:numCache>
                <c:formatCode>0.00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[Probiotic_Viability_Chart_Data.xlsx]Mean_Lactobacillus!$D$2:$D$5</c:f>
              <c:numCache>
                <c:formatCode>0.00</c:formatCode>
                <c:ptCount val="4"/>
                <c:pt idx="0">
                  <c:v>8.7666666666666675</c:v>
                </c:pt>
                <c:pt idx="1">
                  <c:v>8.6966666666666672</c:v>
                </c:pt>
                <c:pt idx="2">
                  <c:v>8.5499999999999989</c:v>
                </c:pt>
                <c:pt idx="3">
                  <c:v>8.49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358904"/>
        <c:axId val="407362432"/>
      </c:barChart>
      <c:catAx>
        <c:axId val="40735890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62432"/>
        <c:crosses val="autoZero"/>
        <c:auto val="1"/>
        <c:lblAlgn val="ctr"/>
        <c:lblOffset val="100"/>
        <c:noMultiLvlLbl val="0"/>
      </c:catAx>
      <c:valAx>
        <c:axId val="40736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5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[Probiotic_Viability_Chart_Data.xlsx]Mean_Streptococcus!$B$1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[Probiotic_Viability_Chart_Data.xlsx]Mean_Streptococcus!$A$2:$A$5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[Probiotic_Viability_Chart_Data.xlsx]Mean_Streptococcus!$B$2:$B$5</c:f>
              <c:numCache>
                <c:formatCode>0.00</c:formatCode>
                <c:ptCount val="4"/>
                <c:pt idx="0">
                  <c:v>8.5866666666666678</c:v>
                </c:pt>
                <c:pt idx="1">
                  <c:v>8.3966666666666665</c:v>
                </c:pt>
                <c:pt idx="2">
                  <c:v>8.2800000000000011</c:v>
                </c:pt>
                <c:pt idx="3">
                  <c:v>8.1033333333333335</c:v>
                </c:pt>
              </c:numCache>
            </c:numRef>
          </c:val>
        </c:ser>
        <c:ser>
          <c:idx val="1"/>
          <c:order val="1"/>
          <c:tx>
            <c:strRef>
              <c:f>[Probiotic_Viability_Chart_Data.xlsx]Mean_Streptococcus!$C$1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[Probiotic_Viability_Chart_Data.xlsx]Mean_Streptococcus!$A$2:$A$5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[Probiotic_Viability_Chart_Data.xlsx]Mean_Streptococcus!$C$2:$C$5</c:f>
              <c:numCache>
                <c:formatCode>0.00</c:formatCode>
                <c:ptCount val="4"/>
                <c:pt idx="0">
                  <c:v>8.15</c:v>
                </c:pt>
                <c:pt idx="1">
                  <c:v>7.9466666666666663</c:v>
                </c:pt>
                <c:pt idx="2">
                  <c:v>7.8566666666666656</c:v>
                </c:pt>
                <c:pt idx="3">
                  <c:v>7.81</c:v>
                </c:pt>
              </c:numCache>
            </c:numRef>
          </c:val>
        </c:ser>
        <c:ser>
          <c:idx val="2"/>
          <c:order val="2"/>
          <c:tx>
            <c:strRef>
              <c:f>[Probiotic_Viability_Chart_Data.xlsx]Mean_Streptococcus!$D$1</c:f>
              <c:strCache>
                <c:ptCount val="1"/>
                <c:pt idx="0">
                  <c:v>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[Probiotic_Viability_Chart_Data.xlsx]Mean_Streptococcus!$A$2:$A$5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</c:numCache>
            </c:numRef>
          </c:cat>
          <c:val>
            <c:numRef>
              <c:f>[Probiotic_Viability_Chart_Data.xlsx]Mean_Streptococcus!$D$2:$D$5</c:f>
              <c:numCache>
                <c:formatCode>0.00</c:formatCode>
                <c:ptCount val="4"/>
                <c:pt idx="0">
                  <c:v>8.2700000000000014</c:v>
                </c:pt>
                <c:pt idx="1">
                  <c:v>8.2466666666666679</c:v>
                </c:pt>
                <c:pt idx="2">
                  <c:v>7.9633333333333338</c:v>
                </c:pt>
                <c:pt idx="3">
                  <c:v>8.0200000000000014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655656"/>
        <c:axId val="409513040"/>
      </c:barChart>
      <c:catAx>
        <c:axId val="169655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3040"/>
        <c:crosses val="autoZero"/>
        <c:auto val="1"/>
        <c:lblAlgn val="ctr"/>
        <c:lblOffset val="100"/>
        <c:noMultiLvlLbl val="0"/>
      </c:catAx>
      <c:valAx>
        <c:axId val="40951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55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Mean!$B$1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Mean!$A$2:$A$6</c:f>
              <c:strCache>
                <c:ptCount val="5"/>
                <c:pt idx="0">
                  <c:v>Appearance Score (1–9)</c:v>
                </c:pt>
                <c:pt idx="1">
                  <c:v>Aroma Score (1–9)</c:v>
                </c:pt>
                <c:pt idx="2">
                  <c:v>Taste Score (1–9)</c:v>
                </c:pt>
                <c:pt idx="3">
                  <c:v>Texture Score (1–9)</c:v>
                </c:pt>
                <c:pt idx="4">
                  <c:v>Overall Acceptability (1–9)</c:v>
                </c:pt>
              </c:strCache>
            </c:strRef>
          </c:cat>
          <c:val>
            <c:numRef>
              <c:f>Mean!$B$2:$B$6</c:f>
              <c:numCache>
                <c:formatCode>0.00</c:formatCode>
                <c:ptCount val="5"/>
                <c:pt idx="0">
                  <c:v>7.1333333333333337</c:v>
                </c:pt>
                <c:pt idx="1">
                  <c:v>5.85</c:v>
                </c:pt>
                <c:pt idx="2">
                  <c:v>6.8833333333333337</c:v>
                </c:pt>
                <c:pt idx="3">
                  <c:v>6.2</c:v>
                </c:pt>
                <c:pt idx="4">
                  <c:v>6.9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9514608"/>
        <c:axId val="409515000"/>
      </c:barChart>
      <c:catAx>
        <c:axId val="40951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5000"/>
        <c:crosses val="autoZero"/>
        <c:auto val="1"/>
        <c:lblAlgn val="ctr"/>
        <c:lblOffset val="100"/>
        <c:noMultiLvlLbl val="0"/>
      </c:catAx>
      <c:valAx>
        <c:axId val="4095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5D92F-196F-4B1C-A12C-28B8D8ED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2025-07-05T22:22:00Z</dcterms:created>
  <dcterms:modified xsi:type="dcterms:W3CDTF">2025-07-05T22:22:00Z</dcterms:modified>
  <cp:category/>
</cp:coreProperties>
</file>