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IFRS 16 Compliance Was Never the Hard Part. Lease Portfolio Control Is.</w:t>
      </w:r>
    </w:p>
    <w:p>
      <w:r>
        <w:rPr>
          <w:b w:val="0"/>
        </w:rPr>
        <w:t>IFRS 16 has not been redesigned for 2026. The standard is stable. Your lease portfolio is not.</w:t>
      </w:r>
    </w:p>
    <w:p>
      <w:r>
        <w:rPr>
          <w:b w:val="0"/>
        </w:rPr>
        <w:t>Finance teams that implemented IFRS 16 years ago are now managing more entities, more currencies, and more contract modifications than the original process was built to handle. According to House of Control, teams are hitting the point where lease portfolios have outgrown the manual workflows designed for initial adoption.</w:t>
      </w:r>
    </w:p>
    <w:p>
      <w:r>
        <w:rPr>
          <w:b w:val="0"/>
        </w:rPr>
        <w:t>This is not a technical compliance gap. It is an operational control gap. And it is starting to show up in audit findings, not just quarterly close delays.</w:t>
      </w:r>
    </w:p>
    <w:p>
      <w:pPr>
        <w:pStyle w:val="Heading2"/>
      </w:pPr>
      <w:r>
        <w:t>From One-Time Adoption Project to Permanent Control Requirement</w:t>
      </w:r>
    </w:p>
    <w:p>
      <w:r>
        <w:rPr>
          <w:b w:val="0"/>
        </w:rPr>
        <w:t>When IFRS 16 went live, most finance teams treated it as a project. Build the model, migrate the leases, close the file, move on.</w:t>
      </w:r>
    </w:p>
    <w:p>
      <w:r>
        <w:rPr>
          <w:b w:val="0"/>
        </w:rPr>
        <w:t>That framing no longer holds. Lease accounting is not a single event. It is a recurring obligation that scales with every new lease, renewal, and modification.</w:t>
      </w:r>
    </w:p>
    <w:p>
      <w:r>
        <w:rPr>
          <w:b w:val="0"/>
        </w:rPr>
        <w:t>According to House of Control, small changes in lease terms, index clauses, or renewal options can affect the lease liability, the right-of-use asset, depreciation, interest, and disclosures simultaneously. One amendment touches five outputs.</w:t>
      </w:r>
    </w:p>
    <w:p>
      <w:r>
        <w:rPr>
          <w:b w:val="0"/>
        </w:rPr>
        <w:t>Handled manually or inconsistently, that ripple effect turns IFRS 16 from an accounting task into a control issue, according to House of Control. The risk is not misunderstanding the standard. It is failing to remeasure correctly, every time, at scale.</w:t>
      </w:r>
    </w:p>
    <w:p>
      <w:r>
        <w:rPr>
          <w:b w:val="0"/>
        </w:rPr>
        <w:t>Both IFRS 16 and ASC 842 require lessees to recognize most leases on the balance sheet as right-of-use assets with corresponding lease liabilities, according to MRI Software. That was a fundamental shift from prior off-balance-sheet treatment. It also means the balance sheet now carries more moving parts than it did before 2019.</w:t>
      </w:r>
    </w:p>
    <w:p>
      <w:pPr>
        <w:pStyle w:val="Heading2"/>
      </w:pPr>
      <w:r>
        <w:t>Where Manual Lease Accounting Breaks</w:t>
      </w:r>
    </w:p>
    <w:p>
      <w:r>
        <w:rPr>
          <w:b w:val="0"/>
        </w:rPr>
        <w:t>The first implementation cycle handled a known set of leases at a known point in time. Year four or five looks different.</w:t>
      </w:r>
    </w:p>
    <w:p>
      <w:r>
        <w:rPr>
          <w:b w:val="0"/>
        </w:rPr>
        <w:t>Portfolios grow through:</w:t>
      </w:r>
    </w:p>
    <w:p>
      <w:pPr>
        <w:pStyle w:val="ListBullet"/>
      </w:pPr>
      <w:r>
        <w:rPr>
          <w:b w:val="0"/>
        </w:rPr>
      </w:r>
      <w:r>
        <w:rPr>
          <w:b/>
        </w:rPr>
        <w:t>New entities added through acquisition or expansion</w:t>
      </w:r>
      <w:r>
        <w:rPr>
          <w:b w:val="0"/>
        </w:rPr>
        <w:t>, each with local lease terms and reporting requirements.</w:t>
      </w:r>
    </w:p>
    <w:p>
      <w:pPr>
        <w:pStyle w:val="ListBullet"/>
      </w:pPr>
      <w:r>
        <w:rPr>
          <w:b w:val="0"/>
        </w:rPr>
      </w:r>
      <w:r>
        <w:rPr>
          <w:b/>
        </w:rPr>
        <w:t>Multi-currency lease books</w:t>
      </w:r>
      <w:r>
        <w:rPr>
          <w:b w:val="0"/>
        </w:rPr>
        <w:t>, where FX movement affects liability remeasurement independently of contract terms.</w:t>
      </w:r>
    </w:p>
    <w:p>
      <w:pPr>
        <w:pStyle w:val="ListBullet"/>
      </w:pPr>
      <w:r>
        <w:rPr>
          <w:b w:val="0"/>
        </w:rPr>
      </w:r>
      <w:r>
        <w:rPr>
          <w:b/>
        </w:rPr>
        <w:t>Modifications, renewals, and early terminations</w:t>
      </w:r>
      <w:r>
        <w:rPr>
          <w:b w:val="0"/>
        </w:rPr>
        <w:t>, each requiring a full remeasurement, not a manual adjustment.</w:t>
      </w:r>
    </w:p>
    <w:p>
      <w:pPr>
        <w:pStyle w:val="ListBullet"/>
      </w:pPr>
      <w:r>
        <w:rPr>
          <w:b w:val="0"/>
        </w:rPr>
      </w:r>
      <w:r>
        <w:rPr>
          <w:b/>
        </w:rPr>
        <w:t>Index-linked rent clauses</w:t>
      </w:r>
      <w:r>
        <w:rPr>
          <w:b w:val="0"/>
        </w:rPr>
        <w:t>, which trigger recalculation without a new contract being signed.</w:t>
      </w:r>
    </w:p>
    <w:p>
      <w:r>
        <w:rPr>
          <w:b w:val="0"/>
        </w:rPr>
        <w:t>According to CPCON Group, failing to update lease records for modifications, renewals, or early terminations creates discrepancies that compound over time. What starts as a small variance in one entity becomes a reconciliation problem across the group.</w:t>
      </w:r>
    </w:p>
    <w:p>
      <w:r>
        <w:rPr>
          <w:b w:val="0"/>
        </w:rPr>
        <w:t>Spreadsheet-based tracking was workable for a portfolio of dozens of leases. It is not workable for hundreds, across multiple currencies, with modifications arriving continuously rather than in a single migration event.</w:t>
      </w:r>
    </w:p>
    <w:p>
      <w:r>
        <w:rPr>
          <w:b w:val="0"/>
        </w:rPr>
        <w:t>This is where the control breaks down. Not because finance teams misunderstand IFRS 16. Because the process was never designed to run at this volume, this frequency, or this complexity.</w:t>
      </w:r>
    </w:p>
    <w:p>
      <w:pPr>
        <w:pStyle w:val="Heading2"/>
      </w:pPr>
      <w:r>
        <w:t>The New Audit Bar: Evidence, Not Attestation</w:t>
      </w:r>
    </w:p>
    <w:p>
      <w:r>
        <w:rPr>
          <w:b w:val="0"/>
        </w:rPr>
        <w:t>Auditors are no longer accepting a signed-off spreadsheet as sufficient proof of compliance. They want to see the calculation trail.</w:t>
      </w:r>
    </w:p>
    <w:p>
      <w:r>
        <w:rPr>
          <w:b w:val="0"/>
        </w:rPr>
        <w:t>According to CPCON Group, incomplete or boilerplate disclosures are flagged as a common audit finding. That means an auditor asks not just whether the number is right, but how it was derived, when it was last remeasured, and what changed since the prior period.</w:t>
      </w:r>
    </w:p>
    <w:p>
      <w:r>
        <w:rPr>
          <w:b w:val="0"/>
        </w:rPr>
        <w:t>This shift matters for CFOs because it changes what "compliant" means in practice. A correct lease liability calculated manually, once a quarter, is no longer enough. Auditors expect a documented, repeatable process that produces the same evidence every time.</w:t>
      </w:r>
    </w:p>
    <w:p>
      <w:r>
        <w:rPr>
          <w:b w:val="0"/>
        </w:rPr>
        <w:t>That expectation is arriving at the same moment finance leaders are under pressure to move faster, not slower. According to a Deloitte poll cited by Controllers Council, finance leaders are entering 2026 with heightened focus on efficiency and cash preservation, explicitly prioritizing real-time visibility over after-the-fact reporting.</w:t>
      </w:r>
    </w:p>
    <w:p>
      <w:r>
        <w:rPr>
          <w:b w:val="0"/>
        </w:rPr>
        <w:t>Lease accounting sits directly in that gap. It is a real-time balance sheet obligation still being managed, in many organizations, as an after-the-fact quarterly reconciliation.</w:t>
      </w:r>
    </w:p>
    <w:p>
      <w:pPr>
        <w:pStyle w:val="Heading2"/>
      </w:pPr>
      <w:r>
        <w:t>What a Controlled IFRS 16 Process Actually Looks Like</w:t>
      </w:r>
    </w:p>
    <w:p>
      <w:r>
        <w:rPr>
          <w:b w:val="0"/>
        </w:rPr>
        <w:t>A controlled process treats lease accounting as infrastructure, not a periodic task. That distinction has three practical components.</w:t>
      </w:r>
    </w:p>
    <w:p>
      <w:r>
        <w:rPr>
          <w:b w:val="0"/>
        </w:rPr>
      </w:r>
      <w:r>
        <w:rPr>
          <w:b/>
        </w:rPr>
        <w:t>Centralized lease data, not distributed spreadsheets.</w:t>
      </w:r>
      <w:r>
        <w:rPr>
          <w:b w:val="0"/>
        </w:rPr>
        <w:t xml:space="preserve"> Every lease, modification, and renewal lives in one system of record, with a full audit trail of changes over time.</w:t>
      </w:r>
    </w:p>
    <w:p>
      <w:r>
        <w:rPr>
          <w:b w:val="0"/>
        </w:rPr>
      </w:r>
      <w:r>
        <w:rPr>
          <w:b/>
        </w:rPr>
        <w:t>Automated remeasurement triggers.</w:t>
      </w:r>
      <w:r>
        <w:rPr>
          <w:b w:val="0"/>
        </w:rPr>
        <w:t xml:space="preserve"> When a lease term changes, an index resets, or a renewal option is exercised, the system recalculates the liability, right-of-use asset, and related disclosures without manual re-entry.</w:t>
      </w:r>
    </w:p>
    <w:p>
      <w:r>
        <w:rPr>
          <w:b w:val="0"/>
        </w:rPr>
      </w:r>
      <w:r>
        <w:rPr>
          <w:b/>
        </w:rPr>
        <w:t>ERP-integrated, not ERP-replacing.</w:t>
      </w:r>
      <w:r>
        <w:rPr>
          <w:b w:val="0"/>
        </w:rPr>
        <w:t xml:space="preserve"> Your general ledger remains the source of truth. Lease calculations flow into it, rather than sitting in a parallel spreadsheet that requires manual journal entries every close.</w:t>
      </w:r>
    </w:p>
    <w:p>
      <w:r>
        <w:rPr>
          <w:b w:val="0"/>
        </w:rPr>
        <w:t>Meteor's IFRS 16 lease accounting management system is built around this model. It centralizes lease data across entities and currencies, applies remeasurement rules automatically when contract terms change, and produces the calculation trail auditors now expect. It integrates directly with your existing ERP, so lease accounting output feeds the ledger instead of sitting outside it.</w:t>
      </w:r>
    </w:p>
    <w:p>
      <w:r>
        <w:rPr>
          <w:b w:val="0"/>
        </w:rPr>
        <w:t>For finance teams managing lease portfolios across multiple jurisdictions, that integration matters as much as the calculation engine itself. A remeasurement that is correct but disconnected from the ERP still requires manual reconciliation. A remeasurement that flows directly into the general ledger closes the loop.</w:t>
      </w:r>
    </w:p>
    <w:p>
      <w:pPr>
        <w:pStyle w:val="Heading2"/>
      </w:pPr>
      <w:r>
        <w:t>The CFO Takeaway: Treat Lease Accounting as Operational Risk, Not a Filing Deadline</w:t>
      </w:r>
    </w:p>
    <w:p>
      <w:r>
        <w:rPr>
          <w:b w:val="0"/>
        </w:rPr>
        <w:t>IFRS 16 is not a filing deadline that gets solved once and revisited annually. It is an ongoing control requirement, and the portfolios sitting under it are growing in size and complexity every year.</w:t>
      </w:r>
    </w:p>
    <w:p>
      <w:r>
        <w:rPr>
          <w:b w:val="0"/>
        </w:rPr>
        <w:t>The compliance risk was never the standard. It is manual remeasurement at scale: more entities, more currencies, more modifications, and less tolerance from auditors for boilerplate disclosures.</w:t>
      </w:r>
    </w:p>
    <w:p>
      <w:r>
        <w:rPr>
          <w:b w:val="0"/>
        </w:rPr>
        <w:t>For CFOs and controllers reviewing lease accounting processes this year, three questions are worth asking directly:</w:t>
      </w:r>
    </w:p>
    <w:p>
      <w:pPr>
        <w:pStyle w:val="ListBullet"/>
      </w:pPr>
      <w:r>
        <w:rPr>
          <w:b w:val="0"/>
        </w:rPr>
        <w:t>Can we produce a full remeasurement trail for any lease modification in the last 12 months, on demand?</w:t>
      </w:r>
    </w:p>
    <w:p>
      <w:pPr>
        <w:pStyle w:val="ListBullet"/>
      </w:pPr>
      <w:r>
        <w:rPr>
          <w:b w:val="0"/>
        </w:rPr>
        <w:t>Does our current process scale if the lease portfolio doubles across new entities or currencies?</w:t>
      </w:r>
    </w:p>
    <w:p>
      <w:pPr>
        <w:pStyle w:val="ListBullet"/>
      </w:pPr>
      <w:r>
        <w:rPr>
          <w:b w:val="0"/>
        </w:rPr>
        <w:t>Are we reconciling lease data manually each quarter, or is it flowing into the ERP automatically?</w:t>
      </w:r>
    </w:p>
    <w:p>
      <w:r>
        <w:rPr>
          <w:b w:val="0"/>
        </w:rPr>
        <w:t>If the answer to any of these raises concern, the process, not the standard, is the problem to fix.</w:t>
      </w:r>
    </w:p>
    <w:p>
      <w:r>
        <w:rPr>
          <w:b w:val="0"/>
        </w:rPr>
        <w:t>StoreNext works with finance teams managing lease accounting, procurement, and financial operations at Enterprise scale. If your lease portfolio has outgrown the process built for initial IFRS 16 adoption, it may be time to review what a controlled, auditable system looks like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