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Working Capital Illusion: Cash Gains From Payment Terms Are Quietly Rebuilding Supply Chain Risk</w:t>
      </w:r>
    </w:p>
    <w:p>
      <w:r>
        <w:rPr>
          <w:b w:val="0"/>
        </w:rPr>
        <w:t>CFOs closed 2025 with better working capital numbers. On paper, that looks like progress.</w:t>
      </w:r>
    </w:p>
    <w:p>
      <w:r>
        <w:rPr>
          <w:b w:val="0"/>
        </w:rPr>
        <w:t>Look closer, and the improvement has a source. It came less from operational discipline and more from stretching how long suppliers wait to be paid.</w:t>
      </w:r>
    </w:p>
    <w:p>
      <w:r>
        <w:rPr>
          <w:b w:val="0"/>
        </w:rPr>
        <w:t>That distinction matters. A cash conversion cycle improved through payment terms is not the same as one improved through better forecasting, leaner inventory, or faster collections. One builds resilience. The other borrows it from your supply base.</w:t>
      </w:r>
    </w:p>
    <w:p>
      <w:r>
        <w:rPr>
          <w:b w:val="0"/>
        </w:rPr>
        <w:t>For CFOs entering 2026 with cost optimization as the top mandate, according to Gartner, the temptation to pull the payment-terms lever again is real. The question is whether finance teams have the supplier data to pull it safely.</w:t>
      </w:r>
    </w:p>
    <w:p>
      <w:pPr>
        <w:pStyle w:val="Heading2"/>
      </w:pPr>
      <w:r>
        <w:t>Inside the Cash Conversion Cycle: DPO Up, DIO Down, DSO Rising</w:t>
      </w:r>
    </w:p>
    <w:p>
      <w:r>
        <w:rPr>
          <w:b w:val="0"/>
        </w:rPr>
        <w:t>According to Deloitte's Working Capital Roundup, the cash conversion cycle shortened by approximately 0.9 days year-over-year in 2025. That is a genuine gain. But the components tell a more specific story.</w:t>
      </w:r>
    </w:p>
    <w:p>
      <w:r>
        <w:rPr>
          <w:b w:val="0"/>
        </w:rPr>
      </w:r>
      <w:r>
        <w:rPr>
          <w:b/>
        </w:rPr>
        <w:t>Days Inventory Outstanding fell.</w:t>
      </w:r>
      <w:r>
        <w:rPr>
          <w:b w:val="0"/>
        </w:rPr>
        <w:t xml:space="preserve"> Organizations trimmed stock. That is a real operational improvement.</w:t>
      </w:r>
    </w:p>
    <w:p>
      <w:r>
        <w:rPr>
          <w:b w:val="0"/>
        </w:rPr>
      </w:r>
      <w:r>
        <w:rPr>
          <w:b/>
        </w:rPr>
        <w:t>Days Payable Outstanding extended.</w:t>
      </w:r>
      <w:r>
        <w:rPr>
          <w:b w:val="0"/>
        </w:rPr>
        <w:t xml:space="preserve"> Companies took longer to pay suppliers. This freed cash without changing how the business runs.</w:t>
      </w:r>
    </w:p>
    <w:p>
      <w:r>
        <w:rPr>
          <w:b w:val="0"/>
        </w:rPr>
      </w:r>
      <w:r>
        <w:rPr>
          <w:b/>
        </w:rPr>
        <w:t>Days Sales Outstanding rose.</w:t>
      </w:r>
      <w:r>
        <w:rPr>
          <w:b w:val="0"/>
        </w:rPr>
        <w:t xml:space="preserve"> Collections from customers slowed, working against the overall gain.</w:t>
      </w:r>
    </w:p>
    <w:p>
      <w:r>
        <w:rPr>
          <w:b w:val="0"/>
        </w:rPr>
        <w:t>Net these three together and the headline number improves. But the mix shows where the improvement came from. DPO extension did the heavy lifting. DSO moved in the wrong direction. Only DIO reflects a structural fix.</w:t>
      </w:r>
    </w:p>
    <w:p>
      <w:r>
        <w:rPr>
          <w:b w:val="0"/>
        </w:rPr>
        <w:t>According to APQC data cited by CFO.com, median DPO already sits around 40 days across industries. Top-quartile organizations stretch to roughly 50 days. That is not new terms innovation. It is an established practice, and one likely to be pushed further in 2026 as cost pressure builds.</w:t>
      </w:r>
    </w:p>
    <w:p>
      <w:r>
        <w:rPr>
          <w:b w:val="0"/>
        </w:rPr>
        <w:t>Stretching payment terms is not inherently wrong. It becomes a problem when done without visibility into what it costs the supplier on the other end.</w:t>
      </w:r>
    </w:p>
    <w:p>
      <w:pPr>
        <w:pStyle w:val="Heading2"/>
      </w:pPr>
      <w:r>
        <w:t>The 15% Problem: Payment Terms Decided Without Supplier Financial Data</w:t>
      </w:r>
    </w:p>
    <w:p>
      <w:r>
        <w:rPr>
          <w:b w:val="0"/>
        </w:rPr>
        <w:t>Here is where the illusion becomes a risk.</w:t>
      </w:r>
    </w:p>
    <w:p>
      <w:r>
        <w:rPr>
          <w:b w:val="0"/>
        </w:rPr>
        <w:t>According to RapidRatings' Annual Risk Report 2026, 66% of organizations now rate the supply environment as high or very-high risk. That is up from 62% the prior year. Risk perception is rising.</w:t>
      </w:r>
    </w:p>
    <w:p>
      <w:r>
        <w:rPr>
          <w:b w:val="0"/>
        </w:rPr>
        <w:t>Yet the same report finds only 15% of organizations fully integrate supplier financial health into payment terms and working capital decisions.</w:t>
      </w:r>
    </w:p>
    <w:p>
      <w:r>
        <w:rPr>
          <w:b w:val="0"/>
        </w:rPr>
        <w:t>That gap is the core problem. Finance extends payment terms to protect its own cash position. Procurement negotiates terms to hit cost targets. Neither function, in most organizations, checks whether the supplier on the receiving end can absorb the delay.</w:t>
      </w:r>
    </w:p>
    <w:p>
      <w:r>
        <w:rPr>
          <w:b w:val="0"/>
        </w:rPr>
        <w:t>For a well-capitalized strategic supplier, an extra 10 or 15 days of DPO is a rounding error. For a mid-tier supplier already running thin margins, it can be the difference between meeting payroll and missing a shipment.</w:t>
      </w:r>
    </w:p>
    <w:p>
      <w:r>
        <w:rPr>
          <w:b w:val="0"/>
        </w:rPr>
        <w:t>The decision to extend terms is, in practice, a risk decision. In most organizations it is made without the data that shows which suppliers can tolerate it and which cannot.</w:t>
      </w:r>
    </w:p>
    <w:p>
      <w:pPr>
        <w:pStyle w:val="Heading2"/>
      </w:pPr>
      <w:r>
        <w:t>The Signals Procurement Already Has</w:t>
      </w:r>
    </w:p>
    <w:p>
      <w:r>
        <w:rPr>
          <w:b w:val="0"/>
        </w:rPr>
        <w:t>The irony is that much of this data already exists. It is scattered, but it exists.</w:t>
      </w:r>
    </w:p>
    <w:p>
      <w:r>
        <w:rPr>
          <w:b w:val="0"/>
        </w:rPr>
        <w:t>According to JAGGAER, payment delays, debt ratios, and gross profit margin compression are among the earliest quantifiable indicators of supplier distress. These signals surface weeks before stress appears in audited statements.</w:t>
      </w:r>
    </w:p>
    <w:p>
      <w:r>
        <w:rPr>
          <w:b w:val="0"/>
        </w:rPr>
        <w:t>A supplier that starts paying its own vendors late is telling you something. So is a supplier whose margins compress two quarters in a row. The signal is available before the disruption, not after it.</w:t>
      </w:r>
    </w:p>
    <w:p>
      <w:r>
        <w:rPr>
          <w:b w:val="0"/>
        </w:rPr>
        <w:t>The problem is not data scarcity. It is data fragmentation. Payment history sits in the ERP. Communication with the supplier sits in email. Risk indicators, when tracked at all, sit in a separate tool or a spreadsheet maintained by one analyst.</w:t>
      </w:r>
    </w:p>
    <w:p>
      <w:r>
        <w:rPr>
          <w:b w:val="0"/>
        </w:rPr>
        <w:t>When a team proposes extending DPO by another 10 days across a supplier category, that decision runs through finance and procurement leadership. It rarely runs through a structured check of which suppliers already show stress signals.</w:t>
      </w:r>
    </w:p>
    <w:p>
      <w:r>
        <w:rPr>
          <w:b w:val="0"/>
        </w:rPr>
        <w:t>That is not a data problem. It is a visibility and process problem.</w:t>
      </w:r>
    </w:p>
    <w:p>
      <w:pPr>
        <w:pStyle w:val="Heading2"/>
      </w:pPr>
      <w:r>
        <w:t>When a Finance Metric Becomes a Supply Chain Risk: The Tier 2/3 Blind Spot</w:t>
      </w:r>
    </w:p>
    <w:p>
      <w:r>
        <w:rPr>
          <w:b w:val="0"/>
        </w:rPr>
        <w:t>The exposure compounds at the tiers finance never sees directly.</w:t>
      </w:r>
    </w:p>
    <w:p>
      <w:r>
        <w:rPr>
          <w:b w:val="0"/>
        </w:rPr>
        <w:t>According to Achilles' Annual Risk and Sustainability Report 2026, cited by PASA, only 6.2% of organizations report full visibility into their tier-two and tier-three supplier relationships.</w:t>
      </w:r>
    </w:p>
    <w:p>
      <w:r>
        <w:rPr>
          <w:b w:val="0"/>
        </w:rPr>
        <w:t>A payment-terms decision made at tier one does not stay contained there. A stretched DPO can cascade. Your direct supplier, paid later, may in turn delay payment to the component supplier behind them. That second-tier supplier is invisible to your ERP and largely invisible to your procurement team.</w:t>
      </w:r>
    </w:p>
    <w:p>
      <w:r>
        <w:rPr>
          <w:b w:val="0"/>
        </w:rPr>
        <w:t>This is where a working capital metric becomes a supply chain resilience metric. A CFO managing DPO as a pure cash lever is, often unknowingly, managing supplier concentration risk two and three tiers removed from direct oversight.</w:t>
      </w:r>
    </w:p>
    <w:p>
      <w:r>
        <w:rPr>
          <w:b w:val="0"/>
        </w:rPr>
        <w:t>With visibility into tier-two and tier-three relationships sitting below 7% across the industry, most organizations extend payment terms into a network they cannot see past the first link.</w:t>
      </w:r>
    </w:p>
    <w:p>
      <w:pPr>
        <w:pStyle w:val="Heading2"/>
      </w:pPr>
      <w:r>
        <w:t>Closing the Loop: Structured Supplier Visibility as the Control Layer</w:t>
      </w:r>
    </w:p>
    <w:p>
      <w:r>
        <w:rPr>
          <w:b w:val="0"/>
        </w:rPr>
        <w:t>The fix is not to stop optimizing working capital. Cost optimization remains a top-five priority for 56% of CFOs heading into 2026, according to Gartner. Payment terms will keep being managed as a lever.</w:t>
      </w:r>
    </w:p>
    <w:p>
      <w:r>
        <w:rPr>
          <w:b w:val="0"/>
        </w:rPr>
        <w:t>The fix is to make that lever a governed decision, not a blind one.</w:t>
      </w:r>
    </w:p>
    <w:p>
      <w:r>
        <w:rPr>
          <w:b w:val="0"/>
        </w:rPr>
        <w:t>That requires three things most spreadsheet-and-email processes cannot deliver:</w:t>
      </w:r>
    </w:p>
    <w:p>
      <w:pPr>
        <w:pStyle w:val="ListBullet"/>
      </w:pPr>
      <w:r>
        <w:rPr>
          <w:b w:val="0"/>
        </w:rPr>
      </w:r>
      <w:r>
        <w:rPr>
          <w:b/>
        </w:rPr>
        <w:t>Structured supplier communication and documents</w:t>
      </w:r>
      <w:r>
        <w:rPr>
          <w:b w:val="0"/>
        </w:rPr>
        <w:t>, connected to the ERP, not held separately from the payment-terms conversation.</w:t>
      </w:r>
    </w:p>
    <w:p>
      <w:pPr>
        <w:pStyle w:val="ListBullet"/>
      </w:pPr>
      <w:r>
        <w:rPr>
          <w:b w:val="0"/>
        </w:rPr>
      </w:r>
      <w:r>
        <w:rPr>
          <w:b/>
        </w:rPr>
        <w:t>An auditable communication trail</w:t>
      </w:r>
      <w:r>
        <w:rPr>
          <w:b w:val="0"/>
        </w:rPr>
        <w:t xml:space="preserve"> with suppliers, so payment-terms changes, disputes, and status flags are documented and traceable, not buried in inboxes.</w:t>
      </w:r>
    </w:p>
    <w:p>
      <w:pPr>
        <w:pStyle w:val="ListBullet"/>
      </w:pPr>
      <w:r>
        <w:rPr>
          <w:b w:val="0"/>
        </w:rPr>
      </w:r>
      <w:r>
        <w:rPr>
          <w:b/>
        </w:rPr>
        <w:t>Visibility that extends past tier one</w:t>
      </w:r>
      <w:r>
        <w:rPr>
          <w:b w:val="0"/>
        </w:rPr>
        <w:t>, so concentration risk in the extended supply base is visible before a DPO extension amplifies it.</w:t>
      </w:r>
    </w:p>
    <w:p>
      <w:r>
        <w:rPr>
          <w:b w:val="0"/>
        </w:rPr>
        <w:t>This is exactly where a structured Supplier Portal becomes critical. Not as a communication convenience, but as the control layer between a finance decision and its downstream effect on the supply chain.</w:t>
      </w:r>
    </w:p>
    <w:p>
      <w:r>
        <w:rPr>
          <w:b w:val="0"/>
        </w:rPr>
        <w:t>When supplier documents, payment history, and communication live in one connected, auditable structure, tied to the ERP as the source of truth, the DPO conversation changes. It stops being a blanket policy applied across a supplier category. It becomes a segmented decision, informed by which suppliers can absorb the change and which cannot.</w:t>
      </w:r>
    </w:p>
    <w:p>
      <w:r>
        <w:rPr>
          <w:b w:val="0"/>
        </w:rPr>
        <w:t>The cash conversion cycle will keep tightening in 2026. The organizations that manage that tightening without rebuilding hidden supply chain risk will be the ones that replaced scattered visibility with structured, real-time supplier data before they pulled the lever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