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Most Treasury Forecasts Are Wrong Before AI Ever Touches Them</w:t>
      </w:r>
    </w:p>
    <w:p>
      <w:r>
        <w:rPr>
          <w:b w:val="0"/>
        </w:rPr>
        <w:t>Most Enterprise treasury teams do not bank with one institution. They bank with many, across entities, currencies, and countries. Every one of those relationships adds a login, an export, and a manual step between a transaction and the number a CFO ultimately sees.</w:t>
      </w:r>
    </w:p>
    <w:p>
      <w:r>
        <w:rPr>
          <w:b w:val="0"/>
        </w:rPr>
        <w:t>PwC's 2025 Global Treasury Survey puts a figure on how widespread that manual layer still is. Between 38% and 52% of organizations still collect forecasting data manually. Only 57% of respondents use a treasury management system at all, and more than a third still fall back on manual processes even when hedging live currency exposure.</w:t>
      </w:r>
    </w:p>
    <w:p>
      <w:r>
        <w:rPr>
          <w:b w:val="0"/>
        </w:rPr>
        <w:t>For CFOs evaluating where to invest in AI, this is the finding that matters most. The constraint on better forecasting is rarely the model. It is the data feeding it.</w:t>
      </w:r>
    </w:p>
    <w:p>
      <w:pPr>
        <w:pStyle w:val="Heading2"/>
      </w:pPr>
      <w:r>
        <w:t>The Manual Step Nobody Budgets For</w:t>
      </w:r>
    </w:p>
    <w:p>
      <w:r>
        <w:rPr>
          <w:b w:val="0"/>
        </w:rPr>
        <w:t>Treasury teams are not careless. The manual work is a rational response to a structural problem: no single bank can give a multi-bank company a complete view of its own cash.</w:t>
      </w:r>
    </w:p>
    <w:p>
      <w:r>
        <w:rPr>
          <w:b w:val="0"/>
        </w:rPr>
        <w:t>A treasurer managing accounts across five banks and three currencies typically logs into each banking portal separately, exports a balance, and reconciles it by hand against the ERP. That process repeats daily or weekly, depending on how much risk the organization is willing to carry on stale numbers.</w:t>
      </w:r>
    </w:p>
    <w:p>
      <w:r>
        <w:rPr>
          <w:b w:val="0"/>
        </w:rPr>
        <w:t>PwC's data shows this is not an edge case. It is closer to the median. Manual data collection at the rate PwC measured means that for roughly half of organizations surveyed, a treasury forecast is, in practice, a spreadsheet assembled from several other spreadsheets.</w:t>
      </w:r>
    </w:p>
    <w:p>
      <w:pPr>
        <w:pStyle w:val="Heading2"/>
      </w:pPr>
      <w:r>
        <w:t>Why One Bank Can Never See the Whole Picture</w:t>
      </w:r>
    </w:p>
    <w:p>
      <w:r>
        <w:rPr>
          <w:b w:val="0"/>
        </w:rPr>
        <w:t>The fragmentation problem compounds with scale. Every additional legal entity, every new banking relationship opened for local currency or regulatory reasons, adds another manual step to the consolidation process.</w:t>
      </w:r>
    </w:p>
    <w:p>
      <w:r>
        <w:rPr>
          <w:b w:val="0"/>
        </w:rPr>
        <w:t>This is why cash visibility, not AI capability, is the recurring theme in 2026 treasury technology coverage. Industry discussion has increasingly framed the challenge as one of orchestration: connecting payments, collections, liquidity, and risk management into a single, current view, rather than layering another point tool on top of a fragmented one.</w:t>
      </w:r>
    </w:p>
    <w:p>
      <w:r>
        <w:rPr>
          <w:b w:val="0"/>
        </w:rPr>
        <w:t>A forecast built from that fragmented view inherits every delay in the consolidation process. If a balance is a day old by the time it reaches a spreadsheet, the forecast built on it is a day behind before anyone has done anything wrong.</w:t>
      </w:r>
    </w:p>
    <w:p>
      <w:pPr>
        <w:pStyle w:val="Heading2"/>
      </w:pPr>
      <w:r>
        <w:t>Where AI Fits, and Where It Does Not</w:t>
      </w:r>
    </w:p>
    <w:p>
      <w:r>
        <w:rPr>
          <w:b w:val="0"/>
        </w:rPr>
        <w:t>AI is entering nearly every part of enterprise finance, and treasury forecasting is no exception. Better models can identify seasonality, flag anomalies, and tighten forecast ranges faster than a human analyst working in a spreadsheet.</w:t>
      </w:r>
    </w:p>
    <w:p>
      <w:r>
        <w:rPr>
          <w:b w:val="0"/>
        </w:rPr>
        <w:t>None of that helps if the model is trained on data that was already stale when it was collected. An AI forecasting engine pointed at a manually assembled, day-old cash position will produce a fast, confident answer to the wrong question.</w:t>
      </w:r>
    </w:p>
    <w:p>
      <w:r>
        <w:rPr>
          <w:b w:val="0"/>
        </w:rPr>
        <w:t>This is the sequencing question CFOs should be asking before funding an AI initiative in treasury: is the account data feeding the model current and complete, or is it still assembled by hand from a subset of the organization's banking relationships? Better AI models will not close a data gap that was never about the model.</w:t>
      </w:r>
    </w:p>
    <w:p>
      <w:pPr>
        <w:pStyle w:val="Heading2"/>
      </w:pPr>
      <w:r>
        <w:t>What Bank Aggregation Actually Requires</w:t>
      </w:r>
    </w:p>
    <w:p>
      <w:r>
        <w:rPr>
          <w:b w:val="0"/>
        </w:rPr>
        <w:t>Closing this gap requires direct bank connectivity, not another dashboard sitting on top of manual exports. Three requirements recur across how treasury technology is being rebuilt in 2026.</w:t>
      </w:r>
    </w:p>
    <w:p>
      <w:r>
        <w:rPr>
          <w:b w:val="0"/>
        </w:rPr>
      </w:r>
      <w:r>
        <w:rPr>
          <w:b/>
        </w:rPr>
        <w:t>Direct connectivity across every banking relationship, not a subset.</w:t>
      </w:r>
      <w:r>
        <w:rPr>
          <w:b w:val="0"/>
        </w:rPr>
        <w:t xml:space="preserve"> A treasury platform that connects to a handful of major banks still leaves regional and local accounts to manual consolidation. Coverage has to match the organization's actual banking footprint.</w:t>
      </w:r>
    </w:p>
    <w:p>
      <w:r>
        <w:rPr>
          <w:b w:val="0"/>
        </w:rPr>
      </w:r>
      <w:r>
        <w:rPr>
          <w:b/>
        </w:rPr>
        <w:t>ERP integration as the source of truth.</w:t>
      </w:r>
      <w:r>
        <w:rPr>
          <w:b w:val="0"/>
        </w:rPr>
        <w:t xml:space="preserve"> Bank data and ERP data need to reconcile from a connected source, not from two systems updated on different schedules by different people.</w:t>
      </w:r>
    </w:p>
    <w:p>
      <w:r>
        <w:rPr>
          <w:b w:val="0"/>
        </w:rPr>
      </w:r>
      <w:r>
        <w:rPr>
          <w:b/>
        </w:rPr>
        <w:t>Open banking as the delivery mechanism.</w:t>
      </w:r>
      <w:r>
        <w:rPr>
          <w:b w:val="0"/>
        </w:rPr>
        <w:t xml:space="preserve"> Direct, API-based connectivity replaces the manual export-and-upload cycle that PwC's data shows is still the default for roughly half of organizations.</w:t>
      </w:r>
    </w:p>
    <w:p>
      <w:pPr>
        <w:pStyle w:val="Heading2"/>
      </w:pPr>
      <w:r>
        <w:t>Where Meteor Fits</w:t>
      </w:r>
    </w:p>
    <w:p>
      <w:r>
        <w:rPr>
          <w:b w:val="0"/>
        </w:rPr>
        <w:t>Meteor was built around this specific problem: giving Enterprise treasury teams one consolidated, current view of cash across every banking relationship they hold.</w:t>
      </w:r>
    </w:p>
    <w:p>
      <w:r>
        <w:rPr>
          <w:b w:val="0"/>
        </w:rPr>
        <w:t>Meteor connects directly to every Israeli bank and to more than 150 of the largest banks worldwide, operating under an Israel Securities Authority license and built on open banking connectivity rather than manual exports. It integrates with the leading ERP systems an organization already runs, so bank data and ERP data draw from the same connected source. On top of that foundation sit the capabilities treasury teams build their forecasts and controls around: a treasury and cash flow forecasting system, payments initiated directly from the ERP and routed to banks or via SWIFT, IFRS 16 lease accounting management, and automatic FX rate import so reporting reflects current exchange rates rather than a rate imported last week.</w:t>
      </w:r>
    </w:p>
    <w:p>
      <w:r>
        <w:rPr>
          <w:b w:val="0"/>
        </w:rPr>
        <w:t>AI is being integrated across these capabilities as the connected data layer matures, from forecasting to reconciliation. That sequencing matters. AI improves a forecast. It does not create the consolidated, current account data a forecast depends on in the first place.</w:t>
      </w:r>
    </w:p>
    <w:p>
      <w:pPr>
        <w:pStyle w:val="Heading2"/>
      </w:pPr>
      <w:r>
        <w:t>A Checklist for Treasury Leaders</w:t>
      </w:r>
    </w:p>
    <w:p>
      <w:r>
        <w:rPr>
          <w:b w:val="0"/>
        </w:rPr>
        <w:t>Before evaluating an AI tool for treasury forecasting, CFOs and treasury leaders should assess the data layer underneath it:</w:t>
      </w:r>
    </w:p>
    <w:p>
      <w:pPr>
        <w:pStyle w:val="ListBullet"/>
      </w:pPr>
      <w:r>
        <w:rPr>
          <w:b w:val="0"/>
        </w:rPr>
      </w:r>
      <w:r>
        <w:rPr>
          <w:b/>
        </w:rPr>
        <w:t>Count the manual steps.</w:t>
      </w:r>
      <w:r>
        <w:rPr>
          <w:b w:val="0"/>
        </w:rPr>
        <w:t xml:space="preserve"> How many banking portals does your team log into by hand before assembling a consolidated cash position?</w:t>
      </w:r>
    </w:p>
    <w:p>
      <w:pPr>
        <w:pStyle w:val="ListBullet"/>
      </w:pPr>
      <w:r>
        <w:rPr>
          <w:b w:val="0"/>
        </w:rPr>
      </w:r>
      <w:r>
        <w:rPr>
          <w:b/>
        </w:rPr>
        <w:t>Benchmark against PwC's findings.</w:t>
      </w:r>
      <w:r>
        <w:rPr>
          <w:b w:val="0"/>
        </w:rPr>
        <w:t xml:space="preserve"> If your organization collects forecasting data manually, you are not an outlier. You are the median, and the fix is a data problem, not a modeling problem.</w:t>
      </w:r>
    </w:p>
    <w:p>
      <w:pPr>
        <w:pStyle w:val="ListBullet"/>
      </w:pPr>
      <w:r>
        <w:rPr>
          <w:b w:val="0"/>
        </w:rPr>
      </w:r>
      <w:r>
        <w:rPr>
          <w:b/>
        </w:rPr>
        <w:t>Check coverage, not just connectivity.</w:t>
      </w:r>
      <w:r>
        <w:rPr>
          <w:b w:val="0"/>
        </w:rPr>
        <w:t xml:space="preserve"> A platform connected to your largest banks but not your regional or local accounts still leaves a manual gap.</w:t>
      </w:r>
    </w:p>
    <w:p>
      <w:pPr>
        <w:pStyle w:val="ListBullet"/>
      </w:pPr>
      <w:r>
        <w:rPr>
          <w:b w:val="0"/>
        </w:rPr>
      </w:r>
      <w:r>
        <w:rPr>
          <w:b/>
        </w:rPr>
        <w:t>Sequence AI investment correctly.</w:t>
      </w:r>
      <w:r>
        <w:rPr>
          <w:b w:val="0"/>
        </w:rPr>
        <w:t xml:space="preserve"> Fund the bank aggregation and ERP integration layer first. A forecasting model is only as current as the accounts feeding it.</w:t>
      </w:r>
    </w:p>
    <w:p>
      <w:r>
        <w:rPr>
          <w:b w:val="0"/>
        </w:rPr>
        <w:t>The treasury teams closing this gap in 2026 are not the ones with the most sophisticated forecasting models. They are the ones who stopped assembling their cash position by 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