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CFOs Are Raising Tech Budgets for 2026. Treasury Automation Still Sits Near 48%.</w:t>
      </w:r>
    </w:p>
    <w:p>
      <w:r>
        <w:rPr>
          <w:b w:val="0"/>
        </w:rPr>
        <w:t>Most CFOs are increasing technology and AI spending for 2026. According to Gartner's CFO Budget Priorities Survey of 300+ CFOs and senior finance leaders, budget growth is not the constraint finance teams face heading into next year.</w:t>
      </w:r>
    </w:p>
    <w:p>
      <w:r>
        <w:rPr>
          <w:b w:val="0"/>
        </w:rPr>
        <w:t>Yet treasury automation has not moved with it. According to Euromoney's 2026 Economic Outlook: Impact on Treasury, automation across core treasury functions averages just 48%. That figure has held steady for several budget cycles.</w:t>
      </w:r>
    </w:p>
    <w:p>
      <w:r>
        <w:rPr>
          <w:b w:val="0"/>
        </w:rPr>
        <w:t>This is not a story about underinvestment. It is a story about where investment goes, and what happens to it once it lands on fragmented treasury systems.</w:t>
      </w:r>
    </w:p>
    <w:p>
      <w:pPr>
        <w:pStyle w:val="Heading2"/>
      </w:pPr>
      <w:r>
        <w:t>The Contradiction: Rising Finance-Tech Budgets, Flat Treasury Automation</w:t>
      </w:r>
    </w:p>
    <w:p>
      <w:r>
        <w:rPr>
          <w:b w:val="0"/>
        </w:rPr>
        <w:t>Finance leaders are not short on funding intent. Gartner's data shows technology and AI spend rising across finance functions for 2026. Boards are approving budgets. CFOs are prioritizing digital investment publicly and internally.</w:t>
      </w:r>
    </w:p>
    <w:p>
      <w:r>
        <w:rPr>
          <w:b w:val="0"/>
        </w:rPr>
        <w:t>But automation rates in treasury, the function most exposed to manual reconciliation, payment entry, and cash positioning, have not tracked with that spend. Euromoney's 48% figure describes a function still running close to half-manual, despite years of funded technology initiatives.</w:t>
      </w:r>
    </w:p>
    <w:p>
      <w:r>
        <w:rPr>
          <w:b w:val="0"/>
        </w:rPr>
        <w:t>This gap matters. It suggests that budget approval is not the bottleneck CFOs assume it to be. Something else is absorbing the investment before it reaches the treasury floor.</w:t>
      </w:r>
    </w:p>
    <w:p>
      <w:pPr>
        <w:pStyle w:val="Heading2"/>
      </w:pPr>
      <w:r>
        <w:t>What '48% Automated' Actually Means on the Treasury Floor</w:t>
      </w:r>
    </w:p>
    <w:p>
      <w:r>
        <w:rPr>
          <w:b w:val="0"/>
        </w:rPr>
        <w:t>A 48% automation rate does not mean half the work is digitized end to end. It typically means partial automation within individual systems, with manual steps bridging the gaps between them.</w:t>
      </w:r>
    </w:p>
    <w:p>
      <w:r>
        <w:rPr>
          <w:b w:val="0"/>
        </w:rPr>
        <w:t>Bank statements arrive in different formats across different banking relationships. ERP data does not always map cleanly to treasury management systems. Reconciliation, payment entry, and cash positioning still require manual intervention to close those gaps.</w:t>
      </w:r>
    </w:p>
    <w:p>
      <w:r>
        <w:rPr>
          <w:b w:val="0"/>
        </w:rPr>
        <w:t>Deloitte's Q4 2025 CFO Signals survey, summarized by Controllers Council, shows finance leaders entering 2026 focused on efficiency, cash preservation, disciplined investment, and operational reliability. These priorities assume treasury operations that run without manual patchwork. At 48% automation, many do not.</w:t>
      </w:r>
    </w:p>
    <w:p>
      <w:r>
        <w:rPr>
          <w:b w:val="0"/>
        </w:rPr>
        <w:t>The result is a treasury function that consumes analyst time on tasks the budget was meant to eliminate. Automation projects get funded, implemented, and then quietly revert to manual workarounds when the underlying data will not connect.</w:t>
      </w:r>
    </w:p>
    <w:p>
      <w:pPr>
        <w:pStyle w:val="Heading2"/>
      </w:pPr>
      <w:r>
        <w:t>Why Cost Optimization and Forecast Accuracy Both Depend on Connected Data</w:t>
      </w:r>
    </w:p>
    <w:p>
      <w:r>
        <w:rPr>
          <w:b w:val="0"/>
        </w:rPr>
        <w:t>Gartner's newsroom release, 'Gartner Survey Shows Top Priorities for CFOs in 2026,' based on a survey of 200+ CFOs, reports that 56% rank enterprise-wide cost optimization among their top five 2026 priorities. 51% rank improving forecast accuracy and quality in the same top-five list.</w:t>
      </w:r>
    </w:p>
    <w:p>
      <w:r>
        <w:rPr>
          <w:b w:val="0"/>
        </w:rPr>
        <w:t>Both priorities depend on the same underlying requirement: connected, reliable data across banks and ERP systems.</w:t>
      </w:r>
    </w:p>
    <w:p>
      <w:r>
        <w:rPr>
          <w:b w:val="0"/>
        </w:rPr>
        <w:t>Cost optimization requires visibility into actual cash positions across every banking relationship, not estimates reconstructed from delayed statements. Forecast accuracy requires ERP and bank data to reconcile automatically, so treasury teams are forecasting from current numbers, not lagging reports.</w:t>
      </w:r>
    </w:p>
    <w:p>
      <w:r>
        <w:rPr>
          <w:b w:val="0"/>
        </w:rPr>
        <w:t>When bank and ERP data remain fragmented, both priorities stall at the same point. Cost optimization initiatives run on incomplete visibility. Forecasting models run on data that is already out of date by the time it reaches the model.</w:t>
      </w:r>
    </w:p>
    <w:p>
      <w:pPr>
        <w:pStyle w:val="Heading2"/>
      </w:pPr>
      <w:r>
        <w:t>The Real Bottleneck: Bank and ERP Connectivity, Not Spend or Intent</w:t>
      </w:r>
    </w:p>
    <w:p>
      <w:r>
        <w:rPr>
          <w:b w:val="0"/>
        </w:rPr>
        <w:t>The pattern across these surveys points to a structural constraint, not a vendor-selection problem or a lack of executive will.</w:t>
      </w:r>
    </w:p>
    <w:p>
      <w:r>
        <w:rPr>
          <w:b w:val="0"/>
        </w:rPr>
        <w:t>Treasury systems typically sit on top of multiple, unconnected data sources: separate bank portals, disparate file formats, and ERP instances that were not built to feed treasury processes directly. Even a well-funded automation project defaults back to manual reconciliation when the connectivity layer beneath it is incomplete.</w:t>
      </w:r>
    </w:p>
    <w:p>
      <w:r>
        <w:rPr>
          <w:b w:val="0"/>
        </w:rPr>
        <w:t>Euromoney's 2026 Economic Outlook positions upgrading treasury management and ERP systems as the route to data consolidation, real-time visibility, and stronger banking-partner connectivity. That framing matches what the automation data shows: the constraint sits at the connection point between banks, ERP, and treasury, not within any single system.</w:t>
      </w:r>
    </w:p>
    <w:p>
      <w:r>
        <w:rPr>
          <w:b w:val="0"/>
        </w:rPr>
        <w:t>This is exactly where connectivity becomes critical. Meteor connects directly to 150+ global banks and integrates with 1,000+ ERP systems, giving treasury teams a single connected data layer instead of a set of disconnected feeds. The capability addresses the actual constraint identified in this year's CFO surveys: connectivity, not capital.</w:t>
      </w:r>
    </w:p>
    <w:p>
      <w:pPr>
        <w:pStyle w:val="Heading2"/>
      </w:pPr>
      <w:r>
        <w:t>Closing the Gap: What Connected Treasury Operations Look Like in Practice</w:t>
      </w:r>
    </w:p>
    <w:p>
      <w:r>
        <w:rPr>
          <w:b w:val="0"/>
        </w:rPr>
        <w:t>The Association of Corporate Treasurers, writing in Treasurer magazine, describes strong working capital management and reliable liquidity as treasury's most effective levers for maintaining flexibility amid continued volatility. Both levers depend on the same connected data foundation.</w:t>
      </w:r>
    </w:p>
    <w:p>
      <w:r>
        <w:rPr>
          <w:b w:val="0"/>
        </w:rPr>
        <w:t>In practice, connected treasury operations look different from the 48% baseline in three specific ways:</w:t>
      </w:r>
    </w:p>
    <w:p>
      <w:pPr>
        <w:pStyle w:val="ListBullet"/>
      </w:pPr>
      <w:r>
        <w:rPr>
          <w:b w:val="0"/>
        </w:rPr>
      </w:r>
      <w:r>
        <w:rPr>
          <w:b/>
        </w:rPr>
        <w:t>Bank data arrives automatically</w:t>
      </w:r>
      <w:r>
        <w:rPr>
          <w:b w:val="0"/>
        </w:rPr>
        <w:t>, across every banking relationship, without manual downloads or format conversion.</w:t>
      </w:r>
    </w:p>
    <w:p>
      <w:pPr>
        <w:pStyle w:val="ListBullet"/>
      </w:pPr>
      <w:r>
        <w:rPr>
          <w:b w:val="0"/>
        </w:rPr>
      </w:r>
      <w:r>
        <w:rPr>
          <w:b/>
        </w:rPr>
        <w:t>Reconciliation runs against live ERP data</w:t>
      </w:r>
      <w:r>
        <w:rPr>
          <w:b w:val="0"/>
        </w:rPr>
        <w:t>, closing the gap between what the bank reports and what the ledger shows.</w:t>
      </w:r>
    </w:p>
    <w:p>
      <w:pPr>
        <w:pStyle w:val="ListBullet"/>
      </w:pPr>
      <w:r>
        <w:rPr>
          <w:b w:val="0"/>
        </w:rPr>
      </w:r>
      <w:r>
        <w:rPr>
          <w:b/>
        </w:rPr>
        <w:t>Cash positioning and forecasting use current numbers</w:t>
      </w:r>
      <w:r>
        <w:rPr>
          <w:b w:val="0"/>
        </w:rPr>
        <w:t>, not data that is days old by the time it reaches the forecast.</w:t>
      </w:r>
    </w:p>
    <w:p>
      <w:r>
        <w:rPr>
          <w:b w:val="0"/>
        </w:rPr>
        <w:t>Organizations operating this way are not spending more on automation than their peers. They are removing the connectivity gap that caused earlier automation investment to default back to manual work.</w:t>
      </w:r>
    </w:p>
    <w:p>
      <w:pPr>
        <w:pStyle w:val="Heading2"/>
      </w:pPr>
      <w:r>
        <w:t>The 2026 Budget-Cycle Takeaway for CFOs</w:t>
      </w:r>
    </w:p>
    <w:p>
      <w:r>
        <w:rPr>
          <w:b w:val="0"/>
        </w:rPr>
        <w:t>As 2026 budgets finalize, the question for CFOs is not whether to increase technology and AI spend. Gartner's data confirms most already plan to. The question is whether that spend addresses the actual constraint behind the flat 48% automation rate.</w:t>
      </w:r>
    </w:p>
    <w:p>
      <w:r>
        <w:rPr>
          <w:b w:val="0"/>
        </w:rPr>
        <w:t>Before approving another automation initiative, finance leaders should ask:</w:t>
      </w:r>
    </w:p>
    <w:p>
      <w:pPr>
        <w:pStyle w:val="ListBullet"/>
      </w:pPr>
      <w:r>
        <w:rPr>
          <w:b w:val="0"/>
        </w:rPr>
        <w:t>Does this investment address bank and ERP connectivity directly, or does it assume connectivity already exists?</w:t>
      </w:r>
    </w:p>
    <w:p>
      <w:pPr>
        <w:pStyle w:val="ListBullet"/>
      </w:pPr>
      <w:r>
        <w:rPr>
          <w:b w:val="0"/>
        </w:rPr>
        <w:t>Will reconciliation and payment entry run on connected data, or will they still depend on manual bridging between systems?</w:t>
      </w:r>
    </w:p>
    <w:p>
      <w:pPr>
        <w:pStyle w:val="ListBullet"/>
      </w:pPr>
      <w:r>
        <w:rPr>
          <w:b w:val="0"/>
        </w:rPr>
        <w:t>Does the forecast accuracy improvement depend on real-time data, or on periodic manual updates?</w:t>
      </w:r>
    </w:p>
    <w:p>
      <w:r>
        <w:rPr>
          <w:b w:val="0"/>
        </w:rPr>
        <w:t>Raising the budget line does not raise the automation rate on its own. Closing the connectivity gap does. That is the distinction 2026 planning needs to make, and the one the current CFO survey data makes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