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Hidden Risk in Every S/4HANA Migration: Bank Connections and Payments, Not the Ledger</w:t>
      </w:r>
    </w:p>
    <w:p>
      <w:r>
        <w:rPr>
          <w:b w:val="0"/>
        </w:rPr>
        <w:t>Every S/4HANA migration plan starts the same way. IT maps the general ledger. Finance reviews chart-of-accounts changes. Project teams build timelines around core modules.</w:t>
      </w:r>
    </w:p>
    <w:p>
      <w:r>
        <w:rPr>
          <w:b w:val="0"/>
        </w:rPr>
        <w:t>Few plans give equal weight to bank connections, payment execution, and cash visibility. That gap is where migration risk concentrates.</w:t>
      </w:r>
    </w:p>
    <w:p>
      <w:r>
        <w:rPr>
          <w:b w:val="0"/>
        </w:rPr>
        <w:t>As the 2027 deadline compresses timelines across the SAP ecosystem, CFOs need to understand where the real exposure sits. It is not the ledger. It is everything wrapped around it.</w:t>
      </w:r>
    </w:p>
    <w:p>
      <w:pPr>
        <w:pStyle w:val="Heading2"/>
      </w:pPr>
      <w:r>
        <w:t>The 2027 Deadline Is No Longer a Planning Slide</w:t>
      </w:r>
    </w:p>
    <w:p>
      <w:r>
        <w:rPr>
          <w:b w:val="0"/>
        </w:rPr>
        <w:t>SAP mainstream maintenance for ECC 6.0 and Business Suite 7 ends December 31, 2027, according to Technova Partners' "SAP S/4HANA Migration: Complete Guide 2027." Extended maintenance exists after that date, but only at a surcharge, through 2030.</w:t>
      </w:r>
    </w:p>
    <w:p>
      <w:r>
        <w:rPr>
          <w:b w:val="0"/>
        </w:rPr>
        <w:t>That deadline has moved from a future concern to an active constraint. A Gartner study, cited by Qestit, found more than 60% of SAP ECC customers had not yet begun deep migration work. That backlog is now colliding with a shrinking window.</w:t>
      </w:r>
    </w:p>
    <w:p>
      <w:r>
        <w:rPr>
          <w:b w:val="0"/>
        </w:rPr>
        <w:t>The result is a resource bottleneck. Consultant availability is tightening. Rates are climbing. Organizations that delay further will compete for the same limited pool of migration talent as the deadline approaches.</w:t>
      </w:r>
    </w:p>
    <w:p>
      <w:r>
        <w:rPr>
          <w:b w:val="0"/>
        </w:rPr>
        <w:t>This urgency pushes finance teams toward faster decisions. Faster decisions increase the risk of scoping mistakes, particularly around financial operations that sit outside the core ledger.</w:t>
      </w:r>
    </w:p>
    <w:p>
      <w:pPr>
        <w:pStyle w:val="Heading2"/>
      </w:pPr>
      <w:r>
        <w:t>Where the Migration Risk Actually Sits: Not the Ledger, the Connections Around It</w:t>
      </w:r>
    </w:p>
    <w:p>
      <w:r>
        <w:rPr>
          <w:b w:val="0"/>
        </w:rPr>
        <w:t>General ledger migration is well understood. SAP has documented conversion paths. Consulting firms have run this playbook hundreds of times.</w:t>
      </w:r>
    </w:p>
    <w:p>
      <w:r>
        <w:rPr>
          <w:b w:val="0"/>
        </w:rPr>
        <w:t>Bank connectivity, payment execution, and cash forecasting are different. These functions often live embedded inside ECC, built through years of custom configuration, host-to-host connections, and country-specific payment formats.</w:t>
      </w:r>
    </w:p>
    <w:p>
      <w:r>
        <w:rPr>
          <w:b w:val="0"/>
        </w:rPr>
        <w:t>When finance operations are embedded in the ERP, they inherit the ERP's migration timeline. They also inherit its risk profile. A cutover delay in the ledger becomes a cutover delay in payment execution. A configuration error in the core system can interrupt bank statement feeds without warning.</w:t>
      </w:r>
    </w:p>
    <w:p>
      <w:r>
        <w:rPr>
          <w:b w:val="0"/>
        </w:rPr>
        <w:t>DXC Technology's "Treasury management trends and priorities for 2026" found only 40% of corporate treasury departments currently use fully integrated ERP and treasury management system ecosystems. Another 40% run partial integrations. That means most treasury data entering migration is already fragmented, before any system conversion begins.</w:t>
      </w:r>
    </w:p>
    <w:p>
      <w:r>
        <w:rPr>
          <w:b w:val="0"/>
        </w:rPr>
        <w:t>Migrating a fragmented environment does not simplify it. It moves the fragmentation into a new system, on a new timeline, with new points of failure.</w:t>
      </w:r>
    </w:p>
    <w:p>
      <w:pPr>
        <w:pStyle w:val="Heading2"/>
      </w:pPr>
      <w:r>
        <w:t>Why Bank Integration Keeps Surfacing as the Hardest Part of Every ERP Transition</w:t>
      </w:r>
    </w:p>
    <w:p>
      <w:r>
        <w:rPr>
          <w:b w:val="0"/>
        </w:rPr>
        <w:t>Kyriba's "Ultimate Guide to ERP Cloud Migration for Treasury IT" identifies bank integration as one of the riskiest elements of any ERP cloud migration. This finding is consistent across treasury technology advisories.</w:t>
      </w:r>
    </w:p>
    <w:p>
      <w:r>
        <w:rPr>
          <w:b w:val="0"/>
        </w:rPr>
        <w:t>The reasons are structural, not vendor-specific. Bank connections involve external counterparties. Every bank has its own file formats, security protocols, and authentication requirements. Migrating these connections requires coordination with banking partners, not just internal IT teams.</w:t>
      </w:r>
    </w:p>
    <w:p>
      <w:r>
        <w:rPr>
          <w:b w:val="0"/>
        </w:rPr>
        <w:t>Payment execution adds another layer of exposure. A break in payment processing during cutover does not stay contained to IT. It affects supplier payments, payroll, and cash positioning in real time.</w:t>
      </w:r>
    </w:p>
    <w:p>
      <w:r>
        <w:rPr>
          <w:b w:val="0"/>
        </w:rPr>
        <w:t>TIS (Treasury Intelligence Solutions), in "S/4HANA: Migrating Payments and Bank Connectivity," recommends explicitly decoupling bank connectivity from the core S/4HANA migration scope. The rationale is direct: payment continuity cannot depend on ERP cutover timing.</w:t>
      </w:r>
    </w:p>
    <w:p>
      <w:r>
        <w:rPr>
          <w:b w:val="0"/>
        </w:rPr>
        <w:t>That recommendation reflects a pattern seen across large-scale ERP transitions. Systems tightly coupled to the ERP core inherit every delay, every rollback, and every re-test cycle the core system requires.</w:t>
      </w:r>
    </w:p>
    <w:p>
      <w:pPr>
        <w:pStyle w:val="Heading2"/>
      </w:pPr>
      <w:r>
        <w:t>The Cost of Treating Financial Operations as an ERP Sub-Project</w:t>
      </w:r>
    </w:p>
    <w:p>
      <w:r>
        <w:rPr>
          <w:b w:val="0"/>
        </w:rPr>
        <w:t>When bank connectivity and payments are scoped as a line item inside the broader S/4HANA project, they compete for the same resources and the same timeline pressure as the ledger conversion.</w:t>
      </w:r>
    </w:p>
    <w:p>
      <w:r>
        <w:rPr>
          <w:b w:val="0"/>
        </w:rPr>
        <w:t>This creates three recurring problems.</w:t>
      </w:r>
    </w:p>
    <w:p>
      <w:pPr>
        <w:pStyle w:val="ListBullet"/>
      </w:pPr>
      <w:r>
        <w:rPr>
          <w:b w:val="0"/>
        </w:rPr>
      </w:r>
      <w:r>
        <w:rPr>
          <w:b/>
        </w:rPr>
        <w:t>Cutover risk concentrates in one event.</w:t>
      </w:r>
      <w:r>
        <w:rPr>
          <w:b w:val="0"/>
        </w:rPr>
        <w:t xml:space="preserve"> If payment execution goes live on the same date as the ledger, there is no fallback if issues emerge.</w:t>
      </w:r>
    </w:p>
    <w:p>
      <w:pPr>
        <w:pStyle w:val="ListBullet"/>
      </w:pPr>
      <w:r>
        <w:rPr>
          <w:b w:val="0"/>
        </w:rPr>
      </w:r>
      <w:r>
        <w:rPr>
          <w:b/>
        </w:rPr>
        <w:t>Cash visibility disappears during transition.</w:t>
      </w:r>
      <w:r>
        <w:rPr>
          <w:b w:val="0"/>
        </w:rPr>
        <w:t xml:space="preserve"> Treasury teams lose real-time bank balance data exactly when scrutiny on liquidity is highest.</w:t>
      </w:r>
    </w:p>
    <w:p>
      <w:pPr>
        <w:pStyle w:val="ListBullet"/>
      </w:pPr>
      <w:r>
        <w:rPr>
          <w:b w:val="0"/>
        </w:rPr>
      </w:r>
      <w:r>
        <w:rPr>
          <w:b/>
        </w:rPr>
        <w:t>Delay compounds cost.</w:t>
      </w:r>
      <w:r>
        <w:rPr>
          <w:b w:val="0"/>
        </w:rPr>
        <w:t xml:space="preserve"> Gartner projects, as reported by CFO Dive, that embedded AI in cloud ERP finance applications could drive up to 30% faster financial close by 2028. Every quarter migration decisions stall is a quarter that upside is deferred.</w:t>
      </w:r>
    </w:p>
    <w:p>
      <w:r>
        <w:rPr>
          <w:b w:val="0"/>
        </w:rPr>
        <w:t>None of these outcomes stem from poor execution. They stem from scoping financial operations as a subset of the ERP project, rather than as infrastructure with its own risk profile and its own continuity requirements.</w:t>
      </w:r>
    </w:p>
    <w:p>
      <w:pPr>
        <w:pStyle w:val="Heading2"/>
      </w:pPr>
      <w:r>
        <w:t>A Different Model: Decoupling Bank Connectivity and Payments From the ERP Core</w:t>
      </w:r>
    </w:p>
    <w:p>
      <w:r>
        <w:rPr>
          <w:b w:val="0"/>
        </w:rPr>
        <w:t>Leading organizations are separating financial operations from the ERP migration path entirely. Bank aggregation, payment execution, and cash forecasting sit in an independent layer, connected to the ERP rather than embedded inside it.</w:t>
      </w:r>
    </w:p>
    <w:p>
      <w:r>
        <w:rPr>
          <w:b w:val="0"/>
        </w:rPr>
        <w:t>This model changes the risk equation. The ERP remains the system of record for the ledger. Bank connectivity and payments operate on their own infrastructure, integrated with the ERP through defined connections rather than native configuration.</w:t>
      </w:r>
    </w:p>
    <w:p>
      <w:r>
        <w:rPr>
          <w:b w:val="0"/>
        </w:rPr>
        <w:t>StoreNext's Meteor platform is built on this principle. Meteor connects to more than 150 global banks and integrates with more than 1,000 ERP environments, giving finance teams a cash visibility layer that does not depend on ERP migration status.</w:t>
      </w:r>
    </w:p>
    <w:p>
      <w:r>
        <w:rPr>
          <w:b w:val="0"/>
        </w:rPr>
        <w:t>Because the connection layer is independent, migration stage becomes irrelevant to daily cash operations. Treasury teams retain real-time bank data, payment execution, and forecasting whether the ERP is on ECC, mid-migration, or fully live on S/4HANA.</w:t>
      </w:r>
    </w:p>
    <w:p>
      <w:r>
        <w:rPr>
          <w:b w:val="0"/>
        </w:rPr>
        <w:t>This is not a workaround. It reflects how Enterprise financial infrastructure should be architected: your ERP remains the source of truth for accounting, while payments and cash visibility run on infrastructure built for continuity.</w:t>
      </w:r>
    </w:p>
    <w:p>
      <w:pPr>
        <w:pStyle w:val="Heading2"/>
      </w:pPr>
      <w:r>
        <w:t>What CFOs Should Be Asking Before Migration Starts, Not During Cutover</w:t>
      </w:r>
    </w:p>
    <w:p>
      <w:r>
        <w:rPr>
          <w:b w:val="0"/>
        </w:rPr>
        <w:t>The questions that matter here need answers before migration planning locks in, not during cutover week.</w:t>
      </w:r>
    </w:p>
    <w:p>
      <w:pPr>
        <w:pStyle w:val="ListBullet"/>
      </w:pPr>
      <w:r>
        <w:rPr>
          <w:b w:val="0"/>
        </w:rPr>
        <w:t>Which bank connections are embedded in ECC configuration, and which run through external integration?</w:t>
      </w:r>
    </w:p>
    <w:p>
      <w:pPr>
        <w:pStyle w:val="ListBullet"/>
      </w:pPr>
      <w:r>
        <w:rPr>
          <w:b w:val="0"/>
        </w:rPr>
        <w:t>What happens to payment execution if the ERP cutover date slips by weeks or months?</w:t>
      </w:r>
    </w:p>
    <w:p>
      <w:pPr>
        <w:pStyle w:val="ListBullet"/>
      </w:pPr>
      <w:r>
        <w:rPr>
          <w:b w:val="0"/>
        </w:rPr>
        <w:t>Does treasury retain real-time cash visibility throughout the migration, or only before and after it?</w:t>
      </w:r>
    </w:p>
    <w:p>
      <w:pPr>
        <w:pStyle w:val="ListBullet"/>
      </w:pPr>
      <w:r>
        <w:rPr>
          <w:b w:val="0"/>
        </w:rPr>
        <w:t>Are bank relationships and file formats documented independently of the ERP project plan?</w:t>
      </w:r>
    </w:p>
    <w:p>
      <w:pPr>
        <w:pStyle w:val="ListBullet"/>
      </w:pPr>
      <w:r>
        <w:rPr>
          <w:b w:val="0"/>
        </w:rPr>
        <w:t>Who owns payment continuity risk: the ERP migration team, or treasury?</w:t>
      </w:r>
    </w:p>
    <w:p>
      <w:r>
        <w:rPr>
          <w:b w:val="0"/>
        </w:rPr>
        <w:t>Organizations that answer these questions early can decouple financial operations from ERP timing decisions. Organizations that do not tend to discover the gap during cutover, when the cost of a fix is highest.</w:t>
      </w:r>
    </w:p>
    <w:p>
      <w:r>
        <w:rPr>
          <w:b w:val="0"/>
        </w:rPr>
        <w:t>The 2027 deadline will drive migration decisions across the SAP ecosystem for the next two years. The organizations that manage that transition without disruption will be the ones that treated bank connectivity and payments as infrastructure requiring independent continuity, not as a checklist item inside a larger project.</w:t>
      </w:r>
    </w:p>
    <w:p>
      <w:r>
        <w:rPr>
          <w:b w:val="0"/>
        </w:rPr>
        <w:t>Visibility into cash position, payment execution, and bank data is not a feature of your ERP. It is a requirement that should outlast any single system transition.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