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Cash Flow Forecasting Tops CFOs' 2026 Liquidity Risk List. The Root Cause Is Data, Not Volatility.</w:t>
      </w:r>
    </w:p>
    <w:p>
      <w:r>
        <w:rPr>
          <w:b w:val="0"/>
        </w:rPr>
        <w:t>CFOs just named their biggest liquidity worry for 2026. It is not tariffs. It is not interest rates.</w:t>
      </w:r>
    </w:p>
    <w:p>
      <w:r>
        <w:rPr>
          <w:b w:val="0"/>
        </w:rPr>
        <w:t>According to J.P. Morgan's 2026 CFO Outlook survey, cash flow forecasting ranks as CFOs' top liquidity challenge. 38% of CFOs and treasurers named it first. Market volatility ranks second, at 35%.</w:t>
      </w:r>
    </w:p>
    <w:p>
      <w:r>
        <w:rPr>
          <w:b w:val="0"/>
        </w:rPr>
        <w:t>This is a meaningful shift. For years, treasury conversations centered on external shocks: rate moves, currency swings, commodity spikes. Now the concern has turned inward. Finance leaders are questioning whether their own forecasts can be trusted.</w:t>
      </w:r>
    </w:p>
    <w:p>
      <w:r>
        <w:rPr>
          <w:b w:val="0"/>
        </w:rPr>
        <w:t>The data points to plumbing, not planning.</w:t>
      </w:r>
    </w:p>
    <w:p>
      <w:pPr>
        <w:pStyle w:val="Heading2"/>
      </w:pPr>
      <w:r>
        <w:t>The Volatility Backdrop Is Real, But It Is Not the Root Cause</w:t>
      </w:r>
    </w:p>
    <w:p>
      <w:r>
        <w:rPr>
          <w:b w:val="0"/>
        </w:rPr>
        <w:t>Volatility has not disappeared. According to PwC's 2025 Global Treasury Survey of 350 treasury respondents, 83% cite FX risk as their most critical economic exposure. Interest rate exposure follows at 72%. Commodity price exposure sits at 39%.</w:t>
      </w:r>
    </w:p>
    <w:p>
      <w:r>
        <w:rPr>
          <w:b w:val="0"/>
        </w:rPr>
        <w:t>These figures confirm what treasury teams already feel. Multiple exposure types are elevated at once. That is unusual. It raises the stakes for forecasting accuracy.</w:t>
      </w:r>
    </w:p>
    <w:p>
      <w:r>
        <w:rPr>
          <w:b w:val="0"/>
        </w:rPr>
        <w:t>But volatility alone does not explain forecast failure. Treasury teams have managed volatile conditions before. What has changed is the complexity of the data needed to model that volatility, and where that data actually lives.</w:t>
      </w:r>
    </w:p>
    <w:p>
      <w:pPr>
        <w:pStyle w:val="Heading2"/>
      </w:pPr>
      <w:r>
        <w:t>Why Forecasts Keep Missing: A Data Problem, Not a Skill Problem</w:t>
      </w:r>
    </w:p>
    <w:p>
      <w:r>
        <w:rPr>
          <w:b w:val="0"/>
        </w:rPr>
        <w:t>Ask a treasury analyst why a forecast missed. The answer is rarely about method. It is about inputs.</w:t>
      </w:r>
    </w:p>
    <w:p>
      <w:r>
        <w:rPr>
          <w:b w:val="0"/>
        </w:rPr>
        <w:t>Bank balances sit in one portal. ERP cash positions sit in another system. FX rates get pulled manually, often once a day. Reconciliation between these sources happens after the forecast, not before it.</w:t>
      </w:r>
    </w:p>
    <w:p>
      <w:r>
        <w:rPr>
          <w:b w:val="0"/>
        </w:rPr>
        <w:t>This is a structural problem, not a talent problem. According to PwC, treasury technology is no longer a siloed tool set. It is now the foundation for agility, control, and connected cash. Real-time access to cash, exposure, and forecast data is framed as a necessity, not an upgrade.</w:t>
      </w:r>
    </w:p>
    <w:p>
      <w:r>
        <w:rPr>
          <w:b w:val="0"/>
        </w:rPr>
        <w:t>When balances, ERP data, and FX rates sit in disconnected systems, no forecasting model can compensate. Output quality depends entirely on input quality. Fragmented data produces fragmented forecasts, regardless of the tools layered on top.</w:t>
      </w:r>
    </w:p>
    <w:p>
      <w:r>
        <w:rPr>
          <w:b w:val="0"/>
        </w:rPr>
        <w:t>This explains why forecasting, not volatility, now tops the risk list. CFOs are not losing confidence in their teams. They are losing confidence in the data those teams are forced to work with.</w:t>
      </w:r>
    </w:p>
    <w:p>
      <w:pPr>
        <w:pStyle w:val="Heading2"/>
      </w:pPr>
      <w:r>
        <w:t>What Connected Treasury Actually Requires</w:t>
      </w:r>
    </w:p>
    <w:p>
      <w:r>
        <w:rPr>
          <w:b w:val="0"/>
        </w:rPr>
        <w:t>Leading organizations are rethinking treasury architecture directly. According to Embat, citing PwC's 2025 Global Treasury Survey, this rethink centers heavily on API connectivity. The goal is unlocking cash trapped across disconnected bank and system relationships.</w:t>
      </w:r>
    </w:p>
    <w:p>
      <w:r>
        <w:rPr>
          <w:b w:val="0"/>
        </w:rPr>
        <w:t>Three components matter here:</w:t>
      </w:r>
    </w:p>
    <w:p>
      <w:pPr>
        <w:pStyle w:val="ListBullet"/>
      </w:pPr>
      <w:r>
        <w:rPr>
          <w:b w:val="0"/>
        </w:rPr>
      </w:r>
      <w:r>
        <w:rPr>
          <w:b/>
        </w:rPr>
        <w:t>Direct bank aggregation.</w:t>
      </w:r>
      <w:r>
        <w:rPr>
          <w:b w:val="0"/>
        </w:rPr>
        <w:t xml:space="preserve"> Cash positions across every bank relationship, pulled automatically, not exported and reconciled by hand.</w:t>
      </w:r>
    </w:p>
    <w:p>
      <w:pPr>
        <w:pStyle w:val="ListBullet"/>
      </w:pPr>
      <w:r>
        <w:rPr>
          <w:b w:val="0"/>
        </w:rPr>
      </w:r>
      <w:r>
        <w:rPr>
          <w:b/>
        </w:rPr>
        <w:t>ERP integration.</w:t>
      </w:r>
      <w:r>
        <w:rPr>
          <w:b w:val="0"/>
        </w:rPr>
        <w:t xml:space="preserve"> Cash data connected to the same source of truth used for reconciliation, payables, and receivables.</w:t>
      </w:r>
    </w:p>
    <w:p>
      <w:pPr>
        <w:pStyle w:val="ListBullet"/>
      </w:pPr>
      <w:r>
        <w:rPr>
          <w:b w:val="0"/>
        </w:rPr>
      </w:r>
      <w:r>
        <w:rPr>
          <w:b/>
        </w:rPr>
        <w:t>Automated FX rates.</w:t>
      </w:r>
      <w:r>
        <w:rPr>
          <w:b w:val="0"/>
        </w:rPr>
        <w:t xml:space="preserve"> Currency exposure calculated from live rates, not a static rate sheet updated once a week.</w:t>
      </w:r>
    </w:p>
    <w:p>
      <w:r>
        <w:rPr>
          <w:b w:val="0"/>
        </w:rPr>
        <w:t>None of these are new concepts on their own. What is new is the scale of the underlying infrastructure. According to Embat's "Best Treasury Management Tools for Teams in 2026," UK Open Banking API volume reached 24 billion calls in 2025. That is a 27% year-over-year increase. It shows how fast direct bank-data connectivity is scaling as core infrastructure, not a niche feature.</w:t>
      </w:r>
    </w:p>
    <w:p>
      <w:r>
        <w:rPr>
          <w:b w:val="0"/>
        </w:rPr>
        <w:t>Treasury teams building their 2026 stack are not asking whether API-based connectivity is viable. They are asking why they have not adopted it yet.</w:t>
      </w:r>
    </w:p>
    <w:p>
      <w:pPr>
        <w:pStyle w:val="Heading2"/>
      </w:pPr>
      <w:r>
        <w:t>From Periodic Forecast to Continuous Cash Visibility</w:t>
      </w:r>
    </w:p>
    <w:p>
      <w:r>
        <w:rPr>
          <w:b w:val="0"/>
        </w:rPr>
        <w:t>A monthly forecast built from week-old exports was tolerable when volatility was lower. It is not tolerable when FX, rate, and commodity exposure are elevated at the same time.</w:t>
      </w:r>
    </w:p>
    <w:p>
      <w:r>
        <w:rPr>
          <w:b w:val="0"/>
        </w:rPr>
        <w:t>Continuous cash visibility changes the operating model. Instead of a forecast built once a month and defended in a finance meeting, treasury teams need a live view. That view updates as bank and ERP data change.</w:t>
      </w:r>
    </w:p>
    <w:p>
      <w:r>
        <w:rPr>
          <w:b w:val="0"/>
        </w:rPr>
        <w:t>This is the direction PwC's survey data points toward. Real-time access to cash, exposure, and forecast data is described as necessary infrastructure. It is not an enhancement layered onto existing processes.</w:t>
      </w:r>
    </w:p>
    <w:p>
      <w:r>
        <w:rPr>
          <w:b w:val="0"/>
        </w:rPr>
        <w:t>This is also where Meteor's architecture is built to operate. Meteor connects directly to bank accounts and ERP systems. It consolidates balances, transactions, and FX exposure into one real-time view. Rather than adding an AI overlay to disconnected feeds, Meteor addresses the connectivity layer first. A forecast is only as reliable as the data beneath it.</w:t>
      </w:r>
    </w:p>
    <w:p>
      <w:r>
        <w:rPr>
          <w:b w:val="0"/>
        </w:rPr>
        <w:t>With 20,000+ transactions processed and connectivity across 150+ global banks, Meteor's infrastructure is built for the scale and account complexity that make manual reconciliation unworkable.</w:t>
      </w:r>
    </w:p>
    <w:p>
      <w:pPr>
        <w:pStyle w:val="Heading2"/>
      </w:pPr>
      <w:r>
        <w:t>A Readiness Checklist Before 2026 Budget Lock</w:t>
      </w:r>
    </w:p>
    <w:p>
      <w:r>
        <w:rPr>
          <w:b w:val="0"/>
        </w:rPr>
        <w:t>Before finalizing 2026 treasury priorities, CFOs should ask a short set of structural questions:</w:t>
      </w:r>
    </w:p>
    <w:p>
      <w:pPr>
        <w:pStyle w:val="ListBullet"/>
      </w:pPr>
      <w:r>
        <w:rPr>
          <w:b w:val="0"/>
        </w:rPr>
      </w:r>
      <w:r>
        <w:rPr>
          <w:b/>
        </w:rPr>
        <w:t>Where does our cash position data originate?</w:t>
      </w:r>
      <w:r>
        <w:rPr>
          <w:b w:val="0"/>
        </w:rPr>
        <w:t xml:space="preserve"> If the answer involves manual export from multiple bank portals, forecasting accuracy will remain at risk.</w:t>
      </w:r>
    </w:p>
    <w:p>
      <w:pPr>
        <w:pStyle w:val="ListBullet"/>
      </w:pPr>
      <w:r>
        <w:rPr>
          <w:b w:val="0"/>
        </w:rPr>
      </w:r>
      <w:r>
        <w:rPr>
          <w:b/>
        </w:rPr>
        <w:t>How current is our FX exposure data?</w:t>
      </w:r>
      <w:r>
        <w:rPr>
          <w:b w:val="0"/>
        </w:rPr>
        <w:t xml:space="preserve"> A rate sheet updated once a day cannot support decisions in markets moving several times a day.</w:t>
      </w:r>
    </w:p>
    <w:p>
      <w:pPr>
        <w:pStyle w:val="ListBullet"/>
      </w:pPr>
      <w:r>
        <w:rPr>
          <w:b w:val="0"/>
        </w:rPr>
      </w:r>
      <w:r>
        <w:rPr>
          <w:b/>
        </w:rPr>
        <w:t>Is our ERP data the source of truth for forecasting, or a separate reconciliation step?</w:t>
      </w:r>
      <w:r>
        <w:rPr>
          <w:b w:val="0"/>
        </w:rPr>
        <w:t xml:space="preserve"> These should be one dataset, not two reconciled after the fact.</w:t>
      </w:r>
    </w:p>
    <w:p>
      <w:pPr>
        <w:pStyle w:val="ListBullet"/>
      </w:pPr>
      <w:r>
        <w:rPr>
          <w:b w:val="0"/>
        </w:rPr>
      </w:r>
      <w:r>
        <w:rPr>
          <w:b/>
        </w:rPr>
        <w:t>Can we produce a forward cash view without a spreadsheet consolidation step?</w:t>
      </w:r>
      <w:r>
        <w:rPr>
          <w:b w:val="0"/>
        </w:rPr>
        <w:t xml:space="preserve"> If not, the forecast is built on lagging data by design.</w:t>
      </w:r>
    </w:p>
    <w:p>
      <w:pPr>
        <w:pStyle w:val="ListBullet"/>
      </w:pPr>
      <w:r>
        <w:rPr>
          <w:b w:val="0"/>
        </w:rPr>
      </w:r>
      <w:r>
        <w:rPr>
          <w:b/>
        </w:rPr>
        <w:t>Does our bank connectivity scale with account and entity growth?</w:t>
      </w:r>
      <w:r>
        <w:rPr>
          <w:b w:val="0"/>
        </w:rPr>
        <w:t xml:space="preserve"> API-based aggregation should expand automatically, not require new integration work each time.</w:t>
      </w:r>
    </w:p>
    <w:p>
      <w:r>
        <w:rPr>
          <w:b w:val="0"/>
        </w:rPr>
        <w:t>These questions surface the same conclusion the survey data points to. Forecasting accuracy is an infrastructure outcome, not a forecasting-team outcome.</w:t>
      </w:r>
    </w:p>
    <w:p>
      <w:pPr>
        <w:pStyle w:val="Heading2"/>
      </w:pPr>
      <w:r>
        <w:t>The Structural Fix, Not Another Overlay</w:t>
      </w:r>
    </w:p>
    <w:p>
      <w:r>
        <w:rPr>
          <w:b w:val="0"/>
        </w:rPr>
        <w:t>CFOs naming forecasting as their top 2026 liquidity risk is a signal worth taking seriously. It means the tools and processes treasury teams rely on today are not producing forecasts finance leadership trusts.</w:t>
      </w:r>
    </w:p>
    <w:p>
      <w:r>
        <w:rPr>
          <w:b w:val="0"/>
        </w:rPr>
        <w:t>The instinct to solve this with another analytics layer or an AI-driven forecasting tool is understandable. But according to the data, the underlying issue sits earlier in the pipeline. Fragmented bank and ERP connectivity is a gap no downstream model can fully correct.</w:t>
      </w:r>
    </w:p>
    <w:p>
      <w:r>
        <w:rPr>
          <w:b w:val="0"/>
        </w:rPr>
        <w:t>Fixing forecasting accuracy starts with fixing the plumbing. Direct bank aggregation, ERP integration, and automated FX rates feeding one real-time view are not incremental upgrades. They are the baseline infrastructure connected treasury now requires.</w:t>
      </w:r>
    </w:p>
    <w:p>
      <w:r>
        <w:rPr>
          <w:b w:val="0"/>
        </w:rPr>
        <w:t>For finance teams finalizing 2026 priorities, that infrastructure question deserves to come before the forecasting-model question, not after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