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Currency Volatility Has Become Structural, and Treasury Visibility Hasn't Kept Pace</w:t>
      </w:r>
    </w:p>
    <w:p>
      <w:r>
        <w:rPr>
          <w:b w:val="0"/>
        </w:rPr>
        <w:t>CFOs are worried about currency risk. According to Kyriba's CFO Risk Radar, 67% of CFOs globally are concerned about currency volatility. Seventy-four percent cite market volatility as a top organizational risk.</w:t>
      </w:r>
    </w:p>
    <w:p>
      <w:r>
        <w:rPr>
          <w:b w:val="0"/>
        </w:rPr>
        <w:t>Most are responding by reviewing hedging strategy. That is the wrong first question. Before an organization can hedge exposure correctly, it needs to see that exposure in real time. For most Enterprise treasuries, it still cannot.</w:t>
      </w:r>
    </w:p>
    <w:p>
      <w:pPr>
        <w:pStyle w:val="Heading2"/>
      </w:pPr>
      <w:r>
        <w:t>FX Risk Has a New Timeline</w:t>
      </w:r>
    </w:p>
    <w:p>
      <w:r>
        <w:rPr>
          <w:b w:val="0"/>
        </w:rPr>
        <w:t>FX volatility used to arrive in shocks. A central bank surprise. A geopolitical event. Treasury teams reacted, adjusted, and moved on.</w:t>
      </w:r>
    </w:p>
    <w:p>
      <w:r>
        <w:rPr>
          <w:b w:val="0"/>
        </w:rPr>
        <w:t>That model no longer holds. According to Convera's corporate FX risk management guide, 2026 volatility is structural, not episodic. It is driven by tariff shifts, trade-route disruption, and diverging central bank policy across major economies.</w:t>
      </w:r>
    </w:p>
    <w:p>
      <w:r>
        <w:rPr>
          <w:b w:val="0"/>
        </w:rPr>
        <w:t>Structural volatility does not spike and settle. It persists. It compounds across quarters, not days. A treasury built for occasional shocks is not built for constant movement.</w:t>
      </w:r>
    </w:p>
    <w:p>
      <w:r>
        <w:rPr>
          <w:b w:val="0"/>
        </w:rPr>
        <w:t>This distinction matters for planning. Episodic risk rewards contingency plans. Structural risk requires continuous monitoring and systematic response. Most Enterprise treasuries are still organized for the first condition, not the second.</w:t>
      </w:r>
    </w:p>
    <w:p>
      <w:pPr>
        <w:pStyle w:val="Heading2"/>
      </w:pPr>
      <w:r>
        <w:t>The Governance Gap Behind the Confidence Gap</w:t>
      </w:r>
    </w:p>
    <w:p>
      <w:r>
        <w:rPr>
          <w:b w:val="0"/>
        </w:rPr>
        <w:t>CFOs know volatility is rising. Fewer have built the governance to manage it.</w:t>
      </w:r>
    </w:p>
    <w:p>
      <w:r>
        <w:rPr>
          <w:b w:val="0"/>
        </w:rPr>
        <w:t>According to Alpha Group and Corpay's "Countdown to 2026" report, 63% of senior finance leaders expect FX market volatility to increase in 2026. Yet over half of large companies still lack a board-level FX policy. Eighty-nine percent are not systematically stress-testing their FX forecasts.</w:t>
      </w:r>
    </w:p>
    <w:p>
      <w:r>
        <w:rPr>
          <w:b w:val="0"/>
        </w:rPr>
        <w:t>This is a governance gap, not a strategy gap. Organizations are not failing to choose the right hedging instruments. They are failing to build the oversight structure that should decide when and how those instruments get used.</w:t>
      </w:r>
    </w:p>
    <w:p>
      <w:r>
        <w:rPr>
          <w:b w:val="0"/>
        </w:rPr>
        <w:t>A hedging program without board-level policy is reactive by design. It responds to whoever raises the alarm first, not to a defined risk threshold. Stress-testing gaps compound the problem. Without forecasts tested against volatility scenarios, treasury cannot know if its current hedge ratio is adequate until the rate has already moved against it.</w:t>
      </w:r>
    </w:p>
    <w:p>
      <w:pPr>
        <w:pStyle w:val="Heading2"/>
      </w:pPr>
      <w:r>
        <w:t>Why the Bottleneck Isn't Hedging Strategy. It Is Stale Exposure Data.</w:t>
      </w:r>
    </w:p>
    <w:p>
      <w:r>
        <w:rPr>
          <w:b w:val="0"/>
        </w:rPr>
        <w:t>Here is the structural problem underneath the governance gap: most treasuries cannot see their FX exposure as it happens.</w:t>
      </w:r>
    </w:p>
    <w:p>
      <w:r>
        <w:rPr>
          <w:b w:val="0"/>
        </w:rPr>
        <w:t>FX rates and multi-bank exposure data still move through spreadsheets and periodic ERP updates. A treasury analyst pulls rates once a day, sometimes once a week. Bank balances across entities and currencies get reconciled on a similar cycle.</w:t>
      </w:r>
    </w:p>
    <w:p>
      <w:r>
        <w:rPr>
          <w:b w:val="0"/>
        </w:rPr>
        <w:t>By the time that data reaches a decision-maker, the rate has already moved. The hedge decision is made against yesterday's exposure, not today's.</w:t>
      </w:r>
    </w:p>
    <w:p>
      <w:r>
        <w:rPr>
          <w:b w:val="0"/>
        </w:rPr>
        <w:t>This is not a hedging strategy failure. It is a visibility failure that happens before strategy gets applied. An organization can have sophisticated hedging instruments, clear board policy, and rigorous stress-testing models. None of it works if the underlying exposure data is a day, or a week, out of date.</w:t>
      </w:r>
    </w:p>
    <w:p>
      <w:r>
        <w:rPr>
          <w:b w:val="0"/>
        </w:rPr>
        <w:t>Enterprise treasury teams operating across multiple entities, currencies, and banking partners feel this acutely. Consolidating exposure manually across a dozen bank accounts and several ERP instances takes time. Time is exactly what structural volatility does not allow.</w:t>
      </w:r>
    </w:p>
    <w:p>
      <w:pPr>
        <w:pStyle w:val="Heading2"/>
      </w:pPr>
      <w:r>
        <w:t>From Periodic FX Updates to Continuous, ERP-Native Rates</w:t>
      </w:r>
    </w:p>
    <w:p>
      <w:r>
        <w:rPr>
          <w:b w:val="0"/>
        </w:rPr>
        <w:t>The fix starts upstream of hedging strategy: continuous, ERP-native FX rate automation.</w:t>
      </w:r>
    </w:p>
    <w:p>
      <w:r>
        <w:rPr>
          <w:b w:val="0"/>
        </w:rPr>
        <w:t>Instead of manually updating rates on a fixed schedule, rates flow into the ERP continuously. Exposure calculations update as rates move, not after a batch job runs overnight.</w:t>
      </w:r>
    </w:p>
    <w:p>
      <w:r>
        <w:rPr>
          <w:b w:val="0"/>
        </w:rPr>
        <w:t>This is infrastructure work, not a hedging decision. It does not tell treasury which instrument to use or when to execute. It ensures the exposure figure treasury is looking at reflects current market conditions, not last week's snapshot.</w:t>
      </w:r>
    </w:p>
    <w:p>
      <w:r>
        <w:rPr>
          <w:b w:val="0"/>
        </w:rPr>
        <w:t>Meteor supports this by embedding FX rate automation directly into the ERP layer, drawing on integration experience across 1,000+ ERP connections. Rates update continuously inside the system of record. Treasury does not need to reconcile a separate rate feed against ERP data manually. The ERP remains the source of truth. The rate feed just keeps it current.</w:t>
      </w:r>
    </w:p>
    <w:p>
      <w:r>
        <w:rPr>
          <w:b w:val="0"/>
        </w:rPr>
        <w:t>The distinction is subtle but important. Continuous rate automation does not replace treasury's judgment on hedging strategy. It gives that judgment accurate, current inputs to work from.</w:t>
      </w:r>
    </w:p>
    <w:p>
      <w:pPr>
        <w:pStyle w:val="Heading2"/>
      </w:pPr>
      <w:r>
        <w:t>What Real-Time Bank and ERP Connectivity Actually Changes</w:t>
      </w:r>
    </w:p>
    <w:p>
      <w:r>
        <w:rPr>
          <w:b w:val="0"/>
        </w:rPr>
        <w:t>Rate automation solves half the visibility problem. Multi-bank exposure data is the other half.</w:t>
      </w:r>
    </w:p>
    <w:p>
      <w:r>
        <w:rPr>
          <w:b w:val="0"/>
        </w:rPr>
        <w:t>According to The Global Treasurer, APIs are increasingly used to pull real-time bank balances and transaction data from multiple banking partners directly into the TMS or ERP. This shifts exposure visibility from a periodic reconciliation exercise to a continuous feed.</w:t>
      </w:r>
    </w:p>
    <w:p>
      <w:r>
        <w:rPr>
          <w:b w:val="0"/>
        </w:rPr>
        <w:t>The barrier has been technical, not strategic. According to Backbase's open banking platform guide, legacy core systems and inconsistent bank-to-bank data formatting create interoperability gaps that slow real-time treasury connectivity. Every bank formats its data differently. Every legacy core system expects a different structure. Building that connectivity one bank at a time does not scale.</w:t>
      </w:r>
    </w:p>
    <w:p>
      <w:r>
        <w:rPr>
          <w:b w:val="0"/>
        </w:rPr>
        <w:t>This is where aggregation infrastructure matters. Meteor connects to 150+ global banks, standardizing exposure data across banking partners into a single feed that reaches the ERP continuously. Treasury sees consolidated multi-bank, multi-currency exposure without manually reconciling a dozen separate bank formats.</w:t>
      </w:r>
    </w:p>
    <w:p>
      <w:r>
        <w:rPr>
          <w:b w:val="0"/>
        </w:rPr>
        <w:t>For a CFO managing entities across several currencies, this changes the decision timeline. Exposure that used to take days to consolidate is visible the same day the position changes. Hedging decisions get made against current data, not a lagging estimate.</w:t>
      </w:r>
    </w:p>
    <w:p>
      <w:pPr>
        <w:pStyle w:val="Heading2"/>
      </w:pPr>
      <w:r>
        <w:t>Building an FX Data Foundation Before Building a Hedging Program</w:t>
      </w:r>
    </w:p>
    <w:p>
      <w:r>
        <w:rPr>
          <w:b w:val="0"/>
        </w:rPr>
        <w:t>CFOs reviewing FX strategy for 2026 should sequence the work correctly. Governance policy and hedging instruments matter. They matter more once the underlying data is trustworthy.</w:t>
      </w:r>
    </w:p>
    <w:p>
      <w:r>
        <w:rPr>
          <w:b w:val="0"/>
        </w:rPr>
        <w:t>A practical sequence looks like this:</w:t>
      </w:r>
    </w:p>
    <w:p>
      <w:pPr>
        <w:pStyle w:val="ListBullet"/>
      </w:pPr>
      <w:r>
        <w:rPr>
          <w:b w:val="0"/>
        </w:rPr>
      </w:r>
      <w:r>
        <w:rPr>
          <w:b/>
        </w:rPr>
        <w:t>Audit exposure visibility first.</w:t>
      </w:r>
      <w:r>
        <w:rPr>
          <w:b w:val="0"/>
        </w:rPr>
        <w:t xml:space="preserve"> Confirm how current your FX exposure data actually is. Daily. Weekly. Real-time. Know the lag before setting policy around it.</w:t>
      </w:r>
    </w:p>
    <w:p>
      <w:pPr>
        <w:pStyle w:val="ListBullet"/>
      </w:pPr>
      <w:r>
        <w:rPr>
          <w:b w:val="0"/>
        </w:rPr>
      </w:r>
      <w:r>
        <w:rPr>
          <w:b/>
        </w:rPr>
        <w:t>Establish board-level FX policy.</w:t>
      </w:r>
      <w:r>
        <w:rPr>
          <w:b w:val="0"/>
        </w:rPr>
        <w:t xml:space="preserve"> With over half of large companies lacking one, according to Alpha Group and Corpay, this remains a foundational gap, not an advanced step.</w:t>
      </w:r>
    </w:p>
    <w:p>
      <w:pPr>
        <w:pStyle w:val="ListBullet"/>
      </w:pPr>
      <w:r>
        <w:rPr>
          <w:b w:val="0"/>
        </w:rPr>
      </w:r>
      <w:r>
        <w:rPr>
          <w:b/>
        </w:rPr>
        <w:t>Automate rate updates inside the ERP.</w:t>
      </w:r>
      <w:r>
        <w:rPr>
          <w:b w:val="0"/>
        </w:rPr>
        <w:t xml:space="preserve"> Move away from manual rate entry cycles. Continuous, ERP-native rates remove the lag between market movement and system reflection.</w:t>
      </w:r>
    </w:p>
    <w:p>
      <w:pPr>
        <w:pStyle w:val="ListBullet"/>
      </w:pPr>
      <w:r>
        <w:rPr>
          <w:b w:val="0"/>
        </w:rPr>
      </w:r>
      <w:r>
        <w:rPr>
          <w:b/>
        </w:rPr>
        <w:t>Consolidate multi-bank exposure through standardized connectivity.</w:t>
      </w:r>
      <w:r>
        <w:rPr>
          <w:b w:val="0"/>
        </w:rPr>
        <w:t xml:space="preserve"> Address the interoperability gap Backbase identifies, rather than reconciling bank formats manually.</w:t>
      </w:r>
    </w:p>
    <w:p>
      <w:pPr>
        <w:pStyle w:val="ListBullet"/>
      </w:pPr>
      <w:r>
        <w:rPr>
          <w:b w:val="0"/>
        </w:rPr>
      </w:r>
      <w:r>
        <w:rPr>
          <w:b/>
        </w:rPr>
        <w:t>Stress-test forecasts against the new data foundation.</w:t>
      </w:r>
      <w:r>
        <w:rPr>
          <w:b w:val="0"/>
        </w:rPr>
        <w:t xml:space="preserve"> With 89% of large firms not doing this today, according to Alpha Group and Corpay, real-time exposure data makes stress-testing meaningful, rather than theoretical.</w:t>
      </w:r>
    </w:p>
    <w:p>
      <w:r>
        <w:rPr>
          <w:b w:val="0"/>
        </w:rPr>
        <w:t>Structural FX volatility is not going away in 2026. Tariff shifts, diverging central bank policy, and trade-route disruption are ongoing conditions, according to Convera, not temporary disruptions.</w:t>
      </w:r>
    </w:p>
    <w:p>
      <w:r>
        <w:rPr>
          <w:b w:val="0"/>
        </w:rPr>
        <w:t>Treasury teams that build accurate, real-time exposure visibility first will make better hedging decisions with whatever strategy they choose. Teams that skip straight to hedging instruments, without fixing the data underneath, will keep making decisions against exposure figures that are already out of date.</w:t>
      </w:r>
    </w:p>
    <w:p>
      <w:r>
        <w:rPr>
          <w:b w:val="0"/>
        </w:rPr>
        <w:t>Meteor's role sits at that foundation: continuous, ERP-native FX rate automation and multi-bank aggregation across 150+ banking partners. It closes the visibility gap underneath every hedging decision. It does not replace treasury's judgment on how to act. It ensures that judgment is applied to the current picture, not last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