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Four in Five Supply Chain Leaders Expect Two More Years of Disruption. Few Have Changed How They Manage It.</w:t>
      </w:r>
    </w:p>
    <w:p>
      <w:r>
        <w:rPr>
          <w:b w:val="0"/>
        </w:rPr>
        <w:t>Supply chain leaders are not waiting for the next shock. They are planning around a permanent one.</w:t>
      </w:r>
    </w:p>
    <w:p>
      <w:r>
        <w:rPr>
          <w:b w:val="0"/>
        </w:rPr>
        <w:t>According to Maersk's November 2025 survey of more than 900 companies, 78% of supply chain professionals expect disruption from geopolitical dynamics, trade tariffs, and international tensions to persist for roughly two more years. That is not a forecast of recovery. It is an acknowledgment that volatility has become the baseline.</w:t>
      </w:r>
    </w:p>
    <w:p>
      <w:r>
        <w:rPr>
          <w:b w:val="0"/>
        </w:rPr>
        <w:t>Most organizations have not updated their operating model to match. They are still running a two-year risk horizon on tools built for a two-week crisis.</w:t>
      </w:r>
    </w:p>
    <w:p>
      <w:pPr>
        <w:pStyle w:val="Heading2"/>
      </w:pPr>
      <w:r>
        <w:t>The Calm Is Real. So Is the Risk.</w:t>
      </w:r>
    </w:p>
    <w:p>
      <w:r>
        <w:rPr>
          <w:b w:val="0"/>
        </w:rPr>
        <w:t>Headline indicators suggest things are improving. According to EY's quarterly supply chain update, the Global Supply Chain Pressure Index fell to -0.16 in November 2025, signaling eased global trade pressure.</w:t>
      </w:r>
    </w:p>
    <w:p>
      <w:r>
        <w:rPr>
          <w:b w:val="0"/>
        </w:rPr>
        <w:t>Practitioner sentiment tells a different story. The gap between the two is not a contradiction. It reflects a shift in what is driving risk.</w:t>
      </w:r>
    </w:p>
    <w:p>
      <w:r>
        <w:rPr>
          <w:b w:val="0"/>
        </w:rPr>
        <w:t>According to the Lehigh University Center for Supply Chain Research, government intervention risk now ranks as the single highest risk category in head-to-head comparisons this quarter. Transportation disruption risk was the only category to increase.</w:t>
      </w:r>
    </w:p>
    <w:p>
      <w:r>
        <w:rPr>
          <w:b w:val="0"/>
        </w:rPr>
        <w:t>Tariffs have not disappeared either. According to the Yale Budget Lab, the average effective U.S. tariff rate stood at just under 17% as of November 17, 2025. That is down from an August peak, but still structurally elevated versus pre-2025 levels.</w:t>
      </w:r>
    </w:p>
    <w:p>
      <w:r>
        <w:rPr>
          <w:b w:val="0"/>
        </w:rPr>
        <w:t>This is the new pattern: aggregate pressure indices ease, while policy-driven and structural risks stay elevated. Supply chain leaders are reading the second signal, not the first. That is why 78% of them expect disruption to continue, even as the index says otherwise.</w:t>
      </w:r>
    </w:p>
    <w:p>
      <w:pPr>
        <w:pStyle w:val="Heading2"/>
      </w:pPr>
      <w:r>
        <w:t>What $184 Billion a Year Is Actually Paying For</w:t>
      </w:r>
    </w:p>
    <w:p>
      <w:r>
        <w:rPr>
          <w:b w:val="0"/>
        </w:rPr>
        <w:t>Disruption has a price tag, and it is not shrinking.</w:t>
      </w:r>
    </w:p>
    <w:p>
      <w:r>
        <w:rPr>
          <w:b w:val="0"/>
        </w:rPr>
        <w:t>According to Swiss Re, cited in GTR's November 2025 analysis, global supply chain disruptions now cost businesses an estimated $184 billion annually.</w:t>
      </w:r>
    </w:p>
    <w:p>
      <w:r>
        <w:rPr>
          <w:b w:val="0"/>
        </w:rPr>
        <w:t>A meaningful share of that cost is not the disruption itself. It is the response to it.</w:t>
      </w:r>
    </w:p>
    <w:p>
      <w:r>
        <w:rPr>
          <w:b w:val="0"/>
        </w:rPr>
        <w:t>When a supplier flags a delay, most enterprises still run the same sequence:</w:t>
      </w:r>
    </w:p>
    <w:p>
      <w:pPr>
        <w:pStyle w:val="ListBullet"/>
      </w:pPr>
      <w:r>
        <w:rPr>
          <w:b w:val="0"/>
        </w:rPr>
        <w:t>An email to the supplier for status confirmation.</w:t>
      </w:r>
    </w:p>
    <w:p>
      <w:pPr>
        <w:pStyle w:val="ListBullet"/>
      </w:pPr>
      <w:r>
        <w:rPr>
          <w:b w:val="0"/>
        </w:rPr>
        <w:t>A manual check against the ERP or spreadsheet tracker.</w:t>
      </w:r>
    </w:p>
    <w:p>
      <w:pPr>
        <w:pStyle w:val="ListBullet"/>
      </w:pPr>
      <w:r>
        <w:rPr>
          <w:b w:val="0"/>
        </w:rPr>
        <w:t>A phone call if the email goes unanswered.</w:t>
      </w:r>
    </w:p>
    <w:p>
      <w:pPr>
        <w:pStyle w:val="ListBullet"/>
      </w:pPr>
      <w:r>
        <w:rPr>
          <w:b w:val="0"/>
        </w:rPr>
        <w:t>A separate email to internal stakeholders once a status is confirmed.</w:t>
      </w:r>
    </w:p>
    <w:p>
      <w:pPr>
        <w:pStyle w:val="ListBullet"/>
      </w:pPr>
      <w:r>
        <w:rPr>
          <w:b w:val="0"/>
        </w:rPr>
        <w:t>No consistent record of what was communicated, to whom, or when.</w:t>
      </w:r>
    </w:p>
    <w:p>
      <w:r>
        <w:rPr>
          <w:b w:val="0"/>
        </w:rPr>
        <w:t>This sequence is manageable once. It becomes expensive when repeated across hundreds of suppliers, multiple geographies, and recurring disruption cycles. Each cycle consumes procurement and finance hours that should be spent on analysis, not status-chasing.</w:t>
      </w:r>
    </w:p>
    <w:p>
      <w:pPr>
        <w:pStyle w:val="Heading2"/>
      </w:pPr>
      <w:r>
        <w:t>Why Temporary Tools Fail a Permanent Condition</w:t>
      </w:r>
    </w:p>
    <w:p>
      <w:r>
        <w:rPr>
          <w:b w:val="0"/>
        </w:rPr>
        <w:t>Email threads, shared spreadsheets, and ad hoc supplier calls were built to handle isolated incidents. A single port closure. A one-time tariff announcement. A short supplier outage.</w:t>
      </w:r>
    </w:p>
    <w:p>
      <w:r>
        <w:rPr>
          <w:b w:val="0"/>
        </w:rPr>
        <w:t>They were never designed to operate as standing infrastructure across a two-year window of recurring disruption.</w:t>
      </w:r>
    </w:p>
    <w:p>
      <w:r>
        <w:rPr>
          <w:b w:val="0"/>
        </w:rPr>
        <w:t>Three structural problems emerge when temporary tools are stretched over a permanent condition:</w:t>
      </w:r>
    </w:p>
    <w:p>
      <w:r>
        <w:rPr>
          <w:b w:val="0"/>
        </w:rPr>
      </w:r>
      <w:r>
        <w:rPr>
          <w:b/>
        </w:rPr>
        <w:t>No single source of supplier status.</w:t>
      </w:r>
      <w:r>
        <w:rPr>
          <w:b w:val="0"/>
        </w:rPr>
        <w:t xml:space="preserve"> When disruption hits, teams need to know which suppliers are affected, which are not, and what each one has confirmed. Email threads do not scale to hundreds of suppliers. Status lives in someone's inbox, not in a system of record.</w:t>
      </w:r>
    </w:p>
    <w:p>
      <w:r>
        <w:rPr>
          <w:b w:val="0"/>
        </w:rPr>
      </w:r>
      <w:r>
        <w:rPr>
          <w:b/>
        </w:rPr>
        <w:t>No audit trail for compliance and crisis review.</w:t>
      </w:r>
      <w:r>
        <w:rPr>
          <w:b w:val="0"/>
        </w:rPr>
        <w:t xml:space="preserve"> Regulators, auditors, and boards increasingly ask what was known, when, and what action followed. Email chains make reconstruction slow and incomplete. That is a control gap, not just an efficiency one.</w:t>
      </w:r>
    </w:p>
    <w:p>
      <w:r>
        <w:rPr>
          <w:b w:val="0"/>
        </w:rPr>
      </w:r>
      <w:r>
        <w:rPr>
          <w:b/>
        </w:rPr>
        <w:t>No repeatable communication layer.</w:t>
      </w:r>
      <w:r>
        <w:rPr>
          <w:b w:val="0"/>
        </w:rPr>
        <w:t xml:space="preserve"> Every new disruption triggers a fresh round of manual outreach, because there is no standing channel suppliers already use to report status and receive updates. The organization re-builds its crisis response from scratch, every time.</w:t>
      </w:r>
    </w:p>
    <w:p>
      <w:r>
        <w:rPr>
          <w:b w:val="0"/>
        </w:rPr>
        <w:t>The result is a cost structure where disruption response scales linearly with disruption frequency. If leaders expect two more years of recurring shocks, linear scaling of manual effort is not sustainable.</w:t>
      </w:r>
    </w:p>
    <w:p>
      <w:pPr>
        <w:pStyle w:val="Heading2"/>
      </w:pPr>
      <w:r>
        <w:t>What Leading Organizations Are Building Instead</w:t>
      </w:r>
    </w:p>
    <w:p>
      <w:r>
        <w:rPr>
          <w:b w:val="0"/>
        </w:rPr>
        <w:t>Organizations that treat disruption as structural, not episodic, are shifting supplier communication and status tracking into standing infrastructure.</w:t>
      </w:r>
    </w:p>
    <w:p>
      <w:r>
        <w:rPr>
          <w:b w:val="0"/>
        </w:rPr>
        <w:t>This typically includes:</w:t>
      </w:r>
    </w:p>
    <w:p>
      <w:pPr>
        <w:pStyle w:val="ListBullet"/>
      </w:pPr>
      <w:r>
        <w:rPr>
          <w:b w:val="0"/>
        </w:rPr>
      </w:r>
      <w:r>
        <w:rPr>
          <w:b/>
        </w:rPr>
        <w:t>A self-service supplier status layer</w:t>
      </w:r>
      <w:r>
        <w:rPr>
          <w:b w:val="0"/>
        </w:rPr>
        <w:t>, where suppliers update delivery, compliance, and documentation status directly, instead of waiting for a procurement team to call.</w:t>
      </w:r>
    </w:p>
    <w:p>
      <w:pPr>
        <w:pStyle w:val="ListBullet"/>
      </w:pPr>
      <w:r>
        <w:rPr>
          <w:b w:val="0"/>
        </w:rPr>
      </w:r>
      <w:r>
        <w:rPr>
          <w:b/>
        </w:rPr>
        <w:t>Mass communication tools</w:t>
      </w:r>
      <w:r>
        <w:rPr>
          <w:b w:val="0"/>
        </w:rPr>
        <w:t xml:space="preserve"> that push a single verified update to all affected suppliers at once, rather than individual emails drafted under time pressure.</w:t>
      </w:r>
    </w:p>
    <w:p>
      <w:pPr>
        <w:pStyle w:val="ListBullet"/>
      </w:pPr>
      <w:r>
        <w:rPr>
          <w:b w:val="0"/>
        </w:rPr>
      </w:r>
      <w:r>
        <w:rPr>
          <w:b/>
        </w:rPr>
        <w:t>A traceable audit trail</w:t>
      </w:r>
      <w:r>
        <w:rPr>
          <w:b w:val="0"/>
        </w:rPr>
        <w:t xml:space="preserve"> that logs every status change, communication, and document exchange, so compliance and finance teams can reconstruct the timeline without manual reassembly.</w:t>
      </w:r>
    </w:p>
    <w:p>
      <w:pPr>
        <w:pStyle w:val="ListBullet"/>
      </w:pPr>
      <w:r>
        <w:rPr>
          <w:b w:val="0"/>
        </w:rPr>
      </w:r>
      <w:r>
        <w:rPr>
          <w:b/>
        </w:rPr>
        <w:t>Integration with the ERP as the source of truth</w:t>
      </w:r>
      <w:r>
        <w:rPr>
          <w:b w:val="0"/>
        </w:rPr>
        <w:t>, so supplier status updates flow into existing systems rather than creating a parallel, disconnected record.</w:t>
      </w:r>
    </w:p>
    <w:p>
      <w:r>
        <w:rPr>
          <w:b w:val="0"/>
        </w:rPr>
        <w:t>The difference is not sophistication. It is standing readiness. When the next disruption hits, the infrastructure is already in place. No one has to build a response process under pressure.</w:t>
      </w:r>
    </w:p>
    <w:p>
      <w:r>
        <w:rPr>
          <w:b w:val="0"/>
        </w:rPr>
        <w:t>This matters because the risk composition keeps shifting. Today it is government intervention and tariffs. The Lehigh data shows transportation disruption risk rising too. A structural communication and status layer does not need to predict which risk comes next. It needs to be ready to absorb any of them, repeatedly, without a rebuild each time.</w:t>
      </w:r>
    </w:p>
    <w:p>
      <w:pPr>
        <w:pStyle w:val="Heading2"/>
      </w:pPr>
      <w:r>
        <w:t>What CFOs and Procurement Leaders Should Do Now</w:t>
      </w:r>
    </w:p>
    <w:p>
      <w:r>
        <w:rPr>
          <w:b w:val="0"/>
        </w:rPr>
        <w:t>The Maersk data gives CFOs and procurement leaders a clear planning horizon: roughly two years of continued disruption, as assessed by the people closest to supplier relationships.</w:t>
      </w:r>
    </w:p>
    <w:p>
      <w:r>
        <w:rPr>
          <w:b w:val="0"/>
        </w:rPr>
        <w:t>That horizon changes the budgeting question. Crisis response has historically been funded as a one-time cost, triggered after disruption occurs. A two-year horizon argues for a different category: standing continuity infrastructure, funded and maintained like any other core system.</w:t>
      </w:r>
    </w:p>
    <w:p>
      <w:r>
        <w:rPr>
          <w:b w:val="0"/>
        </w:rPr>
        <w:t>Three actions follow directly from this:</w:t>
      </w:r>
    </w:p>
    <w:p>
      <w:pPr>
        <w:pStyle w:val="ListBullet"/>
      </w:pPr>
      <w:r>
        <w:rPr>
          <w:b w:val="0"/>
        </w:rPr>
      </w:r>
      <w:r>
        <w:rPr>
          <w:b/>
        </w:rPr>
        <w:t>Audit current supplier communication costs</w:t>
      </w:r>
      <w:r>
        <w:rPr>
          <w:b w:val="0"/>
        </w:rPr>
        <w:t xml:space="preserve"> across the last 12 months of disruption events. Quantify hours spent on manual status checks and ad hoc outreach, not just the direct cost of the disruption itself.</w:t>
      </w:r>
    </w:p>
    <w:p>
      <w:pPr>
        <w:pStyle w:val="ListBullet"/>
      </w:pPr>
      <w:r>
        <w:rPr>
          <w:b w:val="0"/>
        </w:rPr>
      </w:r>
      <w:r>
        <w:rPr>
          <w:b/>
        </w:rPr>
        <w:t>Map the audit trail gap.</w:t>
      </w:r>
      <w:r>
        <w:rPr>
          <w:b w:val="0"/>
        </w:rPr>
        <w:t xml:space="preserve"> Identify how quickly the organization could reconstruct supplier communication history for a compliance review or board inquiry today. If the answer involves searching inboxes, that is the control gap to close first.</w:t>
      </w:r>
    </w:p>
    <w:p>
      <w:pPr>
        <w:pStyle w:val="ListBullet"/>
      </w:pPr>
      <w:r>
        <w:rPr>
          <w:b w:val="0"/>
        </w:rPr>
      </w:r>
      <w:r>
        <w:rPr>
          <w:b/>
        </w:rPr>
        <w:t>Treat supplier self-service as infrastructure, not a project.</w:t>
      </w:r>
      <w:r>
        <w:rPr>
          <w:b w:val="0"/>
        </w:rPr>
        <w:t xml:space="preserve"> A structured status and communication layer connected to the ERP should be evaluated the same way as any core system: for reliability, auditability, and scale across hundreds of suppliers, not dozens.</w:t>
      </w:r>
    </w:p>
    <w:p>
      <w:r>
        <w:rPr>
          <w:b w:val="0"/>
        </w:rPr>
        <w:t>Disruption indices will keep moving up and down. According to the data leaders are reporting, the underlying condition will not. Organizations that build continuity infrastructure once will spend the next two years executing against it. Organizations that keep responding manually will spend the next two years rebuilding their crisis process, disruption after disruption.</w:t>
      </w:r>
    </w:p>
    <w:p>
      <w:r>
        <w:rPr>
          <w:b w:val="0"/>
        </w:rPr>
        <w:t>This is exactly where a structured supplier collaboration layer becomes critical. A Supplier Portal that holds supplier status, documentation, and mass communication in one auditable layer, connected to the ERP, turns ad hoc crisis response into standing infrastructure. For a condition the data says will not resolve in two years, that shift is an operating decision, not an emergency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