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CFOs, Not Banks, Own the November 2026 SWIFT Payments Deadline</w:t>
      </w:r>
    </w:p>
    <w:p>
      <w:r>
        <w:rPr>
          <w:b w:val="0"/>
        </w:rPr>
        <w:t>Most CFOs filed SWIFT's ISO 20022 migration under "bank IT project." That assumption is now a liability.</w:t>
      </w:r>
    </w:p>
    <w:p>
      <w:r>
        <w:rPr>
          <w:b w:val="0"/>
        </w:rPr>
        <w:t>The next hard deadline lands in November 2026. It forbids fully unstructured postal addresses in cross-border payment messages. According to Kyriba, structured Country and Town Name fields become mandatory for RTGS and cross-border transfers. This is not a messaging format change banks quietly absorb. Payment data must originate from the payer's own ERP.</w:t>
      </w:r>
    </w:p>
    <w:p>
      <w:r>
        <w:rPr>
          <w:b w:val="0"/>
        </w:rPr>
        <w:t>If your enterprise sends cross-border payments, this deadline is yours to solve.</w:t>
      </w:r>
    </w:p>
    <w:p>
      <w:pPr>
        <w:pStyle w:val="Heading2"/>
      </w:pPr>
      <w:r>
        <w:t>The ISO 20022 Timeline So Far</w:t>
      </w:r>
    </w:p>
    <w:p>
      <w:r>
        <w:rPr>
          <w:b w:val="0"/>
        </w:rPr>
        <w:t>The migration did not start with a single deadline. It has moved in stages. Each stage has tightened the requirements on payment originators.</w:t>
      </w:r>
    </w:p>
    <w:p>
      <w:pPr>
        <w:pStyle w:val="ListBullet"/>
      </w:pPr>
      <w:r>
        <w:rPr>
          <w:b w:val="0"/>
        </w:rPr>
      </w:r>
      <w:r>
        <w:rPr>
          <w:b/>
        </w:rPr>
        <w:t>November 2025:</w:t>
      </w:r>
      <w:r>
        <w:rPr>
          <w:b w:val="0"/>
        </w:rPr>
        <w:t xml:space="preserve"> SWIFT ended the MT/MX coexistence period for cross-border payments. According to Bank of America, legacy MT messages have not been permitted in the SWIFT FIN network for cross-border payments since that date.</w:t>
      </w:r>
    </w:p>
    <w:p>
      <w:pPr>
        <w:pStyle w:val="ListBullet"/>
      </w:pPr>
      <w:r>
        <w:rPr>
          <w:b w:val="0"/>
        </w:rPr>
      </w:r>
      <w:r>
        <w:rPr>
          <w:b/>
        </w:rPr>
        <w:t>January 1, 2026:</w:t>
      </w:r>
      <w:r>
        <w:rPr>
          <w:b w:val="0"/>
        </w:rPr>
        <w:t xml:space="preserve"> SWIFT began charging additional fees for institutions still relying on legacy MT contingency processing and in-flow translation. According to SWIFT, this applies to firms sending legacy MT payment instruction messages.</w:t>
      </w:r>
    </w:p>
    <w:p>
      <w:pPr>
        <w:pStyle w:val="ListBullet"/>
      </w:pPr>
      <w:r>
        <w:rPr>
          <w:b w:val="0"/>
        </w:rPr>
      </w:r>
      <w:r>
        <w:rPr>
          <w:b/>
        </w:rPr>
        <w:t>November 2026:</w:t>
      </w:r>
      <w:r>
        <w:rPr>
          <w:b w:val="0"/>
        </w:rPr>
        <w:t xml:space="preserve"> Fully unstructured postal addresses will no longer be accepted for RTGS and cross-border transfers, per Kyriba.</w:t>
      </w:r>
    </w:p>
    <w:p>
      <w:r>
        <w:rPr>
          <w:b w:val="0"/>
        </w:rPr>
        <w:t>Each stage narrows the room for legacy formatting. The final stage removes it entirely.</w:t>
      </w:r>
    </w:p>
    <w:p>
      <w:pPr>
        <w:pStyle w:val="Heading2"/>
      </w:pPr>
      <w:r>
        <w:t>Why "My Bank Will Handle It" Is the Wrong Assumption</w:t>
      </w:r>
    </w:p>
    <w:p>
      <w:r>
        <w:rPr>
          <w:b w:val="0"/>
        </w:rPr>
        <w:t>According to State Street, corporates are formally out of scope of SWIFT's mandatory migration timeline. Their banks are not.</w:t>
      </w:r>
    </w:p>
    <w:p>
      <w:r>
        <w:rPr>
          <w:b w:val="0"/>
        </w:rPr>
        <w:t>That distinction sounds reassuring. It is not.</w:t>
      </w:r>
    </w:p>
    <w:p>
      <w:r>
        <w:rPr>
          <w:b w:val="0"/>
        </w:rPr>
        <w:t>Banks are required to process ISO 20022-compliant messages. They are not required to generate the structured data those messages need. According to Kyriba, enriched payment data, including beneficiary addresses and payment purpose codes, must originate from corporate payment systems. Banks will not add it on a customer's behalf.</w:t>
      </w:r>
    </w:p>
    <w:p>
      <w:r>
        <w:rPr>
          <w:b w:val="0"/>
        </w:rPr>
        <w:t>This creates a compliance gap. When address or purpose data is incomplete, the gap falls back on the corporate ERP, not the bank's processing layer.</w:t>
      </w:r>
    </w:p>
    <w:p>
      <w:r>
        <w:rPr>
          <w:b w:val="0"/>
        </w:rPr>
        <w:t>In practice, this means:</w:t>
      </w:r>
    </w:p>
    <w:p>
      <w:pPr>
        <w:pStyle w:val="ListBullet"/>
      </w:pPr>
      <w:r>
        <w:rPr>
          <w:b w:val="0"/>
        </w:rPr>
        <w:t>Free-text address fields in your ERP payment templates will not clear cross-border validation after November 2026.</w:t>
      </w:r>
    </w:p>
    <w:p>
      <w:pPr>
        <w:pStyle w:val="ListBullet"/>
      </w:pPr>
      <w:r>
        <w:rPr>
          <w:b w:val="0"/>
        </w:rPr>
        <w:t>Manual workarounds, like copying addresses into separate fields at payment time, do not scale across thousands of monthly transactions.</w:t>
      </w:r>
    </w:p>
    <w:p>
      <w:pPr>
        <w:pStyle w:val="ListBullet"/>
      </w:pPr>
      <w:r>
        <w:rPr>
          <w:b w:val="0"/>
        </w:rPr>
        <w:t>Payment teams cannot rely on the bank portal to catch and fix structural gaps before submission.</w:t>
      </w:r>
    </w:p>
    <w:p>
      <w:r>
        <w:rPr>
          <w:b w:val="0"/>
        </w:rPr>
        <w:t>The compliance burden sits upstream, at the point where payment instructions are created.</w:t>
      </w:r>
    </w:p>
    <w:p>
      <w:pPr>
        <w:pStyle w:val="Heading2"/>
      </w:pPr>
      <w:r>
        <w:t>What Is at Risk for Israeli Enterprises Trading Internationally</w:t>
      </w:r>
    </w:p>
    <w:p>
      <w:r>
        <w:rPr>
          <w:b w:val="0"/>
        </w:rPr>
        <w:t>Israeli enterprises with cross-border supplier payments, intercompany transfers, or international payroll are directly exposed.</w:t>
      </w:r>
    </w:p>
    <w:p>
      <w:r>
        <w:rPr>
          <w:b w:val="0"/>
        </w:rPr>
        <w:t>Three consequences follow from unstructured payment data after November 2026:</w:t>
      </w:r>
    </w:p>
    <w:p>
      <w:r>
        <w:rPr>
          <w:b w:val="0"/>
        </w:rPr>
        <w:t xml:space="preserve">1. </w:t>
      </w:r>
      <w:r>
        <w:rPr>
          <w:b/>
        </w:rPr>
        <w:t>Delayed settlement.</w:t>
      </w:r>
      <w:r>
        <w:rPr>
          <w:b w:val="0"/>
        </w:rPr>
        <w:t xml:space="preserve"> Payments with incomplete address data face additional processing steps, or rejection, at the receiving bank. 2. </w:t>
      </w:r>
      <w:r>
        <w:rPr>
          <w:b/>
        </w:rPr>
        <w:t>Rejected cross-border payments.</w:t>
      </w:r>
      <w:r>
        <w:rPr>
          <w:b w:val="0"/>
        </w:rPr>
        <w:t xml:space="preserve"> Time-sensitive supplier payments, trade finance settlements, and payroll runs are all vulnerable if ERP export formats have not been updated. 3. </w:t>
      </w:r>
      <w:r>
        <w:rPr>
          <w:b/>
        </w:rPr>
        <w:t>Manual remediation costs.</w:t>
      </w:r>
      <w:r>
        <w:rPr>
          <w:b w:val="0"/>
        </w:rPr>
        <w:t xml:space="preserve"> Treasury and AP teams absorb the cost of re-keying, re-validating, and re-submitting rejected payment instructions, one transaction at a time.</w:t>
      </w:r>
    </w:p>
    <w:p>
      <w:r>
        <w:rPr>
          <w:b w:val="0"/>
        </w:rPr>
        <w:t>For enterprises processing high payment volumes, remediation at scale is not a one-time fix. It is a recurring operational drag. It compounds every month the underlying ERP data structure remains unresolved.</w:t>
      </w:r>
    </w:p>
    <w:p>
      <w:pPr>
        <w:pStyle w:val="Heading2"/>
      </w:pPr>
      <w:r>
        <w:t>Zahav's Alignment Shows the Direction Is Structural, Not Optional</w:t>
      </w:r>
    </w:p>
    <w:p>
      <w:r>
        <w:rPr>
          <w:b w:val="0"/>
        </w:rPr>
        <w:t>This is not only a cross-border, SWIFT-specific shift.</w:t>
      </w:r>
    </w:p>
    <w:p>
      <w:r>
        <w:rPr>
          <w:b w:val="0"/>
        </w:rPr>
        <w:t>According to the Bank of Israel, the Zahav RTGS system has already migrated to the ISO 20022 standard. That move aligns Israel's domestic payment infrastructure with SWIFT's cross-border messaging standard.</w:t>
      </w:r>
    </w:p>
    <w:p>
      <w:r>
        <w:rPr>
          <w:b w:val="0"/>
        </w:rPr>
        <w:t>That alignment matters for two reasons. First, it confirms that structured payment data is becoming the baseline expectation across both domestic and cross-border rails. Second, it means Israeli enterprises cannot treat this as a foreign compliance issue to monitor from a distance. The direction is set on both sides of the payment.</w:t>
      </w:r>
    </w:p>
    <w:p>
      <w:r>
        <w:rPr>
          <w:b w:val="0"/>
        </w:rPr>
        <w:t>Treasury and finance teams planning ERP upgrades, bank connectivity changes, or payment consolidation should treat structured data as a baseline requirement, not a future enhancement.</w:t>
      </w:r>
    </w:p>
    <w:p>
      <w:pPr>
        <w:pStyle w:val="Heading2"/>
      </w:pPr>
      <w:r>
        <w:t>Closing the Gap: Structured Data at the Point of Origin</w:t>
      </w:r>
    </w:p>
    <w:p>
      <w:r>
        <w:rPr>
          <w:b w:val="0"/>
        </w:rPr>
        <w:t>The practical fix is simple to state and harder to retrofit under deadline pressure. Payment data needs to be structured, validated, and complete before it leaves the ERP.</w:t>
      </w:r>
    </w:p>
    <w:p>
      <w:r>
        <w:rPr>
          <w:b w:val="0"/>
        </w:rPr>
        <w:t>This is exactly where direct ERP-to-bank payment initiation becomes critical. Meteor's ERP-to-bank and ERP-to-SWIFT payment initiation feeds structured, validated payment data straight from the source system. There is no manual re-entry step where unstructured addresses can slip through. There is no dependency on the bank to reconstruct missing fields after the fact.</w:t>
      </w:r>
    </w:p>
    <w:p>
      <w:r>
        <w:rPr>
          <w:b w:val="0"/>
        </w:rPr>
        <w:t>Meteor connects directly to all leading ERP systems and to 150+ of the largest banks worldwide. Payment instructions are built compliant from the start, not patched into compliance during a year-end scramble.</w:t>
      </w:r>
    </w:p>
    <w:p>
      <w:r>
        <w:rPr>
          <w:b w:val="0"/>
        </w:rPr>
        <w:t>CFOs evaluating readiness for November 2026 should ask three questions now:</w:t>
      </w:r>
    </w:p>
    <w:p>
      <w:pPr>
        <w:pStyle w:val="ListBullet"/>
      </w:pPr>
      <w:r>
        <w:rPr>
          <w:b w:val="0"/>
        </w:rPr>
        <w:t>Does our ERP export structured address and purpose-code fields for every cross-border payment type we process?</w:t>
      </w:r>
    </w:p>
    <w:p>
      <w:pPr>
        <w:pStyle w:val="ListBullet"/>
      </w:pPr>
      <w:r>
        <w:rPr>
          <w:b w:val="0"/>
        </w:rPr>
        <w:t>Do we have visibility into which payment templates still rely on free-text address fields?</w:t>
      </w:r>
    </w:p>
    <w:p>
      <w:pPr>
        <w:pStyle w:val="ListBullet"/>
      </w:pPr>
      <w:r>
        <w:rPr>
          <w:b w:val="0"/>
        </w:rPr>
        <w:t>Who owns remediation if a batch of cross-border payments is rejected in Q4 2026?</w:t>
      </w:r>
    </w:p>
    <w:p>
      <w:r>
        <w:rPr>
          <w:b w:val="0"/>
        </w:rPr>
        <w:t>The deadline is fixed. The remediation window is not. Enterprises that treat structured payment data as an ERP-level requirement will meet November 2026 as a non-event. Those that wait will meet it as a payments incident.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