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Bank Fees Are Climbing Again in 2026. Most CFOs Still Can't See What They're Paying.</w:t>
      </w:r>
    </w:p>
    <w:p>
      <w:r>
        <w:rPr>
          <w:b w:val="0"/>
        </w:rPr>
        <w:t>Every CFO owns a bank fee line. Few can fully reconcile it.</w:t>
      </w:r>
    </w:p>
    <w:p>
      <w:r>
        <w:rPr>
          <w:b w:val="0"/>
        </w:rPr>
        <w:t>According to the Association for Financial Professionals' 2026 Commercial Account Analysis Benchmarks report, managing commercial bank fees remains a critical, increasingly complex task. Banks are now pushing fees back up after several years of smaller increases. AFP calls this a "rubber-band effect."</w:t>
      </w:r>
    </w:p>
    <w:p>
      <w:r>
        <w:rPr>
          <w:b w:val="0"/>
        </w:rPr>
        <w:t>The timing matters. CFO Dive reports that a Clearing House executive said finance and treasury leaders are prioritizing deeper visibility into payment rails and treasury systems, as business increasingly runs in real time. That broader visibility push reinforces the same pressure on bank fees, even though it is not fee-specific research on its own.</w:t>
      </w:r>
    </w:p>
    <w:p>
      <w:r>
        <w:rPr>
          <w:b w:val="0"/>
        </w:rPr>
        <w:t>This is not a fraud story. It is not an AI story. It is a structural visibility gap in a cost line every finance organization already carries.</w:t>
      </w:r>
    </w:p>
    <w:p>
      <w:pPr>
        <w:pStyle w:val="Heading2"/>
      </w:pPr>
      <w:r>
        <w:t>Bank Fees: The Line Item Almost Nobody Fully Reconciles</w:t>
      </w:r>
    </w:p>
    <w:p>
      <w:r>
        <w:rPr>
          <w:b w:val="0"/>
        </w:rPr>
        <w:t>Bank fees sit in a difficult category. They are recurring, material, and contractual. Yet they routinely escape standard financial oversight.</w:t>
      </w:r>
    </w:p>
    <w:p>
      <w:r>
        <w:rPr>
          <w:b w:val="0"/>
        </w:rPr>
        <w:t>According to Open Fees, bank fees are one of the largest recurring corporate expenses that regularly escapes standard controls. The reason is not negligence. It is format.</w:t>
      </w:r>
    </w:p>
    <w:p>
      <w:r>
        <w:rPr>
          <w:b w:val="0"/>
        </w:rPr>
        <w:t>Bank statements are dense. They are non-standardized across banking relationships. A fee labeled one way at one institution appears under a different code, a different currency convention, or a different billing cycle at another.</w:t>
      </w:r>
    </w:p>
    <w:p>
      <w:r>
        <w:rPr>
          <w:b w:val="0"/>
        </w:rPr>
        <w:t>For a single-bank company, this is an annoyance. For a multi-bank enterprise, it becomes a structural blind spot.</w:t>
      </w:r>
    </w:p>
    <w:p>
      <w:pPr>
        <w:pStyle w:val="Heading2"/>
      </w:pPr>
      <w:r>
        <w:t>Why Multi-Bank, Multi-Entity Structures Make Fee Transparency Structurally Hard</w:t>
      </w:r>
    </w:p>
    <w:p>
      <w:r>
        <w:rPr>
          <w:b w:val="0"/>
        </w:rPr>
        <w:t>Enterprise treasury teams rarely bank with one institution. Multiple entities, multiple currencies, and multiple jurisdictions typically mean multiple banking relationships. Each one carries its own statement format.</w:t>
      </w:r>
    </w:p>
    <w:p>
      <w:r>
        <w:rPr>
          <w:b w:val="0"/>
        </w:rPr>
        <w:t>The scale of this fragmentation is documented. The AFP benchmark data behind the 2026 report is built from more than 85,000 actual account analysis statements, drawn from corporate treasury pricing at more than 100 different banks worldwide.</w:t>
      </w:r>
    </w:p>
    <w:p>
      <w:r>
        <w:rPr>
          <w:b w:val="0"/>
        </w:rPr>
        <w:t>That number is not a curiosity. It is a proxy for how fragmented enterprise fee data actually is. If an industry benchmark requires 85,000 statements across 100+ banks to build a reliable picture, a single treasury team managing five or ten banking relationships faces the same fragmentation at a smaller scale, without the benchmark's resources to normalize it.</w:t>
      </w:r>
    </w:p>
    <w:p>
      <w:r>
        <w:rPr>
          <w:b w:val="0"/>
        </w:rPr>
        <w:t>Each bank sends its own PDF or CSV. Each uses its own line-item taxonomy. Reconciling these into one comparable view requires manual extraction, manual mapping, and manual judgment about what counts as the same fee category.</w:t>
      </w:r>
    </w:p>
    <w:p>
      <w:r>
        <w:rPr>
          <w:b w:val="0"/>
        </w:rPr>
        <w:t>This is a workflow-design problem, not a competence problem. Treasury teams are not failing to read their statements. They are working with data that was never designed to be compared.</w:t>
      </w:r>
    </w:p>
    <w:p>
      <w:pPr>
        <w:pStyle w:val="Heading2"/>
      </w:pPr>
      <w:r>
        <w:t>What 2026 Benchmark Data Shows: Fees Are Rising Again, Scrutiny Is Rising Faster</w:t>
      </w:r>
    </w:p>
    <w:p>
      <w:r>
        <w:rPr>
          <w:b w:val="0"/>
        </w:rPr>
        <w:t>Two trends are converging in 2026, and they pull in the same direction.</w:t>
      </w:r>
    </w:p>
    <w:p>
      <w:r>
        <w:rPr>
          <w:b w:val="0"/>
        </w:rPr>
        <w:t>First, fees are increasing. AFP's rubber-band framing describes banks recovering pricing ground after a period of restraint. For CFOs, this means fee creep is no longer a background assumption. It is an active cost trend requiring active tracking.</w:t>
      </w:r>
    </w:p>
    <w:p>
      <w:r>
        <w:rPr>
          <w:b w:val="0"/>
        </w:rPr>
        <w:t>Second, expectations for visibility are increasing faster. Kyriba frames unmanaged bank fees as a CFO risk specifically tied to a high-rate economy, connecting fee discipline directly to broader cost-control and forecasting mandates.</w:t>
      </w:r>
    </w:p>
    <w:p>
      <w:r>
        <w:rPr>
          <w:b w:val="0"/>
        </w:rPr>
        <w:t>Trovata goes further, framing fee transparency as a signal of financial control and sophistication. Boards, auditors, and investors increasingly expect this level of oversight from treasury teams, not as a cost-saving exercise, but as a governance baseline.</w:t>
      </w:r>
    </w:p>
    <w:p>
      <w:r>
        <w:rPr>
          <w:b w:val="0"/>
        </w:rPr>
        <w:t>The combination is unforgiving. Fees are rising at a moment when the tolerance for not knowing what you are paying is falling.</w:t>
      </w:r>
    </w:p>
    <w:p>
      <w:pPr>
        <w:pStyle w:val="Heading2"/>
      </w:pPr>
      <w:r>
        <w:t>From Scattered PDFs to One Ledger: What Real-Time Bank Aggregation Changes</w:t>
      </w:r>
    </w:p>
    <w:p>
      <w:r>
        <w:rPr>
          <w:b w:val="0"/>
        </w:rPr>
        <w:t>The structural problem has a structural answer. Direct connectivity to every banking relationship, feeding one consolidated, comparable data layer.</w:t>
      </w:r>
    </w:p>
    <w:p>
      <w:r>
        <w:rPr>
          <w:b w:val="0"/>
        </w:rPr>
        <w:t>This is exactly where direct bank aggregation becomes critical. Meteor connects directly to all Israeli banks and to more than 150 global banks. That connectivity brings scattered, bank-by-bank statements into one consolidated, current view of transactions and account activity, the foundation treasury needs before it can compare fees at all.</w:t>
      </w:r>
    </w:p>
    <w:p>
      <w:r>
        <w:rPr>
          <w:b w:val="0"/>
        </w:rPr>
        <w:t>The difference this makes is not cosmetic. It changes what treasury can actually work with:</w:t>
      </w:r>
    </w:p>
    <w:p>
      <w:pPr>
        <w:pStyle w:val="ListBullet"/>
      </w:pPr>
      <w:r>
        <w:rPr>
          <w:b w:val="0"/>
        </w:rPr>
      </w:r>
      <w:r>
        <w:rPr>
          <w:b/>
        </w:rPr>
        <w:t>All banking activity in one place</w:t>
      </w:r>
      <w:r>
        <w:rPr>
          <w:b w:val="0"/>
        </w:rPr>
        <w:t>, instead of statements trapped in each institution's own format.</w:t>
      </w:r>
    </w:p>
    <w:p>
      <w:pPr>
        <w:pStyle w:val="ListBullet"/>
      </w:pPr>
      <w:r>
        <w:rPr>
          <w:b w:val="0"/>
        </w:rPr>
      </w:r>
      <w:r>
        <w:rPr>
          <w:b/>
        </w:rPr>
        <w:t>Current account data, not a quarter-end snapshot</w:t>
      </w:r>
      <w:r>
        <w:rPr>
          <w:b w:val="0"/>
        </w:rPr>
        <w:t>, so a fee change does not wait for the next reconciliation cycle to surface.</w:t>
      </w:r>
    </w:p>
    <w:p>
      <w:pPr>
        <w:pStyle w:val="ListBullet"/>
      </w:pPr>
      <w:r>
        <w:rPr>
          <w:b w:val="0"/>
        </w:rPr>
      </w:r>
      <w:r>
        <w:rPr>
          <w:b/>
        </w:rPr>
        <w:t>Multi-entity, multi-currency activity in one view</w:t>
      </w:r>
      <w:r>
        <w:rPr>
          <w:b w:val="0"/>
        </w:rPr>
        <w:t>, instead of a spreadsheet stitched together manually.</w:t>
      </w:r>
    </w:p>
    <w:p>
      <w:pPr>
        <w:pStyle w:val="ListBullet"/>
      </w:pPr>
      <w:r>
        <w:rPr>
          <w:b w:val="0"/>
        </w:rPr>
      </w:r>
      <w:r>
        <w:rPr>
          <w:b/>
        </w:rPr>
        <w:t>A consistent data foundation treasury teams can build fee comparisons and analysis on</w:t>
      </w:r>
      <w:r>
        <w:rPr>
          <w:b w:val="0"/>
        </w:rPr>
        <w:t>, rather than starting from scratch with every banking relationship.</w:t>
      </w:r>
    </w:p>
    <w:p>
      <w:r>
        <w:rPr>
          <w:b w:val="0"/>
        </w:rPr>
        <w:t>This is not about automating a task away. It is about giving treasury a data foundation that the underlying banking infrastructure never provided on its own.</w:t>
      </w:r>
    </w:p>
    <w:p>
      <w:pPr>
        <w:pStyle w:val="Heading2"/>
      </w:pPr>
      <w:r>
        <w:t>Turning Fee Visibility Into Negotiating Leverage, Not Just an Audit Trail</w:t>
      </w:r>
    </w:p>
    <w:p>
      <w:r>
        <w:rPr>
          <w:b w:val="0"/>
        </w:rPr>
        <w:t>Consolidated fee data is a negotiating position. Scattered statements are not. The gap between them is what most fee transparency initiatives miss.</w:t>
      </w:r>
    </w:p>
    <w:p>
      <w:r>
        <w:rPr>
          <w:b w:val="0"/>
        </w:rPr>
        <w:t>A consolidated, current view of banking activity lets treasury do three things that scattered statements do not support:</w:t>
      </w:r>
    </w:p>
    <w:p>
      <w:pPr>
        <w:pStyle w:val="ListBullet"/>
      </w:pPr>
      <w:r>
        <w:rPr>
          <w:b w:val="0"/>
        </w:rPr>
      </w:r>
      <w:r>
        <w:rPr>
          <w:b/>
        </w:rPr>
        <w:t>Benchmark internally.</w:t>
      </w:r>
      <w:r>
        <w:rPr>
          <w:b w:val="0"/>
        </w:rPr>
        <w:t xml:space="preserve"> Compare costs across banking relationships for functionally similar services, working from one consistent data source instead of reconciling formats bank by bank.</w:t>
      </w:r>
    </w:p>
    <w:p>
      <w:pPr>
        <w:pStyle w:val="ListBullet"/>
      </w:pPr>
      <w:r>
        <w:rPr>
          <w:b w:val="0"/>
        </w:rPr>
      </w:r>
      <w:r>
        <w:rPr>
          <w:b/>
        </w:rPr>
        <w:t>Benchmark externally.</w:t>
      </w:r>
      <w:r>
        <w:rPr>
          <w:b w:val="0"/>
        </w:rPr>
        <w:t xml:space="preserve"> Reference industry data, such as AFP's NDepth-based benchmarks, to confirm whether pricing sits inside or outside a reasonable range.</w:t>
      </w:r>
    </w:p>
    <w:p>
      <w:pPr>
        <w:pStyle w:val="ListBullet"/>
      </w:pPr>
      <w:r>
        <w:rPr>
          <w:b w:val="0"/>
        </w:rPr>
      </w:r>
      <w:r>
        <w:rPr>
          <w:b/>
        </w:rPr>
        <w:t>Negotiate from evidence.</w:t>
      </w:r>
      <w:r>
        <w:rPr>
          <w:b w:val="0"/>
        </w:rPr>
        <w:t xml:space="preserve"> Bring specific, dated fee data into a renewal conversation, rather than a general sense that costs feel high.</w:t>
      </w:r>
    </w:p>
    <w:p>
      <w:r>
        <w:rPr>
          <w:b w:val="0"/>
        </w:rPr>
        <w:t>This is the practical difference between an audit trail and a negotiating position. An audit trail documents what happened. A negotiating position changes what happens next.</w:t>
      </w:r>
    </w:p>
    <w:p>
      <w:r>
        <w:rPr>
          <w:b w:val="0"/>
        </w:rPr>
        <w:t>Given AFP's rubber-band effect, banks are testing how much fee increase the market will absorb without pushback. Enterprises with consolidated, real-time fee data are positioned to push back with specifics. Enterprises without it are positioned to absorb the increase by default.</w:t>
      </w:r>
    </w:p>
    <w:p>
      <w:pPr>
        <w:pStyle w:val="Heading2"/>
      </w:pPr>
      <w:r>
        <w:t>What CFOs Should Ask Before Their Next Banking Relationship Renewal</w:t>
      </w:r>
    </w:p>
    <w:p>
      <w:r>
        <w:rPr>
          <w:b w:val="0"/>
        </w:rPr>
        <w:t>Banking relationship renewals are a recurring, predictable event. They are also a recurring, predictable opportunity to close the visibility gap before renegotiating pricing.</w:t>
      </w:r>
    </w:p>
    <w:p>
      <w:r>
        <w:rPr>
          <w:b w:val="0"/>
        </w:rPr>
        <w:t>Before the next renewal cycle, CFOs and treasury leaders should be able to answer:</w:t>
      </w:r>
    </w:p>
    <w:p>
      <w:pPr>
        <w:pStyle w:val="ListBullet"/>
      </w:pPr>
      <w:r>
        <w:rPr>
          <w:b w:val="0"/>
        </w:rPr>
        <w:t>Can we produce one consolidated fee report across all banking relationships, in comparable categories, without manual reconciliation?</w:t>
      </w:r>
    </w:p>
    <w:p>
      <w:pPr>
        <w:pStyle w:val="ListBullet"/>
      </w:pPr>
      <w:r>
        <w:rPr>
          <w:b w:val="0"/>
        </w:rPr>
        <w:t>Do we know how our fee structure compares to industry benchmarks such as AFP's Commercial Account Analysis data?</w:t>
      </w:r>
    </w:p>
    <w:p>
      <w:pPr>
        <w:pStyle w:val="ListBullet"/>
      </w:pPr>
      <w:r>
        <w:rPr>
          <w:b w:val="0"/>
        </w:rPr>
        <w:t>Can we identify a fee increase within days of it appearing, rather than at the next quarterly close?</w:t>
      </w:r>
    </w:p>
    <w:p>
      <w:pPr>
        <w:pStyle w:val="ListBullet"/>
      </w:pPr>
      <w:r>
        <w:rPr>
          <w:b w:val="0"/>
        </w:rPr>
        <w:t>Is our fee data current enough to support a renegotiation conversation with specifics, not estimates?</w:t>
      </w:r>
    </w:p>
    <w:p>
      <w:r>
        <w:rPr>
          <w:b w:val="0"/>
        </w:rPr>
        <w:t>If the honest answer to any of these is no, the underlying issue is rarely the banking relationship itself. It is the absence of a data layer that makes multi-bank fee activity comparable in the first place.</w:t>
      </w:r>
    </w:p>
    <w:p>
      <w:r>
        <w:rPr>
          <w:b w:val="0"/>
        </w:rPr>
        <w:t>Bank fees are not going away, and based on AFP's 2026 data, they are not shrinking either. The organizations that manage this line item well in 2026 will not be the ones with the most aggressive negotiators. They will be the ones with the clearest data.</w:t>
      </w:r>
    </w:p>
    <w:p>
      <w:r>
        <w:rPr>
          <w:b w:val="0"/>
        </w:rPr>
        <w:t>Meteor's direct connectivity across Israeli and 150+ global banks exists to close exactly that gap. It replaces scattered, bank-by-bank statements with one consolidated, current view treasury teams can build fee comparisons and renewal conversations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