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CCFF"/>
                <w:sz w:val="18"/>
                <w:szCs w:val="18"/>
              </w:rPr>
              <w:t xml:space="preserve">GRUPPO A  •  Lezione 3 — Martedì 26/05/2026</w:t>
            </w:r>
          </w:p>
          <w:p>
            <w:pPr>
              <w:spacing w:after="20" w:before="2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Context Window &amp; Token</w:t>
            </w:r>
          </w:p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CCDDFF"/>
                <w:sz w:val="18"/>
                <w:szCs w:val="18"/>
              </w:rPr>
              <w:t xml:space="preserve">30 min preparazione  |  10 min presentazione  |  5-7 slide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i w:val="false"/>
          <w:iCs w:val="false"/>
          <w:color w:val="065A82"/>
          <w:sz w:val="34"/>
          <w:szCs w:val="34"/>
        </w:rPr>
        <w:t xml:space="preserve">Obiettivi</w:t>
      </w:r>
    </w:p>
    <w:p>
      <w:pPr>
        <w:spacing w:after="60" w:before="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Al termine della presentazione, i compagni dovranno capire: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Cosa è la context window e perché è il limite fondamentale di ogni LLM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Come si contano i token e perché l'italiano ne consuma di più dell'inglese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Come la context window influenza i costi e come monitorarli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Cos'è la KV Cache e come riduce automaticamente i costi</w:t>
      </w:r>
    </w:p>
    <w:p>
      <w:pPr>
        <w:spacing w:after="0" w:before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i w:val="false"/>
          <w:iCs w:val="false"/>
          <w:color w:val="065A82"/>
          <w:sz w:val="34"/>
          <w:szCs w:val="34"/>
        </w:rPr>
        <w:t xml:space="preserve">Struttura slide</w:t>
      </w:r>
    </w:p>
    <w:p>
      <w:pPr>
        <w:spacing w:after="60" w:before="4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6B8CA4"/>
          <w:sz w:val="22"/>
          <w:szCs w:val="22"/>
        </w:rPr>
        <w:t xml:space="preserve">I contenuti con ✅ sono obbligatori.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Slide
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5A82"/>
                <w:sz w:val="22"/>
                <w:szCs w:val="22"/>
              </w:rPr>
              <w:t xml:space="preserve">Apertura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✅ Nomi del gruppo e chi presenta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Demo immediata: mostra quanto 'pesa' una conversazione di 10 messaggi in token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Slide
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5A82"/>
                <w:sz w:val="22"/>
                <w:szCs w:val="22"/>
              </w:rPr>
              <w:t xml:space="preserve">Cos'è la context window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✅ Definizione: tutto ciò che il modello 'vede' in un momento — system prompt + history + messaggio corrente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✅ Claude Haiku: 200.000 token di contesto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✅ Cosa succede quando si supera: errore 413 o i messaggi più vecchi vengono ignorati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Slide
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5A82"/>
                <w:sz w:val="22"/>
                <w:szCs w:val="22"/>
              </w:rPr>
              <w:t xml:space="preserve">Token: non sono parole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✅ 1 token ≈ 3-4 caratteri in inglese, meno in italiano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✅ Esempio visivo: stessa frase in inglese e italiano — quanti token?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Strumento online per vedere la tokenizzazione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Slide
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5A82"/>
                <w:sz w:val="22"/>
                <w:szCs w:val="22"/>
              </w:rPr>
              <w:t xml:space="preserve">Costi e KV Cache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✅ Haiku: $1/M input, $5/M output — calcolo del costo di una sessione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✅ KV Cache: il system prompt uguale tra chiamate viene servito al 10% del costo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Come monitorare con count_tokens() e usage nella risposta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Slide
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5A82"/>
                <w:sz w:val="22"/>
                <w:szCs w:val="22"/>
              </w:rPr>
              <w:t xml:space="preserve">Conclusioni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✅ I 3 numeri da ricordare: 200k token, $1/M input, 90% risparmio con cache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Domanda al pubblico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i w:val="false"/>
          <w:iCs w:val="false"/>
          <w:color w:val="065A82"/>
          <w:sz w:val="34"/>
          <w:szCs w:val="34"/>
        </w:rPr>
        <w:t xml:space="preserve">Ricerca autonoma</w:t>
      </w:r>
    </w:p>
    <w:p>
      <w:pPr>
        <w:spacing w:after="60" w:before="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Approfondite almeno 2-3 di questi punti nei 30 minuti: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65A82"/>
          <w:sz w:val="22"/>
          <w:szCs w:val="22"/>
        </w:rPr>
        <w:t xml:space="preserve">🔍 Cerca il tokenizer di Claude online — esiste uno strumento per visualizzare come divide il testo?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65A82"/>
          <w:sz w:val="22"/>
          <w:szCs w:val="22"/>
        </w:rPr>
        <w:t xml:space="preserve">🔍 Confronta la context window di Claude Haiku vs GPT-4o vs Gemini — chi ha la finestra più grande?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65A82"/>
          <w:sz w:val="22"/>
          <w:szCs w:val="22"/>
        </w:rPr>
        <w:t xml:space="preserve">🔍 Approfondisci la KV Cache: come funziona tecnicamente e quando si attiva?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65A82"/>
          <w:sz w:val="22"/>
          <w:szCs w:val="22"/>
        </w:rPr>
        <w:t xml:space="preserve">🔍 Cerca dati reali: quanti token consuma mediamente una conversazione di 20 messaggi?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65A82"/>
          <w:sz w:val="22"/>
          <w:szCs w:val="22"/>
        </w:rPr>
        <w:t xml:space="preserve">🔍 Trova esempi di applicazioni che hanno avuto problemi di costi per mancata gestione della context window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✅ Presentazione completa se: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La differenza token/parola è spiegata con un esempio visivo originale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Il costo di una sessione viene calcolato in diretta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La KV Cache è spiegata con il suo impatto pratico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Rispetta i 10 minuti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7722"/>
                <w:sz w:val="22"/>
                <w:szCs w:val="22"/>
              </w:rPr>
              <w:t xml:space="preserve">⚠️ Attenzione a: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7722"/>
                <w:sz w:val="22"/>
                <w:szCs w:val="22"/>
              </w:rPr>
              <w:t xml:space="preserve">Non limitarsi alla teoria — mostrare sempre numeri concreti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7722"/>
                <w:sz w:val="22"/>
                <w:szCs w:val="22"/>
              </w:rPr>
              <w:t xml:space="preserve">Non confondere token con caratteri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7722"/>
                <w:sz w:val="22"/>
                <w:szCs w:val="22"/>
              </w:rPr>
              <w:t xml:space="preserve">Non superare i 10 minuti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5A82"/>
                <w:sz w:val="22"/>
                <w:szCs w:val="22"/>
              </w:rPr>
              <w:t xml:space="preserve">💡 Tips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Il calcolo del costo in diretta è il momento più concreto — preparatelo con numeri reali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Per la tokenizzazione: mostrate la stessa frase 'Il mio chatbot funziona bene' in italiano vs inglese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La KV Cache è spesso sconosciuta — è il vostro punto di differenziazione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i w:val="false"/>
          <w:iCs w:val="false"/>
          <w:color w:val="065A82"/>
          <w:sz w:val="34"/>
          <w:szCs w:val="34"/>
        </w:rPr>
        <w:t xml:space="preserve">Rotazione presentatori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200"/>
        <w:gridCol w:w="1200"/>
        <w:gridCol w:w="1200"/>
        <w:gridCol w:w="1200"/>
        <w:gridCol w:w="1200"/>
        <w:gridCol w:w="18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Gruppo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L1
19/05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L2
21/05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L3
26/05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L4
28/05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L5
04/06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L6
09/06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>Gruppo 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5A82"/>
                <w:sz w:val="20"/>
                <w:szCs w:val="20"/>
              </w:rPr>
              <w:t xml:space="preserve">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5A82"/>
                <w:sz w:val="20"/>
                <w:szCs w:val="20"/>
              </w:rPr>
              <w:t xml:space="preserve">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>Gruppo 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5A82"/>
                <w:sz w:val="20"/>
                <w:szCs w:val="20"/>
              </w:rPr>
              <w:t xml:space="preserve">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>Gruppo 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5A82"/>
                <w:sz w:val="20"/>
                <w:szCs w:val="20"/>
              </w:rPr>
              <w:t xml:space="preserve">🎤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C7293" w:sz="4"/>
      </w:pBdr>
      <w:jc w:val="right"/>
    </w:pPr>
    <w:r>
      <w:rPr>
        <w:rFonts w:ascii="Calibri" w:cs="Calibri" w:eastAsia="Calibri" w:hAnsi="Calibri"/>
        <w:b w:val="false"/>
        <w:bCs w:val="false"/>
        <w:i w:val="false"/>
        <w:iCs w:val="false"/>
        <w:color w:val="888888"/>
        <w:sz w:val="18"/>
        <w:szCs w:val="18"/>
      </w:rPr>
      <w:t xml:space="preserve">Pag.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65A82" w:sz="4"/>
      </w:pBdr>
    </w:pPr>
    <w:r>
      <w:rPr>
        <w:rFonts w:ascii="Calibri" w:cs="Calibri" w:eastAsia="Calibri" w:hAnsi="Calibri"/>
        <w:b/>
        <w:bCs/>
        <w:i w:val="false"/>
        <w:iCs w:val="false"/>
        <w:color w:val="065A82"/>
        <w:sz w:val="18"/>
        <w:szCs w:val="18"/>
      </w:rPr>
      <w:t xml:space="preserve">GRUPPO A — Context Window &amp; Token</w:t>
    </w:r>
    <w:r>
      <w:rPr>
        <w:rFonts w:ascii="Calibri" w:cs="Calibri" w:eastAsia="Calibri" w:hAnsi="Calibri"/>
        <w:b w:val="false"/>
        <w:bCs w:val="false"/>
        <w:i w:val="false"/>
        <w:iCs w:val="false"/>
        <w:color w:val="888888"/>
        <w:sz w:val="18"/>
        <w:szCs w:val="18"/>
      </w:rPr>
      <w:t xml:space="preserve">   |   Lezione 3 — Conversazione &amp; Memoria  |  26/05/2026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E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1C7293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065A82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Calibri" w:cs="Calibri" w:eastAsia="Calibri" w:hAnsi="Calibri"/>
      <w:b/>
      <w:bCs/>
      <w:color w:val="E8772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2026-05-06T15:58:57.053Z</dcterms:created>
  <dcterms:modified xsi:type="dcterms:W3CDTF">2026-05-06T15:58:57.053Z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