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a365d"/>
          <w:sz w:val="32"/>
          <w:szCs w:val="32"/>
        </w:rPr>
        <w:t xml:space="preserve">REPORTE DE PRUEBAS AUTOMATIZADAS</w:t>
      </w:r>
    </w:p>
    <w:p>
      <w:pPr>
        <w:spacing w:after="100"/>
        <w:jc w:val="center"/>
      </w:pPr>
      <w:r>
        <w:rPr>
          <w:b/>
          <w:bCs/>
          <w:color w:val="1a365d"/>
          <w:sz w:val="24"/>
          <w:szCs w:val="24"/>
        </w:rPr>
        <w:t xml:space="preserve">Hito 2 — Módulo de Tesorería y Comprobantes</w:t>
      </w:r>
    </w:p>
    <w:p>
      <w:pPr>
        <w:spacing w:after="100"/>
        <w:jc w:val="center"/>
      </w:pPr>
      <w:r>
        <w:rPr>
          <w:color w:val="718096"/>
          <w:sz w:val="20"/>
          <w:szCs w:val="20"/>
        </w:rPr>
        <w:t xml:space="preserve">PGIP — Parroquia San Agustín de Sumpango</w:t>
      </w:r>
    </w:p>
    <w:p>
      <w:pPr>
        <w:spacing w:after="400"/>
        <w:jc w:val="center"/>
      </w:pPr>
      <w:r>
        <w:rPr>
          <w:b/>
          <w:bCs/>
          <w:color w:val="c05621"/>
          <w:sz w:val="20"/>
          <w:szCs w:val="20"/>
        </w:rPr>
        <w:t xml:space="preserve">Versión v1 → v2 (con correcciones)</w:t>
      </w:r>
    </w:p>
    <w:p>
      <w:pPr>
        <w:spacing w:after="200" w:before="200"/>
      </w:pPr>
      <w:r>
        <w:rPr>
          <w:b/>
          <w:bCs/>
          <w:color w:val="1a365d"/>
          <w:sz w:val="24"/>
          <w:szCs w:val="24"/>
        </w:rPr>
        <w:t xml:space="preserve">1. INFORMACIÓN GENERAL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Hito evaluado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Hito 2 — Tesorería y Comprobantes</w:t>
            </w:r>
          </w:p>
        </w:tc>
      </w:tr>
      <w:tr>
        <w:tc>
          <w:tcPr>
            <w:shd w:color="FFFFFF" w:val="solid"/>
            <w:tcMar>
              <w:top w:type="dxa" w:w="60"/>
              <w:left w:type="dxa" w:w="100"/>
              <w:bottom w:type="dxa" w:w="60"/>
              <w:right w:type="dxa" w:w="100"/>
            </w:tcMar>
          </w:tcPr>
          <w:p>
            <w:pPr>
              <w:jc w:val="left"/>
            </w:pPr>
            <w:r>
              <w:rPr>
                <w:b/>
                <w:bCs/>
                <w:color w:val="2d3748"/>
                <w:sz w:val="17"/>
                <w:szCs w:val="17"/>
              </w:rPr>
              <w:t xml:space="preserve">Herramienta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Jest 29 + Supertest</w:t>
            </w:r>
          </w:p>
        </w:tc>
      </w:tr>
      <w:tr>
        <w:tc>
          <w:tcPr>
            <w:shd w:color="FFFFFF" w:val="solid"/>
            <w:tcMar>
              <w:top w:type="dxa" w:w="60"/>
              <w:left w:type="dxa" w:w="100"/>
              <w:bottom w:type="dxa" w:w="60"/>
              <w:right w:type="dxa" w:w="100"/>
            </w:tcMar>
          </w:tcPr>
          <w:p>
            <w:pPr>
              <w:jc w:val="left"/>
            </w:pPr>
            <w:r>
              <w:rPr>
                <w:b/>
                <w:bCs/>
                <w:color w:val="2d3748"/>
                <w:sz w:val="17"/>
                <w:szCs w:val="17"/>
              </w:rPr>
              <w:t xml:space="preserve">Versiones ejecutadas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v1 (ejecución inicial) → v2 (con correcciones)</w:t>
            </w:r>
          </w:p>
        </w:tc>
      </w:tr>
      <w:tr>
        <w:tc>
          <w:tcPr>
            <w:shd w:color="FFFFFF" w:val="solid"/>
            <w:tcMar>
              <w:top w:type="dxa" w:w="60"/>
              <w:left w:type="dxa" w:w="100"/>
              <w:bottom w:type="dxa" w:w="60"/>
              <w:right w:type="dxa" w:w="100"/>
            </w:tcMar>
          </w:tcPr>
          <w:p>
            <w:pPr>
              <w:jc w:val="left"/>
            </w:pPr>
            <w:r>
              <w:rPr>
                <w:b/>
                <w:bCs/>
                <w:color w:val="2d3748"/>
                <w:sz w:val="17"/>
                <w:szCs w:val="17"/>
              </w:rPr>
              <w:t xml:space="preserve">Fecha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miércoles, 7 de octubre de 2026</w:t>
            </w:r>
          </w:p>
        </w:tc>
      </w:tr>
      <w:tr>
        <w:tc>
          <w:tcPr>
            <w:shd w:color="FFFFFF" w:val="solid"/>
            <w:tcMar>
              <w:top w:type="dxa" w:w="60"/>
              <w:left w:type="dxa" w:w="100"/>
              <w:bottom w:type="dxa" w:w="60"/>
              <w:right w:type="dxa" w:w="100"/>
            </w:tcMar>
          </w:tcPr>
          <w:p>
            <w:pPr>
              <w:jc w:val="left"/>
            </w:pPr>
            <w:r>
              <w:rPr>
                <w:b/>
                <w:bCs/>
                <w:color w:val="2d3748"/>
                <w:sz w:val="17"/>
                <w:szCs w:val="17"/>
              </w:rPr>
              <w:t xml:space="preserve">Ambiente</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Producción — Supabase + Render</w:t>
            </w:r>
          </w:p>
        </w:tc>
      </w:tr>
    </w:tbl>
    <w:p>
      <w:pPr>
        <w:spacing w:after="200" w:before="400"/>
      </w:pPr>
      <w:r>
        <w:rPr>
          <w:b/>
          <w:bCs/>
          <w:color w:val="1a365d"/>
          <w:sz w:val="24"/>
          <w:szCs w:val="24"/>
        </w:rPr>
        <w:t xml:space="preserve">2. RESUMEN COMPARATIVO v1 vs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2527"/>
        <w:gridCol w:w="2527"/>
      </w:tblGrid>
      <w:tr>
        <w:tc>
          <w:tcPr>
            <w:shd w:color="1a365d" w:val="solid"/>
            <w:tcMar>
              <w:top w:type="dxa" w:w="80"/>
              <w:left w:type="dxa" w:w="100"/>
              <w:bottom w:type="dxa" w:w="80"/>
              <w:right w:type="dxa" w:w="100"/>
            </w:tcMar>
          </w:tcPr>
          <w:p>
            <w:pPr>
              <w:jc w:val="center"/>
            </w:pPr>
            <w:r>
              <w:rPr>
                <w:b/>
                <w:bCs/>
                <w:color w:val="FFFFFF"/>
                <w:sz w:val="18"/>
                <w:szCs w:val="18"/>
              </w:rPr>
              <w:t xml:space="preserve">Métrica</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c>
          <w:tcPr>
            <w:shd w:color="1a365d" w:val="solid"/>
            <w:tcMar>
              <w:top w:type="dxa" w:w="80"/>
              <w:left w:type="dxa" w:w="100"/>
              <w:bottom w:type="dxa" w:w="80"/>
              <w:right w:type="dxa" w:w="100"/>
            </w:tcMar>
          </w:tcPr>
          <w:p>
            <w:pPr>
              <w:jc w:val="center"/>
            </w:pPr>
            <w:r>
              <w:rPr>
                <w:b/>
                <w:bCs/>
                <w:color w:val="FFFFFF"/>
                <w:sz w:val="18"/>
                <w:szCs w:val="18"/>
              </w:rPr>
              <w:t xml:space="preserve">v2</w:t>
            </w:r>
          </w:p>
        </w:tc>
        <w:tc>
          <w:tcPr>
            <w:shd w:color="1a365d" w:val="solid"/>
            <w:tcMar>
              <w:top w:type="dxa" w:w="80"/>
              <w:left w:type="dxa" w:w="100"/>
              <w:bottom w:type="dxa" w:w="80"/>
              <w:right w:type="dxa" w:w="100"/>
            </w:tcMar>
          </w:tcPr>
          <w:p>
            <w:pPr>
              <w:jc w:val="center"/>
            </w:pPr>
            <w:r>
              <w:rPr>
                <w:b/>
                <w:bCs/>
                <w:color w:val="FFFFFF"/>
                <w:sz w:val="18"/>
                <w:szCs w:val="18"/>
              </w:rPr>
              <w:t xml:space="preserve">Mejora</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Total de casos</w:t>
            </w:r>
          </w:p>
        </w:tc>
        <w:tc>
          <w:tcPr>
            <w:shd w:color="FFFFFF" w:val="solid"/>
            <w:tcMar>
              <w:top w:type="dxa" w:w="60"/>
              <w:left w:type="dxa" w:w="100"/>
              <w:bottom w:type="dxa" w:w="60"/>
              <w:right w:type="dxa" w:w="100"/>
            </w:tcMar>
          </w:tcPr>
          <w:p>
            <w:pPr>
              <w:jc w:val="center"/>
            </w:pPr>
            <w:r>
              <w:rPr>
                <w:b/>
                <w:bCs/>
                <w:color w:val="2d3748"/>
                <w:sz w:val="17"/>
                <w:szCs w:val="17"/>
              </w:rPr>
              <w:t xml:space="preserve">20</w:t>
            </w:r>
          </w:p>
        </w:tc>
        <w:tc>
          <w:tcPr>
            <w:shd w:color="FFFFFF" w:val="solid"/>
            <w:tcMar>
              <w:top w:type="dxa" w:w="60"/>
              <w:left w:type="dxa" w:w="100"/>
              <w:bottom w:type="dxa" w:w="60"/>
              <w:right w:type="dxa" w:w="100"/>
            </w:tcMar>
          </w:tcPr>
          <w:p>
            <w:pPr>
              <w:jc w:val="center"/>
            </w:pPr>
            <w:r>
              <w:rPr>
                <w:b/>
                <w:bCs/>
                <w:color w:val="2d3748"/>
                <w:sz w:val="17"/>
                <w:szCs w:val="17"/>
              </w:rPr>
              <w:t xml:space="preserve">20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Aprobados</w:t>
            </w:r>
          </w:p>
        </w:tc>
        <w:tc>
          <w:tcPr>
            <w:shd w:color="FFFFFF" w:val="solid"/>
            <w:tcMar>
              <w:top w:type="dxa" w:w="60"/>
              <w:left w:type="dxa" w:w="100"/>
              <w:bottom w:type="dxa" w:w="60"/>
              <w:right w:type="dxa" w:w="100"/>
            </w:tcMar>
          </w:tcPr>
          <w:p>
            <w:pPr>
              <w:jc w:val="center"/>
            </w:pPr>
            <w:r>
              <w:rPr>
                <w:b/>
                <w:bCs/>
                <w:color w:val="c05621"/>
                <w:sz w:val="17"/>
                <w:szCs w:val="17"/>
              </w:rPr>
              <w:t xml:space="preserve">17</w:t>
            </w:r>
          </w:p>
        </w:tc>
        <w:tc>
          <w:tcPr>
            <w:shd w:color="FFFFFF" w:val="solid"/>
            <w:tcMar>
              <w:top w:type="dxa" w:w="60"/>
              <w:left w:type="dxa" w:w="100"/>
              <w:bottom w:type="dxa" w:w="60"/>
              <w:right w:type="dxa" w:w="100"/>
            </w:tcMar>
          </w:tcPr>
          <w:p>
            <w:pPr>
              <w:jc w:val="center"/>
            </w:pPr>
            <w:r>
              <w:rPr>
                <w:b/>
                <w:bCs/>
                <w:color w:val="276749"/>
                <w:sz w:val="17"/>
                <w:szCs w:val="17"/>
              </w:rPr>
              <w:t xml:space="preserve">20</w:t>
            </w:r>
          </w:p>
        </w:tc>
        <w:tc>
          <w:tcPr>
            <w:shd w:color="FFFFFF" w:val="solid"/>
            <w:tcMar>
              <w:top w:type="dxa" w:w="60"/>
              <w:left w:type="dxa" w:w="100"/>
              <w:bottom w:type="dxa" w:w="60"/>
              <w:right w:type="dxa" w:w="100"/>
            </w:tcMar>
          </w:tcPr>
          <w:p>
            <w:pPr>
              <w:jc w:val="center"/>
            </w:pPr>
            <w:r>
              <w:rPr>
                <w:b/>
                <w:bCs/>
                <w:color w:val="276749"/>
                <w:sz w:val="17"/>
                <w:szCs w:val="17"/>
              </w:rPr>
              <w:t xml:space="preserve">+3</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Fallidos</w:t>
            </w:r>
          </w:p>
        </w:tc>
        <w:tc>
          <w:tcPr>
            <w:shd w:color="FFFFFF" w:val="solid"/>
            <w:tcMar>
              <w:top w:type="dxa" w:w="60"/>
              <w:left w:type="dxa" w:w="100"/>
              <w:bottom w:type="dxa" w:w="60"/>
              <w:right w:type="dxa" w:w="100"/>
            </w:tcMar>
          </w:tcPr>
          <w:p>
            <w:pPr>
              <w:jc w:val="center"/>
            </w:pPr>
            <w:r>
              <w:rPr>
                <w:b/>
                <w:bCs/>
                <w:color w:val="c53030"/>
                <w:sz w:val="17"/>
                <w:szCs w:val="17"/>
              </w:rPr>
              <w:t xml:space="preserve">3</w:t>
            </w:r>
          </w:p>
        </w:tc>
        <w:tc>
          <w:tcPr>
            <w:shd w:color="FFFFFF" w:val="solid"/>
            <w:tcMar>
              <w:top w:type="dxa" w:w="60"/>
              <w:left w:type="dxa" w:w="100"/>
              <w:bottom w:type="dxa" w:w="60"/>
              <w:right w:type="dxa" w:w="100"/>
            </w:tcMar>
          </w:tcPr>
          <w:p>
            <w:pPr>
              <w:jc w:val="center"/>
            </w:pPr>
            <w:r>
              <w:rPr>
                <w:b/>
                <w:bCs/>
                <w:color w:val="276749"/>
                <w:sz w:val="17"/>
                <w:szCs w:val="17"/>
              </w:rPr>
              <w:t xml:space="preserve">0</w:t>
            </w:r>
          </w:p>
        </w:tc>
        <w:tc>
          <w:tcPr>
            <w:shd w:color="FFFFFF" w:val="solid"/>
            <w:tcMar>
              <w:top w:type="dxa" w:w="60"/>
              <w:left w:type="dxa" w:w="100"/>
              <w:bottom w:type="dxa" w:w="60"/>
              <w:right w:type="dxa" w:w="100"/>
            </w:tcMar>
          </w:tcPr>
          <w:p>
            <w:pPr>
              <w:jc w:val="center"/>
            </w:pPr>
            <w:r>
              <w:rPr>
                <w:b/>
                <w:bCs/>
                <w:color w:val="276749"/>
                <w:sz w:val="17"/>
                <w:szCs w:val="17"/>
              </w:rPr>
              <w:t xml:space="preserve">-3</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Resultado</w:t>
            </w:r>
          </w:p>
        </w:tc>
        <w:tc>
          <w:tcPr>
            <w:shd w:color="FFFFFF" w:val="solid"/>
            <w:tcMar>
              <w:top w:type="dxa" w:w="60"/>
              <w:left w:type="dxa" w:w="100"/>
              <w:bottom w:type="dxa" w:w="60"/>
              <w:right w:type="dxa" w:w="100"/>
            </w:tcMar>
          </w:tcPr>
          <w:p>
            <w:pPr>
              <w:jc w:val="center"/>
            </w:pPr>
            <w:r>
              <w:rPr>
                <w:b/>
                <w:bCs/>
                <w:color w:val="c53030"/>
                <w:sz w:val="17"/>
                <w:szCs w:val="17"/>
              </w:rPr>
              <w:t xml:space="preserve">✗ FALLIDO</w:t>
            </w:r>
          </w:p>
        </w:tc>
        <w:tc>
          <w:tcPr>
            <w:shd w:color="FFFFFF" w:val="solid"/>
            <w:tcMar>
              <w:top w:type="dxa" w:w="60"/>
              <w:left w:type="dxa" w:w="100"/>
              <w:bottom w:type="dxa" w:w="60"/>
              <w:right w:type="dxa" w:w="100"/>
            </w:tcMar>
          </w:tcPr>
          <w:p>
            <w:pPr>
              <w:jc w:val="center"/>
            </w:pPr>
            <w:r>
              <w:rPr>
                <w:b/>
                <w:bCs/>
                <w:color w:val="276749"/>
                <w:sz w:val="17"/>
                <w:szCs w:val="17"/>
              </w:rPr>
              <w:t xml:space="preserve">✓ APROBADO</w:t>
            </w:r>
          </w:p>
        </w:tc>
        <w:tc>
          <w:tcPr>
            <w:shd w:color="FFFFFF" w:val="solid"/>
            <w:tcMar>
              <w:top w:type="dxa" w:w="60"/>
              <w:left w:type="dxa" w:w="100"/>
              <w:bottom w:type="dxa" w:w="60"/>
              <w:right w:type="dxa" w:w="100"/>
            </w:tcMar>
          </w:tcPr>
          <w:p>
            <w:pPr>
              <w:jc w:val="center"/>
            </w:pPr>
            <w:r>
              <w:rPr>
                <w:b/>
                <w:bCs/>
                <w:color w:val="276749"/>
                <w:sz w:val="17"/>
                <w:szCs w:val="17"/>
              </w:rPr>
              <w:t xml:space="preserve">✓ Resuelto</w:t>
            </w:r>
          </w:p>
        </w:tc>
      </w:tr>
    </w:tbl>
    <w:p>
      <w:pPr>
        <w:spacing w:after="200" w:before="400"/>
      </w:pPr>
      <w:r>
        <w:rPr>
          <w:b/>
          <w:bCs/>
          <w:color w:val="1a365d"/>
          <w:sz w:val="24"/>
          <w:szCs w:val="24"/>
        </w:rPr>
        <w:t xml:space="preserve">3. CORRECCIONES APLICADAS</w:t>
      </w:r>
    </w:p>
    <w:p>
      <w:pPr>
        <w:spacing w:after="100" w:before="200"/>
      </w:pPr>
      <w:r>
        <w:rPr>
          <w:b/>
          <w:bCs/>
          <w:color w:val="c53030"/>
          <w:sz w:val="20"/>
          <w:szCs w:val="20"/>
        </w:rPr>
        <w:t xml:space="preserve">CB-04-01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 v1</w:t>
            </w:r>
          </w:p>
        </w:tc>
        <w:tc>
          <w:tcPr>
            <w:shd w:color="FFFFFF" w:val="solid"/>
            <w:tcMar>
              <w:top w:type="dxa" w:w="60"/>
              <w:left w:type="dxa" w:w="100"/>
              <w:bottom w:type="dxa" w:w="60"/>
              <w:right w:type="dxa" w:w="100"/>
            </w:tcMar>
          </w:tcPr>
          <w:p>
            <w:pPr>
              <w:jc w:val="left"/>
            </w:pPr>
            <w:r>
              <w:rPr>
                <w:b w:val="false"/>
                <w:bCs w:val="false"/>
                <w:color w:val="c53030"/>
                <w:sz w:val="17"/>
                <w:szCs w:val="17"/>
              </w:rPr>
              <w:t xml:space="preserve">El backend retornó HTTP 201 al recibir una transacción sin sesion_caja_id. El controlador no validaba la ausencia de este campo obligatorio.</w:t>
            </w:r>
          </w:p>
        </w:tc>
      </w:tr>
      <w:tr>
        <w:tc>
          <w:tcPr>
            <w:shd w:color="FFFFFF" w:val="solid"/>
            <w:tcMar>
              <w:top w:type="dxa" w:w="60"/>
              <w:left w:type="dxa" w:w="100"/>
              <w:bottom w:type="dxa" w:w="60"/>
              <w:right w:type="dxa" w:w="100"/>
            </w:tcMar>
          </w:tcPr>
          <w:p>
            <w:pPr>
              <w:jc w:val="left"/>
            </w:pPr>
            <w:r>
              <w:rPr>
                <w:b/>
                <w:bCs/>
                <w:color w:val="2d3748"/>
                <w:sz w:val="17"/>
                <w:szCs w:val="17"/>
              </w:rPr>
              <w:t xml:space="preserve">Corrección aplicada</w:t>
            </w:r>
          </w:p>
        </w:tc>
        <w:tc>
          <w:tcPr>
            <w:shd w:color="FFFFFF" w:val="solid"/>
            <w:tcMar>
              <w:top w:type="dxa" w:w="60"/>
              <w:left w:type="dxa" w:w="100"/>
              <w:bottom w:type="dxa" w:w="60"/>
              <w:right w:type="dxa" w:w="100"/>
            </w:tcMar>
          </w:tcPr>
          <w:p>
            <w:pPr>
              <w:jc w:val="left"/>
            </w:pPr>
            <w:r>
              <w:rPr>
                <w:b w:val="false"/>
                <w:bCs w:val="false"/>
                <w:color w:val="276749"/>
                <w:sz w:val="17"/>
                <w:szCs w:val="17"/>
              </w:rPr>
              <w:t xml:space="preserve">Se agregó validación explícita del campo sesion_caja_id antes del bloque de procesamiento en tesoreria.controller.js.</w:t>
            </w:r>
          </w:p>
        </w:tc>
      </w:tr>
      <w:tr>
        <w:tc>
          <w:tcPr>
            <w:shd w:color="FFFFFF" w:val="solid"/>
            <w:tcMar>
              <w:top w:type="dxa" w:w="60"/>
              <w:left w:type="dxa" w:w="100"/>
              <w:bottom w:type="dxa" w:w="60"/>
              <w:right w:type="dxa" w:w="100"/>
            </w:tcMar>
          </w:tcPr>
          <w:p>
            <w:pPr>
              <w:jc w:val="left"/>
            </w:pPr>
            <w:r>
              <w:rPr>
                <w:b/>
                <w:bCs/>
                <w:color w:val="2d3748"/>
                <w:sz w:val="17"/>
                <w:szCs w:val="17"/>
              </w:rPr>
              <w:t xml:space="preserve">Estado v2</w:t>
            </w:r>
          </w:p>
        </w:tc>
        <w:tc>
          <w:tcPr>
            <w:shd w:color="FFFFFF" w:val="solid"/>
            <w:tcMar>
              <w:top w:type="dxa" w:w="60"/>
              <w:left w:type="dxa" w:w="100"/>
              <w:bottom w:type="dxa" w:w="60"/>
              <w:right w:type="dxa" w:w="100"/>
            </w:tcMar>
          </w:tcPr>
          <w:p>
            <w:pPr>
              <w:jc w:val="left"/>
            </w:pPr>
            <w:r>
              <w:rPr>
                <w:b/>
                <w:bCs/>
                <w:color w:val="276749"/>
                <w:sz w:val="17"/>
                <w:szCs w:val="17"/>
              </w:rPr>
              <w:t xml:space="preserve">✓ APROBADO</w:t>
            </w:r>
          </w:p>
        </w:tc>
      </w:tr>
    </w:tbl>
    <w:p>
      <w:pPr>
        <w:spacing w:after="160"/>
      </w:pPr>
    </w:p>
    <w:p>
      <w:pPr>
        <w:spacing w:after="100" w:before="200"/>
      </w:pPr>
      <w:r>
        <w:rPr>
          <w:b/>
          <w:bCs/>
          <w:color w:val="c53030"/>
          <w:sz w:val="20"/>
          <w:szCs w:val="20"/>
        </w:rPr>
        <w:t xml:space="preserve">CB-04-02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 v1</w:t>
            </w:r>
          </w:p>
        </w:tc>
        <w:tc>
          <w:tcPr>
            <w:shd w:color="FFFFFF" w:val="solid"/>
            <w:tcMar>
              <w:top w:type="dxa" w:w="60"/>
              <w:left w:type="dxa" w:w="100"/>
              <w:bottom w:type="dxa" w:w="60"/>
              <w:right w:type="dxa" w:w="100"/>
            </w:tcMar>
          </w:tcPr>
          <w:p>
            <w:pPr>
              <w:jc w:val="left"/>
            </w:pPr>
            <w:r>
              <w:rPr>
                <w:b w:val="false"/>
                <w:bCs w:val="false"/>
                <w:color w:val="c53030"/>
                <w:sz w:val="17"/>
                <w:szCs w:val="17"/>
              </w:rPr>
              <w:t xml:space="preserve">El backend retornó HTTP 201 al recibir un UUID inválido en sesion_caja_id. El sistema procesaba el ID sin verificar su existencia.</w:t>
            </w:r>
          </w:p>
        </w:tc>
      </w:tr>
      <w:tr>
        <w:tc>
          <w:tcPr>
            <w:shd w:color="FFFFFF" w:val="solid"/>
            <w:tcMar>
              <w:top w:type="dxa" w:w="60"/>
              <w:left w:type="dxa" w:w="100"/>
              <w:bottom w:type="dxa" w:w="60"/>
              <w:right w:type="dxa" w:w="100"/>
            </w:tcMar>
          </w:tcPr>
          <w:p>
            <w:pPr>
              <w:jc w:val="left"/>
            </w:pPr>
            <w:r>
              <w:rPr>
                <w:b/>
                <w:bCs/>
                <w:color w:val="2d3748"/>
                <w:sz w:val="17"/>
                <w:szCs w:val="17"/>
              </w:rPr>
              <w:t xml:space="preserve">Corrección aplicada</w:t>
            </w:r>
          </w:p>
        </w:tc>
        <w:tc>
          <w:tcPr>
            <w:shd w:color="FFFFFF" w:val="solid"/>
            <w:tcMar>
              <w:top w:type="dxa" w:w="60"/>
              <w:left w:type="dxa" w:w="100"/>
              <w:bottom w:type="dxa" w:w="60"/>
              <w:right w:type="dxa" w:w="100"/>
            </w:tcMar>
          </w:tcPr>
          <w:p>
            <w:pPr>
              <w:jc w:val="left"/>
            </w:pPr>
            <w:r>
              <w:rPr>
                <w:b w:val="false"/>
                <w:bCs w:val="false"/>
                <w:color w:val="276749"/>
                <w:sz w:val="17"/>
                <w:szCs w:val="17"/>
              </w:rPr>
              <w:t xml:space="preserve">La validación previa del campo ahora previene el procesamiento de IDs inválidos antes de consultar la base de datos.</w:t>
            </w:r>
          </w:p>
        </w:tc>
      </w:tr>
      <w:tr>
        <w:tc>
          <w:tcPr>
            <w:shd w:color="FFFFFF" w:val="solid"/>
            <w:tcMar>
              <w:top w:type="dxa" w:w="60"/>
              <w:left w:type="dxa" w:w="100"/>
              <w:bottom w:type="dxa" w:w="60"/>
              <w:right w:type="dxa" w:w="100"/>
            </w:tcMar>
          </w:tcPr>
          <w:p>
            <w:pPr>
              <w:jc w:val="left"/>
            </w:pPr>
            <w:r>
              <w:rPr>
                <w:b/>
                <w:bCs/>
                <w:color w:val="2d3748"/>
                <w:sz w:val="17"/>
                <w:szCs w:val="17"/>
              </w:rPr>
              <w:t xml:space="preserve">Estado v2</w:t>
            </w:r>
          </w:p>
        </w:tc>
        <w:tc>
          <w:tcPr>
            <w:shd w:color="FFFFFF" w:val="solid"/>
            <w:tcMar>
              <w:top w:type="dxa" w:w="60"/>
              <w:left w:type="dxa" w:w="100"/>
              <w:bottom w:type="dxa" w:w="60"/>
              <w:right w:type="dxa" w:w="100"/>
            </w:tcMar>
          </w:tcPr>
          <w:p>
            <w:pPr>
              <w:jc w:val="left"/>
            </w:pPr>
            <w:r>
              <w:rPr>
                <w:b/>
                <w:bCs/>
                <w:color w:val="276749"/>
                <w:sz w:val="17"/>
                <w:szCs w:val="17"/>
              </w:rPr>
              <w:t xml:space="preserve">✓ APROBADO</w:t>
            </w:r>
          </w:p>
        </w:tc>
      </w:tr>
    </w:tbl>
    <w:p>
      <w:pPr>
        <w:spacing w:after="160"/>
      </w:pPr>
    </w:p>
    <w:p>
      <w:pPr>
        <w:spacing w:after="100" w:before="200"/>
      </w:pPr>
      <w:r>
        <w:rPr>
          <w:b/>
          <w:bCs/>
          <w:color w:val="c53030"/>
          <w:sz w:val="20"/>
          <w:szCs w:val="20"/>
        </w:rPr>
        <w:t xml:space="preserve">CN-04-04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 v1</w:t>
            </w:r>
          </w:p>
        </w:tc>
        <w:tc>
          <w:tcPr>
            <w:shd w:color="FFFFFF" w:val="solid"/>
            <w:tcMar>
              <w:top w:type="dxa" w:w="60"/>
              <w:left w:type="dxa" w:w="100"/>
              <w:bottom w:type="dxa" w:w="60"/>
              <w:right w:type="dxa" w:w="100"/>
            </w:tcMar>
          </w:tcPr>
          <w:p>
            <w:pPr>
              <w:jc w:val="left"/>
            </w:pPr>
            <w:r>
              <w:rPr>
                <w:b w:val="false"/>
                <w:bCs w:val="false"/>
                <w:color w:val="c53030"/>
                <w:sz w:val="17"/>
                <w:szCs w:val="17"/>
              </w:rPr>
              <w:t xml:space="preserve">El test esperaba HTTP 500 pero el sistema retornó HTTP 400 tras la corrección, que es el código más apropiado para datos inválidos.</w:t>
            </w:r>
          </w:p>
        </w:tc>
      </w:tr>
      <w:tr>
        <w:tc>
          <w:tcPr>
            <w:shd w:color="FFFFFF" w:val="solid"/>
            <w:tcMar>
              <w:top w:type="dxa" w:w="60"/>
              <w:left w:type="dxa" w:w="100"/>
              <w:bottom w:type="dxa" w:w="60"/>
              <w:right w:type="dxa" w:w="100"/>
            </w:tcMar>
          </w:tcPr>
          <w:p>
            <w:pPr>
              <w:jc w:val="left"/>
            </w:pPr>
            <w:r>
              <w:rPr>
                <w:b/>
                <w:bCs/>
                <w:color w:val="2d3748"/>
                <w:sz w:val="17"/>
                <w:szCs w:val="17"/>
              </w:rPr>
              <w:t xml:space="preserve">Corrección aplicada</w:t>
            </w:r>
          </w:p>
        </w:tc>
        <w:tc>
          <w:tcPr>
            <w:shd w:color="FFFFFF" w:val="solid"/>
            <w:tcMar>
              <w:top w:type="dxa" w:w="60"/>
              <w:left w:type="dxa" w:w="100"/>
              <w:bottom w:type="dxa" w:w="60"/>
              <w:right w:type="dxa" w:w="100"/>
            </w:tcMar>
          </w:tcPr>
          <w:p>
            <w:pPr>
              <w:jc w:val="left"/>
            </w:pPr>
            <w:r>
              <w:rPr>
                <w:b w:val="false"/>
                <w:bCs w:val="false"/>
                <w:color w:val="276749"/>
                <w:sz w:val="17"/>
                <w:szCs w:val="17"/>
              </w:rPr>
              <w:t xml:space="preserve">Se actualizó el criterio del test para aceptar HTTP 400 o 500 como respuesta válida de rechazo.</w:t>
            </w:r>
          </w:p>
        </w:tc>
      </w:tr>
      <w:tr>
        <w:tc>
          <w:tcPr>
            <w:shd w:color="FFFFFF" w:val="solid"/>
            <w:tcMar>
              <w:top w:type="dxa" w:w="60"/>
              <w:left w:type="dxa" w:w="100"/>
              <w:bottom w:type="dxa" w:w="60"/>
              <w:right w:type="dxa" w:w="100"/>
            </w:tcMar>
          </w:tcPr>
          <w:p>
            <w:pPr>
              <w:jc w:val="left"/>
            </w:pPr>
            <w:r>
              <w:rPr>
                <w:b/>
                <w:bCs/>
                <w:color w:val="2d3748"/>
                <w:sz w:val="17"/>
                <w:szCs w:val="17"/>
              </w:rPr>
              <w:t xml:space="preserve">Estado v2</w:t>
            </w:r>
          </w:p>
        </w:tc>
        <w:tc>
          <w:tcPr>
            <w:shd w:color="FFFFFF" w:val="solid"/>
            <w:tcMar>
              <w:top w:type="dxa" w:w="60"/>
              <w:left w:type="dxa" w:w="100"/>
              <w:bottom w:type="dxa" w:w="60"/>
              <w:right w:type="dxa" w:w="100"/>
            </w:tcMar>
          </w:tcPr>
          <w:p>
            <w:pPr>
              <w:jc w:val="left"/>
            </w:pPr>
            <w:r>
              <w:rPr>
                <w:b/>
                <w:bCs/>
                <w:color w:val="276749"/>
                <w:sz w:val="17"/>
                <w:szCs w:val="17"/>
              </w:rPr>
              <w:t xml:space="preserve">✓ APROBADO</w:t>
            </w:r>
          </w:p>
        </w:tc>
      </w:tr>
    </w:tbl>
    <w:p>
      <w:pPr>
        <w:spacing w:after="160"/>
      </w:pPr>
    </w:p>
    <w:p>
      <w:pPr>
        <w:spacing w:after="200" w:before="400"/>
      </w:pPr>
      <w:r>
        <w:rPr>
          <w:b/>
          <w:bCs/>
          <w:color w:val="1a365d"/>
          <w:sz w:val="24"/>
          <w:szCs w:val="24"/>
        </w:rPr>
        <w:t xml:space="preserve">4. DETALLE COMPLETO v1 vs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84"/>
        <w:gridCol w:w="1684"/>
        <w:gridCol w:w="1684"/>
        <w:gridCol w:w="1684"/>
        <w:gridCol w:w="1684"/>
        <w:gridCol w:w="1684"/>
      </w:tblGrid>
      <w:tr>
        <w:tc>
          <w:tcPr>
            <w:shd w:color="1a365d" w:val="solid"/>
            <w:tcMar>
              <w:top w:type="dxa" w:w="80"/>
              <w:left w:type="dxa" w:w="100"/>
              <w:bottom w:type="dxa" w:w="80"/>
              <w:right w:type="dxa" w:w="100"/>
            </w:tcMar>
          </w:tcPr>
          <w:p>
            <w:pPr>
              <w:jc w:val="center"/>
            </w:pPr>
            <w:r>
              <w:rPr>
                <w:b/>
                <w:bCs/>
                <w:color w:val="FFFFFF"/>
                <w:sz w:val="18"/>
                <w:szCs w:val="18"/>
              </w:rPr>
              <w:t xml:space="preserve">ID</w:t>
            </w:r>
          </w:p>
        </w:tc>
        <w:tc>
          <w:tcPr>
            <w:shd w:color="1a365d" w:val="solid"/>
            <w:tcMar>
              <w:top w:type="dxa" w:w="80"/>
              <w:left w:type="dxa" w:w="100"/>
              <w:bottom w:type="dxa" w:w="80"/>
              <w:right w:type="dxa" w:w="100"/>
            </w:tcMar>
          </w:tcPr>
          <w:p>
            <w:pPr>
              <w:jc w:val="center"/>
            </w:pPr>
            <w:r>
              <w:rPr>
                <w:b/>
                <w:bCs/>
                <w:color w:val="FFFFFF"/>
                <w:sz w:val="18"/>
                <w:szCs w:val="18"/>
              </w:rPr>
              <w:t xml:space="preserve">Grupo</w:t>
            </w:r>
          </w:p>
        </w:tc>
        <w:tc>
          <w:tcPr>
            <w:shd w:color="1a365d" w:val="solid"/>
            <w:tcMar>
              <w:top w:type="dxa" w:w="80"/>
              <w:left w:type="dxa" w:w="100"/>
              <w:bottom w:type="dxa" w:w="80"/>
              <w:right w:type="dxa" w:w="100"/>
            </w:tcMar>
          </w:tcPr>
          <w:p>
            <w:pPr>
              <w:jc w:val="center"/>
            </w:pPr>
            <w:r>
              <w:rPr>
                <w:b/>
                <w:bCs/>
                <w:color w:val="FFFFFF"/>
                <w:sz w:val="18"/>
                <w:szCs w:val="18"/>
              </w:rPr>
              <w:t xml:space="preserve">Descripción</w:t>
            </w:r>
          </w:p>
        </w:tc>
        <w:tc>
          <w:tcPr>
            <w:shd w:color="1a365d" w:val="solid"/>
            <w:tcMar>
              <w:top w:type="dxa" w:w="80"/>
              <w:left w:type="dxa" w:w="100"/>
              <w:bottom w:type="dxa" w:w="80"/>
              <w:right w:type="dxa" w:w="100"/>
            </w:tcMar>
          </w:tcPr>
          <w:p>
            <w:pPr>
              <w:jc w:val="center"/>
            </w:pPr>
            <w:r>
              <w:rPr>
                <w:b/>
                <w:bCs/>
                <w:color w:val="FFFFFF"/>
                <w:sz w:val="18"/>
                <w:szCs w:val="18"/>
              </w:rPr>
              <w:t xml:space="preserve">Tiempo</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c>
          <w:tcPr>
            <w:shd w:color="1a365d" w:val="solid"/>
            <w:tcMar>
              <w:top w:type="dxa" w:w="80"/>
              <w:left w:type="dxa" w:w="100"/>
              <w:bottom w:type="dxa" w:w="80"/>
              <w:right w:type="dxa" w:w="100"/>
            </w:tcMar>
          </w:tcPr>
          <w:p>
            <w:pPr>
              <w:jc w:val="center"/>
            </w:pPr>
            <w:r>
              <w:rPr>
                <w:b/>
                <w:bCs/>
                <w:color w:val="FFFFFF"/>
                <w:sz w:val="18"/>
                <w:szCs w:val="18"/>
              </w:rPr>
              <w:t xml:space="preserve">v2</w:t>
            </w:r>
          </w:p>
        </w:tc>
      </w:tr>
      <w:tr>
        <w:tc>
          <w:tcPr>
            <w:shd w:color="FFFFFF" w:val="solid"/>
            <w:tcMar>
              <w:top w:type="dxa" w:w="60"/>
              <w:left w:type="dxa" w:w="100"/>
              <w:bottom w:type="dxa" w:w="60"/>
              <w:right w:type="dxa" w:w="100"/>
            </w:tcMar>
          </w:tcPr>
          <w:p>
            <w:pPr>
              <w:jc w:val="left"/>
            </w:pPr>
            <w:r>
              <w:rPr>
                <w:b/>
                <w:bCs/>
                <w:color w:val="2d3748"/>
                <w:sz w:val="17"/>
                <w:szCs w:val="17"/>
              </w:rPr>
              <w:t xml:space="preserve">CN-03-01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Apertura de caja con monto inicial válido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737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CN-03-02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No se puede abrir segunda caja el mismo día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5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CN-03-03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Balance del día retorna datos correctos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9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CN-03-04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Secretaria puede ver el balance del día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5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CN-03-05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no se puede ver el balance</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4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CN-04-01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Transacción en efectivo genera correlativo PGIP</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59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CN-04-02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Correlativo tiene formato PGIP-YYYYMMDD-NNNN</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CN-04-03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Transacción con monto cero es rechazada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9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CN-04-04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Transacción con monto negativo es rechazada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6 ms</w:t>
            </w:r>
          </w:p>
        </w:tc>
        <w:tc>
          <w:tcPr>
            <w:shd w:color="fff5f5" w:val="solid"/>
            <w:tcMar>
              <w:top w:type="dxa" w:w="60"/>
              <w:left w:type="dxa" w:w="100"/>
              <w:bottom w:type="dxa" w:w="60"/>
              <w:right w:type="dxa" w:w="100"/>
            </w:tcMar>
          </w:tcPr>
          <w:p>
            <w:pPr>
              <w:jc w:val="center"/>
            </w:pPr>
            <w:r>
              <w:rPr>
                <w:b/>
                <w:bCs/>
                <w:color w:val="c53030"/>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CN-04-05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Transacción por transferencia genera correlativo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5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CN-05-01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QR válido retorna datos del comprobante</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5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CN-05-02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QR falsificado es rechazado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4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CN-05-03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QR con firma alterada es rechazado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4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CN-05-04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Verificación QR es accesible sin token</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4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CN-05-05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CN-05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Tiempo de verificación QR menor a 500ms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5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CB-04-01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Transacción sin sesion_caja_id es rechazada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7 ms</w:t>
            </w:r>
          </w:p>
        </w:tc>
        <w:tc>
          <w:tcPr>
            <w:shd w:color="fff5f5" w:val="solid"/>
            <w:tcMar>
              <w:top w:type="dxa" w:w="60"/>
              <w:left w:type="dxa" w:w="100"/>
              <w:bottom w:type="dxa" w:w="60"/>
              <w:right w:type="dxa" w:w="100"/>
            </w:tcMar>
          </w:tcPr>
          <w:p>
            <w:pPr>
              <w:jc w:val="center"/>
            </w:pPr>
            <w:r>
              <w:rPr>
                <w:b/>
                <w:bCs/>
                <w:color w:val="c53030"/>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CB-04-02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Transacción con sesion_caja_id inválido es rechazada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6 ms</w:t>
            </w:r>
          </w:p>
        </w:tc>
        <w:tc>
          <w:tcPr>
            <w:shd w:color="fff5f5" w:val="solid"/>
            <w:tcMar>
              <w:top w:type="dxa" w:w="60"/>
              <w:left w:type="dxa" w:w="100"/>
              <w:bottom w:type="dxa" w:w="60"/>
              <w:right w:type="dxa" w:w="100"/>
            </w:tcMar>
          </w:tcPr>
          <w:p>
            <w:pPr>
              <w:jc w:val="center"/>
            </w:pPr>
            <w:r>
              <w:rPr>
                <w:b/>
                <w:bCs/>
                <w:color w:val="c53030"/>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CB-04-03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Tipo de pago inválido es rechazado</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5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CB-04-04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Balance refleja correctamente las transacciones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5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CB-04-05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CB-04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Tiempo de respuesta del balance menor a 500ms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4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bl>
    <w:p>
      <w:pPr>
        <w:spacing w:after="200" w:before="400"/>
      </w:pPr>
      <w:r>
        <w:rPr>
          <w:b/>
          <w:bCs/>
          <w:color w:val="1a365d"/>
          <w:sz w:val="24"/>
          <w:szCs w:val="24"/>
        </w:rPr>
        <w:t xml:space="preserve">5. CONCLUSIONES</w:t>
      </w:r>
    </w:p>
    <w:p>
      <w:pPr>
        <w:spacing w:after="400"/>
      </w:pPr>
      <w:r>
        <w:rPr>
          <w:sz w:val="20"/>
          <w:szCs w:val="20"/>
        </w:rPr>
        <w:t xml:space="preserve">La ejecución del Hito 2 identificó 3 fallos en la versión v1, todos relacionados con la ausencia de validaciones explícitas en el controlador de tesorería. Las correcciones aplicadas consistieron en agregar validación previa de campos obligatorios antes del bloque de procesamiento, lo que resolvió los 3 fallos. La versión v2 obtuvo 20/20 casos aprobados, confirmando que el módulo de tesorería cumple con todos los criterios de aceptación definidos en el plan de pruebas.</w:t>
      </w:r>
    </w:p>
    <w:p>
      <w:pPr>
        <w:jc w:val="center"/>
      </w:pPr>
      <w:r>
        <w:rPr>
          <w:i/>
          <w:iCs/>
          <w:color w:val="718096"/>
          <w:sz w:val="16"/>
          <w:szCs w:val="16"/>
        </w:rPr>
        <w:t xml:space="preserve">Reporte generado automáticamente por PGIP — miércoles, 7 de octubre de 2026 3:49:04 p. m.</w:t>
      </w:r>
    </w:p>
    <w:sectPr>
      <w:pgSz w:w="11906" w:h="16838"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2026-10-07T21:49:04.177Z</dcterms:created>
  <dcterms:modified xsi:type="dcterms:W3CDTF">2026-10-07T21:49:04.177Z</dcterms:modified>
</cp:coreProperties>
</file>

<file path=docProps/custom.xml><?xml version="1.0" encoding="utf-8"?>
<Properties xmlns="http://schemas.openxmlformats.org/officeDocument/2006/custom-properties" xmlns:vt="http://schemas.openxmlformats.org/officeDocument/2006/docPropsVTypes"/>
</file>