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a365d"/>
          <w:sz w:val="32"/>
          <w:szCs w:val="32"/>
        </w:rPr>
        <w:t xml:space="preserve">REPORTE DE PRUEBAS AUTOMATIZADAS</w:t>
      </w:r>
    </w:p>
    <w:p>
      <w:pPr>
        <w:spacing w:after="100"/>
        <w:jc w:val="center"/>
      </w:pPr>
      <w:r>
        <w:rPr>
          <w:b/>
          <w:bCs/>
          <w:color w:val="1a365d"/>
          <w:sz w:val="24"/>
          <w:szCs w:val="24"/>
        </w:rPr>
        <w:t xml:space="preserve">Hito 4 — Módulo de Analítica y Dashboard</w:t>
      </w:r>
    </w:p>
    <w:p>
      <w:pPr>
        <w:spacing w:after="100"/>
        <w:jc w:val="center"/>
      </w:pPr>
      <w:r>
        <w:rPr>
          <w:color w:val="718096"/>
          <w:sz w:val="20"/>
          <w:szCs w:val="20"/>
        </w:rPr>
        <w:t xml:space="preserve">PGIP — Parroquia San Agustín de Sumpango</w:t>
      </w:r>
    </w:p>
    <w:p>
      <w:pPr>
        <w:spacing w:after="400"/>
        <w:jc w:val="center"/>
      </w:pPr>
      <w:r>
        <w:rPr>
          <w:b/>
          <w:bCs/>
          <w:color w:val="c05621"/>
          <w:sz w:val="20"/>
          <w:szCs w:val="20"/>
        </w:rPr>
        <w:t xml:space="preserve">Versión v1 → v2 (con correcciones)</w:t>
      </w:r>
    </w:p>
    <w:p>
      <w:pPr>
        <w:spacing w:after="200" w:before="200"/>
      </w:pPr>
      <w:r>
        <w:rPr>
          <w:b/>
          <w:bCs/>
          <w:color w:val="1a365d"/>
          <w:sz w:val="24"/>
          <w:szCs w:val="24"/>
        </w:rPr>
        <w:t xml:space="preserve">1. INFORMACIÓN GENERAL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Hito evaluado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Hito 4 — Analítica y Dashboard</w:t>
            </w:r>
          </w:p>
        </w:tc>
      </w:tr>
      <w:tr>
        <w:tc>
          <w:tcPr>
            <w:shd w:color="FFFFFF" w:val="solid"/>
            <w:tcMar>
              <w:top w:type="dxa" w:w="60"/>
              <w:left w:type="dxa" w:w="100"/>
              <w:bottom w:type="dxa" w:w="60"/>
              <w:right w:type="dxa" w:w="100"/>
            </w:tcMar>
          </w:tcPr>
          <w:p>
            <w:pPr>
              <w:jc w:val="left"/>
            </w:pPr>
            <w:r>
              <w:rPr>
                <w:b/>
                <w:bCs/>
                <w:color w:val="2d3748"/>
                <w:sz w:val="17"/>
                <w:szCs w:val="17"/>
              </w:rPr>
              <w:t xml:space="preserve">Herramienta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Jest 30.5 + Supertest 7.3</w:t>
            </w:r>
          </w:p>
        </w:tc>
      </w:tr>
      <w:tr>
        <w:tc>
          <w:tcPr>
            <w:shd w:color="FFFFFF" w:val="solid"/>
            <w:tcMar>
              <w:top w:type="dxa" w:w="60"/>
              <w:left w:type="dxa" w:w="100"/>
              <w:bottom w:type="dxa" w:w="60"/>
              <w:right w:type="dxa" w:w="100"/>
            </w:tcMar>
          </w:tcPr>
          <w:p>
            <w:pPr>
              <w:jc w:val="left"/>
            </w:pPr>
            <w:r>
              <w:rPr>
                <w:b/>
                <w:bCs/>
                <w:color w:val="2d3748"/>
                <w:sz w:val="17"/>
                <w:szCs w:val="17"/>
              </w:rPr>
              <w:t xml:space="preserve">Versiones ejecutadas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v1 (ejecución inicial) → v2 (con correcciones)</w:t>
            </w:r>
          </w:p>
        </w:tc>
      </w:tr>
      <w:tr>
        <w:tc>
          <w:tcPr>
            <w:shd w:color="FFFFFF" w:val="solid"/>
            <w:tcMar>
              <w:top w:type="dxa" w:w="60"/>
              <w:left w:type="dxa" w:w="100"/>
              <w:bottom w:type="dxa" w:w="60"/>
              <w:right w:type="dxa" w:w="100"/>
            </w:tcMar>
          </w:tcPr>
          <w:p>
            <w:pPr>
              <w:jc w:val="left"/>
            </w:pPr>
            <w:r>
              <w:rPr>
                <w:b/>
                <w:bCs/>
                <w:color w:val="2d3748"/>
                <w:sz w:val="17"/>
                <w:szCs w:val="17"/>
              </w:rPr>
              <w:t xml:space="preserve">Fecha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miércoles, 14 de octubre de 2026</w:t>
            </w:r>
          </w:p>
        </w:tc>
      </w:tr>
      <w:tr>
        <w:tc>
          <w:tcPr>
            <w:shd w:color="FFFFFF" w:val="solid"/>
            <w:tcMar>
              <w:top w:type="dxa" w:w="60"/>
              <w:left w:type="dxa" w:w="100"/>
              <w:bottom w:type="dxa" w:w="60"/>
              <w:right w:type="dxa" w:w="100"/>
            </w:tcMar>
          </w:tcPr>
          <w:p>
            <w:pPr>
              <w:jc w:val="left"/>
            </w:pPr>
            <w:r>
              <w:rPr>
                <w:b/>
                <w:bCs/>
                <w:color w:val="2d3748"/>
                <w:sz w:val="17"/>
                <w:szCs w:val="17"/>
              </w:rPr>
              <w:t xml:space="preserve">Ambiente</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Producción — Supabase + Render</w:t>
            </w:r>
          </w:p>
        </w:tc>
      </w:tr>
    </w:tbl>
    <w:p>
      <w:pPr>
        <w:spacing w:after="200" w:before="400"/>
      </w:pPr>
      <w:r>
        <w:rPr>
          <w:b/>
          <w:bCs/>
          <w:color w:val="1a365d"/>
          <w:sz w:val="24"/>
          <w:szCs w:val="24"/>
        </w:rPr>
        <w:t xml:space="preserve">2. RESUMEN COMPARATIVO v1 vs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2527"/>
        <w:gridCol w:w="2527"/>
      </w:tblGrid>
      <w:tr>
        <w:tc>
          <w:tcPr>
            <w:shd w:color="1a365d" w:val="solid"/>
            <w:tcMar>
              <w:top w:type="dxa" w:w="80"/>
              <w:left w:type="dxa" w:w="100"/>
              <w:bottom w:type="dxa" w:w="80"/>
              <w:right w:type="dxa" w:w="100"/>
            </w:tcMar>
          </w:tcPr>
          <w:p>
            <w:pPr>
              <w:jc w:val="center"/>
            </w:pPr>
            <w:r>
              <w:rPr>
                <w:b/>
                <w:bCs/>
                <w:color w:val="FFFFFF"/>
                <w:sz w:val="18"/>
                <w:szCs w:val="18"/>
              </w:rPr>
              <w:t xml:space="preserve">Métrica</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v2</w:t>
            </w:r>
          </w:p>
        </w:tc>
        <w:tc>
          <w:tcPr>
            <w:shd w:color="1a365d" w:val="solid"/>
            <w:tcMar>
              <w:top w:type="dxa" w:w="80"/>
              <w:left w:type="dxa" w:w="100"/>
              <w:bottom w:type="dxa" w:w="80"/>
              <w:right w:type="dxa" w:w="100"/>
            </w:tcMar>
          </w:tcPr>
          <w:p>
            <w:pPr>
              <w:jc w:val="center"/>
            </w:pPr>
            <w:r>
              <w:rPr>
                <w:b/>
                <w:bCs/>
                <w:color w:val="FFFFFF"/>
                <w:sz w:val="18"/>
                <w:szCs w:val="18"/>
              </w:rPr>
              <w:t xml:space="preserve">Mejora</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Total de casos</w:t>
            </w:r>
          </w:p>
        </w:tc>
        <w:tc>
          <w:tcPr>
            <w:shd w:color="FFFFFF" w:val="solid"/>
            <w:tcMar>
              <w:top w:type="dxa" w:w="60"/>
              <w:left w:type="dxa" w:w="100"/>
              <w:bottom w:type="dxa" w:w="60"/>
              <w:right w:type="dxa" w:w="100"/>
            </w:tcMar>
          </w:tcPr>
          <w:p>
            <w:pPr>
              <w:jc w:val="center"/>
            </w:pPr>
            <w:r>
              <w:rPr>
                <w:b/>
                <w:bCs/>
                <w:color w:val="2d3748"/>
                <w:sz w:val="17"/>
                <w:szCs w:val="17"/>
              </w:rPr>
              <w:t xml:space="preserve">17</w:t>
            </w:r>
          </w:p>
        </w:tc>
        <w:tc>
          <w:tcPr>
            <w:shd w:color="FFFFFF" w:val="solid"/>
            <w:tcMar>
              <w:top w:type="dxa" w:w="60"/>
              <w:left w:type="dxa" w:w="100"/>
              <w:bottom w:type="dxa" w:w="60"/>
              <w:right w:type="dxa" w:w="100"/>
            </w:tcMar>
          </w:tcPr>
          <w:p>
            <w:pPr>
              <w:jc w:val="center"/>
            </w:pPr>
            <w:r>
              <w:rPr>
                <w:b/>
                <w:bCs/>
                <w:color w:val="2d3748"/>
                <w:sz w:val="17"/>
                <w:szCs w:val="17"/>
              </w:rPr>
              <w:t xml:space="preserve">17</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Aprobados</w:t>
            </w:r>
          </w:p>
        </w:tc>
        <w:tc>
          <w:tcPr>
            <w:shd w:color="FFFFFF" w:val="solid"/>
            <w:tcMar>
              <w:top w:type="dxa" w:w="60"/>
              <w:left w:type="dxa" w:w="100"/>
              <w:bottom w:type="dxa" w:w="60"/>
              <w:right w:type="dxa" w:w="100"/>
            </w:tcMar>
          </w:tcPr>
          <w:p>
            <w:pPr>
              <w:jc w:val="center"/>
            </w:pPr>
            <w:r>
              <w:rPr>
                <w:b/>
                <w:bCs/>
                <w:color w:val="c05621"/>
                <w:sz w:val="17"/>
                <w:szCs w:val="17"/>
              </w:rPr>
              <w:t xml:space="preserve">15</w:t>
            </w:r>
          </w:p>
        </w:tc>
        <w:tc>
          <w:tcPr>
            <w:shd w:color="FFFFFF" w:val="solid"/>
            <w:tcMar>
              <w:top w:type="dxa" w:w="60"/>
              <w:left w:type="dxa" w:w="100"/>
              <w:bottom w:type="dxa" w:w="60"/>
              <w:right w:type="dxa" w:w="100"/>
            </w:tcMar>
          </w:tcPr>
          <w:p>
            <w:pPr>
              <w:jc w:val="center"/>
            </w:pPr>
            <w:r>
              <w:rPr>
                <w:b/>
                <w:bCs/>
                <w:color w:val="276749"/>
                <w:sz w:val="17"/>
                <w:szCs w:val="17"/>
              </w:rPr>
              <w:t xml:space="preserve">17</w:t>
            </w:r>
          </w:p>
        </w:tc>
        <w:tc>
          <w:tcPr>
            <w:shd w:color="FFFFFF" w:val="solid"/>
            <w:tcMar>
              <w:top w:type="dxa" w:w="60"/>
              <w:left w:type="dxa" w:w="100"/>
              <w:bottom w:type="dxa" w:w="60"/>
              <w:right w:type="dxa" w:w="100"/>
            </w:tcMar>
          </w:tcPr>
          <w:p>
            <w:pPr>
              <w:jc w:val="center"/>
            </w:pPr>
            <w:r>
              <w:rPr>
                <w:b/>
                <w:bCs/>
                <w:color w:val="276749"/>
                <w:sz w:val="17"/>
                <w:szCs w:val="17"/>
              </w:rPr>
              <w:t xml:space="preserve">+2</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Fallidos</w:t>
            </w:r>
          </w:p>
        </w:tc>
        <w:tc>
          <w:tcPr>
            <w:shd w:color="FFFFFF" w:val="solid"/>
            <w:tcMar>
              <w:top w:type="dxa" w:w="60"/>
              <w:left w:type="dxa" w:w="100"/>
              <w:bottom w:type="dxa" w:w="60"/>
              <w:right w:type="dxa" w:w="100"/>
            </w:tcMar>
          </w:tcPr>
          <w:p>
            <w:pPr>
              <w:jc w:val="center"/>
            </w:pPr>
            <w:r>
              <w:rPr>
                <w:b/>
                <w:bCs/>
                <w:color w:val="c53030"/>
                <w:sz w:val="17"/>
                <w:szCs w:val="17"/>
              </w:rPr>
              <w:t xml:space="preserve">2</w:t>
            </w:r>
          </w:p>
        </w:tc>
        <w:tc>
          <w:tcPr>
            <w:shd w:color="FFFFFF" w:val="solid"/>
            <w:tcMar>
              <w:top w:type="dxa" w:w="60"/>
              <w:left w:type="dxa" w:w="100"/>
              <w:bottom w:type="dxa" w:w="60"/>
              <w:right w:type="dxa" w:w="100"/>
            </w:tcMar>
          </w:tcPr>
          <w:p>
            <w:pPr>
              <w:jc w:val="center"/>
            </w:pPr>
            <w:r>
              <w:rPr>
                <w:b/>
                <w:bCs/>
                <w:color w:val="276749"/>
                <w:sz w:val="17"/>
                <w:szCs w:val="17"/>
              </w:rPr>
              <w:t xml:space="preserve">0</w:t>
            </w:r>
          </w:p>
        </w:tc>
        <w:tc>
          <w:tcPr>
            <w:shd w:color="FFFFFF" w:val="solid"/>
            <w:tcMar>
              <w:top w:type="dxa" w:w="60"/>
              <w:left w:type="dxa" w:w="100"/>
              <w:bottom w:type="dxa" w:w="60"/>
              <w:right w:type="dxa" w:w="100"/>
            </w:tcMar>
          </w:tcPr>
          <w:p>
            <w:pPr>
              <w:jc w:val="center"/>
            </w:pPr>
            <w:r>
              <w:rPr>
                <w:b/>
                <w:bCs/>
                <w:color w:val="276749"/>
                <w:sz w:val="17"/>
                <w:szCs w:val="17"/>
              </w:rPr>
              <w:t xml:space="preserve">-2</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w:t>
            </w:r>
          </w:p>
        </w:tc>
        <w:tc>
          <w:tcPr>
            <w:shd w:color="FFFFFF" w:val="solid"/>
            <w:tcMar>
              <w:top w:type="dxa" w:w="60"/>
              <w:left w:type="dxa" w:w="100"/>
              <w:bottom w:type="dxa" w:w="60"/>
              <w:right w:type="dxa" w:w="100"/>
            </w:tcMar>
          </w:tcPr>
          <w:p>
            <w:pPr>
              <w:jc w:val="center"/>
            </w:pPr>
            <w:r>
              <w:rPr>
                <w:b/>
                <w:bCs/>
                <w:color w:val="c53030"/>
                <w:sz w:val="17"/>
                <w:szCs w:val="17"/>
              </w:rPr>
              <w:t xml:space="preserve">✗ FALLIDO</w:t>
            </w:r>
          </w:p>
        </w:tc>
        <w:tc>
          <w:tcPr>
            <w:shd w:color="FFFFFF" w:val="solid"/>
            <w:tcMar>
              <w:top w:type="dxa" w:w="60"/>
              <w:left w:type="dxa" w:w="100"/>
              <w:bottom w:type="dxa" w:w="60"/>
              <w:right w:type="dxa" w:w="100"/>
            </w:tcMar>
          </w:tcPr>
          <w:p>
            <w:pPr>
              <w:jc w:val="center"/>
            </w:pPr>
            <w:r>
              <w:rPr>
                <w:b/>
                <w:bCs/>
                <w:color w:val="276749"/>
                <w:sz w:val="17"/>
                <w:szCs w:val="17"/>
              </w:rPr>
              <w:t xml:space="preserve">✓ APROBADO</w:t>
            </w:r>
          </w:p>
        </w:tc>
        <w:tc>
          <w:tcPr>
            <w:shd w:color="FFFFFF" w:val="solid"/>
            <w:tcMar>
              <w:top w:type="dxa" w:w="60"/>
              <w:left w:type="dxa" w:w="100"/>
              <w:bottom w:type="dxa" w:w="60"/>
              <w:right w:type="dxa" w:w="100"/>
            </w:tcMar>
          </w:tcPr>
          <w:p>
            <w:pPr>
              <w:jc w:val="center"/>
            </w:pPr>
            <w:r>
              <w:rPr>
                <w:b/>
                <w:bCs/>
                <w:color w:val="276749"/>
                <w:sz w:val="17"/>
                <w:szCs w:val="17"/>
              </w:rPr>
              <w:t xml:space="preserve">✓ Resuelto</w:t>
            </w:r>
          </w:p>
        </w:tc>
      </w:tr>
    </w:tbl>
    <w:p>
      <w:pPr>
        <w:spacing w:after="200" w:before="400"/>
      </w:pPr>
      <w:r>
        <w:rPr>
          <w:b/>
          <w:bCs/>
          <w:color w:val="1a365d"/>
          <w:sz w:val="24"/>
          <w:szCs w:val="24"/>
        </w:rPr>
        <w:t xml:space="preserve">3. CORRECCIONES APLICADAS</w:t>
      </w:r>
    </w:p>
    <w:p>
      <w:pPr>
        <w:spacing w:after="100" w:before="200"/>
      </w:pPr>
      <w:r>
        <w:rPr>
          <w:b/>
          <w:bCs/>
          <w:color w:val="c53030"/>
          <w:sz w:val="20"/>
          <w:szCs w:val="20"/>
        </w:rPr>
        <w:t xml:space="preserve">AN-02-04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switch de calcularRango() no normalizaba el período antes de retornarlo en el objeto KPIs. Al pasar un valor no reconocido como "invalido", el servicio usaba el rango de "mes" correctamente, pero el campo periodo en la respuesta JSON reflejaba el string original enviado por el cliente ("invalido") en lugar de "mes", causando inconsistencia entre el rango calculado y el período reportado.</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agregó normalización del parámetro periodo en obtenerKPIs: si el valor recibido no está en la lista de períodos válidos [dia, semana, mes, anio, mes_anterior], se reemplaza por "mes" antes de llamar a calcularRango(), asegurando que el campo periodo en la respuesta siempre refleje el período efectivamente utilizado.</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100" w:before="200"/>
      </w:pPr>
      <w:r>
        <w:rPr>
          <w:b/>
          <w:bCs/>
          <w:color w:val="c53030"/>
          <w:sz w:val="20"/>
          <w:szCs w:val="20"/>
        </w:rPr>
        <w:t xml:space="preserve">AN-04-03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 v1</w:t>
            </w:r>
          </w:p>
        </w:tc>
        <w:tc>
          <w:tcPr>
            <w:shd w:color="FFFFFF" w:val="solid"/>
            <w:tcMar>
              <w:top w:type="dxa" w:w="60"/>
              <w:left w:type="dxa" w:w="100"/>
              <w:bottom w:type="dxa" w:w="60"/>
              <w:right w:type="dxa" w:w="100"/>
            </w:tcMar>
          </w:tcPr>
          <w:p>
            <w:pPr>
              <w:jc w:val="left"/>
            </w:pPr>
            <w:r>
              <w:rPr>
                <w:b w:val="false"/>
                <w:bCs w:val="false"/>
                <w:color w:val="c53030"/>
                <w:sz w:val="17"/>
                <w:szCs w:val="17"/>
              </w:rPr>
              <w:t xml:space="preserve">El controlador obtenerAlertas usaba el mismo valor de tipo ("sin_ingresos") para dos alertas distintas: la de "no se han registrado ingresos hoy" y la de "caja no abierta hoy". Cuando ambas condiciones se cumplían, el array contenía dos alertas con tipo idéntico, lo que dificultaba la identificación inequívoca de cada alerta. Adicionalmente, el campo total se asignaba como alertas.length al final, pero si una condición lanzaba un error silencioso, podía quedar desfasado.</w:t>
            </w:r>
          </w:p>
        </w:tc>
      </w:tr>
      <w:tr>
        <w:tc>
          <w:tcPr>
            <w:shd w:color="FFFFFF" w:val="solid"/>
            <w:tcMar>
              <w:top w:type="dxa" w:w="60"/>
              <w:left w:type="dxa" w:w="100"/>
              <w:bottom w:type="dxa" w:w="60"/>
              <w:right w:type="dxa" w:w="100"/>
            </w:tcMar>
          </w:tcPr>
          <w:p>
            <w:pPr>
              <w:jc w:val="left"/>
            </w:pPr>
            <w:r>
              <w:rPr>
                <w:b/>
                <w:bCs/>
                <w:color w:val="2d3748"/>
                <w:sz w:val="17"/>
                <w:szCs w:val="17"/>
              </w:rPr>
              <w:t xml:space="preserve">Corrección aplicada</w:t>
            </w:r>
          </w:p>
        </w:tc>
        <w:tc>
          <w:tcPr>
            <w:shd w:color="FFFFFF" w:val="solid"/>
            <w:tcMar>
              <w:top w:type="dxa" w:w="60"/>
              <w:left w:type="dxa" w:w="100"/>
              <w:bottom w:type="dxa" w:w="60"/>
              <w:right w:type="dxa" w:w="100"/>
            </w:tcMar>
          </w:tcPr>
          <w:p>
            <w:pPr>
              <w:jc w:val="left"/>
            </w:pPr>
            <w:r>
              <w:rPr>
                <w:b w:val="false"/>
                <w:bCs w:val="false"/>
                <w:color w:val="276749"/>
                <w:sz w:val="17"/>
                <w:szCs w:val="17"/>
              </w:rPr>
              <w:t xml:space="preserve">Se corrigió el tipo de la alerta de caja de "sin_ingresos" a "caja_sin_abrir" para hacerla única e identificable. Se movió la asignación de total: alertas.length al final del bloque, después de todos los push, garantizando que el valor siempre coincida con la longitud real del array en la respuesta JSON.</w:t>
            </w:r>
          </w:p>
        </w:tc>
      </w:tr>
      <w:tr>
        <w:tc>
          <w:tcPr>
            <w:shd w:color="FFFFFF" w:val="solid"/>
            <w:tcMar>
              <w:top w:type="dxa" w:w="60"/>
              <w:left w:type="dxa" w:w="100"/>
              <w:bottom w:type="dxa" w:w="60"/>
              <w:right w:type="dxa" w:w="100"/>
            </w:tcMar>
          </w:tcPr>
          <w:p>
            <w:pPr>
              <w:jc w:val="left"/>
            </w:pPr>
            <w:r>
              <w:rPr>
                <w:b/>
                <w:bCs/>
                <w:color w:val="2d3748"/>
                <w:sz w:val="17"/>
                <w:szCs w:val="17"/>
              </w:rPr>
              <w:t xml:space="preserve">Estado v2</w:t>
            </w:r>
          </w:p>
        </w:tc>
        <w:tc>
          <w:tcPr>
            <w:shd w:color="FFFFFF" w:val="solid"/>
            <w:tcMar>
              <w:top w:type="dxa" w:w="60"/>
              <w:left w:type="dxa" w:w="100"/>
              <w:bottom w:type="dxa" w:w="60"/>
              <w:right w:type="dxa" w:w="100"/>
            </w:tcMar>
          </w:tcPr>
          <w:p>
            <w:pPr>
              <w:jc w:val="left"/>
            </w:pPr>
            <w:r>
              <w:rPr>
                <w:b/>
                <w:bCs/>
                <w:color w:val="276749"/>
                <w:sz w:val="17"/>
                <w:szCs w:val="17"/>
              </w:rPr>
              <w:t xml:space="preserve">✓ APROBADO</w:t>
            </w:r>
          </w:p>
        </w:tc>
      </w:tr>
    </w:tbl>
    <w:p>
      <w:pPr>
        <w:spacing w:after="160"/>
      </w:pPr>
    </w:p>
    <w:p>
      <w:pPr>
        <w:spacing w:after="200" w:before="400"/>
      </w:pPr>
      <w:r>
        <w:rPr>
          <w:b/>
          <w:bCs/>
          <w:color w:val="1a365d"/>
          <w:sz w:val="24"/>
          <w:szCs w:val="24"/>
        </w:rPr>
        <w:t xml:space="preserve">4. DETALLE COMPLETO v1 vs v2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84"/>
        <w:gridCol w:w="1684"/>
        <w:gridCol w:w="1684"/>
        <w:gridCol w:w="1684"/>
        <w:gridCol w:w="1684"/>
        <w:gridCol w:w="1684"/>
      </w:tblGrid>
      <w:tr>
        <w:tc>
          <w:tcPr>
            <w:shd w:color="1a365d" w:val="solid"/>
            <w:tcMar>
              <w:top w:type="dxa" w:w="80"/>
              <w:left w:type="dxa" w:w="100"/>
              <w:bottom w:type="dxa" w:w="80"/>
              <w:right w:type="dxa" w:w="100"/>
            </w:tcMar>
          </w:tcPr>
          <w:p>
            <w:pPr>
              <w:jc w:val="center"/>
            </w:pPr>
            <w:r>
              <w:rPr>
                <w:b/>
                <w:bCs/>
                <w:color w:val="FFFFFF"/>
                <w:sz w:val="18"/>
                <w:szCs w:val="18"/>
              </w:rPr>
              <w:t xml:space="preserve">ID</w:t>
            </w:r>
          </w:p>
        </w:tc>
        <w:tc>
          <w:tcPr>
            <w:shd w:color="1a365d" w:val="solid"/>
            <w:tcMar>
              <w:top w:type="dxa" w:w="80"/>
              <w:left w:type="dxa" w:w="100"/>
              <w:bottom w:type="dxa" w:w="80"/>
              <w:right w:type="dxa" w:w="100"/>
            </w:tcMar>
          </w:tcPr>
          <w:p>
            <w:pPr>
              <w:jc w:val="center"/>
            </w:pPr>
            <w:r>
              <w:rPr>
                <w:b/>
                <w:bCs/>
                <w:color w:val="FFFFFF"/>
                <w:sz w:val="18"/>
                <w:szCs w:val="18"/>
              </w:rPr>
              <w:t xml:space="preserve">Grupo</w:t>
            </w:r>
          </w:p>
        </w:tc>
        <w:tc>
          <w:tcPr>
            <w:shd w:color="1a365d" w:val="solid"/>
            <w:tcMar>
              <w:top w:type="dxa" w:w="80"/>
              <w:left w:type="dxa" w:w="100"/>
              <w:bottom w:type="dxa" w:w="80"/>
              <w:right w:type="dxa" w:w="100"/>
            </w:tcMar>
          </w:tcPr>
          <w:p>
            <w:pPr>
              <w:jc w:val="center"/>
            </w:pPr>
            <w:r>
              <w:rPr>
                <w:b/>
                <w:bCs/>
                <w:color w:val="FFFFFF"/>
                <w:sz w:val="18"/>
                <w:szCs w:val="18"/>
              </w:rPr>
              <w:t xml:space="preserve">Descripción</w:t>
            </w:r>
          </w:p>
        </w:tc>
        <w:tc>
          <w:tcPr>
            <w:shd w:color="1a365d" w:val="solid"/>
            <w:tcMar>
              <w:top w:type="dxa" w:w="80"/>
              <w:left w:type="dxa" w:w="100"/>
              <w:bottom w:type="dxa" w:w="80"/>
              <w:right w:type="dxa" w:w="100"/>
            </w:tcMar>
          </w:tcPr>
          <w:p>
            <w:pPr>
              <w:jc w:val="center"/>
            </w:pPr>
            <w:r>
              <w:rPr>
                <w:b/>
                <w:bCs/>
                <w:color w:val="FFFFFF"/>
                <w:sz w:val="18"/>
                <w:szCs w:val="18"/>
              </w:rPr>
              <w:t xml:space="preserve">Tiempo</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v2</w:t>
            </w:r>
          </w:p>
        </w:tc>
      </w:tr>
      <w:tr>
        <w:tc>
          <w:tcPr>
            <w:shd w:color="FFFFFF" w:val="solid"/>
            <w:tcMar>
              <w:top w:type="dxa" w:w="60"/>
              <w:left w:type="dxa" w:w="100"/>
              <w:bottom w:type="dxa" w:w="60"/>
              <w:right w:type="dxa" w:w="100"/>
            </w:tcMar>
          </w:tcPr>
          <w:p>
            <w:pPr>
              <w:jc w:val="left"/>
            </w:pPr>
            <w:r>
              <w:rPr>
                <w:b/>
                <w:bCs/>
                <w:color w:val="2d3748"/>
                <w:sz w:val="17"/>
                <w:szCs w:val="17"/>
              </w:rPr>
              <w:t xml:space="preserve">AN-01-01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AN-01-02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Token de operador devuelve HTTP 403</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AN-01-03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periodo=mes retorna 200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AN-01-04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periodo=dia retorna 200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AN-01-05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periodo=anio retorna 200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AN-02-01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AN-02-02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periodo=semana retorna KPIs completos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AN-02-03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periodo=mes_anterior retorna 200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AN-02-04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Periodo inválido usa default (mes) y retorna 200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AN-03-01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AN-03-02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retorna proyeccion con campos esperados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AN-04-01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AN-04-02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retorna 200 con alertas y total</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AN-04-03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El campo total coincide con la longitud del array alertas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AN-04-04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Cada alerta tiene tipo, mensaje y nivel</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AN-05-01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bCs/>
                <w:color w:val="2d3748"/>
                <w:sz w:val="17"/>
                <w:szCs w:val="17"/>
              </w:rPr>
              <w:t xml:space="preserve">AN-05-02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retorna array de tendencias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c>
          <w:tcPr>
            <w:shd w:color="f0fff4" w:val="solid"/>
            <w:tcMar>
              <w:top w:type="dxa" w:w="60"/>
              <w:left w:type="dxa" w:w="100"/>
              <w:bottom w:type="dxa" w:w="60"/>
              <w:right w:type="dxa" w:w="100"/>
            </w:tcMar>
          </w:tcPr>
          <w:p>
            <w:pPr>
              <w:jc w:val="center"/>
            </w:pPr>
            <w:r>
              <w:rPr>
                <w:b/>
                <w:bCs/>
                <w:color w:val="276749"/>
                <w:sz w:val="17"/>
                <w:szCs w:val="17"/>
              </w:rPr>
              <w:t xml:space="preserve">✓</w:t>
            </w:r>
          </w:p>
        </w:tc>
      </w:tr>
    </w:tbl>
    <w:p>
      <w:pPr>
        <w:spacing w:after="200" w:before="400"/>
      </w:pPr>
      <w:r>
        <w:rPr>
          <w:b/>
          <w:bCs/>
          <w:color w:val="1a365d"/>
          <w:sz w:val="24"/>
          <w:szCs w:val="24"/>
        </w:rPr>
        <w:t xml:space="preserve">5. CONCLUSIONES</w:t>
      </w:r>
    </w:p>
    <w:p>
      <w:pPr>
        <w:spacing w:after="400"/>
      </w:pPr>
      <w:r>
        <w:rPr>
          <w:sz w:val="20"/>
          <w:szCs w:val="20"/>
        </w:rPr>
        <w:t xml:space="preserve">La ejecución del Hito 4 identificó 2 fallos en la versión v1, ambos relacionados con inconsistencias en los datos retornados por el módulo de analítica: normalización incorrecta del parámetro periodo ante valores no reconocidos (AN-02-04) y duplicidad de tipo en alertas que causaba confusión en la consistencia del campo total (AN-04-03). Las correcciones aplicadas consistieron en normalizar el período efectivamente utilizado en la respuesta de KPIs y diferenciar los tipos de alerta en el controlador de alertas. La versión v2 obtuvo 17/17 casos aprobados, confirmando que el módulo de analítica y dashboard cumple con todos los criterios de aceptación definidos en el plan de pruebas.</w:t>
      </w:r>
    </w:p>
    <w:p>
      <w:pPr>
        <w:jc w:val="center"/>
      </w:pPr>
      <w:r>
        <w:rPr>
          <w:i/>
          <w:iCs/>
          <w:color w:val="718096"/>
          <w:sz w:val="16"/>
          <w:szCs w:val="16"/>
        </w:rPr>
        <w:t xml:space="preserve">Reporte generado automáticamente por PGIP — miércoles, 14 de octubre de 2026 3:19:32 p. m.</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2026-10-14T21:19:32.017Z</dcterms:created>
  <dcterms:modified xsi:type="dcterms:W3CDTF">2026-10-14T21:19:32.017Z</dcterms:modified>
</cp:coreProperties>
</file>

<file path=docProps/custom.xml><?xml version="1.0" encoding="utf-8"?>
<Properties xmlns="http://schemas.openxmlformats.org/officeDocument/2006/custom-properties" xmlns:vt="http://schemas.openxmlformats.org/officeDocument/2006/docPropsVTypes"/>
</file>