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03FC1" w14:textId="1E238535" w:rsidR="00B56058" w:rsidRDefault="002E5A52">
      <w:pPr>
        <w:rPr>
          <w:b/>
          <w:bCs/>
          <w:sz w:val="28"/>
          <w:szCs w:val="28"/>
        </w:rPr>
      </w:pPr>
      <w:r>
        <w:rPr>
          <w:b/>
          <w:bCs/>
          <w:sz w:val="28"/>
          <w:szCs w:val="28"/>
        </w:rPr>
        <w:fldChar w:fldCharType="begin"/>
      </w:r>
      <w:r>
        <w:rPr>
          <w:b/>
          <w:bCs/>
          <w:sz w:val="28"/>
          <w:szCs w:val="28"/>
        </w:rPr>
        <w:instrText xml:space="preserve"> ADDIN ZOTERO_ITEM CSL_CITATION {"citationID":"S0i4di5V","properties":{"formattedCitation":"(Cary et al., 2024)","plainCitation":"(Cary et al., 2024)","noteIndex":0},"citationItems":[{"id":30,"uris":["http://zotero.org/users/local/eF1JiGrd/items/J4D9Q8AV"],"itemData":{"id":30,"type":"article-journal","abstract":"INTRODUCTION\nAlzheimer's disease (AD) is the predominant dementia globally, with heterogeneous presentation and penetrance of clinical symptoms, variable presence of mixed pathologies, potential disease subtypes, and numerous associated endophenotypes. Beyond the difficulty of designing treatments that address the core pathological characteristics of the disease, therapeutic development is challenged by the uncertainty of which endophenotypic are</w:instrText>
      </w:r>
      <w:r>
        <w:rPr>
          <w:rFonts w:hint="eastAsia"/>
          <w:b/>
          <w:bCs/>
          <w:sz w:val="28"/>
          <w:szCs w:val="28"/>
        </w:rPr>
        <w:instrText>as and specific targets implicated by those endophenotypes to prioritize for further translational research. However, publicly funded consortia driving large</w:instrText>
      </w:r>
      <w:r>
        <w:rPr>
          <w:rFonts w:hint="eastAsia"/>
          <w:b/>
          <w:bCs/>
          <w:sz w:val="28"/>
          <w:szCs w:val="28"/>
        </w:rPr>
        <w:instrText>‐</w:instrText>
      </w:r>
      <w:r>
        <w:rPr>
          <w:rFonts w:hint="eastAsia"/>
          <w:b/>
          <w:bCs/>
          <w:sz w:val="28"/>
          <w:szCs w:val="28"/>
        </w:rPr>
        <w:instrText>scale open science efforts have produced multiple omic analyses that address both disease risk re</w:instrText>
      </w:r>
      <w:r>
        <w:rPr>
          <w:b/>
          <w:bCs/>
          <w:sz w:val="28"/>
          <w:szCs w:val="28"/>
        </w:rPr>
        <w:instrText>levance and biological process involvement of genes across the genome.\n\nMETHODS\nHere we report the development of an informatic pipeline that draws from genetic association studies, predicted variant impact, and linkage with dementia associated phenoty</w:instrText>
      </w:r>
      <w:r>
        <w:rPr>
          <w:rFonts w:hint="eastAsia"/>
          <w:b/>
          <w:bCs/>
          <w:sz w:val="28"/>
          <w:szCs w:val="28"/>
        </w:rPr>
        <w:instrText>pes to create a genetic risk score. This is paired with a multi</w:instrText>
      </w:r>
      <w:r>
        <w:rPr>
          <w:rFonts w:hint="eastAsia"/>
          <w:b/>
          <w:bCs/>
          <w:sz w:val="28"/>
          <w:szCs w:val="28"/>
        </w:rPr>
        <w:instrText>‐</w:instrText>
      </w:r>
      <w:r>
        <w:rPr>
          <w:rFonts w:hint="eastAsia"/>
          <w:b/>
          <w:bCs/>
          <w:sz w:val="28"/>
          <w:szCs w:val="28"/>
        </w:rPr>
        <w:instrText>omic risk score utilizing extensive sets of both transcriptomic and proteomic studies to identify system</w:instrText>
      </w:r>
      <w:r>
        <w:rPr>
          <w:rFonts w:hint="eastAsia"/>
          <w:b/>
          <w:bCs/>
          <w:sz w:val="28"/>
          <w:szCs w:val="28"/>
        </w:rPr>
        <w:instrText>‐</w:instrText>
      </w:r>
      <w:r>
        <w:rPr>
          <w:rFonts w:hint="eastAsia"/>
          <w:b/>
          <w:bCs/>
          <w:sz w:val="28"/>
          <w:szCs w:val="28"/>
        </w:rPr>
        <w:instrText>level changes in expression associated with AD. These two elements combined constitute our target risk score that ranks AD risk genome</w:instrText>
      </w:r>
      <w:r>
        <w:rPr>
          <w:rFonts w:hint="eastAsia"/>
          <w:b/>
          <w:bCs/>
          <w:sz w:val="28"/>
          <w:szCs w:val="28"/>
        </w:rPr>
        <w:instrText>‐</w:instrText>
      </w:r>
      <w:r>
        <w:rPr>
          <w:rFonts w:hint="eastAsia"/>
          <w:b/>
          <w:bCs/>
          <w:sz w:val="28"/>
          <w:szCs w:val="28"/>
        </w:rPr>
        <w:instrText>wide. The ranked genes are organized into endophenotypic space through the development of 19 biological domains associated with AD in the described genetics and genomics studies and accompanying literature. The biological domains are constructed from exhaustive Gene Ontology (GO) term compilations, allowing automated assignment of genes into objectively defined disease</w:instrText>
      </w:r>
      <w:r>
        <w:rPr>
          <w:rFonts w:hint="eastAsia"/>
          <w:b/>
          <w:bCs/>
          <w:sz w:val="28"/>
          <w:szCs w:val="28"/>
        </w:rPr>
        <w:instrText>‐</w:instrText>
      </w:r>
      <w:r>
        <w:rPr>
          <w:rFonts w:hint="eastAsia"/>
          <w:b/>
          <w:bCs/>
          <w:sz w:val="28"/>
          <w:szCs w:val="28"/>
        </w:rPr>
        <w:instrText>associated biology. This rank</w:instrText>
      </w:r>
      <w:r>
        <w:rPr>
          <w:rFonts w:hint="eastAsia"/>
          <w:b/>
          <w:bCs/>
          <w:sz w:val="28"/>
          <w:szCs w:val="28"/>
        </w:rPr>
        <w:instrText>‐</w:instrText>
      </w:r>
      <w:r>
        <w:rPr>
          <w:rFonts w:hint="eastAsia"/>
          <w:b/>
          <w:bCs/>
          <w:sz w:val="28"/>
          <w:szCs w:val="28"/>
        </w:rPr>
        <w:instrText>and</w:instrText>
      </w:r>
      <w:r>
        <w:rPr>
          <w:rFonts w:hint="eastAsia"/>
          <w:b/>
          <w:bCs/>
          <w:sz w:val="28"/>
          <w:szCs w:val="28"/>
        </w:rPr>
        <w:instrText>‐</w:instrText>
      </w:r>
      <w:r>
        <w:rPr>
          <w:rFonts w:hint="eastAsia"/>
          <w:b/>
          <w:bCs/>
          <w:sz w:val="28"/>
          <w:szCs w:val="28"/>
        </w:rPr>
        <w:instrText>organize approach, performed genome</w:instrText>
      </w:r>
      <w:r>
        <w:rPr>
          <w:rFonts w:hint="eastAsia"/>
          <w:b/>
          <w:bCs/>
          <w:sz w:val="28"/>
          <w:szCs w:val="28"/>
        </w:rPr>
        <w:instrText>‐</w:instrText>
      </w:r>
      <w:r>
        <w:rPr>
          <w:rFonts w:hint="eastAsia"/>
          <w:b/>
          <w:bCs/>
          <w:sz w:val="28"/>
          <w:szCs w:val="28"/>
        </w:rPr>
        <w:instrText>wide, allows the characterization of aggregations of AD risk across biological domains.\n\nRESULTS\nThe top AD</w:instrText>
      </w:r>
      <w:r>
        <w:rPr>
          <w:rFonts w:hint="eastAsia"/>
          <w:b/>
          <w:bCs/>
          <w:sz w:val="28"/>
          <w:szCs w:val="28"/>
        </w:rPr>
        <w:instrText>‐</w:instrText>
      </w:r>
      <w:r>
        <w:rPr>
          <w:rFonts w:hint="eastAsia"/>
          <w:b/>
          <w:bCs/>
          <w:sz w:val="28"/>
          <w:szCs w:val="28"/>
        </w:rPr>
        <w:instrText>risk</w:instrText>
      </w:r>
      <w:r>
        <w:rPr>
          <w:rFonts w:hint="eastAsia"/>
          <w:b/>
          <w:bCs/>
          <w:sz w:val="28"/>
          <w:szCs w:val="28"/>
        </w:rPr>
        <w:instrText>‐</w:instrText>
      </w:r>
      <w:r>
        <w:rPr>
          <w:rFonts w:hint="eastAsia"/>
          <w:b/>
          <w:bCs/>
          <w:sz w:val="28"/>
          <w:szCs w:val="28"/>
        </w:rPr>
        <w:instrText>associated biological domains are Synapse, Immune Response, Lipid Metabolism, Mitochondrial Metabolism, Structural Stabilization, and Proteostasis, with sligh</w:instrText>
      </w:r>
      <w:r>
        <w:rPr>
          <w:b/>
          <w:bCs/>
          <w:sz w:val="28"/>
          <w:szCs w:val="28"/>
        </w:rPr>
        <w:instrText>tly lower levels of risk enrichment present within the other 13 biological domains.\n\nDISCUSSION\nThis provides an objective methodology to localize risk within specific biological endophenotypes and drill down into the most significantly associated sets of GO terms and annotated genes for potential therapeutic targets.","container-title":"Alzheimer's &amp; Dementia : Translational Research &amp; Clinical Interventions","DOI":"10.1002/trc2.12461","ISSN":"2352-8737","issue":"2","journalAbbreviation":"Alzheimers D</w:instrText>
      </w:r>
      <w:r>
        <w:rPr>
          <w:rFonts w:hint="eastAsia"/>
          <w:b/>
          <w:bCs/>
          <w:sz w:val="28"/>
          <w:szCs w:val="28"/>
        </w:rPr>
        <w:instrText>ement (N Y)","note":"PMID: 38650747\nPMCID: PMC11033838","page":"e12461","source":"PubMed Central","title":"Genetic and multi</w:instrText>
      </w:r>
      <w:r>
        <w:rPr>
          <w:rFonts w:hint="eastAsia"/>
          <w:b/>
          <w:bCs/>
          <w:sz w:val="28"/>
          <w:szCs w:val="28"/>
        </w:rPr>
        <w:instrText>‐</w:instrText>
      </w:r>
      <w:r>
        <w:rPr>
          <w:rFonts w:hint="eastAsia"/>
          <w:b/>
          <w:bCs/>
          <w:sz w:val="28"/>
          <w:szCs w:val="28"/>
        </w:rPr>
        <w:instrText>omic risk assessment of Alzheimer's disease implicates core associated biological domains","volume":"10","author":[{"family":"Car</w:instrText>
      </w:r>
      <w:r>
        <w:rPr>
          <w:b/>
          <w:bCs/>
          <w:sz w:val="28"/>
          <w:szCs w:val="28"/>
        </w:rPr>
        <w:instrText xml:space="preserve">y","given":"Gregory A."},{"family":"Wiley","given":"Jesse C."},{"family":"Gockley","given":"Jake"},{"family":"Keegan","given":"Stephen"},{"family":"Amirtha Ganesh","given":"Sai Sruthi"},{"family":"Heath","given":"Laura"},{"family":"Butler","given":"Robert R."},{"family":"Mangravite","given":"Lara M."},{"family":"Logsdon","given":"Benjamin A."},{"family":"Longo","given":"Frank M."},{"family":"Levey","given":"Allan"},{"family":"Greenwood","given":"Anna K."},{"family":"Carter","given":"Gregory W."}],"issued":{"date-parts":[["2024",4,22]]}}}],"schema":"https://github.com/citation-style-language/schema/raw/master/csl-citation.json"} </w:instrText>
      </w:r>
      <w:r>
        <w:rPr>
          <w:b/>
          <w:bCs/>
          <w:sz w:val="28"/>
          <w:szCs w:val="28"/>
        </w:rPr>
        <w:fldChar w:fldCharType="separate"/>
      </w:r>
      <w:r>
        <w:rPr>
          <w:b/>
          <w:bCs/>
          <w:noProof/>
          <w:sz w:val="28"/>
          <w:szCs w:val="28"/>
        </w:rPr>
        <w:t>(Cary et al., 2024)</w:t>
      </w:r>
      <w:r>
        <w:rPr>
          <w:b/>
          <w:bCs/>
          <w:sz w:val="28"/>
          <w:szCs w:val="28"/>
        </w:rPr>
        <w:fldChar w:fldCharType="end"/>
      </w:r>
      <w:r w:rsidR="007913E4" w:rsidRPr="009D0CDE">
        <w:rPr>
          <w:b/>
          <w:bCs/>
          <w:sz w:val="28"/>
          <w:szCs w:val="28"/>
        </w:rPr>
        <w:t>Method</w:t>
      </w:r>
    </w:p>
    <w:p w14:paraId="4FC0BC6A" w14:textId="087CB710" w:rsidR="00E27AF3" w:rsidRPr="00E27AF3" w:rsidRDefault="00E27AF3" w:rsidP="00E27AF3">
      <w:pPr>
        <w:rPr>
          <w:b/>
          <w:bCs/>
          <w:color w:val="1B1B1B"/>
          <w:sz w:val="28"/>
          <w:szCs w:val="28"/>
          <w:shd w:val="clear" w:color="auto" w:fill="FFFFFF"/>
        </w:rPr>
      </w:pPr>
      <w:r>
        <w:rPr>
          <w:b/>
          <w:bCs/>
          <w:color w:val="1B1B1B"/>
          <w:sz w:val="28"/>
          <w:szCs w:val="28"/>
          <w:shd w:val="clear" w:color="auto" w:fill="FFFFFF"/>
        </w:rPr>
        <w:t>RNA mapping</w:t>
      </w:r>
    </w:p>
    <w:p w14:paraId="1E0534BE" w14:textId="7184813E" w:rsidR="00E27AF3" w:rsidRDefault="00E27AF3" w:rsidP="00E27AF3">
      <w:pPr>
        <w:rPr>
          <w:color w:val="1B1B1B"/>
          <w:sz w:val="28"/>
          <w:szCs w:val="28"/>
          <w:shd w:val="clear" w:color="auto" w:fill="FFFFFF"/>
        </w:rPr>
      </w:pPr>
      <w:r w:rsidRPr="00E27AF3">
        <w:rPr>
          <w:rFonts w:hint="eastAsia"/>
          <w:color w:val="1B1B1B"/>
          <w:sz w:val="28"/>
          <w:szCs w:val="28"/>
          <w:shd w:val="clear" w:color="auto" w:fill="FFFFFF"/>
        </w:rPr>
        <w:t>For each sample, paired</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end FASTQ reads were aligned to the GRCh38 reference genome (</w:t>
      </w:r>
      <w:proofErr w:type="spellStart"/>
      <w:r w:rsidRPr="00E27AF3">
        <w:rPr>
          <w:rFonts w:hint="eastAsia"/>
          <w:color w:val="1B1B1B"/>
          <w:sz w:val="28"/>
          <w:szCs w:val="28"/>
          <w:shd w:val="clear" w:color="auto" w:fill="FFFFFF"/>
        </w:rPr>
        <w:t>Ensembl</w:t>
      </w:r>
      <w:proofErr w:type="spellEnd"/>
      <w:r w:rsidRPr="00E27AF3">
        <w:rPr>
          <w:rFonts w:hint="eastAsia"/>
          <w:color w:val="1B1B1B"/>
          <w:sz w:val="28"/>
          <w:szCs w:val="28"/>
          <w:shd w:val="clear" w:color="auto" w:fill="FFFFFF"/>
        </w:rPr>
        <w:t xml:space="preserve"> release-106</w:t>
      </w:r>
      <w:r w:rsidRPr="00E27AF3">
        <w:rPr>
          <w:color w:val="1B1B1B"/>
          <w:sz w:val="28"/>
          <w:szCs w:val="28"/>
          <w:shd w:val="clear" w:color="auto" w:fill="FFFFFF"/>
        </w:rPr>
        <w:t xml:space="preserve"> annotation,</w:t>
      </w:r>
      <w:r>
        <w:rPr>
          <w:color w:val="1B1B1B"/>
          <w:sz w:val="28"/>
          <w:szCs w:val="28"/>
          <w:shd w:val="clear" w:color="auto" w:fill="FFFFFF"/>
        </w:rPr>
        <w:t xml:space="preserve"> </w:t>
      </w:r>
      <w:r w:rsidRPr="00E27AF3">
        <w:rPr>
          <w:color w:val="1B1B1B"/>
          <w:sz w:val="28"/>
          <w:szCs w:val="28"/>
          <w:shd w:val="clear" w:color="auto" w:fill="FFFFFF"/>
        </w:rPr>
        <w:t xml:space="preserve">Homo_sapiens.GRCh38.106.gtf) using HISAT2 v2.2.1, which employs a hierarchical graph FM index for spliced alignment. The alignments (SAM) were sorted directly into BAM format with </w:t>
      </w:r>
      <w:proofErr w:type="spellStart"/>
      <w:r w:rsidRPr="00E27AF3">
        <w:rPr>
          <w:color w:val="1B1B1B"/>
          <w:sz w:val="28"/>
          <w:szCs w:val="28"/>
          <w:shd w:val="clear" w:color="auto" w:fill="FFFFFF"/>
        </w:rPr>
        <w:t>Samtools</w:t>
      </w:r>
      <w:proofErr w:type="spellEnd"/>
      <w:r w:rsidRPr="00E27AF3">
        <w:rPr>
          <w:color w:val="1B1B1B"/>
          <w:sz w:val="28"/>
          <w:szCs w:val="28"/>
          <w:shd w:val="clear" w:color="auto" w:fill="FFFFFF"/>
        </w:rPr>
        <w:t xml:space="preserve"> </w:t>
      </w:r>
      <w:proofErr w:type="gramStart"/>
      <w:r w:rsidRPr="00E27AF3">
        <w:rPr>
          <w:color w:val="1B1B1B"/>
          <w:sz w:val="28"/>
          <w:szCs w:val="28"/>
          <w:shd w:val="clear" w:color="auto" w:fill="FFFFFF"/>
        </w:rPr>
        <w:t xml:space="preserve">v1.20 </w:t>
      </w:r>
      <w:r w:rsidRPr="00E27AF3">
        <w:rPr>
          <w:rFonts w:hint="eastAsia"/>
          <w:color w:val="1B1B1B"/>
          <w:sz w:val="28"/>
          <w:szCs w:val="28"/>
          <w:shd w:val="clear" w:color="auto" w:fill="FFFFFF"/>
        </w:rPr>
        <w:t>.</w:t>
      </w:r>
      <w:proofErr w:type="gramEnd"/>
      <w:r w:rsidRPr="00E27AF3">
        <w:rPr>
          <w:rFonts w:hint="eastAsia"/>
          <w:color w:val="1B1B1B"/>
          <w:sz w:val="28"/>
          <w:szCs w:val="28"/>
          <w:shd w:val="clear" w:color="auto" w:fill="FFFFFF"/>
        </w:rPr>
        <w:t xml:space="preserve"> Gene</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 xml:space="preserve">level quantification was performed by </w:t>
      </w:r>
      <w:proofErr w:type="spellStart"/>
      <w:r w:rsidRPr="00E27AF3">
        <w:rPr>
          <w:rFonts w:hint="eastAsia"/>
          <w:color w:val="1B1B1B"/>
          <w:sz w:val="28"/>
          <w:szCs w:val="28"/>
          <w:shd w:val="clear" w:color="auto" w:fill="FFFFFF"/>
        </w:rPr>
        <w:t>featureCounts</w:t>
      </w:r>
      <w:proofErr w:type="spellEnd"/>
      <w:r w:rsidRPr="00E27AF3">
        <w:rPr>
          <w:rFonts w:hint="eastAsia"/>
          <w:color w:val="1B1B1B"/>
          <w:sz w:val="28"/>
          <w:szCs w:val="28"/>
          <w:shd w:val="clear" w:color="auto" w:fill="FFFFFF"/>
        </w:rPr>
        <w:t xml:space="preserve"> v2.0.2 in paired</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 xml:space="preserve">end, stranded mode assigning reads to </w:t>
      </w:r>
      <w:proofErr w:type="spellStart"/>
      <w:r w:rsidRPr="00E27AF3">
        <w:rPr>
          <w:rFonts w:hint="eastAsia"/>
          <w:color w:val="1B1B1B"/>
          <w:sz w:val="28"/>
          <w:szCs w:val="28"/>
          <w:shd w:val="clear" w:color="auto" w:fill="FFFFFF"/>
        </w:rPr>
        <w:t>exonic</w:t>
      </w:r>
      <w:proofErr w:type="spellEnd"/>
      <w:r w:rsidRPr="00E27AF3">
        <w:rPr>
          <w:rFonts w:hint="eastAsia"/>
          <w:color w:val="1B1B1B"/>
          <w:sz w:val="28"/>
          <w:szCs w:val="28"/>
          <w:shd w:val="clear" w:color="auto" w:fill="FFFFFF"/>
        </w:rPr>
        <w:t xml:space="preserve"> features based on the </w:t>
      </w:r>
      <w:proofErr w:type="spellStart"/>
      <w:r w:rsidRPr="00E27AF3">
        <w:rPr>
          <w:rFonts w:hint="eastAsia"/>
          <w:color w:val="1B1B1B"/>
          <w:sz w:val="28"/>
          <w:szCs w:val="28"/>
          <w:shd w:val="clear" w:color="auto" w:fill="FFFFFF"/>
        </w:rPr>
        <w:t>Ensembl</w:t>
      </w:r>
      <w:proofErr w:type="spellEnd"/>
      <w:r w:rsidRPr="00E27AF3">
        <w:rPr>
          <w:rFonts w:hint="eastAsia"/>
          <w:color w:val="1B1B1B"/>
          <w:sz w:val="28"/>
          <w:szCs w:val="28"/>
          <w:shd w:val="clear" w:color="auto" w:fill="FFFFFF"/>
        </w:rPr>
        <w:t xml:space="preserve"> GTF. Post</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processing involved extracting gene IDs and raw counts, sorting by gene identifier, and joining to a pre</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 xml:space="preserve">compiled </w:t>
      </w:r>
      <w:proofErr w:type="spellStart"/>
      <w:r w:rsidRPr="00E27AF3">
        <w:rPr>
          <w:rFonts w:hint="eastAsia"/>
          <w:color w:val="1B1B1B"/>
          <w:sz w:val="28"/>
          <w:szCs w:val="28"/>
          <w:shd w:val="clear" w:color="auto" w:fill="FFFFFF"/>
        </w:rPr>
        <w:t>Ensembl</w:t>
      </w:r>
      <w:proofErr w:type="spellEnd"/>
      <w:r w:rsidRPr="00E27AF3">
        <w:rPr>
          <w:rFonts w:hint="eastAsia"/>
          <w:color w:val="1B1B1B"/>
          <w:sz w:val="28"/>
          <w:szCs w:val="28"/>
          <w:shd w:val="clear" w:color="auto" w:fill="FFFFFF"/>
        </w:rPr>
        <w:t xml:space="preserve"> gene ID</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to</w:t>
      </w:r>
      <w:r w:rsidRPr="00E27AF3">
        <w:rPr>
          <w:rFonts w:hint="eastAsia"/>
          <w:color w:val="1B1B1B"/>
          <w:sz w:val="28"/>
          <w:szCs w:val="28"/>
          <w:shd w:val="clear" w:color="auto" w:fill="FFFFFF"/>
        </w:rPr>
        <w:t>–</w:t>
      </w:r>
      <w:r w:rsidRPr="00E27AF3">
        <w:rPr>
          <w:rFonts w:hint="eastAsia"/>
          <w:color w:val="1B1B1B"/>
          <w:sz w:val="28"/>
          <w:szCs w:val="28"/>
          <w:shd w:val="clear" w:color="auto" w:fill="FFFFFF"/>
        </w:rPr>
        <w:t xml:space="preserve">gene name mapping (release 106). </w:t>
      </w:r>
    </w:p>
    <w:p w14:paraId="0F5E488A" w14:textId="77777777" w:rsidR="00E27AF3" w:rsidRDefault="00E27AF3" w:rsidP="009D0CDE">
      <w:pPr>
        <w:rPr>
          <w:color w:val="1B1B1B"/>
          <w:sz w:val="28"/>
          <w:szCs w:val="28"/>
          <w:shd w:val="clear" w:color="auto" w:fill="FFFFFF"/>
        </w:rPr>
      </w:pPr>
    </w:p>
    <w:p w14:paraId="47BDAD45" w14:textId="63E97C9C" w:rsidR="009D0CDE" w:rsidRPr="00E27AF3" w:rsidRDefault="009D0CDE" w:rsidP="009D0CDE">
      <w:pPr>
        <w:rPr>
          <w:b/>
          <w:bCs/>
          <w:color w:val="1B1B1B"/>
          <w:sz w:val="28"/>
          <w:szCs w:val="28"/>
          <w:shd w:val="clear" w:color="auto" w:fill="FFFFFF"/>
        </w:rPr>
      </w:pPr>
      <w:r w:rsidRPr="00E27AF3">
        <w:rPr>
          <w:b/>
          <w:bCs/>
          <w:color w:val="1B1B1B"/>
          <w:sz w:val="28"/>
          <w:szCs w:val="28"/>
          <w:shd w:val="clear" w:color="auto" w:fill="FFFFFF"/>
        </w:rPr>
        <w:t>GSVA Enrichment Score Generation</w:t>
      </w:r>
    </w:p>
    <w:p w14:paraId="32CAD3FB" w14:textId="61788A3A" w:rsidR="007913E4" w:rsidRPr="009D0CDE" w:rsidRDefault="009D0CDE" w:rsidP="009D0CDE">
      <w:pPr>
        <w:rPr>
          <w:color w:val="1B1B1B"/>
          <w:sz w:val="28"/>
          <w:szCs w:val="28"/>
          <w:shd w:val="clear" w:color="auto" w:fill="FFFFFF"/>
        </w:rPr>
      </w:pPr>
      <w:r w:rsidRPr="009D0CDE">
        <w:rPr>
          <w:color w:val="1B1B1B"/>
          <w:sz w:val="28"/>
          <w:szCs w:val="28"/>
          <w:shd w:val="clear" w:color="auto" w:fill="FFFFFF"/>
        </w:rPr>
        <w:t xml:space="preserve">All analyses were conducted in R 4.4.0 (2024-04-24). Pathway enrichment scores were computed using the GSVA algorithm </w:t>
      </w:r>
      <w:r w:rsidR="002E5A52">
        <w:rPr>
          <w:color w:val="1B1B1B"/>
          <w:sz w:val="28"/>
          <w:szCs w:val="28"/>
          <w:shd w:val="clear" w:color="auto" w:fill="FFFFFF"/>
        </w:rPr>
        <w:fldChar w:fldCharType="begin"/>
      </w:r>
      <w:r w:rsidR="002E5A52">
        <w:rPr>
          <w:color w:val="1B1B1B"/>
          <w:sz w:val="28"/>
          <w:szCs w:val="28"/>
          <w:shd w:val="clear" w:color="auto" w:fill="FFFFFF"/>
        </w:rPr>
        <w:instrText xml:space="preserve"> ADDIN ZOTERO_ITEM CSL_CITATION {"citationID":"uB6sOzyV","properties":{"formattedCitation":"(H\\uc0\\u228{}nzelmann et al., 2013)","plainCitation":"(Hänzelmann et al., 2013)","noteIndex":0},"citationItems":[{"id":14,"uris":["http://zotero.org/users/local/eF1JiGrd/items/JUBGLAC2"],"itemData":{"id":14,"type":"article-journal","abstract":"Gene set enrichment (GSE) analysis is a popular framework for condensing information from gene expression profiles into a pathway or signature summary. The strengths of this approach over single gene analysis include noise and dimension reduction, as well as greater biological interpretability. As molecular profiling experiments move beyond simple case-control studies, robust and flexible GSE methodologies are needed that can model pathway activity within highly heterogeneous data sets.","container-title":"BMC Bioinformatics","DOI":"10.1186/1471-2105-14-7","ISSN":"1471-2105","issue":"1","journalAbbreviation":"BMC Bioinformatics","page":"7","source":"BioMed Central","title":"GSVA: gene set variation analysis for microarray and RNA-Seq data","title-short":"GSVA","volume":"14","author":[{"family":"Hänzelmann","given":"Sonja"},{"family":"Castelo","given":"Robert"},{"family":"Guinney","given":"Justin"}],"issued":{"date-parts":[["2013",1,16]]}}}],"schema":"https://github.com/citation-style-language/schema/raw/master/csl-citation.json"} </w:instrText>
      </w:r>
      <w:r w:rsidR="002E5A52">
        <w:rPr>
          <w:color w:val="1B1B1B"/>
          <w:sz w:val="28"/>
          <w:szCs w:val="28"/>
          <w:shd w:val="clear" w:color="auto" w:fill="FFFFFF"/>
        </w:rPr>
        <w:fldChar w:fldCharType="separate"/>
      </w:r>
      <w:r w:rsidR="002E5A52" w:rsidRPr="002E5A52">
        <w:rPr>
          <w:rFonts w:ascii="Aptos" w:cs="Times New Roman"/>
          <w:color w:val="000000"/>
          <w:kern w:val="0"/>
          <w:sz w:val="28"/>
        </w:rPr>
        <w:t>(</w:t>
      </w:r>
      <w:proofErr w:type="spellStart"/>
      <w:r w:rsidR="002E5A52" w:rsidRPr="002E5A52">
        <w:rPr>
          <w:rFonts w:ascii="Aptos" w:cs="Times New Roman"/>
          <w:color w:val="000000"/>
          <w:kern w:val="0"/>
          <w:sz w:val="28"/>
        </w:rPr>
        <w:t>Hänzelmann</w:t>
      </w:r>
      <w:proofErr w:type="spellEnd"/>
      <w:r w:rsidR="002E5A52" w:rsidRPr="002E5A52">
        <w:rPr>
          <w:rFonts w:ascii="Aptos" w:cs="Times New Roman"/>
          <w:color w:val="000000"/>
          <w:kern w:val="0"/>
          <w:sz w:val="28"/>
        </w:rPr>
        <w:t xml:space="preserve"> et al., 2013)</w:t>
      </w:r>
      <w:r w:rsidR="002E5A52">
        <w:rPr>
          <w:color w:val="1B1B1B"/>
          <w:sz w:val="28"/>
          <w:szCs w:val="28"/>
          <w:shd w:val="clear" w:color="auto" w:fill="FFFFFF"/>
        </w:rPr>
        <w:fldChar w:fldCharType="end"/>
      </w:r>
      <w:r w:rsidRPr="009D0CDE">
        <w:rPr>
          <w:color w:val="1B1B1B"/>
          <w:sz w:val="28"/>
          <w:szCs w:val="28"/>
          <w:shd w:val="clear" w:color="auto" w:fill="FFFFFF"/>
        </w:rPr>
        <w:t xml:space="preserve">(Bioconductor v3.21, GSVA v2.3.1) </w:t>
      </w:r>
      <w:r>
        <w:rPr>
          <w:color w:val="1B1B1B"/>
          <w:sz w:val="28"/>
          <w:szCs w:val="28"/>
          <w:shd w:val="clear" w:color="auto" w:fill="FFFFFF"/>
        </w:rPr>
        <w:t xml:space="preserve">via </w:t>
      </w:r>
      <w:r w:rsidRPr="009D0CDE">
        <w:rPr>
          <w:color w:val="1B1B1B"/>
          <w:sz w:val="28"/>
          <w:szCs w:val="28"/>
          <w:shd w:val="clear" w:color="auto" w:fill="FFFFFF"/>
        </w:rPr>
        <w:t xml:space="preserve">Bioconductor. Gene sets were loaded from the </w:t>
      </w:r>
      <w:proofErr w:type="spellStart"/>
      <w:r w:rsidRPr="009D0CDE">
        <w:rPr>
          <w:color w:val="1B1B1B"/>
          <w:sz w:val="28"/>
          <w:szCs w:val="28"/>
          <w:shd w:val="clear" w:color="auto" w:fill="FFFFFF"/>
        </w:rPr>
        <w:t>MSigDB</w:t>
      </w:r>
      <w:proofErr w:type="spellEnd"/>
      <w:r w:rsidRPr="009D0CDE">
        <w:rPr>
          <w:color w:val="1B1B1B"/>
          <w:sz w:val="28"/>
          <w:szCs w:val="28"/>
          <w:shd w:val="clear" w:color="auto" w:fill="FFFFFF"/>
        </w:rPr>
        <w:t xml:space="preserve"> “c5.go.v2023.1.Hs.symbols.gmt” file using </w:t>
      </w:r>
      <w:proofErr w:type="spellStart"/>
      <w:proofErr w:type="gramStart"/>
      <w:r w:rsidRPr="009D0CDE">
        <w:rPr>
          <w:color w:val="1B1B1B"/>
          <w:sz w:val="28"/>
          <w:szCs w:val="28"/>
          <w:shd w:val="clear" w:color="auto" w:fill="FFFFFF"/>
        </w:rPr>
        <w:t>getGmt</w:t>
      </w:r>
      <w:proofErr w:type="spellEnd"/>
      <w:r w:rsidRPr="009D0CDE">
        <w:rPr>
          <w:color w:val="1B1B1B"/>
          <w:sz w:val="28"/>
          <w:szCs w:val="28"/>
          <w:shd w:val="clear" w:color="auto" w:fill="FFFFFF"/>
        </w:rPr>
        <w:t>(</w:t>
      </w:r>
      <w:proofErr w:type="gramEnd"/>
      <w:r w:rsidRPr="009D0CDE">
        <w:rPr>
          <w:color w:val="1B1B1B"/>
          <w:sz w:val="28"/>
          <w:szCs w:val="28"/>
          <w:shd w:val="clear" w:color="auto" w:fill="FFFFFF"/>
        </w:rPr>
        <w:t xml:space="preserve">) from the </w:t>
      </w:r>
      <w:proofErr w:type="spellStart"/>
      <w:r w:rsidRPr="009D0CDE">
        <w:rPr>
          <w:color w:val="1B1B1B"/>
          <w:sz w:val="28"/>
          <w:szCs w:val="28"/>
          <w:shd w:val="clear" w:color="auto" w:fill="FFFFFF"/>
        </w:rPr>
        <w:t>GSEABase</w:t>
      </w:r>
      <w:proofErr w:type="spellEnd"/>
      <w:r w:rsidRPr="009D0CDE">
        <w:rPr>
          <w:color w:val="1B1B1B"/>
          <w:sz w:val="28"/>
          <w:szCs w:val="28"/>
          <w:shd w:val="clear" w:color="auto" w:fill="FFFFFF"/>
        </w:rPr>
        <w:t xml:space="preserve"> package (v3.21) . The raw count matrix (counts) was coerced to a numeric matrix via </w:t>
      </w:r>
      <w:proofErr w:type="spellStart"/>
      <w:proofErr w:type="gramStart"/>
      <w:r w:rsidRPr="009D0CDE">
        <w:rPr>
          <w:color w:val="1B1B1B"/>
          <w:sz w:val="28"/>
          <w:szCs w:val="28"/>
          <w:shd w:val="clear" w:color="auto" w:fill="FFFFFF"/>
        </w:rPr>
        <w:t>as.matrix</w:t>
      </w:r>
      <w:proofErr w:type="spellEnd"/>
      <w:proofErr w:type="gramEnd"/>
      <w:r w:rsidRPr="009D0CDE">
        <w:rPr>
          <w:color w:val="1B1B1B"/>
          <w:sz w:val="28"/>
          <w:szCs w:val="28"/>
          <w:shd w:val="clear" w:color="auto" w:fill="FFFFFF"/>
        </w:rPr>
        <w:t xml:space="preserve">(), and GSVA parameters were specified with </w:t>
      </w:r>
      <w:proofErr w:type="spellStart"/>
      <w:r w:rsidRPr="009D0CDE">
        <w:rPr>
          <w:color w:val="1B1B1B"/>
          <w:sz w:val="28"/>
          <w:szCs w:val="28"/>
          <w:shd w:val="clear" w:color="auto" w:fill="FFFFFF"/>
        </w:rPr>
        <w:t>gsvaParam</w:t>
      </w:r>
      <w:proofErr w:type="spellEnd"/>
      <w:r w:rsidRPr="009D0CDE">
        <w:rPr>
          <w:color w:val="1B1B1B"/>
          <w:sz w:val="28"/>
          <w:szCs w:val="28"/>
          <w:shd w:val="clear" w:color="auto" w:fill="FFFFFF"/>
        </w:rPr>
        <w:t>(). Single</w:t>
      </w:r>
      <w:r w:rsidRPr="009D0CDE">
        <w:rPr>
          <w:rFonts w:ascii="Cambria Math" w:hAnsi="Cambria Math" w:cs="Cambria Math"/>
          <w:color w:val="1B1B1B"/>
          <w:sz w:val="28"/>
          <w:szCs w:val="28"/>
          <w:shd w:val="clear" w:color="auto" w:fill="FFFFFF"/>
        </w:rPr>
        <w:t>‐</w:t>
      </w:r>
      <w:r w:rsidRPr="009D0CDE">
        <w:rPr>
          <w:color w:val="1B1B1B"/>
          <w:sz w:val="28"/>
          <w:szCs w:val="28"/>
          <w:shd w:val="clear" w:color="auto" w:fill="FFFFFF"/>
        </w:rPr>
        <w:t xml:space="preserve">sample enrichment scores were then calculated by </w:t>
      </w:r>
      <w:proofErr w:type="spellStart"/>
      <w:proofErr w:type="gramStart"/>
      <w:r w:rsidRPr="009D0CDE">
        <w:rPr>
          <w:color w:val="1B1B1B"/>
          <w:sz w:val="28"/>
          <w:szCs w:val="28"/>
          <w:shd w:val="clear" w:color="auto" w:fill="FFFFFF"/>
        </w:rPr>
        <w:t>gsva</w:t>
      </w:r>
      <w:proofErr w:type="spellEnd"/>
      <w:r w:rsidRPr="009D0CDE">
        <w:rPr>
          <w:color w:val="1B1B1B"/>
          <w:sz w:val="28"/>
          <w:szCs w:val="28"/>
          <w:shd w:val="clear" w:color="auto" w:fill="FFFFFF"/>
        </w:rPr>
        <w:t>(</w:t>
      </w:r>
      <w:proofErr w:type="gramEnd"/>
      <w:r w:rsidRPr="009D0CDE">
        <w:rPr>
          <w:color w:val="1B1B1B"/>
          <w:sz w:val="28"/>
          <w:szCs w:val="28"/>
          <w:shd w:val="clear" w:color="auto" w:fill="FFFFFF"/>
        </w:rPr>
        <w:t>), yielding a gene</w:t>
      </w:r>
      <w:r w:rsidRPr="009D0CDE">
        <w:rPr>
          <w:rFonts w:ascii="Cambria Math" w:hAnsi="Cambria Math" w:cs="Cambria Math"/>
          <w:color w:val="1B1B1B"/>
          <w:sz w:val="28"/>
          <w:szCs w:val="28"/>
          <w:shd w:val="clear" w:color="auto" w:fill="FFFFFF"/>
        </w:rPr>
        <w:t>‐</w:t>
      </w:r>
      <w:r w:rsidRPr="009D0CDE">
        <w:rPr>
          <w:color w:val="1B1B1B"/>
          <w:sz w:val="28"/>
          <w:szCs w:val="28"/>
          <w:shd w:val="clear" w:color="auto" w:fill="FFFFFF"/>
        </w:rPr>
        <w:t xml:space="preserve">set (row) </w:t>
      </w:r>
      <w:r w:rsidR="00E27AF3">
        <w:rPr>
          <w:color w:val="1B1B1B"/>
          <w:sz w:val="28"/>
          <w:szCs w:val="28"/>
          <w:shd w:val="clear" w:color="auto" w:fill="FFFFFF"/>
        </w:rPr>
        <w:t>and</w:t>
      </w:r>
      <w:r w:rsidRPr="009D0CDE">
        <w:rPr>
          <w:color w:val="1B1B1B"/>
          <w:sz w:val="28"/>
          <w:szCs w:val="28"/>
          <w:shd w:val="clear" w:color="auto" w:fill="FFFFFF"/>
        </w:rPr>
        <w:t xml:space="preserve"> sample (column) matrix. </w:t>
      </w:r>
    </w:p>
    <w:p w14:paraId="7122A32B" w14:textId="77777777" w:rsidR="00E27AF3" w:rsidRDefault="00E27AF3" w:rsidP="00E27AF3">
      <w:pPr>
        <w:rPr>
          <w:b/>
          <w:bCs/>
        </w:rPr>
      </w:pPr>
    </w:p>
    <w:p w14:paraId="2DF1EA54" w14:textId="035F112D" w:rsidR="00E27AF3" w:rsidRPr="00E27AF3" w:rsidRDefault="00E27AF3" w:rsidP="00E27AF3">
      <w:pPr>
        <w:rPr>
          <w:b/>
          <w:bCs/>
        </w:rPr>
      </w:pPr>
      <w:r w:rsidRPr="00E27AF3">
        <w:rPr>
          <w:b/>
          <w:bCs/>
        </w:rPr>
        <w:t>Alzheimer’s Disease Biological Domain Definition</w:t>
      </w:r>
    </w:p>
    <w:p w14:paraId="19C35214" w14:textId="6E927BA6" w:rsidR="00E27AF3" w:rsidRPr="009D0CDE" w:rsidRDefault="00E27AF3" w:rsidP="00E27AF3">
      <w:r>
        <w:t xml:space="preserve">The biological domains and their constituent Gene Ontology (GO) term lists were taken directly from </w:t>
      </w:r>
      <w:r w:rsidR="002E5A52">
        <w:fldChar w:fldCharType="begin"/>
      </w:r>
      <w:r w:rsidR="002E5A52">
        <w:instrText xml:space="preserve"> ADDIN ZOTERO_ITEM CSL_CITATION {"citationID":"PMsr8JOj","properties":{"formattedCitation":"(Cary et al., 2024)","plainCitation":"(Cary et al., 2024)","noteIndex":0},"citationItems":[{"id":30,"uris":["http://zotero.org/users/local/eF1JiGrd/items/J4D9Q8AV"],"itemData":{"id":30,"type":"article-journal","abstract":"INTRODUCTION\nAlzheimer's disease (AD) is the predominant dementia globally, with heterogeneous presentation and penetrance of clinical symptoms, variable presence of mixed pathologies, potential disease subtypes, and numerous associated endophenotypes. Beyond the difficulty of designing treatments that address the core pathological characteristics of the disease, therapeutic development is challenged by the uncertainty of which endophenotypic are</w:instrText>
      </w:r>
      <w:r w:rsidR="002E5A52">
        <w:rPr>
          <w:rFonts w:hint="eastAsia"/>
        </w:rPr>
        <w:instrText>as and specific targets implicated by those endophenotypes to prioritize for further translational research. However, publicly funded consortia driving large</w:instrText>
      </w:r>
      <w:r w:rsidR="002E5A52">
        <w:rPr>
          <w:rFonts w:hint="eastAsia"/>
        </w:rPr>
        <w:instrText>‐</w:instrText>
      </w:r>
      <w:r w:rsidR="002E5A52">
        <w:rPr>
          <w:rFonts w:hint="eastAsia"/>
        </w:rPr>
        <w:instrText>scale open science efforts have produced multiple omic analyses that address both disease risk re</w:instrText>
      </w:r>
      <w:r w:rsidR="002E5A52">
        <w:instrText>levance and biological process involvement of genes across the genome.\n\nMETHODS\nHere we report the development of an informatic pipeline that draws from genetic association studies, predicted variant impact, and linkage with dementia associated phenoty</w:instrText>
      </w:r>
      <w:r w:rsidR="002E5A52">
        <w:rPr>
          <w:rFonts w:hint="eastAsia"/>
        </w:rPr>
        <w:instrText>pes to create a genetic risk score. This is paired with a multi</w:instrText>
      </w:r>
      <w:r w:rsidR="002E5A52">
        <w:rPr>
          <w:rFonts w:hint="eastAsia"/>
        </w:rPr>
        <w:instrText>‐</w:instrText>
      </w:r>
      <w:r w:rsidR="002E5A52">
        <w:rPr>
          <w:rFonts w:hint="eastAsia"/>
        </w:rPr>
        <w:instrText>omic risk score utilizing extensive sets of both transcriptomic and proteomic studies to identify system</w:instrText>
      </w:r>
      <w:r w:rsidR="002E5A52">
        <w:rPr>
          <w:rFonts w:hint="eastAsia"/>
        </w:rPr>
        <w:instrText>‐</w:instrText>
      </w:r>
      <w:r w:rsidR="002E5A52">
        <w:rPr>
          <w:rFonts w:hint="eastAsia"/>
        </w:rPr>
        <w:instrText>level changes in expression associated with AD. These two elements combined constitute our target risk score that ranks AD risk genome</w:instrText>
      </w:r>
      <w:r w:rsidR="002E5A52">
        <w:rPr>
          <w:rFonts w:hint="eastAsia"/>
        </w:rPr>
        <w:instrText>‐</w:instrText>
      </w:r>
      <w:r w:rsidR="002E5A52">
        <w:rPr>
          <w:rFonts w:hint="eastAsia"/>
        </w:rPr>
        <w:instrText>wide. The ranked genes are organized into endophenotypic space through the development of 19 biological domains associated with AD in the described genetics and genomics studies and accompanying literature. The biological domains are constructed from exhaustive Gene Ontology (GO) term compilations, allowing automated assignment of genes into objectively defined disease</w:instrText>
      </w:r>
      <w:r w:rsidR="002E5A52">
        <w:rPr>
          <w:rFonts w:hint="eastAsia"/>
        </w:rPr>
        <w:instrText>‐</w:instrText>
      </w:r>
      <w:r w:rsidR="002E5A52">
        <w:rPr>
          <w:rFonts w:hint="eastAsia"/>
        </w:rPr>
        <w:instrText>associated biology. This rank</w:instrText>
      </w:r>
      <w:r w:rsidR="002E5A52">
        <w:rPr>
          <w:rFonts w:hint="eastAsia"/>
        </w:rPr>
        <w:instrText>‐</w:instrText>
      </w:r>
      <w:r w:rsidR="002E5A52">
        <w:rPr>
          <w:rFonts w:hint="eastAsia"/>
        </w:rPr>
        <w:instrText>and</w:instrText>
      </w:r>
      <w:r w:rsidR="002E5A52">
        <w:rPr>
          <w:rFonts w:hint="eastAsia"/>
        </w:rPr>
        <w:instrText>‐</w:instrText>
      </w:r>
      <w:r w:rsidR="002E5A52">
        <w:rPr>
          <w:rFonts w:hint="eastAsia"/>
        </w:rPr>
        <w:instrText>organize approach, performed genome</w:instrText>
      </w:r>
      <w:r w:rsidR="002E5A52">
        <w:rPr>
          <w:rFonts w:hint="eastAsia"/>
        </w:rPr>
        <w:instrText>‐</w:instrText>
      </w:r>
      <w:r w:rsidR="002E5A52">
        <w:rPr>
          <w:rFonts w:hint="eastAsia"/>
        </w:rPr>
        <w:instrText>wide, allows the characterization of aggregations of AD risk across biological domains.\n\nRESULTS\nThe top AD</w:instrText>
      </w:r>
      <w:r w:rsidR="002E5A52">
        <w:rPr>
          <w:rFonts w:hint="eastAsia"/>
        </w:rPr>
        <w:instrText>‐</w:instrText>
      </w:r>
      <w:r w:rsidR="002E5A52">
        <w:rPr>
          <w:rFonts w:hint="eastAsia"/>
        </w:rPr>
        <w:instrText>risk</w:instrText>
      </w:r>
      <w:r w:rsidR="002E5A52">
        <w:rPr>
          <w:rFonts w:hint="eastAsia"/>
        </w:rPr>
        <w:instrText>‐</w:instrText>
      </w:r>
      <w:r w:rsidR="002E5A52">
        <w:rPr>
          <w:rFonts w:hint="eastAsia"/>
        </w:rPr>
        <w:instrText>associated biological domains are Synapse, Immune Response, Lipid Metabolism, Mitochondrial Metabolism, Structural Stabilization, and Proteostasis, with sligh</w:instrText>
      </w:r>
      <w:r w:rsidR="002E5A52">
        <w:instrText>tly lower levels of risk enrichment present within the other 13 biological domains.\n\nDISCUSSION\nThis provides an objective methodology to localize risk within specific biological endophenotypes and drill down into the most significantly associated sets of GO terms and annotated genes for potential therapeutic targets.","container-title":"Alzheimer's &amp; Dementia : Translational Research &amp; Clinical Interventions","DOI":"10.1002/trc2.12461","ISSN":"2352-8737","issue":"2","journalAbbreviation":"Alzheimers D</w:instrText>
      </w:r>
      <w:r w:rsidR="002E5A52">
        <w:rPr>
          <w:rFonts w:hint="eastAsia"/>
        </w:rPr>
        <w:instrText>ement (N Y)","note":"PMID: 38650747\nPMCID: PMC11033838","page":"e12461","source":"PubMed Central","title":"Genetic and multi</w:instrText>
      </w:r>
      <w:r w:rsidR="002E5A52">
        <w:rPr>
          <w:rFonts w:hint="eastAsia"/>
        </w:rPr>
        <w:instrText>‐</w:instrText>
      </w:r>
      <w:r w:rsidR="002E5A52">
        <w:rPr>
          <w:rFonts w:hint="eastAsia"/>
        </w:rPr>
        <w:instrText>omic risk assessment of Alzheimer's disease implicates core associated biological domains","volume":"10","author":[{"family":"Car</w:instrText>
      </w:r>
      <w:r w:rsidR="002E5A52">
        <w:instrText xml:space="preserve">y","given":"Gregory A."},{"family":"Wiley","given":"Jesse C."},{"family":"Gockley","given":"Jake"},{"family":"Keegan","given":"Stephen"},{"family":"Amirtha Ganesh","given":"Sai Sruthi"},{"family":"Heath","given":"Laura"},{"family":"Butler","given":"Robert R."},{"family":"Mangravite","given":"Lara M."},{"family":"Logsdon","given":"Benjamin A."},{"family":"Longo","given":"Frank M."},{"family":"Levey","given":"Allan"},{"family":"Greenwood","given":"Anna K."},{"family":"Carter","given":"Gregory W."}],"issued":{"date-parts":[["2024",4,22]]}}}],"schema":"https://github.com/citation-style-language/schema/raw/master/csl-citation.json"} </w:instrText>
      </w:r>
      <w:r w:rsidR="002E5A52">
        <w:fldChar w:fldCharType="separate"/>
      </w:r>
      <w:r w:rsidR="002E5A52">
        <w:rPr>
          <w:noProof/>
        </w:rPr>
        <w:t>(Cary et al., 2024)</w:t>
      </w:r>
      <w:r w:rsidR="002E5A52">
        <w:fldChar w:fldCharType="end"/>
      </w:r>
      <w:r w:rsidR="002E5A52">
        <w:t xml:space="preserve"> </w:t>
      </w:r>
      <w:r>
        <w:t xml:space="preserve">with the full GO ID collections provided in Supplementary Table S2 </w:t>
      </w:r>
      <w:r>
        <w:rPr>
          <w:rFonts w:hint="eastAsia"/>
        </w:rPr>
        <w:t>. We extracted each domain</w:t>
      </w:r>
      <w:r>
        <w:rPr>
          <w:rFonts w:hint="eastAsia"/>
        </w:rPr>
        <w:t>’</w:t>
      </w:r>
      <w:r>
        <w:rPr>
          <w:rFonts w:hint="eastAsia"/>
        </w:rPr>
        <w:t>s GO IDs from Table S2 and converted them into R gene</w:t>
      </w:r>
      <w:r>
        <w:rPr>
          <w:rFonts w:hint="eastAsia"/>
        </w:rPr>
        <w:t>‐</w:t>
      </w:r>
      <w:r>
        <w:rPr>
          <w:rFonts w:hint="eastAsia"/>
        </w:rPr>
        <w:t xml:space="preserve">set objects via the </w:t>
      </w:r>
      <w:proofErr w:type="spellStart"/>
      <w:r>
        <w:rPr>
          <w:rFonts w:hint="eastAsia"/>
        </w:rPr>
        <w:t>GSEABase</w:t>
      </w:r>
      <w:proofErr w:type="spellEnd"/>
      <w:r>
        <w:rPr>
          <w:rFonts w:hint="eastAsia"/>
        </w:rPr>
        <w:t xml:space="preserve"> package (v3.21) using </w:t>
      </w:r>
      <w:proofErr w:type="spellStart"/>
      <w:r>
        <w:rPr>
          <w:rFonts w:hint="eastAsia"/>
        </w:rPr>
        <w:t>getGmt</w:t>
      </w:r>
      <w:proofErr w:type="spellEnd"/>
      <w:r>
        <w:rPr>
          <w:rFonts w:hint="eastAsia"/>
        </w:rPr>
        <w:t xml:space="preserve">() and custom parsing . These GO IDs were then programmatically mapped to human gene symbols with </w:t>
      </w:r>
      <w:proofErr w:type="spellStart"/>
      <w:r>
        <w:rPr>
          <w:rFonts w:hint="eastAsia"/>
        </w:rPr>
        <w:t>GO.db</w:t>
      </w:r>
      <w:proofErr w:type="spellEnd"/>
      <w:r>
        <w:rPr>
          <w:rFonts w:hint="eastAsia"/>
        </w:rPr>
        <w:t xml:space="preserve"> (v3.21.0) and </w:t>
      </w:r>
      <w:proofErr w:type="spellStart"/>
      <w:r>
        <w:t>AnnotationDbi</w:t>
      </w:r>
      <w:proofErr w:type="spellEnd"/>
      <w:r>
        <w:t xml:space="preserve"> (v1.69.0) to ensure reproducible, updatable definitions</w:t>
      </w:r>
      <w:r>
        <w:rPr>
          <w:rFonts w:hint="eastAsia"/>
        </w:rPr>
        <w:t xml:space="preserve">. By </w:t>
      </w:r>
      <w:r>
        <w:rPr>
          <w:rFonts w:hint="eastAsia"/>
        </w:rPr>
        <w:lastRenderedPageBreak/>
        <w:t>anchoring domain membership to the exhaustive GO</w:t>
      </w:r>
      <w:r>
        <w:t xml:space="preserve"> </w:t>
      </w:r>
      <w:r>
        <w:rPr>
          <w:rFonts w:hint="eastAsia"/>
        </w:rPr>
        <w:t>term expansions in Table S2, this strategy remains objective, fully automatable, transparent, and communally modifiable. The resulting per</w:t>
      </w:r>
      <w:r>
        <w:rPr>
          <w:rFonts w:hint="eastAsia"/>
        </w:rPr>
        <w:t>‐</w:t>
      </w:r>
      <w:r>
        <w:rPr>
          <w:rFonts w:hint="eastAsia"/>
        </w:rPr>
        <w:t>domain gene lists served as the gene</w:t>
      </w:r>
      <w:r>
        <w:rPr>
          <w:rFonts w:hint="eastAsia"/>
        </w:rPr>
        <w:t>‐</w:t>
      </w:r>
      <w:r>
        <w:rPr>
          <w:rFonts w:hint="eastAsia"/>
        </w:rPr>
        <w:t>set inputs for GSVA enrichment scoring.</w:t>
      </w:r>
    </w:p>
    <w:p w14:paraId="34868561" w14:textId="77777777" w:rsidR="009D0CDE" w:rsidRPr="009D0CDE" w:rsidRDefault="009D0CDE" w:rsidP="009D0CDE"/>
    <w:p w14:paraId="3CF93409" w14:textId="77777777" w:rsidR="007913E4" w:rsidRPr="009D0CDE" w:rsidRDefault="007913E4"/>
    <w:p w14:paraId="70C08320" w14:textId="29E3B0E7" w:rsidR="007913E4" w:rsidRPr="009D0CDE" w:rsidRDefault="007913E4" w:rsidP="007913E4">
      <w:pPr>
        <w:rPr>
          <w:b/>
          <w:bCs/>
          <w:sz w:val="28"/>
          <w:szCs w:val="28"/>
        </w:rPr>
      </w:pPr>
      <w:r w:rsidRPr="009D0CDE">
        <w:rPr>
          <w:b/>
          <w:bCs/>
          <w:sz w:val="28"/>
          <w:szCs w:val="28"/>
        </w:rPr>
        <w:t>Result</w:t>
      </w:r>
    </w:p>
    <w:p w14:paraId="1E885F66" w14:textId="66B23FE6" w:rsidR="007913E4" w:rsidRDefault="00E27AF3">
      <w:r>
        <w:t xml:space="preserve">We aggregate the GSVA score of each bidomain, the AD group and the Control show significant difference on </w:t>
      </w:r>
      <w:proofErr w:type="spellStart"/>
      <w:r>
        <w:t>biodomain</w:t>
      </w:r>
      <w:proofErr w:type="spellEnd"/>
      <w:r>
        <w:t xml:space="preserve"> xxx, </w:t>
      </w:r>
      <w:proofErr w:type="spellStart"/>
      <w:proofErr w:type="gramStart"/>
      <w:r>
        <w:t>xxx,xxx</w:t>
      </w:r>
      <w:proofErr w:type="spellEnd"/>
      <w:proofErr w:type="gramEnd"/>
      <w:r>
        <w:t xml:space="preserve">. The AD+ R-drug would have significant </w:t>
      </w:r>
      <w:proofErr w:type="spellStart"/>
      <w:r>
        <w:t>recsure</w:t>
      </w:r>
      <w:proofErr w:type="spellEnd"/>
      <w:r>
        <w:t xml:space="preserve"> effect on </w:t>
      </w:r>
      <w:proofErr w:type="spellStart"/>
      <w:r>
        <w:t>biodomain</w:t>
      </w:r>
      <w:proofErr w:type="spellEnd"/>
      <w:r>
        <w:t xml:space="preserve"> xxx,</w:t>
      </w:r>
    </w:p>
    <w:p w14:paraId="218D67AA" w14:textId="77777777" w:rsidR="002E5A52" w:rsidRDefault="002E5A52"/>
    <w:p w14:paraId="3DF72AD1" w14:textId="77777777" w:rsidR="002E5A52" w:rsidRDefault="002E5A52"/>
    <w:p w14:paraId="7D6803DE" w14:textId="77777777" w:rsidR="002E5A52" w:rsidRDefault="002E5A52"/>
    <w:p w14:paraId="548B87AC" w14:textId="0171E5D1" w:rsidR="002E5A52" w:rsidRDefault="002E5A52">
      <w:r>
        <w:br w:type="column"/>
      </w:r>
      <w:r>
        <w:lastRenderedPageBreak/>
        <w:t>Reference:</w:t>
      </w:r>
    </w:p>
    <w:p w14:paraId="5557B28D" w14:textId="77777777" w:rsidR="002E5A52" w:rsidRPr="002E5A52" w:rsidRDefault="002E5A52" w:rsidP="002E5A52">
      <w:pPr>
        <w:pStyle w:val="Bibliography"/>
        <w:rPr>
          <w:rFonts w:ascii="Aptos"/>
        </w:rPr>
      </w:pPr>
      <w:r>
        <w:fldChar w:fldCharType="begin"/>
      </w:r>
      <w:r>
        <w:instrText xml:space="preserve"> ADDIN ZOTERO_BIBL {"uncited":[],"omitted":[],"custom":[]} CSL_BIBLIOGRAPHY </w:instrText>
      </w:r>
      <w:r>
        <w:fldChar w:fldCharType="separate"/>
      </w:r>
      <w:r w:rsidRPr="002E5A52">
        <w:rPr>
          <w:rFonts w:ascii="Aptos"/>
        </w:rPr>
        <w:t xml:space="preserve">Cary, G. A., Wiley, J. C., </w:t>
      </w:r>
      <w:proofErr w:type="spellStart"/>
      <w:r w:rsidRPr="002E5A52">
        <w:rPr>
          <w:rFonts w:ascii="Aptos"/>
        </w:rPr>
        <w:t>Gockley</w:t>
      </w:r>
      <w:proofErr w:type="spellEnd"/>
      <w:r w:rsidRPr="002E5A52">
        <w:rPr>
          <w:rFonts w:ascii="Aptos"/>
        </w:rPr>
        <w:t xml:space="preserve">, J., Keegan, S., </w:t>
      </w:r>
      <w:proofErr w:type="spellStart"/>
      <w:r w:rsidRPr="002E5A52">
        <w:rPr>
          <w:rFonts w:ascii="Aptos"/>
        </w:rPr>
        <w:t>Amirtha</w:t>
      </w:r>
      <w:proofErr w:type="spellEnd"/>
      <w:r w:rsidRPr="002E5A52">
        <w:rPr>
          <w:rFonts w:ascii="Aptos"/>
        </w:rPr>
        <w:t xml:space="preserve"> Ganesh, S. S., Heath, L., Butler, R. R., </w:t>
      </w:r>
      <w:proofErr w:type="spellStart"/>
      <w:r w:rsidRPr="002E5A52">
        <w:rPr>
          <w:rFonts w:ascii="Aptos"/>
        </w:rPr>
        <w:t>Mangravite</w:t>
      </w:r>
      <w:proofErr w:type="spellEnd"/>
      <w:r w:rsidRPr="002E5A52">
        <w:rPr>
          <w:rFonts w:ascii="Aptos"/>
        </w:rPr>
        <w:t>, L. M., Logsdon, B. A., Longo, F. M., Levey, A., Greenwood, A. K., &amp; Carter, G. W. (2024). Genetic and multi</w:t>
      </w:r>
      <w:r w:rsidRPr="002E5A52">
        <w:rPr>
          <w:rFonts w:ascii="Aptos" w:cs="Cambria Math"/>
        </w:rPr>
        <w:t>‐</w:t>
      </w:r>
      <w:proofErr w:type="spellStart"/>
      <w:r w:rsidRPr="002E5A52">
        <w:rPr>
          <w:rFonts w:ascii="Aptos"/>
        </w:rPr>
        <w:t>omic</w:t>
      </w:r>
      <w:proofErr w:type="spellEnd"/>
      <w:r w:rsidRPr="002E5A52">
        <w:rPr>
          <w:rFonts w:ascii="Aptos"/>
        </w:rPr>
        <w:t xml:space="preserve"> risk assessment of Alzheimer’s disease implicates core associated biological domains. </w:t>
      </w:r>
      <w:r w:rsidRPr="002E5A52">
        <w:rPr>
          <w:rFonts w:ascii="Aptos"/>
          <w:i/>
          <w:iCs/>
        </w:rPr>
        <w:t xml:space="preserve">Alzheimer’s &amp; </w:t>
      </w:r>
      <w:proofErr w:type="gramStart"/>
      <w:r w:rsidRPr="002E5A52">
        <w:rPr>
          <w:rFonts w:ascii="Aptos"/>
          <w:i/>
          <w:iCs/>
        </w:rPr>
        <w:t>Dementia</w:t>
      </w:r>
      <w:r w:rsidRPr="002E5A52">
        <w:rPr>
          <w:rFonts w:ascii="Aptos" w:cs="Arial"/>
          <w:i/>
          <w:iCs/>
        </w:rPr>
        <w:t> </w:t>
      </w:r>
      <w:r w:rsidRPr="002E5A52">
        <w:rPr>
          <w:rFonts w:ascii="Aptos"/>
          <w:i/>
          <w:iCs/>
        </w:rPr>
        <w:t>:</w:t>
      </w:r>
      <w:proofErr w:type="gramEnd"/>
      <w:r w:rsidRPr="002E5A52">
        <w:rPr>
          <w:rFonts w:ascii="Aptos"/>
          <w:i/>
          <w:iCs/>
        </w:rPr>
        <w:t xml:space="preserve"> Translational Research &amp; Clinical Interventions</w:t>
      </w:r>
      <w:r w:rsidRPr="002E5A52">
        <w:rPr>
          <w:rFonts w:ascii="Aptos"/>
        </w:rPr>
        <w:t xml:space="preserve">, </w:t>
      </w:r>
      <w:r w:rsidRPr="002E5A52">
        <w:rPr>
          <w:rFonts w:ascii="Aptos"/>
          <w:i/>
          <w:iCs/>
        </w:rPr>
        <w:t>10</w:t>
      </w:r>
      <w:r w:rsidRPr="002E5A52">
        <w:rPr>
          <w:rFonts w:ascii="Aptos"/>
        </w:rPr>
        <w:t>(2), e12461. https://doi.org/10.1002/trc2.12461</w:t>
      </w:r>
    </w:p>
    <w:p w14:paraId="2069A9C9" w14:textId="77777777" w:rsidR="002E5A52" w:rsidRPr="002E5A52" w:rsidRDefault="002E5A52" w:rsidP="002E5A52">
      <w:pPr>
        <w:pStyle w:val="Bibliography"/>
        <w:rPr>
          <w:rFonts w:ascii="Aptos"/>
        </w:rPr>
      </w:pPr>
      <w:proofErr w:type="spellStart"/>
      <w:r w:rsidRPr="002E5A52">
        <w:rPr>
          <w:rFonts w:ascii="Aptos"/>
        </w:rPr>
        <w:t>Hänzelmann</w:t>
      </w:r>
      <w:proofErr w:type="spellEnd"/>
      <w:r w:rsidRPr="002E5A52">
        <w:rPr>
          <w:rFonts w:ascii="Aptos"/>
        </w:rPr>
        <w:t xml:space="preserve">, S., Castelo, R., &amp; </w:t>
      </w:r>
      <w:proofErr w:type="spellStart"/>
      <w:r w:rsidRPr="002E5A52">
        <w:rPr>
          <w:rFonts w:ascii="Aptos"/>
        </w:rPr>
        <w:t>Guinney</w:t>
      </w:r>
      <w:proofErr w:type="spellEnd"/>
      <w:r w:rsidRPr="002E5A52">
        <w:rPr>
          <w:rFonts w:ascii="Aptos"/>
        </w:rPr>
        <w:t xml:space="preserve">, J. (2013). GSVA: Gene set variation analysis for microarray and RNA-Seq data. </w:t>
      </w:r>
      <w:r w:rsidRPr="002E5A52">
        <w:rPr>
          <w:rFonts w:ascii="Aptos"/>
          <w:i/>
          <w:iCs/>
        </w:rPr>
        <w:t>BMC Bioinformatics</w:t>
      </w:r>
      <w:r w:rsidRPr="002E5A52">
        <w:rPr>
          <w:rFonts w:ascii="Aptos"/>
        </w:rPr>
        <w:t xml:space="preserve">, </w:t>
      </w:r>
      <w:r w:rsidRPr="002E5A52">
        <w:rPr>
          <w:rFonts w:ascii="Aptos"/>
          <w:i/>
          <w:iCs/>
        </w:rPr>
        <w:t>14</w:t>
      </w:r>
      <w:r w:rsidRPr="002E5A52">
        <w:rPr>
          <w:rFonts w:ascii="Aptos"/>
        </w:rPr>
        <w:t>(1), 7. https://doi.org/10.1186/1471-2105-14-7</w:t>
      </w:r>
    </w:p>
    <w:p w14:paraId="15A08ED3" w14:textId="7C8CB360" w:rsidR="002E5A52" w:rsidRPr="009D0CDE" w:rsidRDefault="002E5A52">
      <w:r>
        <w:fldChar w:fldCharType="end"/>
      </w:r>
    </w:p>
    <w:sectPr w:rsidR="002E5A52" w:rsidRPr="009D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0192"/>
    <w:multiLevelType w:val="hybridMultilevel"/>
    <w:tmpl w:val="FD041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62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E4"/>
    <w:rsid w:val="002E5A52"/>
    <w:rsid w:val="00372863"/>
    <w:rsid w:val="00391461"/>
    <w:rsid w:val="0045647D"/>
    <w:rsid w:val="005D3DC3"/>
    <w:rsid w:val="00784953"/>
    <w:rsid w:val="007913E4"/>
    <w:rsid w:val="009D0CDE"/>
    <w:rsid w:val="00B56058"/>
    <w:rsid w:val="00E2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82C3B"/>
  <w15:chartTrackingRefBased/>
  <w15:docId w15:val="{33DE19B9-432F-1047-8FFE-1DA26AE9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3E4"/>
    <w:rPr>
      <w:rFonts w:eastAsiaTheme="majorEastAsia" w:cstheme="majorBidi"/>
      <w:color w:val="272727" w:themeColor="text1" w:themeTint="D8"/>
    </w:rPr>
  </w:style>
  <w:style w:type="paragraph" w:styleId="Title">
    <w:name w:val="Title"/>
    <w:basedOn w:val="Normal"/>
    <w:next w:val="Normal"/>
    <w:link w:val="TitleChar"/>
    <w:uiPriority w:val="10"/>
    <w:qFormat/>
    <w:rsid w:val="0079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3E4"/>
    <w:pPr>
      <w:spacing w:before="160"/>
      <w:jc w:val="center"/>
    </w:pPr>
    <w:rPr>
      <w:i/>
      <w:iCs/>
      <w:color w:val="404040" w:themeColor="text1" w:themeTint="BF"/>
    </w:rPr>
  </w:style>
  <w:style w:type="character" w:customStyle="1" w:styleId="QuoteChar">
    <w:name w:val="Quote Char"/>
    <w:basedOn w:val="DefaultParagraphFont"/>
    <w:link w:val="Quote"/>
    <w:uiPriority w:val="29"/>
    <w:rsid w:val="007913E4"/>
    <w:rPr>
      <w:i/>
      <w:iCs/>
      <w:color w:val="404040" w:themeColor="text1" w:themeTint="BF"/>
    </w:rPr>
  </w:style>
  <w:style w:type="paragraph" w:styleId="ListParagraph">
    <w:name w:val="List Paragraph"/>
    <w:basedOn w:val="Normal"/>
    <w:uiPriority w:val="34"/>
    <w:qFormat/>
    <w:rsid w:val="007913E4"/>
    <w:pPr>
      <w:ind w:left="720"/>
      <w:contextualSpacing/>
    </w:pPr>
  </w:style>
  <w:style w:type="character" w:styleId="IntenseEmphasis">
    <w:name w:val="Intense Emphasis"/>
    <w:basedOn w:val="DefaultParagraphFont"/>
    <w:uiPriority w:val="21"/>
    <w:qFormat/>
    <w:rsid w:val="007913E4"/>
    <w:rPr>
      <w:i/>
      <w:iCs/>
      <w:color w:val="0F4761" w:themeColor="accent1" w:themeShade="BF"/>
    </w:rPr>
  </w:style>
  <w:style w:type="paragraph" w:styleId="IntenseQuote">
    <w:name w:val="Intense Quote"/>
    <w:basedOn w:val="Normal"/>
    <w:next w:val="Normal"/>
    <w:link w:val="IntenseQuoteChar"/>
    <w:uiPriority w:val="30"/>
    <w:qFormat/>
    <w:rsid w:val="00791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3E4"/>
    <w:rPr>
      <w:i/>
      <w:iCs/>
      <w:color w:val="0F4761" w:themeColor="accent1" w:themeShade="BF"/>
    </w:rPr>
  </w:style>
  <w:style w:type="character" w:styleId="IntenseReference">
    <w:name w:val="Intense Reference"/>
    <w:basedOn w:val="DefaultParagraphFont"/>
    <w:uiPriority w:val="32"/>
    <w:qFormat/>
    <w:rsid w:val="007913E4"/>
    <w:rPr>
      <w:b/>
      <w:bCs/>
      <w:smallCaps/>
      <w:color w:val="0F4761" w:themeColor="accent1" w:themeShade="BF"/>
      <w:spacing w:val="5"/>
    </w:rPr>
  </w:style>
  <w:style w:type="character" w:styleId="Hyperlink">
    <w:name w:val="Hyperlink"/>
    <w:basedOn w:val="DefaultParagraphFont"/>
    <w:uiPriority w:val="99"/>
    <w:unhideWhenUsed/>
    <w:rsid w:val="007913E4"/>
    <w:rPr>
      <w:color w:val="0000FF"/>
      <w:u w:val="single"/>
    </w:rPr>
  </w:style>
  <w:style w:type="character" w:styleId="UnresolvedMention">
    <w:name w:val="Unresolved Mention"/>
    <w:basedOn w:val="DefaultParagraphFont"/>
    <w:uiPriority w:val="99"/>
    <w:semiHidden/>
    <w:unhideWhenUsed/>
    <w:rsid w:val="009D0CDE"/>
    <w:rPr>
      <w:color w:val="605E5C"/>
      <w:shd w:val="clear" w:color="auto" w:fill="E1DFDD"/>
    </w:rPr>
  </w:style>
  <w:style w:type="paragraph" w:styleId="Bibliography">
    <w:name w:val="Bibliography"/>
    <w:basedOn w:val="Normal"/>
    <w:next w:val="Normal"/>
    <w:uiPriority w:val="37"/>
    <w:unhideWhenUsed/>
    <w:rsid w:val="002E5A5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225421">
      <w:bodyDiv w:val="1"/>
      <w:marLeft w:val="0"/>
      <w:marRight w:val="0"/>
      <w:marTop w:val="0"/>
      <w:marBottom w:val="0"/>
      <w:divBdr>
        <w:top w:val="none" w:sz="0" w:space="0" w:color="auto"/>
        <w:left w:val="none" w:sz="0" w:space="0" w:color="auto"/>
        <w:bottom w:val="none" w:sz="0" w:space="0" w:color="auto"/>
        <w:right w:val="none" w:sz="0" w:space="0" w:color="auto"/>
      </w:divBdr>
    </w:div>
    <w:div w:id="1356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Ximing</dc:creator>
  <cp:keywords/>
  <dc:description/>
  <cp:lastModifiedBy>Ran, Ximing</cp:lastModifiedBy>
  <cp:revision>2</cp:revision>
  <dcterms:created xsi:type="dcterms:W3CDTF">2025-04-29T14:38:00Z</dcterms:created>
  <dcterms:modified xsi:type="dcterms:W3CDTF">2025-04-29T15:27:00Z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id="pOwkGbJW"/&gt;&lt;style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