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目前已提供金蝶导入包，包含了金蝶的数据库备份及其所有表结构。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由于客户要求，将贸易系统生成的凭证直接导入到金蝶数据库。故还需要将金蝶数据库开通外网访问，以供云服务器访问。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需确定：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数据库外网访问连接字符串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需要将哪些业务生成凭证，及对应的凭证借贷方科目。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地磅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rFonts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/>
          <w:b w:val="0"/>
          <w:bCs w:val="0"/>
          <w:lang w:val="en-US" w:eastAsia="zh-CN"/>
        </w:rPr>
        <w:t>目前已知串口号：</w:t>
      </w:r>
      <w:r>
        <w:rPr>
          <w:rFonts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 xml:space="preserve"> 232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波特率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：</w:t>
      </w:r>
      <w:r>
        <w:rPr>
          <w:rFonts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9600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无校验位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数据位 8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无停止位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需确定：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目前浏览器调用串口方法有两种：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一种是用ActiveX控件，另一种是applet应用。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因为我们公司未做过这样的程序，开发工作量很大。</w:t>
      </w:r>
      <w:bookmarkStart w:id="0" w:name="_GoBack"/>
      <w:bookmarkEnd w:id="0"/>
      <w:r>
        <w:rPr>
          <w:rFonts w:hint="eastAsia"/>
          <w:lang w:val="en-US" w:eastAsia="zh-CN"/>
        </w:rPr>
        <w:t>需和客户确定是否一定要接入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目前已提供导入的模板txt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需确定：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客户导入模式；按每一次开票导入，还是按月导入。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模板Txt的内容、格式对应的字段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343C4"/>
    <w:rsid w:val="139867AB"/>
    <w:rsid w:val="1A5A5143"/>
    <w:rsid w:val="21293F4D"/>
    <w:rsid w:val="2F0A33EA"/>
    <w:rsid w:val="36E334ED"/>
    <w:rsid w:val="3DA40900"/>
    <w:rsid w:val="405D18DD"/>
    <w:rsid w:val="41BA203D"/>
    <w:rsid w:val="41C3390A"/>
    <w:rsid w:val="489036D2"/>
    <w:rsid w:val="51EA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ran.DESKTOP-IIC71AL</dc:creator>
  <cp:lastModifiedBy>ran</cp:lastModifiedBy>
  <dcterms:modified xsi:type="dcterms:W3CDTF">2019-03-07T06:46:19Z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