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750" w:lineRule="atLeast"/>
        <w:ind w:left="0" w:right="0" w:firstLine="0"/>
        <w:jc w:val="center"/>
        <w:rPr>
          <w:rFonts w:hint="eastAsia" w:ascii="微软雅黑" w:hAnsi="微软雅黑" w:eastAsia="微软雅黑" w:cs="微软雅黑"/>
          <w:caps w:val="0"/>
          <w:color w:val="212121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caps w:val="0"/>
          <w:color w:val="212121"/>
          <w:spacing w:val="0"/>
          <w:sz w:val="42"/>
          <w:szCs w:val="42"/>
          <w:bdr w:val="none" w:color="auto" w:sz="0" w:space="0"/>
          <w:shd w:val="clear" w:fill="FFFFFF"/>
        </w:rPr>
        <w:t>2020年半年度业绩预告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证券代码：000514       证券简称：渝开发    公告编号：2020-037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债券代码：112931       债券简称：19渝债01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ascii="黑体" w:hAnsi="宋体" w:eastAsia="黑体" w:cs="黑体"/>
          <w:b/>
          <w:i w:val="0"/>
          <w:caps w:val="0"/>
          <w:color w:val="575757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重庆渝开发股份有限公司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center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黑体" w:hAnsi="宋体" w:eastAsia="黑体" w:cs="黑体"/>
          <w:b/>
          <w:i w:val="0"/>
          <w:caps w:val="0"/>
          <w:color w:val="575757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2020年半年度业绩预告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firstLine="5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本公司及其董事会全体成员保证信息披露内容的真实、准确和完整，没有虚假记载、误导性陈述或重大遗漏。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一、本期业绩预计情况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56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57575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1、业绩预告期间：2020年1月1日-2020年6月30日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56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57575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2、预计的经营业绩：同向上升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56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57575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3、业绩预告情况表：</w:t>
      </w:r>
    </w:p>
    <w:tbl>
      <w:tblPr>
        <w:tblpPr w:leftFromText="180" w:rightFromText="180" w:vertAnchor="text" w:horzAnchor="page" w:tblpX="867" w:tblpY="742"/>
        <w:tblOverlap w:val="never"/>
        <w:tblW w:w="1052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1"/>
        <w:gridCol w:w="4923"/>
        <w:gridCol w:w="3424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rPr>
          <w:trHeight w:val="638" w:hRule="atLeast"/>
        </w:trPr>
        <w:tc>
          <w:tcPr>
            <w:tcW w:w="21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 w:firstLine="48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575757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项   目</w:t>
            </w:r>
          </w:p>
        </w:tc>
        <w:tc>
          <w:tcPr>
            <w:tcW w:w="492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本报告期（2020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5757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年1-6月）</w:t>
            </w:r>
          </w:p>
        </w:tc>
        <w:tc>
          <w:tcPr>
            <w:tcW w:w="34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上年同期（201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5757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9年1-6月）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181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 w:firstLine="48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575757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归属于上市公司股东的净利润</w:t>
            </w:r>
          </w:p>
        </w:tc>
        <w:tc>
          <w:tcPr>
            <w:tcW w:w="49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盈利：2200万元～2860万元</w:t>
            </w:r>
          </w:p>
        </w:tc>
        <w:tc>
          <w:tcPr>
            <w:tcW w:w="34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盈利：1,759万元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181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75757"/>
                <w:spacing w:val="0"/>
                <w:sz w:val="22"/>
                <w:szCs w:val="22"/>
              </w:rPr>
            </w:pPr>
          </w:p>
        </w:tc>
        <w:tc>
          <w:tcPr>
            <w:tcW w:w="49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比上年同期上升：25.07%～62.59%</w:t>
            </w:r>
          </w:p>
        </w:tc>
        <w:tc>
          <w:tcPr>
            <w:tcW w:w="34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218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 w:firstLine="48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575757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基本每股收益</w:t>
            </w:r>
          </w:p>
        </w:tc>
        <w:tc>
          <w:tcPr>
            <w:tcW w:w="49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盈利：约0.0261～0.0339元</w:t>
            </w:r>
          </w:p>
        </w:tc>
        <w:tc>
          <w:tcPr>
            <w:tcW w:w="34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盈利：0.0208元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二、业绩预告预审计情况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56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本期业绩预告未经过注册会计师审计。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三、业绩变动原因说明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56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本期归属于上市公司股东的净利润较上期增加，主要系本期完成祈年公司股权转让投资收益增加，同比增加非经常性损益约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  <w:lang w:val="en-US"/>
        </w:rPr>
        <w:t>4,300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万元；受估值模型变化及新冠肺炎疫情、股市波动等造成交易性金融资产公允价值下降，同比减少非经常性损益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  <w:lang w:val="en-US"/>
        </w:rPr>
        <w:t>2,071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万元。本期扣除非经常性损益的净利润较上年同期减少，系公司房地产项目结转收入同比下降；受新冠肺炎疫情的影响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  <w:lang w:val="en-US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会展净利润同比下降。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四、其他相关说明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56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本次业绩预告系本公司财务部门初步测算结果，具体数据将在公司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  <w:lang w:val="en-US"/>
        </w:rPr>
        <w:t>2020</w:t>
      </w: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年半年度报告中详细披露。本公司指定的信息披露媒体为《中国证券报》、《证券时报》、《上海证券报》以及巨潮资讯网。本公司将严格按照有关法律法规的规定及时做好信息披露工作，敬请投资者注意投资风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56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特此公告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364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57575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重庆渝开发股份有限公司董事会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480"/>
        <w:jc w:val="left"/>
        <w:rPr>
          <w:rFonts w:hint="eastAsia" w:ascii="微软雅黑" w:hAnsi="微软雅黑" w:eastAsia="微软雅黑" w:cs="微软雅黑"/>
          <w:i w:val="0"/>
          <w:caps w:val="0"/>
          <w:color w:val="575757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57575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2020年7月15日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160CC"/>
    <w:rsid w:val="17516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2020-09-14T06:50:00Z</dcterms:created>
  <dc:creator>渝开发办公室人员</dc:creator>
  <cp:lastModifiedBy>渝开发办公室人员</cp:lastModifiedBy>
  <dcterms:modified xsi:type="dcterms:W3CDTF">2020-09-14T06:51:36Z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