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ADM-F007</w:t>
      </w:r>
    </w:p>
    <w:p>
      <w:pPr>
        <w:pStyle w:val="Title"/>
      </w:pPr>
      <w:r>
        <w:t>Result Import &amp; Merit List</w:t>
      </w:r>
    </w:p>
    <w:p>
      <w:pPr>
        <w:pStyle w:val="Subtitle"/>
      </w:pPr>
      <w:r>
        <w:t>Implementation Specification</w:t>
      </w:r>
    </w:p>
    <w:p>
      <w:r>
        <w:t>Version 1.2  |  1 October 2026  |  Recommended development baseline</w:t>
      </w:r>
    </w:p>
    <w:p>
      <w:r>
        <w:t>Updated to align result ownership with F006 entry-test scheduling, F002 application preferences, and F008 offer acceptance.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Attribute</w:t>
            </w:r>
          </w:p>
        </w:tc>
        <w:tc>
          <w:tcPr>
            <w:tcW w:type="dxa" w:w="5083"/>
            <w:vAlign w:val="center"/>
            <w:shd w:fill="17365D"/>
          </w:tcPr>
          <w:p>
            <w:pPr>
              <w:spacing w:after="20"/>
            </w:pPr>
            <w:r>
              <w:rPr>
                <w:rFonts w:ascii="Aptos" w:hAnsi="Aptos"/>
                <w:b/>
                <w:color w:val="FFFFFF"/>
                <w:sz w:val="16"/>
              </w:rPr>
              <w:t>Value</w:t>
            </w:r>
          </w:p>
        </w:tc>
      </w:tr>
      <w:tr>
        <w:tc>
          <w:tcPr>
            <w:tcW w:type="dxa" w:w="5083"/>
            <w:vAlign w:val="center"/>
          </w:tcPr>
          <w:p>
            <w:pPr>
              <w:spacing w:after="20"/>
            </w:pPr>
            <w:r>
              <w:rPr>
                <w:rFonts w:ascii="Aptos" w:hAnsi="Aptos"/>
                <w:b w:val="0"/>
                <w:sz w:val="16"/>
              </w:rPr>
              <w:t>Document</w:t>
            </w:r>
          </w:p>
        </w:tc>
        <w:tc>
          <w:tcPr>
            <w:tcW w:type="dxa" w:w="5083"/>
            <w:vAlign w:val="center"/>
          </w:tcPr>
          <w:p>
            <w:pPr>
              <w:spacing w:after="20"/>
            </w:pPr>
            <w:r>
              <w:rPr>
                <w:rFonts w:ascii="Aptos" w:hAnsi="Aptos"/>
                <w:b w:val="0"/>
                <w:sz w:val="16"/>
              </w:rPr>
              <w:t>ADM-F007 Result Import &amp; Merit List Implementation Specification</w:t>
            </w:r>
          </w:p>
        </w:tc>
      </w:tr>
      <w:tr>
        <w:tc>
          <w:tcPr>
            <w:tcW w:type="dxa" w:w="5083"/>
            <w:vAlign w:val="center"/>
            <w:shd w:fill="F3F6F9"/>
          </w:tcPr>
          <w:p>
            <w:pPr>
              <w:spacing w:after="20"/>
            </w:pPr>
            <w:r>
              <w:rPr>
                <w:rFonts w:ascii="Aptos" w:hAnsi="Aptos"/>
                <w:b w:val="0"/>
                <w:sz w:val="16"/>
              </w:rPr>
              <w:t>Version</w:t>
            </w:r>
          </w:p>
        </w:tc>
        <w:tc>
          <w:tcPr>
            <w:tcW w:type="dxa" w:w="5083"/>
            <w:vAlign w:val="center"/>
            <w:shd w:fill="F3F6F9"/>
          </w:tcPr>
          <w:p>
            <w:pPr>
              <w:spacing w:after="20"/>
            </w:pPr>
            <w:r>
              <w:rPr>
                <w:rFonts w:ascii="Aptos" w:hAnsi="Aptos"/>
                <w:b w:val="0"/>
                <w:sz w:val="16"/>
              </w:rPr>
              <w:t>1.2</w:t>
            </w:r>
          </w:p>
        </w:tc>
      </w:tr>
      <w:tr>
        <w:tc>
          <w:tcPr>
            <w:tcW w:type="dxa" w:w="5083"/>
            <w:vAlign w:val="center"/>
          </w:tcPr>
          <w:p>
            <w:pPr>
              <w:spacing w:after="20"/>
            </w:pPr>
            <w:r>
              <w:rPr>
                <w:rFonts w:ascii="Aptos" w:hAnsi="Aptos"/>
                <w:b w:val="0"/>
                <w:sz w:val="16"/>
              </w:rPr>
              <w:t>Date</w:t>
            </w:r>
          </w:p>
        </w:tc>
        <w:tc>
          <w:tcPr>
            <w:tcW w:type="dxa" w:w="5083"/>
            <w:vAlign w:val="center"/>
          </w:tcPr>
          <w:p>
            <w:pPr>
              <w:spacing w:after="20"/>
            </w:pPr>
            <w:r>
              <w:rPr>
                <w:rFonts w:ascii="Aptos" w:hAnsi="Aptos"/>
                <w:b w:val="0"/>
                <w:sz w:val="16"/>
              </w:rPr>
              <w:t>1 October 2026</w:t>
            </w:r>
          </w:p>
        </w:tc>
      </w:tr>
      <w:tr>
        <w:tc>
          <w:tcPr>
            <w:tcW w:type="dxa" w:w="5083"/>
            <w:vAlign w:val="center"/>
            <w:shd w:fill="F3F6F9"/>
          </w:tcPr>
          <w:p>
            <w:pPr>
              <w:spacing w:after="20"/>
            </w:pPr>
            <w:r>
              <w:rPr>
                <w:rFonts w:ascii="Aptos" w:hAnsi="Aptos"/>
                <w:b w:val="0"/>
                <w:sz w:val="16"/>
              </w:rPr>
              <w:t>Status</w:t>
            </w:r>
          </w:p>
        </w:tc>
        <w:tc>
          <w:tcPr>
            <w:tcW w:type="dxa" w:w="5083"/>
            <w:vAlign w:val="center"/>
            <w:shd w:fill="F3F6F9"/>
          </w:tcPr>
          <w:p>
            <w:pPr>
              <w:spacing w:after="20"/>
            </w:pPr>
            <w:r>
              <w:rPr>
                <w:rFonts w:ascii="Aptos" w:hAnsi="Aptos"/>
                <w:b w:val="0"/>
                <w:sz w:val="16"/>
              </w:rPr>
              <w:t>Recommended development baseline; institutional policy decisions remain open</w:t>
            </w:r>
          </w:p>
        </w:tc>
      </w:tr>
      <w:tr>
        <w:tc>
          <w:tcPr>
            <w:tcW w:type="dxa" w:w="5083"/>
            <w:vAlign w:val="center"/>
          </w:tcPr>
          <w:p>
            <w:pPr>
              <w:spacing w:after="20"/>
            </w:pPr>
            <w:r>
              <w:rPr>
                <w:rFonts w:ascii="Aptos" w:hAnsi="Aptos"/>
                <w:b w:val="0"/>
                <w:sz w:val="16"/>
              </w:rPr>
              <w:t>Predecessor</w:t>
            </w:r>
          </w:p>
        </w:tc>
        <w:tc>
          <w:tcPr>
            <w:tcW w:type="dxa" w:w="5083"/>
            <w:vAlign w:val="center"/>
          </w:tcPr>
          <w:p>
            <w:pPr>
              <w:spacing w:after="20"/>
            </w:pPr>
            <w:r>
              <w:rPr>
                <w:rFonts w:ascii="Aptos" w:hAnsi="Aptos"/>
                <w:b w:val="0"/>
                <w:sz w:val="16"/>
              </w:rPr>
              <w:t>ADM-F007 v1.1</w:t>
            </w:r>
          </w:p>
        </w:tc>
      </w:tr>
      <w:tr>
        <w:tc>
          <w:tcPr>
            <w:tcW w:type="dxa" w:w="5083"/>
            <w:vAlign w:val="center"/>
            <w:shd w:fill="F3F6F9"/>
          </w:tcPr>
          <w:p>
            <w:pPr>
              <w:spacing w:after="20"/>
            </w:pPr>
            <w:r>
              <w:rPr>
                <w:rFonts w:ascii="Aptos" w:hAnsi="Aptos"/>
                <w:b w:val="0"/>
                <w:sz w:val="16"/>
              </w:rPr>
              <w:t>Related modules</w:t>
            </w:r>
          </w:p>
        </w:tc>
        <w:tc>
          <w:tcPr>
            <w:tcW w:type="dxa" w:w="5083"/>
            <w:vAlign w:val="center"/>
            <w:shd w:fill="F3F6F9"/>
          </w:tcPr>
          <w:p>
            <w:pPr>
              <w:spacing w:after="20"/>
            </w:pPr>
            <w:r>
              <w:rPr>
                <w:rFonts w:ascii="Aptos" w:hAnsi="Aptos"/>
                <w:b w:val="0"/>
                <w:sz w:val="16"/>
              </w:rPr>
              <w:t>F002 Application Completion; F005 Application Verification; F006 Entry-Test Scheduling &amp; Admit Card; F008 Offer Management; F010 Notifications</w:t>
            </w:r>
          </w:p>
        </w:tc>
      </w:tr>
    </w:tbl>
    <w:p>
      <w:pPr>
        <w:spacing w:after="20"/>
      </w:pPr>
    </w:p>
    <w:p>
      <w:pPr>
        <w:pStyle w:val="Heading2"/>
      </w:pPr>
      <w:r>
        <w:t>Change summary</w:t>
      </w:r>
    </w:p>
    <w:p>
      <w:pPr>
        <w:pStyle w:val="ListBullet"/>
      </w:pPr>
      <w:r>
        <w:t>Makes F007 the single authoritative owner for imported entry-test scores and merit lists; F006 remains responsible for sessions, admit cards, attendance, and identity-check evidence.</w:t>
      </w:r>
    </w:p>
    <w:p>
      <w:pPr>
        <w:pStyle w:val="ListBullet"/>
      </w:pPr>
      <w:r>
        <w:t>Defines staged, all-or-nothing imports, auditable corrections, and server-calculated percentages.</w:t>
      </w:r>
    </w:p>
    <w:p>
      <w:pPr>
        <w:pStyle w:val="ListBullet"/>
      </w:pPr>
      <w:r>
        <w:t>Defines one merit list per programme offering, allowing an applicant’s score to be considered independently for each selected eligible preference.</w:t>
      </w:r>
    </w:p>
    <w:p>
      <w:pPr>
        <w:pStyle w:val="ListBullet"/>
      </w:pPr>
      <w:r>
        <w:t>Makes F008 offer acceptance the final seat commitment; list revisions and waiting-list movement are versioned and auditable.</w:t>
      </w:r>
    </w:p>
    <w:p>
      <w:pPr>
        <w:pStyle w:val="ListBullet"/>
      </w:pPr>
      <w:r>
        <w:t>Adds the missing programme-offering seat-capacity dependency to F000 and documents F006 outcome endpoint/table overlap for retirement or migration.</w:t>
      </w:r>
    </w:p>
    <w:p>
      <w:pPr>
        <w:pStyle w:val="Heading1"/>
      </w:pPr>
      <w:r>
        <w:t>1. Purpose and scope</w:t>
      </w:r>
    </w:p>
    <w:p>
      <w:r>
        <w:t>This specification defines importing official entry-test results, validating and confirming those results, generating ranked merit lists for programme offerings, and approving and publishing those lists. It applies within one tenant and one configured test session at a time.</w:t>
      </w:r>
    </w:p>
    <w:p>
      <w:pPr>
        <w:pStyle w:val="Heading2"/>
      </w:pPr>
      <w:r>
        <w:t>In scope</w:t>
      </w:r>
    </w:p>
    <w:p>
      <w:pPr>
        <w:pStyle w:val="ListBullet"/>
      </w:pPr>
      <w:r>
        <w:t>Secure spreadsheet upload and validation preview.</w:t>
      </w:r>
    </w:p>
    <w:p>
      <w:pPr>
        <w:pStyle w:val="ListBullet"/>
      </w:pPr>
      <w:r>
        <w:t>Confirmation of valid result batches with audit history.</w:t>
      </w:r>
    </w:p>
    <w:p>
      <w:pPr>
        <w:pStyle w:val="ListBullet"/>
      </w:pPr>
      <w:r>
        <w:t>Eligibility checks and per-offering merit generation using selected programme preferences.</w:t>
      </w:r>
    </w:p>
    <w:p>
      <w:pPr>
        <w:pStyle w:val="ListBullet"/>
      </w:pPr>
      <w:r>
        <w:t>Merit-list review, approval, publication, and controlled version replacement.</w:t>
      </w:r>
    </w:p>
    <w:p>
      <w:pPr>
        <w:pStyle w:val="ListBullet"/>
      </w:pPr>
      <w:r>
        <w:t>Applicant-facing access to the applicant’s own published result/status.</w:t>
      </w:r>
    </w:p>
    <w:p>
      <w:pPr>
        <w:pStyle w:val="ListBullet"/>
      </w:pPr>
      <w:r>
        <w:t>Idempotent publication events for F010 notifications.</w:t>
      </w:r>
    </w:p>
    <w:p>
      <w:pPr>
        <w:pStyle w:val="Heading2"/>
      </w:pPr>
      <w:r>
        <w:t>Out of scope</w:t>
      </w:r>
    </w:p>
    <w:p>
      <w:pPr>
        <w:pStyle w:val="ListBullet"/>
      </w:pPr>
      <w:r>
        <w:t>Test-centre/session creation, admit-card generation, and attendance capture (F006).</w:t>
      </w:r>
    </w:p>
    <w:p>
      <w:pPr>
        <w:pStyle w:val="ListBullet"/>
      </w:pPr>
      <w:r>
        <w:t>Application profile, academic records, programme preference selection (F002).</w:t>
      </w:r>
    </w:p>
    <w:p>
      <w:pPr>
        <w:pStyle w:val="ListBullet"/>
      </w:pPr>
      <w:r>
        <w:t>Offer issuance, acceptance, expiry, and seat commitment (F008).</w:t>
      </w:r>
    </w:p>
    <w:p>
      <w:pPr>
        <w:pStyle w:val="ListBullet"/>
      </w:pPr>
      <w:r>
        <w:t>Email/SMS delivery mechanics (F010).</w:t>
      </w:r>
    </w:p>
    <w:p>
      <w:pPr>
        <w:pStyle w:val="ListBullet"/>
      </w:pPr>
      <w:r>
        <w:t>Institutional policy decisions not approved in this specification, including pass threshold and score tie resolution.</w:t>
      </w:r>
    </w:p>
    <w:p>
      <w:pPr>
        <w:pStyle w:val="Heading1"/>
      </w:pPr>
      <w:r>
        <w:t>2. Ownership and end-to-end flow</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Module</w:t>
            </w:r>
          </w:p>
        </w:tc>
        <w:tc>
          <w:tcPr>
            <w:tcW w:type="dxa" w:w="5083"/>
            <w:vAlign w:val="center"/>
            <w:shd w:fill="17365D"/>
          </w:tcPr>
          <w:p>
            <w:pPr>
              <w:spacing w:after="20"/>
            </w:pPr>
            <w:r>
              <w:rPr>
                <w:rFonts w:ascii="Aptos" w:hAnsi="Aptos"/>
                <w:b/>
                <w:color w:val="FFFFFF"/>
                <w:sz w:val="16"/>
              </w:rPr>
              <w:t>Authoritative responsibility</w:t>
            </w:r>
          </w:p>
        </w:tc>
      </w:tr>
      <w:tr>
        <w:tc>
          <w:tcPr>
            <w:tcW w:type="dxa" w:w="5083"/>
            <w:vAlign w:val="center"/>
          </w:tcPr>
          <w:p>
            <w:pPr>
              <w:spacing w:after="20"/>
            </w:pPr>
            <w:r>
              <w:rPr>
                <w:rFonts w:ascii="Aptos" w:hAnsi="Aptos"/>
                <w:b w:val="0"/>
                <w:sz w:val="16"/>
              </w:rPr>
              <w:t>F002</w:t>
            </w:r>
          </w:p>
        </w:tc>
        <w:tc>
          <w:tcPr>
            <w:tcW w:type="dxa" w:w="5083"/>
            <w:vAlign w:val="center"/>
          </w:tcPr>
          <w:p>
            <w:pPr>
              <w:spacing w:after="20"/>
            </w:pPr>
            <w:r>
              <w:rPr>
                <w:rFonts w:ascii="Aptos" w:hAnsi="Aptos"/>
                <w:b w:val="0"/>
                <w:sz w:val="16"/>
              </w:rPr>
              <w:t>Applicant application and ordered programme preferences.</w:t>
            </w:r>
          </w:p>
        </w:tc>
      </w:tr>
      <w:tr>
        <w:tc>
          <w:tcPr>
            <w:tcW w:type="dxa" w:w="5083"/>
            <w:vAlign w:val="center"/>
            <w:shd w:fill="F3F6F9"/>
          </w:tcPr>
          <w:p>
            <w:pPr>
              <w:spacing w:after="20"/>
            </w:pPr>
            <w:r>
              <w:rPr>
                <w:rFonts w:ascii="Aptos" w:hAnsi="Aptos"/>
                <w:b w:val="0"/>
                <w:sz w:val="16"/>
              </w:rPr>
              <w:t>F005</w:t>
            </w:r>
          </w:p>
        </w:tc>
        <w:tc>
          <w:tcPr>
            <w:tcW w:type="dxa" w:w="5083"/>
            <w:vAlign w:val="center"/>
            <w:shd w:fill="F3F6F9"/>
          </w:tcPr>
          <w:p>
            <w:pPr>
              <w:spacing w:after="20"/>
            </w:pPr>
            <w:r>
              <w:rPr>
                <w:rFonts w:ascii="Aptos" w:hAnsi="Aptos"/>
                <w:b w:val="0"/>
                <w:sz w:val="16"/>
              </w:rPr>
              <w:t>Application verification/approval state used as an eligibility gate.</w:t>
            </w:r>
          </w:p>
        </w:tc>
      </w:tr>
      <w:tr>
        <w:tc>
          <w:tcPr>
            <w:tcW w:type="dxa" w:w="5083"/>
            <w:vAlign w:val="center"/>
          </w:tcPr>
          <w:p>
            <w:pPr>
              <w:spacing w:after="20"/>
            </w:pPr>
            <w:r>
              <w:rPr>
                <w:rFonts w:ascii="Aptos" w:hAnsi="Aptos"/>
                <w:b w:val="0"/>
                <w:sz w:val="16"/>
              </w:rPr>
              <w:t>F006</w:t>
            </w:r>
          </w:p>
        </w:tc>
        <w:tc>
          <w:tcPr>
            <w:tcW w:type="dxa" w:w="5083"/>
            <w:vAlign w:val="center"/>
          </w:tcPr>
          <w:p>
            <w:pPr>
              <w:spacing w:after="20"/>
            </w:pPr>
            <w:r>
              <w:rPr>
                <w:rFonts w:ascii="Aptos" w:hAnsi="Aptos"/>
                <w:b w:val="0"/>
                <w:sz w:val="16"/>
              </w:rPr>
              <w:t>Test sessions, eligible programme/session association, admit cards, attendance, identity verification.</w:t>
            </w:r>
          </w:p>
        </w:tc>
      </w:tr>
      <w:tr>
        <w:tc>
          <w:tcPr>
            <w:tcW w:type="dxa" w:w="5083"/>
            <w:vAlign w:val="center"/>
            <w:shd w:fill="F3F6F9"/>
          </w:tcPr>
          <w:p>
            <w:pPr>
              <w:spacing w:after="20"/>
            </w:pPr>
            <w:r>
              <w:rPr>
                <w:rFonts w:ascii="Aptos" w:hAnsi="Aptos"/>
                <w:b w:val="0"/>
                <w:sz w:val="16"/>
              </w:rPr>
              <w:t>F007</w:t>
            </w:r>
          </w:p>
        </w:tc>
        <w:tc>
          <w:tcPr>
            <w:tcW w:type="dxa" w:w="5083"/>
            <w:vAlign w:val="center"/>
            <w:shd w:fill="F3F6F9"/>
          </w:tcPr>
          <w:p>
            <w:pPr>
              <w:spacing w:after="20"/>
            </w:pPr>
            <w:r>
              <w:rPr>
                <w:rFonts w:ascii="Aptos" w:hAnsi="Aptos"/>
                <w:b w:val="0"/>
                <w:sz w:val="16"/>
              </w:rPr>
              <w:t>Official score imports, result records, merit-list calculation, audit, approval and publication.</w:t>
            </w:r>
          </w:p>
        </w:tc>
      </w:tr>
      <w:tr>
        <w:tc>
          <w:tcPr>
            <w:tcW w:type="dxa" w:w="5083"/>
            <w:vAlign w:val="center"/>
          </w:tcPr>
          <w:p>
            <w:pPr>
              <w:spacing w:after="20"/>
            </w:pPr>
            <w:r>
              <w:rPr>
                <w:rFonts w:ascii="Aptos" w:hAnsi="Aptos"/>
                <w:b w:val="0"/>
                <w:sz w:val="16"/>
              </w:rPr>
              <w:t>F008</w:t>
            </w:r>
          </w:p>
        </w:tc>
        <w:tc>
          <w:tcPr>
            <w:tcW w:type="dxa" w:w="5083"/>
            <w:vAlign w:val="center"/>
          </w:tcPr>
          <w:p>
            <w:pPr>
              <w:spacing w:after="20"/>
            </w:pPr>
            <w:r>
              <w:rPr>
                <w:rFonts w:ascii="Aptos" w:hAnsi="Aptos"/>
                <w:b w:val="0"/>
                <w:sz w:val="16"/>
              </w:rPr>
              <w:t>Offer issuance and applicant acceptance; final seat commitment.</w:t>
            </w:r>
          </w:p>
        </w:tc>
      </w:tr>
      <w:tr>
        <w:tc>
          <w:tcPr>
            <w:tcW w:type="dxa" w:w="5083"/>
            <w:vAlign w:val="center"/>
            <w:shd w:fill="F3F6F9"/>
          </w:tcPr>
          <w:p>
            <w:pPr>
              <w:spacing w:after="20"/>
            </w:pPr>
            <w:r>
              <w:rPr>
                <w:rFonts w:ascii="Aptos" w:hAnsi="Aptos"/>
                <w:b w:val="0"/>
                <w:sz w:val="16"/>
              </w:rPr>
              <w:t>F010</w:t>
            </w:r>
          </w:p>
        </w:tc>
        <w:tc>
          <w:tcPr>
            <w:tcW w:type="dxa" w:w="5083"/>
            <w:vAlign w:val="center"/>
            <w:shd w:fill="F3F6F9"/>
          </w:tcPr>
          <w:p>
            <w:pPr>
              <w:spacing w:after="20"/>
            </w:pPr>
            <w:r>
              <w:rPr>
                <w:rFonts w:ascii="Aptos" w:hAnsi="Aptos"/>
                <w:b w:val="0"/>
                <w:sz w:val="16"/>
              </w:rPr>
              <w:t>Notification delivery, retries and channel preferences.</w:t>
            </w:r>
          </w:p>
        </w:tc>
      </w:tr>
    </w:tbl>
    <w:p>
      <w:pPr>
        <w:spacing w:after="20"/>
      </w:pPr>
    </w:p>
    <w:p>
      <w:pPr>
        <w:pStyle w:val="Heading2"/>
      </w:pPr>
      <w:r>
        <w:t>Workflow</w:t>
      </w:r>
    </w:p>
    <w:p>
      <w:pPr>
        <w:pStyle w:val="ListNumber"/>
      </w:pPr>
      <w:r>
        <w:t>F006 publishes a test session and captures attendance and identity verification. F006 identifies which programme offerings are valid for that session.</w:t>
      </w:r>
    </w:p>
    <w:p>
      <w:pPr>
        <w:pStyle w:val="ListNumber"/>
      </w:pPr>
      <w:r>
        <w:t>An authorized Admissions Admin uploads the official result workbook and chooses the test session. This upload creates a staged import only.</w:t>
      </w:r>
    </w:p>
    <w:p>
      <w:pPr>
        <w:pStyle w:val="ListNumber"/>
      </w:pPr>
      <w:r>
        <w:t>F007 validates workbook shape and every row, resolves the application reference, and produces a preview with row-level errors. No official result or merit list is changed yet.</w:t>
      </w:r>
    </w:p>
    <w:p>
      <w:pPr>
        <w:pStyle w:val="ListNumber"/>
      </w:pPr>
      <w:r>
        <w:t>The admin confirms only an import whose rows are all READY. Confirmation writes all result rows atomically and records who confirmed it.</w:t>
      </w:r>
    </w:p>
    <w:p>
      <w:pPr>
        <w:pStyle w:val="ListNumber"/>
      </w:pPr>
      <w:r>
        <w:t>F007 generates a separate merit-list version for each selected eligible programme offering associated with the test session.</w:t>
      </w:r>
    </w:p>
    <w:p>
      <w:pPr>
        <w:pStyle w:val="ListNumber"/>
      </w:pPr>
      <w:r>
        <w:t>An Admissions Admin reviews and approves each draft list. A published list is applicant-visible; publication emits an idempotent event to F010.</w:t>
      </w:r>
    </w:p>
    <w:p>
      <w:pPr>
        <w:pStyle w:val="ListNumber"/>
      </w:pPr>
      <w:r>
        <w:t>F008 issues offers from selected places and records acceptance. An applicant may remain selected in more than one offering until an offer is accepted and institutional seat rules resolve other offers.</w:t>
      </w:r>
    </w:p>
    <w:p>
      <w:pPr>
        <w:pStyle w:val="ListNumber"/>
      </w:pPr>
      <w:r>
        <w:t>If an offer is declined/expires or a correction is approved, F007 creates a new audited list version where needed. It never silently edits a published list.</w:t>
      </w:r>
    </w:p>
    <w:p>
      <w:pPr>
        <w:pStyle w:val="Heading1"/>
      </w:pPr>
      <w:r>
        <w:t>3. Roles and access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Role</w:t>
            </w:r>
          </w:p>
        </w:tc>
        <w:tc>
          <w:tcPr>
            <w:tcW w:type="dxa" w:w="5083"/>
            <w:vAlign w:val="center"/>
            <w:shd w:fill="17365D"/>
          </w:tcPr>
          <w:p>
            <w:pPr>
              <w:spacing w:after="20"/>
            </w:pPr>
            <w:r>
              <w:rPr>
                <w:rFonts w:ascii="Aptos" w:hAnsi="Aptos"/>
                <w:b/>
                <w:color w:val="FFFFFF"/>
                <w:sz w:val="16"/>
              </w:rPr>
              <w:t>Allowed actions</w:t>
            </w:r>
          </w:p>
        </w:tc>
      </w:tr>
      <w:tr>
        <w:tc>
          <w:tcPr>
            <w:tcW w:type="dxa" w:w="5083"/>
            <w:vAlign w:val="center"/>
          </w:tcPr>
          <w:p>
            <w:pPr>
              <w:spacing w:after="20"/>
            </w:pPr>
            <w:r>
              <w:rPr>
                <w:rFonts w:ascii="Aptos" w:hAnsi="Aptos"/>
                <w:b w:val="0"/>
                <w:sz w:val="16"/>
              </w:rPr>
              <w:t>ADMISSION_MANAGER / Admissions Admin</w:t>
            </w:r>
          </w:p>
        </w:tc>
        <w:tc>
          <w:tcPr>
            <w:tcW w:type="dxa" w:w="5083"/>
            <w:vAlign w:val="center"/>
          </w:tcPr>
          <w:p>
            <w:pPr>
              <w:spacing w:after="20"/>
            </w:pPr>
            <w:r>
              <w:rPr>
                <w:rFonts w:ascii="Aptos" w:hAnsi="Aptos"/>
                <w:b w:val="0"/>
                <w:sz w:val="16"/>
              </w:rPr>
              <w:t>Upload/preview/confirm imports; view result records; generate, review, approve and publish merit lists; request controlled correction/replacement.</w:t>
            </w:r>
          </w:p>
        </w:tc>
      </w:tr>
      <w:tr>
        <w:tc>
          <w:tcPr>
            <w:tcW w:type="dxa" w:w="5083"/>
            <w:vAlign w:val="center"/>
            <w:shd w:fill="F3F6F9"/>
          </w:tcPr>
          <w:p>
            <w:pPr>
              <w:spacing w:after="20"/>
            </w:pPr>
            <w:r>
              <w:rPr>
                <w:rFonts w:ascii="Aptos" w:hAnsi="Aptos"/>
                <w:b w:val="0"/>
                <w:sz w:val="16"/>
              </w:rPr>
              <w:t>ADMISSIONS_APPLICANT</w:t>
            </w:r>
          </w:p>
        </w:tc>
        <w:tc>
          <w:tcPr>
            <w:tcW w:type="dxa" w:w="5083"/>
            <w:vAlign w:val="center"/>
            <w:shd w:fill="F3F6F9"/>
          </w:tcPr>
          <w:p>
            <w:pPr>
              <w:spacing w:after="20"/>
            </w:pPr>
            <w:r>
              <w:rPr>
                <w:rFonts w:ascii="Aptos" w:hAnsi="Aptos"/>
                <w:b w:val="0"/>
                <w:sz w:val="16"/>
              </w:rPr>
              <w:t>Read own published result and own published selection/waiting status only.</w:t>
            </w:r>
          </w:p>
        </w:tc>
      </w:tr>
      <w:tr>
        <w:tc>
          <w:tcPr>
            <w:tcW w:type="dxa" w:w="5083"/>
            <w:vAlign w:val="center"/>
          </w:tcPr>
          <w:p>
            <w:pPr>
              <w:spacing w:after="20"/>
            </w:pPr>
            <w:r>
              <w:rPr>
                <w:rFonts w:ascii="Aptos" w:hAnsi="Aptos"/>
                <w:b w:val="0"/>
                <w:sz w:val="16"/>
              </w:rPr>
              <w:t>System integration</w:t>
            </w:r>
          </w:p>
        </w:tc>
        <w:tc>
          <w:tcPr>
            <w:tcW w:type="dxa" w:w="5083"/>
            <w:vAlign w:val="center"/>
          </w:tcPr>
          <w:p>
            <w:pPr>
              <w:spacing w:after="20"/>
            </w:pPr>
            <w:r>
              <w:rPr>
                <w:rFonts w:ascii="Aptos" w:hAnsi="Aptos"/>
                <w:b w:val="0"/>
                <w:sz w:val="16"/>
              </w:rPr>
              <w:t>F010 consumes result/merit publication events; it does not own score or merit data.</w:t>
            </w:r>
          </w:p>
        </w:tc>
      </w:tr>
    </w:tbl>
    <w:p>
      <w:pPr>
        <w:spacing w:after="20"/>
      </w:pPr>
    </w:p>
    <w:p>
      <w:r>
        <w:t>Use the project’s existing role claims and tenant authorization guards. Do not introduce an entry-test-staff role for these operations. Every admin mutation is tenant-scoped and records the authenticated user UUID. Applicant endpoints derive the applicant identity from the token and do not accept an arbitrary applicant UUID as authorization.</w:t>
      </w:r>
    </w:p>
    <w:p>
      <w:pPr>
        <w:pStyle w:val="Heading1"/>
      </w:pPr>
      <w:r>
        <w:t>4. Result workbook</w:t>
      </w:r>
    </w:p>
    <w:p>
      <w:pPr>
        <w:pStyle w:val="Heading2"/>
      </w:pPr>
      <w:r>
        <w:t>4.1 File contract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Property</w:t>
            </w:r>
          </w:p>
        </w:tc>
        <w:tc>
          <w:tcPr>
            <w:tcW w:type="dxa" w:w="5083"/>
            <w:vAlign w:val="center"/>
            <w:shd w:fill="17365D"/>
          </w:tcPr>
          <w:p>
            <w:pPr>
              <w:spacing w:after="20"/>
            </w:pPr>
            <w:r>
              <w:rPr>
                <w:rFonts w:ascii="Aptos" w:hAnsi="Aptos"/>
                <w:b/>
                <w:color w:val="FFFFFF"/>
                <w:sz w:val="16"/>
              </w:rPr>
              <w:t>Requirement</w:t>
            </w:r>
          </w:p>
        </w:tc>
      </w:tr>
      <w:tr>
        <w:tc>
          <w:tcPr>
            <w:tcW w:type="dxa" w:w="5083"/>
            <w:vAlign w:val="center"/>
          </w:tcPr>
          <w:p>
            <w:pPr>
              <w:spacing w:after="20"/>
            </w:pPr>
            <w:r>
              <w:rPr>
                <w:rFonts w:ascii="Aptos" w:hAnsi="Aptos"/>
                <w:b w:val="0"/>
                <w:sz w:val="16"/>
              </w:rPr>
              <w:t>Format</w:t>
            </w:r>
          </w:p>
        </w:tc>
        <w:tc>
          <w:tcPr>
            <w:tcW w:type="dxa" w:w="5083"/>
            <w:vAlign w:val="center"/>
          </w:tcPr>
          <w:p>
            <w:pPr>
              <w:spacing w:after="20"/>
            </w:pPr>
            <w:r>
              <w:rPr>
                <w:rFonts w:ascii="Aptos" w:hAnsi="Aptos"/>
                <w:b w:val="0"/>
                <w:sz w:val="16"/>
              </w:rPr>
              <w:t>Excel .xlsx only; reject macro-enabled workbooks and unsupported formats.</w:t>
            </w:r>
          </w:p>
        </w:tc>
      </w:tr>
      <w:tr>
        <w:tc>
          <w:tcPr>
            <w:tcW w:type="dxa" w:w="5083"/>
            <w:vAlign w:val="center"/>
            <w:shd w:fill="F3F6F9"/>
          </w:tcPr>
          <w:p>
            <w:pPr>
              <w:spacing w:after="20"/>
            </w:pPr>
            <w:r>
              <w:rPr>
                <w:rFonts w:ascii="Aptos" w:hAnsi="Aptos"/>
                <w:b w:val="0"/>
                <w:sz w:val="16"/>
              </w:rPr>
              <w:t>Sheet</w:t>
            </w:r>
          </w:p>
        </w:tc>
        <w:tc>
          <w:tcPr>
            <w:tcW w:type="dxa" w:w="5083"/>
            <w:vAlign w:val="center"/>
            <w:shd w:fill="F3F6F9"/>
          </w:tcPr>
          <w:p>
            <w:pPr>
              <w:spacing w:after="20"/>
            </w:pPr>
            <w:r>
              <w:rPr>
                <w:rFonts w:ascii="Aptos" w:hAnsi="Aptos"/>
                <w:b w:val="0"/>
                <w:sz w:val="16"/>
              </w:rPr>
              <w:t>Exactly one required sheet named RESULT; extra sheets may be rejected to keep the import deterministic.</w:t>
            </w:r>
          </w:p>
        </w:tc>
      </w:tr>
      <w:tr>
        <w:tc>
          <w:tcPr>
            <w:tcW w:type="dxa" w:w="5083"/>
            <w:vAlign w:val="center"/>
          </w:tcPr>
          <w:p>
            <w:pPr>
              <w:spacing w:after="20"/>
            </w:pPr>
            <w:r>
              <w:rPr>
                <w:rFonts w:ascii="Aptos" w:hAnsi="Aptos"/>
                <w:b w:val="0"/>
                <w:sz w:val="16"/>
              </w:rPr>
              <w:t>Session</w:t>
            </w:r>
          </w:p>
        </w:tc>
        <w:tc>
          <w:tcPr>
            <w:tcW w:type="dxa" w:w="5083"/>
            <w:vAlign w:val="center"/>
          </w:tcPr>
          <w:p>
            <w:pPr>
              <w:spacing w:after="20"/>
            </w:pPr>
            <w:r>
              <w:rPr>
                <w:rFonts w:ascii="Aptos" w:hAnsi="Aptos"/>
                <w:b w:val="0"/>
                <w:sz w:val="16"/>
              </w:rPr>
              <w:t>testSessionId is selected as upload metadata, not repeated in every row.</w:t>
            </w:r>
          </w:p>
        </w:tc>
      </w:tr>
      <w:tr>
        <w:tc>
          <w:tcPr>
            <w:tcW w:type="dxa" w:w="5083"/>
            <w:vAlign w:val="center"/>
            <w:shd w:fill="F3F6F9"/>
          </w:tcPr>
          <w:p>
            <w:pPr>
              <w:spacing w:after="20"/>
            </w:pPr>
            <w:r>
              <w:rPr>
                <w:rFonts w:ascii="Aptos" w:hAnsi="Aptos"/>
                <w:b w:val="0"/>
                <w:sz w:val="16"/>
              </w:rPr>
              <w:t>Row identity</w:t>
            </w:r>
          </w:p>
        </w:tc>
        <w:tc>
          <w:tcPr>
            <w:tcW w:type="dxa" w:w="5083"/>
            <w:vAlign w:val="center"/>
            <w:shd w:fill="F3F6F9"/>
          </w:tcPr>
          <w:p>
            <w:pPr>
              <w:spacing w:after="20"/>
            </w:pPr>
            <w:r>
              <w:rPr>
                <w:rFonts w:ascii="Aptos" w:hAnsi="Aptos"/>
                <w:b w:val="0"/>
                <w:sz w:val="16"/>
              </w:rPr>
              <w:t>One row per application_reference within the selected test session.</w:t>
            </w:r>
          </w:p>
        </w:tc>
      </w:tr>
      <w:tr>
        <w:tc>
          <w:tcPr>
            <w:tcW w:type="dxa" w:w="5083"/>
            <w:vAlign w:val="center"/>
          </w:tcPr>
          <w:p>
            <w:pPr>
              <w:spacing w:after="20"/>
            </w:pPr>
            <w:r>
              <w:rPr>
                <w:rFonts w:ascii="Aptos" w:hAnsi="Aptos"/>
                <w:b w:val="0"/>
                <w:sz w:val="16"/>
              </w:rPr>
              <w:t>Text handling</w:t>
            </w:r>
          </w:p>
        </w:tc>
        <w:tc>
          <w:tcPr>
            <w:tcW w:type="dxa" w:w="5083"/>
            <w:vAlign w:val="center"/>
          </w:tcPr>
          <w:p>
            <w:pPr>
              <w:spacing w:after="20"/>
            </w:pPr>
            <w:r>
              <w:rPr>
                <w:rFonts w:ascii="Aptos" w:hAnsi="Aptos"/>
                <w:b w:val="0"/>
                <w:sz w:val="16"/>
              </w:rPr>
              <w:t>Trim surrounding whitespace; preserve application_reference as text, including leading zeros.</w:t>
            </w:r>
          </w:p>
        </w:tc>
      </w:tr>
      <w:tr>
        <w:tc>
          <w:tcPr>
            <w:tcW w:type="dxa" w:w="5083"/>
            <w:vAlign w:val="center"/>
            <w:shd w:fill="F3F6F9"/>
          </w:tcPr>
          <w:p>
            <w:pPr>
              <w:spacing w:after="20"/>
            </w:pPr>
            <w:r>
              <w:rPr>
                <w:rFonts w:ascii="Aptos" w:hAnsi="Aptos"/>
                <w:b w:val="0"/>
                <w:sz w:val="16"/>
              </w:rPr>
              <w:t>Empty rows</w:t>
            </w:r>
          </w:p>
        </w:tc>
        <w:tc>
          <w:tcPr>
            <w:tcW w:type="dxa" w:w="5083"/>
            <w:vAlign w:val="center"/>
            <w:shd w:fill="F3F6F9"/>
          </w:tcPr>
          <w:p>
            <w:pPr>
              <w:spacing w:after="20"/>
            </w:pPr>
            <w:r>
              <w:rPr>
                <w:rFonts w:ascii="Aptos" w:hAnsi="Aptos"/>
                <w:b w:val="0"/>
                <w:sz w:val="16"/>
              </w:rPr>
              <w:t>Ignore fully blank trailing rows; reject a partially populated row.</w:t>
            </w:r>
          </w:p>
        </w:tc>
      </w:tr>
      <w:tr>
        <w:tc>
          <w:tcPr>
            <w:tcW w:type="dxa" w:w="5083"/>
            <w:vAlign w:val="center"/>
          </w:tcPr>
          <w:p>
            <w:pPr>
              <w:spacing w:after="20"/>
            </w:pPr>
            <w:r>
              <w:rPr>
                <w:rFonts w:ascii="Aptos" w:hAnsi="Aptos"/>
                <w:b w:val="0"/>
                <w:sz w:val="16"/>
              </w:rPr>
              <w:t>Maximum size/rows</w:t>
            </w:r>
          </w:p>
        </w:tc>
        <w:tc>
          <w:tcPr>
            <w:tcW w:type="dxa" w:w="5083"/>
            <w:vAlign w:val="center"/>
          </w:tcPr>
          <w:p>
            <w:pPr>
              <w:spacing w:after="20"/>
            </w:pPr>
            <w:r>
              <w:rPr>
                <w:rFonts w:ascii="Aptos" w:hAnsi="Aptos"/>
                <w:b w:val="0"/>
                <w:sz w:val="16"/>
              </w:rPr>
              <w:t>Set configurable server limits; document the deployed limits in Swagger and environment configuration.</w:t>
            </w:r>
          </w:p>
        </w:tc>
      </w:tr>
    </w:tbl>
    <w:p>
      <w:pPr>
        <w:spacing w:after="20"/>
      </w:pPr>
    </w:p>
    <w:p>
      <w:pPr>
        <w:pStyle w:val="Heading2"/>
      </w:pPr>
      <w:r>
        <w:t>4.2 Columns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Required</w:t>
            </w:r>
          </w:p>
        </w:tc>
        <w:tc>
          <w:tcPr>
            <w:tcW w:type="dxa" w:w="3389"/>
            <w:vAlign w:val="center"/>
            <w:shd w:fill="17365D"/>
          </w:tcPr>
          <w:p>
            <w:pPr>
              <w:spacing w:after="20"/>
            </w:pPr>
            <w:r>
              <w:rPr>
                <w:rFonts w:ascii="Aptos" w:hAnsi="Aptos"/>
                <w:b/>
                <w:color w:val="FFFFFF"/>
                <w:sz w:val="16"/>
              </w:rPr>
              <w:t>Rules</w:t>
            </w:r>
          </w:p>
        </w:tc>
      </w:tr>
      <w:tr>
        <w:tc>
          <w:tcPr>
            <w:tcW w:type="dxa" w:w="3389"/>
            <w:vAlign w:val="center"/>
          </w:tcPr>
          <w:p>
            <w:pPr>
              <w:spacing w:after="20"/>
            </w:pPr>
            <w:r>
              <w:rPr>
                <w:rFonts w:ascii="Aptos" w:hAnsi="Aptos"/>
                <w:b w:val="0"/>
                <w:sz w:val="16"/>
              </w:rPr>
              <w:t>application_reference</w:t>
            </w:r>
          </w:p>
        </w:tc>
        <w:tc>
          <w:tcPr>
            <w:tcW w:type="dxa" w:w="3389"/>
            <w:vAlign w:val="center"/>
          </w:tcPr>
          <w:p>
            <w:pPr>
              <w:spacing w:after="20"/>
            </w:pPr>
            <w:r>
              <w:rPr>
                <w:rFonts w:ascii="Aptos" w:hAnsi="Aptos"/>
                <w:b w:val="0"/>
                <w:sz w:val="16"/>
              </w:rPr>
              <w:t>Yes</w:t>
            </w:r>
          </w:p>
        </w:tc>
        <w:tc>
          <w:tcPr>
            <w:tcW w:type="dxa" w:w="3389"/>
            <w:vAlign w:val="center"/>
          </w:tcPr>
          <w:p>
            <w:pPr>
              <w:spacing w:after="20"/>
            </w:pPr>
            <w:r>
              <w:rPr>
                <w:rFonts w:ascii="Aptos" w:hAnsi="Aptos"/>
                <w:b w:val="0"/>
                <w:sz w:val="16"/>
              </w:rPr>
              <w:t>Existing F002 business reference; unique within the import and resolvable to one tenant application.</w:t>
            </w:r>
          </w:p>
        </w:tc>
      </w:tr>
      <w:tr>
        <w:tc>
          <w:tcPr>
            <w:tcW w:type="dxa" w:w="3389"/>
            <w:vAlign w:val="center"/>
            <w:shd w:fill="F3F6F9"/>
          </w:tcPr>
          <w:p>
            <w:pPr>
              <w:spacing w:after="20"/>
            </w:pPr>
            <w:r>
              <w:rPr>
                <w:rFonts w:ascii="Aptos" w:hAnsi="Aptos"/>
                <w:b w:val="0"/>
                <w:sz w:val="16"/>
              </w:rPr>
              <w:t>test_score</w:t>
            </w:r>
          </w:p>
        </w:tc>
        <w:tc>
          <w:tcPr>
            <w:tcW w:type="dxa" w:w="3389"/>
            <w:vAlign w:val="center"/>
            <w:shd w:fill="F3F6F9"/>
          </w:tcPr>
          <w:p>
            <w:pPr>
              <w:spacing w:after="20"/>
            </w:pPr>
            <w:r>
              <w:rPr>
                <w:rFonts w:ascii="Aptos" w:hAnsi="Aptos"/>
                <w:b w:val="0"/>
                <w:sz w:val="16"/>
              </w:rPr>
              <w:t>Yes</w:t>
            </w:r>
          </w:p>
        </w:tc>
        <w:tc>
          <w:tcPr>
            <w:tcW w:type="dxa" w:w="3389"/>
            <w:vAlign w:val="center"/>
            <w:shd w:fill="F3F6F9"/>
          </w:tcPr>
          <w:p>
            <w:pPr>
              <w:spacing w:after="20"/>
            </w:pPr>
            <w:r>
              <w:rPr>
                <w:rFonts w:ascii="Aptos" w:hAnsi="Aptos"/>
                <w:b w:val="0"/>
                <w:sz w:val="16"/>
              </w:rPr>
              <w:t>Decimal numeric value, &gt;= 0 and &lt;= total_marks.</w:t>
            </w:r>
          </w:p>
        </w:tc>
      </w:tr>
      <w:tr>
        <w:tc>
          <w:tcPr>
            <w:tcW w:type="dxa" w:w="3389"/>
            <w:vAlign w:val="center"/>
          </w:tcPr>
          <w:p>
            <w:pPr>
              <w:spacing w:after="20"/>
            </w:pPr>
            <w:r>
              <w:rPr>
                <w:rFonts w:ascii="Aptos" w:hAnsi="Aptos"/>
                <w:b w:val="0"/>
                <w:sz w:val="16"/>
              </w:rPr>
              <w:t>total_marks</w:t>
            </w:r>
          </w:p>
        </w:tc>
        <w:tc>
          <w:tcPr>
            <w:tcW w:type="dxa" w:w="3389"/>
            <w:vAlign w:val="center"/>
          </w:tcPr>
          <w:p>
            <w:pPr>
              <w:spacing w:after="20"/>
            </w:pPr>
            <w:r>
              <w:rPr>
                <w:rFonts w:ascii="Aptos" w:hAnsi="Aptos"/>
                <w:b w:val="0"/>
                <w:sz w:val="16"/>
              </w:rPr>
              <w:t>Yes</w:t>
            </w:r>
          </w:p>
        </w:tc>
        <w:tc>
          <w:tcPr>
            <w:tcW w:type="dxa" w:w="3389"/>
            <w:vAlign w:val="center"/>
          </w:tcPr>
          <w:p>
            <w:pPr>
              <w:spacing w:after="20"/>
            </w:pPr>
            <w:r>
              <w:rPr>
                <w:rFonts w:ascii="Aptos" w:hAnsi="Aptos"/>
                <w:b w:val="0"/>
                <w:sz w:val="16"/>
              </w:rPr>
              <w:t>Positive decimal; consistent for all rows in one session/import unless the institution explicitly configures otherwise.</w:t>
            </w:r>
          </w:p>
        </w:tc>
      </w:tr>
      <w:tr>
        <w:tc>
          <w:tcPr>
            <w:tcW w:type="dxa" w:w="3389"/>
            <w:vAlign w:val="center"/>
            <w:shd w:fill="F3F6F9"/>
          </w:tcPr>
          <w:p>
            <w:pPr>
              <w:spacing w:after="20"/>
            </w:pPr>
            <w:r>
              <w:rPr>
                <w:rFonts w:ascii="Aptos" w:hAnsi="Aptos"/>
                <w:b w:val="0"/>
                <w:sz w:val="16"/>
              </w:rPr>
              <w:t>result_status</w:t>
            </w:r>
          </w:p>
        </w:tc>
        <w:tc>
          <w:tcPr>
            <w:tcW w:type="dxa" w:w="3389"/>
            <w:vAlign w:val="center"/>
            <w:shd w:fill="F3F6F9"/>
          </w:tcPr>
          <w:p>
            <w:pPr>
              <w:spacing w:after="20"/>
            </w:pPr>
            <w:r>
              <w:rPr>
                <w:rFonts w:ascii="Aptos" w:hAnsi="Aptos"/>
                <w:b w:val="0"/>
                <w:sz w:val="16"/>
              </w:rPr>
              <w:t>Yes</w:t>
            </w:r>
          </w:p>
        </w:tc>
        <w:tc>
          <w:tcPr>
            <w:tcW w:type="dxa" w:w="3389"/>
            <w:vAlign w:val="center"/>
            <w:shd w:fill="F3F6F9"/>
          </w:tcPr>
          <w:p>
            <w:pPr>
              <w:spacing w:after="20"/>
            </w:pPr>
            <w:r>
              <w:rPr>
                <w:rFonts w:ascii="Aptos" w:hAnsi="Aptos"/>
                <w:b w:val="0"/>
                <w:sz w:val="16"/>
              </w:rPr>
              <w:t>PASS or FAIL from the official source file until an approved pass rule is configured.</w:t>
            </w:r>
          </w:p>
        </w:tc>
      </w:tr>
      <w:tr>
        <w:tc>
          <w:tcPr>
            <w:tcW w:type="dxa" w:w="3389"/>
            <w:vAlign w:val="center"/>
          </w:tcPr>
          <w:p>
            <w:pPr>
              <w:spacing w:after="20"/>
            </w:pPr>
            <w:r>
              <w:rPr>
                <w:rFonts w:ascii="Aptos" w:hAnsi="Aptos"/>
                <w:b w:val="0"/>
                <w:sz w:val="16"/>
              </w:rPr>
              <w:t>remarks</w:t>
            </w:r>
          </w:p>
        </w:tc>
        <w:tc>
          <w:tcPr>
            <w:tcW w:type="dxa" w:w="3389"/>
            <w:vAlign w:val="center"/>
          </w:tcPr>
          <w:p>
            <w:pPr>
              <w:spacing w:after="20"/>
            </w:pPr>
            <w:r>
              <w:rPr>
                <w:rFonts w:ascii="Aptos" w:hAnsi="Aptos"/>
                <w:b w:val="0"/>
                <w:sz w:val="16"/>
              </w:rPr>
              <w:t>No</w:t>
            </w:r>
          </w:p>
        </w:tc>
        <w:tc>
          <w:tcPr>
            <w:tcW w:type="dxa" w:w="3389"/>
            <w:vAlign w:val="center"/>
          </w:tcPr>
          <w:p>
            <w:pPr>
              <w:spacing w:after="20"/>
            </w:pPr>
            <w:r>
              <w:rPr>
                <w:rFonts w:ascii="Aptos" w:hAnsi="Aptos"/>
                <w:b w:val="0"/>
                <w:sz w:val="16"/>
              </w:rPr>
              <w:t>Plain text, length limited; never used as a decision rule.</w:t>
            </w:r>
          </w:p>
        </w:tc>
      </w:tr>
    </w:tbl>
    <w:p>
      <w:pPr>
        <w:spacing w:after="20"/>
      </w:pPr>
    </w:p>
    <w:p>
      <w:r>
        <w:t>Do not ask the bank/institution spreadsheet to expose internal UUIDs or programme-offering IDs. F007 resolves application_reference to the tenant-scoped application and then reads its selected preferences and eligibility data. Do not accept applicant-entered test scores through applicant APIs.</w:t>
      </w:r>
    </w:p>
    <w:p>
      <w:pPr>
        <w:pStyle w:val="Heading2"/>
      </w:pPr>
      <w:r>
        <w:t>4.3 Percentage</w:t>
      </w:r>
    </w:p>
    <w:p>
      <w:r>
        <w:t>F007 calculates percentage as ROUND_HALF_UP(test_score / total_marks × 100, 2). The computed value is stored for reproducibility and ranking. A supplied percentage column is not accepted in v1.2, avoiding inconsistent calculation and rounding across source files.</w:t>
      </w:r>
    </w:p>
    <w:p>
      <w:pPr>
        <w:pStyle w:val="Heading1"/>
      </w:pPr>
      <w:r>
        <w:t>5. Validation and import transaction</w:t>
      </w:r>
    </w:p>
    <w:p>
      <w:pPr>
        <w:pStyle w:val="Heading2"/>
      </w:pPr>
      <w:r>
        <w:t>5.1 File-level checks</w:t>
      </w:r>
    </w:p>
    <w:p>
      <w:pPr>
        <w:pStyle w:val="ListBullet"/>
      </w:pPr>
      <w:r>
        <w:t>Authenticated Admissions Admin, tenant access, upload size, MIME/signature, valid .xlsx package, required sheet and exact required headers.</w:t>
      </w:r>
    </w:p>
    <w:p>
      <w:pPr>
        <w:pStyle w:val="ListBullet"/>
      </w:pPr>
      <w:r>
        <w:t>Session exists in the same tenant, is published/eligible for result import, and is not administratively locked.</w:t>
      </w:r>
    </w:p>
    <w:p>
      <w:pPr>
        <w:pStyle w:val="ListBullet"/>
      </w:pPr>
      <w:r>
        <w:t>Workbook has at least one data row and does not exceed configured limits.</w:t>
      </w:r>
    </w:p>
    <w:p>
      <w:pPr>
        <w:pStyle w:val="ListBullet"/>
      </w:pPr>
      <w:r>
        <w:t>No duplicate application_reference within the workbook.</w:t>
      </w:r>
    </w:p>
    <w:p>
      <w:pPr>
        <w:pStyle w:val="Heading2"/>
      </w:pPr>
      <w:r>
        <w:t>5.2 Row-level checks</w:t>
      </w:r>
    </w:p>
    <w:p>
      <w:pPr>
        <w:pStyle w:val="ListBullet"/>
      </w:pPr>
      <w:r>
        <w:t>Reference resolves to exactly one application in the same tenant and intake as the session.</w:t>
      </w:r>
    </w:p>
    <w:p>
      <w:pPr>
        <w:pStyle w:val="ListBullet"/>
      </w:pPr>
      <w:r>
        <w:t>Application is approved/eligible under F005; exceptions require a separate audited override.</w:t>
      </w:r>
    </w:p>
    <w:p>
      <w:pPr>
        <w:pStyle w:val="ListBullet"/>
      </w:pPr>
      <w:r>
        <w:t>Application has an attendance record for this session with PRESENT and identity_verified=true; absent/unverified applicants cannot receive an ordinary imported result.</w:t>
      </w:r>
    </w:p>
    <w:p>
      <w:pPr>
        <w:pStyle w:val="ListBullet"/>
      </w:pPr>
      <w:r>
        <w:t>Applicant selected a programme preference whose programme offering is associated with the session and is valid for the intake.</w:t>
      </w:r>
    </w:p>
    <w:p>
      <w:pPr>
        <w:pStyle w:val="ListBullet"/>
      </w:pPr>
      <w:r>
        <w:t>Score and total are numeric, finite, non-negative, total &gt; 0, score &lt;= total; result_status is PASS or FAIL.</w:t>
      </w:r>
    </w:p>
    <w:p>
      <w:pPr>
        <w:pStyle w:val="ListBullet"/>
      </w:pPr>
      <w:r>
        <w:t>No conflicting confirmed result exists for the same tenant, applicant, and test session unless an approved replacement workflow is used.</w:t>
      </w:r>
    </w:p>
    <w:p>
      <w:pPr>
        <w:pStyle w:val="Heading2"/>
      </w:pPr>
      <w:r>
        <w:t>5.3 Preview and confirmation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Import state</w:t>
            </w:r>
          </w:p>
        </w:tc>
        <w:tc>
          <w:tcPr>
            <w:tcW w:type="dxa" w:w="5083"/>
            <w:vAlign w:val="center"/>
            <w:shd w:fill="17365D"/>
          </w:tcPr>
          <w:p>
            <w:pPr>
              <w:spacing w:after="20"/>
            </w:pPr>
            <w:r>
              <w:rPr>
                <w:rFonts w:ascii="Aptos" w:hAnsi="Aptos"/>
                <w:b/>
                <w:color w:val="FFFFFF"/>
                <w:sz w:val="16"/>
              </w:rPr>
              <w:t>Meaning</w:t>
            </w:r>
          </w:p>
        </w:tc>
      </w:tr>
      <w:tr>
        <w:tc>
          <w:tcPr>
            <w:tcW w:type="dxa" w:w="5083"/>
            <w:vAlign w:val="center"/>
          </w:tcPr>
          <w:p>
            <w:pPr>
              <w:spacing w:after="20"/>
            </w:pPr>
            <w:r>
              <w:rPr>
                <w:rFonts w:ascii="Aptos" w:hAnsi="Aptos"/>
                <w:b w:val="0"/>
                <w:sz w:val="16"/>
              </w:rPr>
              <w:t>VALIDATING</w:t>
            </w:r>
          </w:p>
        </w:tc>
        <w:tc>
          <w:tcPr>
            <w:tcW w:type="dxa" w:w="5083"/>
            <w:vAlign w:val="center"/>
          </w:tcPr>
          <w:p>
            <w:pPr>
              <w:spacing w:after="20"/>
            </w:pPr>
            <w:r>
              <w:rPr>
                <w:rFonts w:ascii="Aptos" w:hAnsi="Aptos"/>
                <w:b w:val="0"/>
                <w:sz w:val="16"/>
              </w:rPr>
              <w:t>File is being parsed and checked.</w:t>
            </w:r>
          </w:p>
        </w:tc>
      </w:tr>
      <w:tr>
        <w:tc>
          <w:tcPr>
            <w:tcW w:type="dxa" w:w="5083"/>
            <w:vAlign w:val="center"/>
            <w:shd w:fill="F3F6F9"/>
          </w:tcPr>
          <w:p>
            <w:pPr>
              <w:spacing w:after="20"/>
            </w:pPr>
            <w:r>
              <w:rPr>
                <w:rFonts w:ascii="Aptos" w:hAnsi="Aptos"/>
                <w:b w:val="0"/>
                <w:sz w:val="16"/>
              </w:rPr>
              <w:t>READY_TO_CONFIRM</w:t>
            </w:r>
          </w:p>
        </w:tc>
        <w:tc>
          <w:tcPr>
            <w:tcW w:type="dxa" w:w="5083"/>
            <w:vAlign w:val="center"/>
            <w:shd w:fill="F3F6F9"/>
          </w:tcPr>
          <w:p>
            <w:pPr>
              <w:spacing w:after="20"/>
            </w:pPr>
            <w:r>
              <w:rPr>
                <w:rFonts w:ascii="Aptos" w:hAnsi="Aptos"/>
                <w:b w:val="0"/>
                <w:sz w:val="16"/>
              </w:rPr>
              <w:t>All data rows passed validation; no official rows have yet been written.</w:t>
            </w:r>
          </w:p>
        </w:tc>
      </w:tr>
      <w:tr>
        <w:tc>
          <w:tcPr>
            <w:tcW w:type="dxa" w:w="5083"/>
            <w:vAlign w:val="center"/>
          </w:tcPr>
          <w:p>
            <w:pPr>
              <w:spacing w:after="20"/>
            </w:pPr>
            <w:r>
              <w:rPr>
                <w:rFonts w:ascii="Aptos" w:hAnsi="Aptos"/>
                <w:b w:val="0"/>
                <w:sz w:val="16"/>
              </w:rPr>
              <w:t>VALIDATION_FAILED</w:t>
            </w:r>
          </w:p>
        </w:tc>
        <w:tc>
          <w:tcPr>
            <w:tcW w:type="dxa" w:w="5083"/>
            <w:vAlign w:val="center"/>
          </w:tcPr>
          <w:p>
            <w:pPr>
              <w:spacing w:after="20"/>
            </w:pPr>
            <w:r>
              <w:rPr>
                <w:rFonts w:ascii="Aptos" w:hAnsi="Aptos"/>
                <w:b w:val="0"/>
                <w:sz w:val="16"/>
              </w:rPr>
              <w:t>One or more rows or file checks failed; confirmation is blocked.</w:t>
            </w:r>
          </w:p>
        </w:tc>
      </w:tr>
      <w:tr>
        <w:tc>
          <w:tcPr>
            <w:tcW w:type="dxa" w:w="5083"/>
            <w:vAlign w:val="center"/>
            <w:shd w:fill="F3F6F9"/>
          </w:tcPr>
          <w:p>
            <w:pPr>
              <w:spacing w:after="20"/>
            </w:pPr>
            <w:r>
              <w:rPr>
                <w:rFonts w:ascii="Aptos" w:hAnsi="Aptos"/>
                <w:b w:val="0"/>
                <w:sz w:val="16"/>
              </w:rPr>
              <w:t>CONFIRMED</w:t>
            </w:r>
          </w:p>
        </w:tc>
        <w:tc>
          <w:tcPr>
            <w:tcW w:type="dxa" w:w="5083"/>
            <w:vAlign w:val="center"/>
            <w:shd w:fill="F3F6F9"/>
          </w:tcPr>
          <w:p>
            <w:pPr>
              <w:spacing w:after="20"/>
            </w:pPr>
            <w:r>
              <w:rPr>
                <w:rFonts w:ascii="Aptos" w:hAnsi="Aptos"/>
                <w:b w:val="0"/>
                <w:sz w:val="16"/>
              </w:rPr>
              <w:t>All staged rows committed atomically.</w:t>
            </w:r>
          </w:p>
        </w:tc>
      </w:tr>
      <w:tr>
        <w:tc>
          <w:tcPr>
            <w:tcW w:type="dxa" w:w="5083"/>
            <w:vAlign w:val="center"/>
          </w:tcPr>
          <w:p>
            <w:pPr>
              <w:spacing w:after="20"/>
            </w:pPr>
            <w:r>
              <w:rPr>
                <w:rFonts w:ascii="Aptos" w:hAnsi="Aptos"/>
                <w:b w:val="0"/>
                <w:sz w:val="16"/>
              </w:rPr>
              <w:t>CANCELLED</w:t>
            </w:r>
          </w:p>
        </w:tc>
        <w:tc>
          <w:tcPr>
            <w:tcW w:type="dxa" w:w="5083"/>
            <w:vAlign w:val="center"/>
          </w:tcPr>
          <w:p>
            <w:pPr>
              <w:spacing w:after="20"/>
            </w:pPr>
            <w:r>
              <w:rPr>
                <w:rFonts w:ascii="Aptos" w:hAnsi="Aptos"/>
                <w:b w:val="0"/>
                <w:sz w:val="16"/>
              </w:rPr>
              <w:t>Admin cancelled an unconfirmed import.</w:t>
            </w:r>
          </w:p>
        </w:tc>
      </w:tr>
    </w:tbl>
    <w:p>
      <w:pPr>
        <w:spacing w:after="20"/>
      </w:pPr>
    </w:p>
    <w:p>
      <w:r>
        <w:t>A preview includes totals, sample/visible rows, normalized values and actionable row errors. Confirmation is one database transaction: lock the import, recheck eligibility/duplicates, insert all result records, mark every row committed and import CONFIRMED. Any failure rolls back every result write. Confirmation is idempotent: repeating it returns the existing confirmed import without duplicate scores.</w:t>
      </w:r>
    </w:p>
    <w:p>
      <w:pPr>
        <w:pStyle w:val="Heading2"/>
      </w:pPr>
      <w:r>
        <w:t>5.4 Correction/replacement</w:t>
      </w:r>
    </w:p>
    <w:p>
      <w:r>
        <w:t>Never overwrite a confirmed score silently. A correction is a new import linked to the original result/import, with correction reason, requesting/approving admin, old and new values, timestamps, and affected merit-list versions. If a published list is affected, mark it SUPERSEDED only when a replacement list is approved/published according to institutional policy; preserve the original snapshot for audit.</w:t>
      </w:r>
    </w:p>
    <w:p>
      <w:pPr>
        <w:pStyle w:val="Heading1"/>
      </w:pPr>
      <w:r>
        <w:t>6. Eligibility and merit calculation</w:t>
      </w:r>
    </w:p>
    <w:p>
      <w:pPr>
        <w:pStyle w:val="Heading2"/>
      </w:pPr>
      <w:r>
        <w:t>6.1 Result eligibility</w:t>
      </w:r>
    </w:p>
    <w:p>
      <w:pPr>
        <w:pStyle w:val="ListBullet"/>
      </w:pPr>
      <w:r>
        <w:t>Use the application’s ordered preferences from F002. A score may be considered for every selected offering that is explicitly associated with the test session and for which the application satisfies current offering criteria.</w:t>
      </w:r>
    </w:p>
    <w:p>
      <w:pPr>
        <w:pStyle w:val="ListBullet"/>
      </w:pPr>
      <w:r>
        <w:t>Do not use only the first preference unless an institution-approved rule explicitly requires it. This allows a candidate to be considered for an eligible second preference when not eligible for a first preference.</w:t>
      </w:r>
    </w:p>
    <w:p>
      <w:pPr>
        <w:pStyle w:val="ListBullet"/>
      </w:pPr>
      <w:r>
        <w:t>The same test result may feed separate offering merit lists; result storage is canonical per applicant/session, not duplicated per offering.</w:t>
      </w:r>
    </w:p>
    <w:p>
      <w:pPr>
        <w:pStyle w:val="ListBullet"/>
      </w:pPr>
      <w:r>
        <w:t>F007 does not change the submitted preference order. A new offering selection must follow F002’s allowed edit window and audit behavior.</w:t>
      </w:r>
    </w:p>
    <w:p>
      <w:pPr>
        <w:pStyle w:val="Heading2"/>
      </w:pPr>
      <w:r>
        <w:t>6.2 Ranking and capacity</w:t>
      </w:r>
    </w:p>
    <w:p>
      <w:pPr>
        <w:pStyle w:val="ListNumber"/>
      </w:pPr>
      <w:r>
        <w:t>Generate one merit list for one programme offering and one test session. Verify the offering is in the session and intake, and application preference/criteria checks are satisfied.</w:t>
      </w:r>
    </w:p>
    <w:p>
      <w:pPr>
        <w:pStyle w:val="ListNumber"/>
      </w:pPr>
      <w:r>
        <w:t>Include only PASS results that satisfy the configured eligibility requirements. FAIL candidates have no ranked seat position and may appear as rejected/non-qualifying items if configured for the list view.</w:t>
      </w:r>
    </w:p>
    <w:p>
      <w:pPr>
        <w:pStyle w:val="ListNumber"/>
      </w:pPr>
      <w:r>
        <w:t>Sort by computed percentage descending. Use competition ranking: 1, 2, 2, 4. Do not invent an undisclosed secondary tie-break.</w:t>
      </w:r>
    </w:p>
    <w:p>
      <w:pPr>
        <w:pStyle w:val="ListNumber"/>
      </w:pPr>
      <w:r>
        <w:t>Take the offering’s positive seat_capacity snapshot. Candidates strictly within capacity are SELECTED; the remainder are WAITING.</w:t>
      </w:r>
    </w:p>
    <w:p>
      <w:pPr>
        <w:pStyle w:val="ListNumber"/>
      </w:pPr>
      <w:r>
        <w:t>If an equal-score group crosses the capacity boundary, mark the boundary group REVIEW_REQUIRED and block approval/publication until an authorized, documented decision is recorded. Do not exceed capacity or silently discriminate within a tie.</w:t>
      </w:r>
    </w:p>
    <w:p>
      <w:pPr>
        <w:pStyle w:val="ListNumber"/>
      </w:pPr>
      <w:r>
        <w:t>Save rank, score snapshot, preference order snapshot, capacity snapshot, eligibility outcome and list version so later source changes do not rewrite history.</w:t>
      </w:r>
    </w:p>
    <w:p>
      <w:r>
        <w:t>F000 dependency: programme_offerings must have a positive integer seat_capacity, editable under appropriate workflow and required before offering publication / merit generation. If absent or zero, reject generation with OFFERING_CAPACITY_NOT_CONFIGURED.</w:t>
      </w:r>
    </w:p>
    <w:p>
      <w:pPr>
        <w:pStyle w:val="Heading2"/>
      </w:pPr>
      <w:r>
        <w:t>6.3 Multiple applications/offers</w:t>
      </w:r>
    </w:p>
    <w:p>
      <w:r>
        <w:t>Merit position is per offering. Being selected on more than one list is allowed until F008 offer acceptance rules decide the committed seat. F007 must not auto-withdraw an applicant from other lists unless the institution explicitly approves a cross-offer policy and F008 coordinates the transaction.</w:t>
      </w:r>
    </w:p>
    <w:p>
      <w:pPr>
        <w:pStyle w:val="Heading1"/>
      </w:pPr>
      <w:r>
        <w:t>7. Statuses and audit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Entity</w:t>
            </w:r>
          </w:p>
        </w:tc>
        <w:tc>
          <w:tcPr>
            <w:tcW w:type="dxa" w:w="5083"/>
            <w:vAlign w:val="center"/>
            <w:shd w:fill="17365D"/>
          </w:tcPr>
          <w:p>
            <w:pPr>
              <w:spacing w:after="20"/>
            </w:pPr>
            <w:r>
              <w:rPr>
                <w:rFonts w:ascii="Aptos" w:hAnsi="Aptos"/>
                <w:b/>
                <w:color w:val="FFFFFF"/>
                <w:sz w:val="16"/>
              </w:rPr>
              <w:t>Status values</w:t>
            </w:r>
          </w:p>
        </w:tc>
      </w:tr>
      <w:tr>
        <w:tc>
          <w:tcPr>
            <w:tcW w:type="dxa" w:w="5083"/>
            <w:vAlign w:val="center"/>
          </w:tcPr>
          <w:p>
            <w:pPr>
              <w:spacing w:after="20"/>
            </w:pPr>
            <w:r>
              <w:rPr>
                <w:rFonts w:ascii="Aptos" w:hAnsi="Aptos"/>
                <w:b w:val="0"/>
                <w:sz w:val="16"/>
              </w:rPr>
              <w:t>Import</w:t>
            </w:r>
          </w:p>
        </w:tc>
        <w:tc>
          <w:tcPr>
            <w:tcW w:type="dxa" w:w="5083"/>
            <w:vAlign w:val="center"/>
          </w:tcPr>
          <w:p>
            <w:pPr>
              <w:spacing w:after="20"/>
            </w:pPr>
            <w:r>
              <w:rPr>
                <w:rFonts w:ascii="Aptos" w:hAnsi="Aptos"/>
                <w:b w:val="0"/>
                <w:sz w:val="16"/>
              </w:rPr>
              <w:t>VALIDATING, READY_TO_CONFIRM, VALIDATION_FAILED, CONFIRMED, CANCELLED</w:t>
            </w:r>
          </w:p>
        </w:tc>
      </w:tr>
      <w:tr>
        <w:tc>
          <w:tcPr>
            <w:tcW w:type="dxa" w:w="5083"/>
            <w:vAlign w:val="center"/>
            <w:shd w:fill="F3F6F9"/>
          </w:tcPr>
          <w:p>
            <w:pPr>
              <w:spacing w:after="20"/>
            </w:pPr>
            <w:r>
              <w:rPr>
                <w:rFonts w:ascii="Aptos" w:hAnsi="Aptos"/>
                <w:b w:val="0"/>
                <w:sz w:val="16"/>
              </w:rPr>
              <w:t>Import row</w:t>
            </w:r>
          </w:p>
        </w:tc>
        <w:tc>
          <w:tcPr>
            <w:tcW w:type="dxa" w:w="5083"/>
            <w:vAlign w:val="center"/>
            <w:shd w:fill="F3F6F9"/>
          </w:tcPr>
          <w:p>
            <w:pPr>
              <w:spacing w:after="20"/>
            </w:pPr>
            <w:r>
              <w:rPr>
                <w:rFonts w:ascii="Aptos" w:hAnsi="Aptos"/>
                <w:b w:val="0"/>
                <w:sz w:val="16"/>
              </w:rPr>
              <w:t>VALID, INVALID, COMMITTED</w:t>
            </w:r>
          </w:p>
        </w:tc>
      </w:tr>
      <w:tr>
        <w:tc>
          <w:tcPr>
            <w:tcW w:type="dxa" w:w="5083"/>
            <w:vAlign w:val="center"/>
          </w:tcPr>
          <w:p>
            <w:pPr>
              <w:spacing w:after="20"/>
            </w:pPr>
            <w:r>
              <w:rPr>
                <w:rFonts w:ascii="Aptos" w:hAnsi="Aptos"/>
                <w:b w:val="0"/>
                <w:sz w:val="16"/>
              </w:rPr>
              <w:t>Result</w:t>
            </w:r>
          </w:p>
        </w:tc>
        <w:tc>
          <w:tcPr>
            <w:tcW w:type="dxa" w:w="5083"/>
            <w:vAlign w:val="center"/>
          </w:tcPr>
          <w:p>
            <w:pPr>
              <w:spacing w:after="20"/>
            </w:pPr>
            <w:r>
              <w:rPr>
                <w:rFonts w:ascii="Aptos" w:hAnsi="Aptos"/>
                <w:b w:val="0"/>
                <w:sz w:val="16"/>
              </w:rPr>
              <w:t>Official source result; retain PASS/FAIL and computed percentage; corrections are separately audited.</w:t>
            </w:r>
          </w:p>
        </w:tc>
      </w:tr>
      <w:tr>
        <w:tc>
          <w:tcPr>
            <w:tcW w:type="dxa" w:w="5083"/>
            <w:vAlign w:val="center"/>
            <w:shd w:fill="F3F6F9"/>
          </w:tcPr>
          <w:p>
            <w:pPr>
              <w:spacing w:after="20"/>
            </w:pPr>
            <w:r>
              <w:rPr>
                <w:rFonts w:ascii="Aptos" w:hAnsi="Aptos"/>
                <w:b w:val="0"/>
                <w:sz w:val="16"/>
              </w:rPr>
              <w:t>Merit list</w:t>
            </w:r>
          </w:p>
        </w:tc>
        <w:tc>
          <w:tcPr>
            <w:tcW w:type="dxa" w:w="5083"/>
            <w:vAlign w:val="center"/>
            <w:shd w:fill="F3F6F9"/>
          </w:tcPr>
          <w:p>
            <w:pPr>
              <w:spacing w:after="20"/>
            </w:pPr>
            <w:r>
              <w:rPr>
                <w:rFonts w:ascii="Aptos" w:hAnsi="Aptos"/>
                <w:b w:val="0"/>
                <w:sz w:val="16"/>
              </w:rPr>
              <w:t>DRAFT, APPROVED, PUBLISHED, SUPERSEDED, CANCELLED</w:t>
            </w:r>
          </w:p>
        </w:tc>
      </w:tr>
      <w:tr>
        <w:tc>
          <w:tcPr>
            <w:tcW w:type="dxa" w:w="5083"/>
            <w:vAlign w:val="center"/>
          </w:tcPr>
          <w:p>
            <w:pPr>
              <w:spacing w:after="20"/>
            </w:pPr>
            <w:r>
              <w:rPr>
                <w:rFonts w:ascii="Aptos" w:hAnsi="Aptos"/>
                <w:b w:val="0"/>
                <w:sz w:val="16"/>
              </w:rPr>
              <w:t>Merit-list item</w:t>
            </w:r>
          </w:p>
        </w:tc>
        <w:tc>
          <w:tcPr>
            <w:tcW w:type="dxa" w:w="5083"/>
            <w:vAlign w:val="center"/>
          </w:tcPr>
          <w:p>
            <w:pPr>
              <w:spacing w:after="20"/>
            </w:pPr>
            <w:r>
              <w:rPr>
                <w:rFonts w:ascii="Aptos" w:hAnsi="Aptos"/>
                <w:b w:val="0"/>
                <w:sz w:val="16"/>
              </w:rPr>
              <w:t>SELECTED, WAITING, REJECTED, REVIEW_REQUIRED</w:t>
            </w:r>
          </w:p>
        </w:tc>
      </w:tr>
    </w:tbl>
    <w:p>
      <w:pPr>
        <w:spacing w:after="20"/>
      </w:pPr>
    </w:p>
    <w:p>
      <w:r>
        <w:t>Audit fields use UUIDs for internal entity, tenant, creator/updater/approver/publisher; UTC timestamps; reason and source import references. Never use string role names as user IDs. Keep source filename and a cryptographic content hash for provenance; apply retention policy to original uploads.</w:t>
      </w:r>
    </w:p>
    <w:p>
      <w:pPr>
        <w:pStyle w:val="Heading1"/>
      </w:pPr>
      <w:r>
        <w:t>8. Data model</w:t>
      </w:r>
    </w:p>
    <w:p>
      <w:r>
        <w:t>All table and column names below use snake_case. Follow the project convention: do not prefix tables with admissions_. All primary keys and tenant/user/application/session/offering references are UUID. Use foreign keys where the referenced table belongs to this service/database; document cross-module references where separate ownership prevents an FK.</w:t>
      </w:r>
    </w:p>
    <w:p>
      <w:pPr>
        <w:pStyle w:val="Heading2"/>
      </w:pPr>
      <w:r>
        <w:t>8.1 entry_test_result_imports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Type</w:t>
            </w:r>
          </w:p>
        </w:tc>
        <w:tc>
          <w:tcPr>
            <w:tcW w:type="dxa" w:w="3389"/>
            <w:vAlign w:val="center"/>
            <w:shd w:fill="17365D"/>
          </w:tcPr>
          <w:p>
            <w:pPr>
              <w:spacing w:after="20"/>
            </w:pPr>
            <w:r>
              <w:rPr>
                <w:rFonts w:ascii="Aptos" w:hAnsi="Aptos"/>
                <w:b/>
                <w:color w:val="FFFFFF"/>
                <w:sz w:val="16"/>
              </w:rPr>
              <w:t>Notes</w:t>
            </w:r>
          </w:p>
        </w:tc>
      </w:tr>
      <w:tr>
        <w:tc>
          <w:tcPr>
            <w:tcW w:type="dxa" w:w="3389"/>
            <w:vAlign w:val="center"/>
          </w:tcPr>
          <w:p>
            <w:pPr>
              <w:spacing w:after="20"/>
            </w:pPr>
            <w:r>
              <w:rPr>
                <w:rFonts w:ascii="Aptos" w:hAnsi="Aptos"/>
                <w:b w:val="0"/>
                <w:sz w:val="16"/>
              </w:rPr>
              <w:t>id</w:t>
            </w:r>
          </w:p>
        </w:tc>
        <w:tc>
          <w:tcPr>
            <w:tcW w:type="dxa" w:w="3389"/>
            <w:vAlign w:val="center"/>
          </w:tcPr>
          <w:p>
            <w:pPr>
              <w:spacing w:after="20"/>
            </w:pPr>
            <w:r>
              <w:rPr>
                <w:rFonts w:ascii="Aptos" w:hAnsi="Aptos"/>
                <w:b w:val="0"/>
                <w:sz w:val="16"/>
              </w:rPr>
              <w:t>UUID PK</w:t>
            </w:r>
          </w:p>
        </w:tc>
        <w:tc>
          <w:tcPr>
            <w:tcW w:type="dxa" w:w="3389"/>
            <w:vAlign w:val="center"/>
          </w:tcPr>
          <w:p>
            <w:pPr>
              <w:spacing w:after="20"/>
            </w:pPr>
            <w:r>
              <w:rPr>
                <w:rFonts w:ascii="Aptos" w:hAnsi="Aptos"/>
                <w:b w:val="0"/>
                <w:sz w:val="16"/>
              </w:rPr>
              <w:t>Import identifier.</w:t>
            </w:r>
          </w:p>
        </w:tc>
      </w:tr>
      <w:tr>
        <w:tc>
          <w:tcPr>
            <w:tcW w:type="dxa" w:w="3389"/>
            <w:vAlign w:val="center"/>
            <w:shd w:fill="F3F6F9"/>
          </w:tcPr>
          <w:p>
            <w:pPr>
              <w:spacing w:after="20"/>
            </w:pPr>
            <w:r>
              <w:rPr>
                <w:rFonts w:ascii="Aptos" w:hAnsi="Aptos"/>
                <w:b w:val="0"/>
                <w:sz w:val="16"/>
              </w:rPr>
              <w:t>tenant_id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Required tenant scope.</w:t>
            </w:r>
          </w:p>
        </w:tc>
      </w:tr>
      <w:tr>
        <w:tc>
          <w:tcPr>
            <w:tcW w:type="dxa" w:w="3389"/>
            <w:vAlign w:val="center"/>
          </w:tcPr>
          <w:p>
            <w:pPr>
              <w:spacing w:after="20"/>
            </w:pPr>
            <w:r>
              <w:rPr>
                <w:rFonts w:ascii="Aptos" w:hAnsi="Aptos"/>
                <w:b w:val="0"/>
                <w:sz w:val="16"/>
              </w:rPr>
              <w:t>test_session_id</w:t>
            </w:r>
          </w:p>
        </w:tc>
        <w:tc>
          <w:tcPr>
            <w:tcW w:type="dxa" w:w="3389"/>
            <w:vAlign w:val="center"/>
          </w:tcPr>
          <w:p>
            <w:pPr>
              <w:spacing w:after="20"/>
            </w:pPr>
            <w:r>
              <w:rPr>
                <w:rFonts w:ascii="Aptos" w:hAnsi="Aptos"/>
                <w:b w:val="0"/>
                <w:sz w:val="16"/>
              </w:rPr>
              <w:t>UUID</w:t>
            </w:r>
          </w:p>
        </w:tc>
        <w:tc>
          <w:tcPr>
            <w:tcW w:type="dxa" w:w="3389"/>
            <w:vAlign w:val="center"/>
          </w:tcPr>
          <w:p>
            <w:pPr>
              <w:spacing w:after="20"/>
            </w:pPr>
            <w:r>
              <w:rPr>
                <w:rFonts w:ascii="Aptos" w:hAnsi="Aptos"/>
                <w:b w:val="0"/>
                <w:sz w:val="16"/>
              </w:rPr>
              <w:t>F006 session reference.</w:t>
            </w:r>
          </w:p>
        </w:tc>
      </w:tr>
      <w:tr>
        <w:tc>
          <w:tcPr>
            <w:tcW w:type="dxa" w:w="3389"/>
            <w:vAlign w:val="center"/>
            <w:shd w:fill="F3F6F9"/>
          </w:tcPr>
          <w:p>
            <w:pPr>
              <w:spacing w:after="20"/>
            </w:pPr>
            <w:r>
              <w:rPr>
                <w:rFonts w:ascii="Aptos" w:hAnsi="Aptos"/>
                <w:b w:val="0"/>
                <w:sz w:val="16"/>
              </w:rPr>
              <w:t>source_file_name</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Original basename; sanitize.</w:t>
            </w:r>
          </w:p>
        </w:tc>
      </w:tr>
      <w:tr>
        <w:tc>
          <w:tcPr>
            <w:tcW w:type="dxa" w:w="3389"/>
            <w:vAlign w:val="center"/>
          </w:tcPr>
          <w:p>
            <w:pPr>
              <w:spacing w:after="20"/>
            </w:pPr>
            <w:r>
              <w:rPr>
                <w:rFonts w:ascii="Aptos" w:hAnsi="Aptos"/>
                <w:b w:val="0"/>
                <w:sz w:val="16"/>
              </w:rPr>
              <w:t>source_file_sha256</w:t>
            </w:r>
          </w:p>
        </w:tc>
        <w:tc>
          <w:tcPr>
            <w:tcW w:type="dxa" w:w="3389"/>
            <w:vAlign w:val="center"/>
          </w:tcPr>
          <w:p>
            <w:pPr>
              <w:spacing w:after="20"/>
            </w:pPr>
            <w:r>
              <w:rPr>
                <w:rFonts w:ascii="Aptos" w:hAnsi="Aptos"/>
                <w:b w:val="0"/>
                <w:sz w:val="16"/>
              </w:rPr>
              <w:t>char(64)</w:t>
            </w:r>
          </w:p>
        </w:tc>
        <w:tc>
          <w:tcPr>
            <w:tcW w:type="dxa" w:w="3389"/>
            <w:vAlign w:val="center"/>
          </w:tcPr>
          <w:p>
            <w:pPr>
              <w:spacing w:after="20"/>
            </w:pPr>
            <w:r>
              <w:rPr>
                <w:rFonts w:ascii="Aptos" w:hAnsi="Aptos"/>
                <w:b w:val="0"/>
                <w:sz w:val="16"/>
              </w:rPr>
              <w:t>Content provenance and duplicate-upload detection.</w:t>
            </w:r>
          </w:p>
        </w:tc>
      </w:tr>
      <w:tr>
        <w:tc>
          <w:tcPr>
            <w:tcW w:type="dxa" w:w="3389"/>
            <w:vAlign w:val="center"/>
            <w:shd w:fill="F3F6F9"/>
          </w:tcPr>
          <w:p>
            <w:pPr>
              <w:spacing w:after="20"/>
            </w:pPr>
            <w:r>
              <w:rPr>
                <w:rFonts w:ascii="Aptos" w:hAnsi="Aptos"/>
                <w:b w:val="0"/>
                <w:sz w:val="16"/>
              </w:rPr>
              <w:t>status</w:t>
            </w:r>
          </w:p>
        </w:tc>
        <w:tc>
          <w:tcPr>
            <w:tcW w:type="dxa" w:w="3389"/>
            <w:vAlign w:val="center"/>
            <w:shd w:fill="F3F6F9"/>
          </w:tcPr>
          <w:p>
            <w:pPr>
              <w:spacing w:after="20"/>
            </w:pPr>
            <w:r>
              <w:rPr>
                <w:rFonts w:ascii="Aptos" w:hAnsi="Aptos"/>
                <w:b w:val="0"/>
                <w:sz w:val="16"/>
              </w:rPr>
              <w:t>varchar/enum</w:t>
            </w:r>
          </w:p>
        </w:tc>
        <w:tc>
          <w:tcPr>
            <w:tcW w:type="dxa" w:w="3389"/>
            <w:vAlign w:val="center"/>
            <w:shd w:fill="F3F6F9"/>
          </w:tcPr>
          <w:p>
            <w:pPr>
              <w:spacing w:after="20"/>
            </w:pPr>
            <w:r>
              <w:rPr>
                <w:rFonts w:ascii="Aptos" w:hAnsi="Aptos"/>
                <w:b w:val="0"/>
                <w:sz w:val="16"/>
              </w:rPr>
              <w:t>Import lifecycle above.</w:t>
            </w:r>
          </w:p>
        </w:tc>
      </w:tr>
      <w:tr>
        <w:tc>
          <w:tcPr>
            <w:tcW w:type="dxa" w:w="3389"/>
            <w:vAlign w:val="center"/>
          </w:tcPr>
          <w:p>
            <w:pPr>
              <w:spacing w:after="20"/>
            </w:pPr>
            <w:r>
              <w:rPr>
                <w:rFonts w:ascii="Aptos" w:hAnsi="Aptos"/>
                <w:b w:val="0"/>
                <w:sz w:val="16"/>
              </w:rPr>
              <w:t>row_count</w:t>
            </w:r>
          </w:p>
        </w:tc>
        <w:tc>
          <w:tcPr>
            <w:tcW w:type="dxa" w:w="3389"/>
            <w:vAlign w:val="center"/>
          </w:tcPr>
          <w:p>
            <w:pPr>
              <w:spacing w:after="20"/>
            </w:pPr>
            <w:r>
              <w:rPr>
                <w:rFonts w:ascii="Aptos" w:hAnsi="Aptos"/>
                <w:b w:val="0"/>
                <w:sz w:val="16"/>
              </w:rPr>
              <w:t>integer</w:t>
            </w:r>
          </w:p>
        </w:tc>
        <w:tc>
          <w:tcPr>
            <w:tcW w:type="dxa" w:w="3389"/>
            <w:vAlign w:val="center"/>
          </w:tcPr>
          <w:p>
            <w:pPr>
              <w:spacing w:after="20"/>
            </w:pPr>
            <w:r>
              <w:rPr>
                <w:rFonts w:ascii="Aptos" w:hAnsi="Aptos"/>
                <w:b w:val="0"/>
                <w:sz w:val="16"/>
              </w:rPr>
              <w:t>Parsed nonblank data rows.</w:t>
            </w:r>
          </w:p>
        </w:tc>
      </w:tr>
      <w:tr>
        <w:tc>
          <w:tcPr>
            <w:tcW w:type="dxa" w:w="3389"/>
            <w:vAlign w:val="center"/>
            <w:shd w:fill="F3F6F9"/>
          </w:tcPr>
          <w:p>
            <w:pPr>
              <w:spacing w:after="20"/>
            </w:pPr>
            <w:r>
              <w:rPr>
                <w:rFonts w:ascii="Aptos" w:hAnsi="Aptos"/>
                <w:b w:val="0"/>
                <w:sz w:val="16"/>
              </w:rPr>
              <w:t>valid_row_count</w:t>
            </w:r>
          </w:p>
        </w:tc>
        <w:tc>
          <w:tcPr>
            <w:tcW w:type="dxa" w:w="3389"/>
            <w:vAlign w:val="center"/>
            <w:shd w:fill="F3F6F9"/>
          </w:tcPr>
          <w:p>
            <w:pPr>
              <w:spacing w:after="20"/>
            </w:pPr>
            <w:r>
              <w:rPr>
                <w:rFonts w:ascii="Aptos" w:hAnsi="Aptos"/>
                <w:b w:val="0"/>
                <w:sz w:val="16"/>
              </w:rPr>
              <w:t>integer</w:t>
            </w:r>
          </w:p>
        </w:tc>
        <w:tc>
          <w:tcPr>
            <w:tcW w:type="dxa" w:w="3389"/>
            <w:vAlign w:val="center"/>
            <w:shd w:fill="F3F6F9"/>
          </w:tcPr>
          <w:p>
            <w:pPr>
              <w:spacing w:after="20"/>
            </w:pPr>
            <w:r>
              <w:rPr>
                <w:rFonts w:ascii="Aptos" w:hAnsi="Aptos"/>
                <w:b w:val="0"/>
                <w:sz w:val="16"/>
              </w:rPr>
              <w:t>Validation summary.</w:t>
            </w:r>
          </w:p>
        </w:tc>
      </w:tr>
      <w:tr>
        <w:tc>
          <w:tcPr>
            <w:tcW w:type="dxa" w:w="3389"/>
            <w:vAlign w:val="center"/>
          </w:tcPr>
          <w:p>
            <w:pPr>
              <w:spacing w:after="20"/>
            </w:pPr>
            <w:r>
              <w:rPr>
                <w:rFonts w:ascii="Aptos" w:hAnsi="Aptos"/>
                <w:b w:val="0"/>
                <w:sz w:val="16"/>
              </w:rPr>
              <w:t>invalid_row_count</w:t>
            </w:r>
          </w:p>
        </w:tc>
        <w:tc>
          <w:tcPr>
            <w:tcW w:type="dxa" w:w="3389"/>
            <w:vAlign w:val="center"/>
          </w:tcPr>
          <w:p>
            <w:pPr>
              <w:spacing w:after="20"/>
            </w:pPr>
            <w:r>
              <w:rPr>
                <w:rFonts w:ascii="Aptos" w:hAnsi="Aptos"/>
                <w:b w:val="0"/>
                <w:sz w:val="16"/>
              </w:rPr>
              <w:t>integer</w:t>
            </w:r>
          </w:p>
        </w:tc>
        <w:tc>
          <w:tcPr>
            <w:tcW w:type="dxa" w:w="3389"/>
            <w:vAlign w:val="center"/>
          </w:tcPr>
          <w:p>
            <w:pPr>
              <w:spacing w:after="20"/>
            </w:pPr>
            <w:r>
              <w:rPr>
                <w:rFonts w:ascii="Aptos" w:hAnsi="Aptos"/>
                <w:b w:val="0"/>
                <w:sz w:val="16"/>
              </w:rPr>
              <w:t>Validation summary.</w:t>
            </w:r>
          </w:p>
        </w:tc>
      </w:tr>
      <w:tr>
        <w:tc>
          <w:tcPr>
            <w:tcW w:type="dxa" w:w="3389"/>
            <w:vAlign w:val="center"/>
            <w:shd w:fill="F3F6F9"/>
          </w:tcPr>
          <w:p>
            <w:pPr>
              <w:spacing w:after="20"/>
            </w:pPr>
            <w:r>
              <w:rPr>
                <w:rFonts w:ascii="Aptos" w:hAnsi="Aptos"/>
                <w:b w:val="0"/>
                <w:sz w:val="16"/>
              </w:rPr>
              <w:t>correction_of_import_id</w:t>
            </w:r>
          </w:p>
        </w:tc>
        <w:tc>
          <w:tcPr>
            <w:tcW w:type="dxa" w:w="3389"/>
            <w:vAlign w:val="center"/>
            <w:shd w:fill="F3F6F9"/>
          </w:tcPr>
          <w:p>
            <w:pPr>
              <w:spacing w:after="20"/>
            </w:pPr>
            <w:r>
              <w:rPr>
                <w:rFonts w:ascii="Aptos" w:hAnsi="Aptos"/>
                <w:b w:val="0"/>
                <w:sz w:val="16"/>
              </w:rPr>
              <w:t>UUID nullable</w:t>
            </w:r>
          </w:p>
        </w:tc>
        <w:tc>
          <w:tcPr>
            <w:tcW w:type="dxa" w:w="3389"/>
            <w:vAlign w:val="center"/>
            <w:shd w:fill="F3F6F9"/>
          </w:tcPr>
          <w:p>
            <w:pPr>
              <w:spacing w:after="20"/>
            </w:pPr>
            <w:r>
              <w:rPr>
                <w:rFonts w:ascii="Aptos" w:hAnsi="Aptos"/>
                <w:b w:val="0"/>
                <w:sz w:val="16"/>
              </w:rPr>
              <w:t>Self-reference for controlled correction.</w:t>
            </w:r>
          </w:p>
        </w:tc>
      </w:tr>
      <w:tr>
        <w:tc>
          <w:tcPr>
            <w:tcW w:type="dxa" w:w="3389"/>
            <w:vAlign w:val="center"/>
          </w:tcPr>
          <w:p>
            <w:pPr>
              <w:spacing w:after="20"/>
            </w:pPr>
            <w:r>
              <w:rPr>
                <w:rFonts w:ascii="Aptos" w:hAnsi="Aptos"/>
                <w:b w:val="0"/>
                <w:sz w:val="16"/>
              </w:rPr>
              <w:t>correction_reason</w:t>
            </w:r>
          </w:p>
        </w:tc>
        <w:tc>
          <w:tcPr>
            <w:tcW w:type="dxa" w:w="3389"/>
            <w:vAlign w:val="center"/>
          </w:tcPr>
          <w:p>
            <w:pPr>
              <w:spacing w:after="20"/>
            </w:pPr>
            <w:r>
              <w:rPr>
                <w:rFonts w:ascii="Aptos" w:hAnsi="Aptos"/>
                <w:b w:val="0"/>
                <w:sz w:val="16"/>
              </w:rPr>
              <w:t>text nullable</w:t>
            </w:r>
          </w:p>
        </w:tc>
        <w:tc>
          <w:tcPr>
            <w:tcW w:type="dxa" w:w="3389"/>
            <w:vAlign w:val="center"/>
          </w:tcPr>
          <w:p>
            <w:pPr>
              <w:spacing w:after="20"/>
            </w:pPr>
            <w:r>
              <w:rPr>
                <w:rFonts w:ascii="Aptos" w:hAnsi="Aptos"/>
                <w:b w:val="0"/>
                <w:sz w:val="16"/>
              </w:rPr>
              <w:t>Required for replacement.</w:t>
            </w:r>
          </w:p>
        </w:tc>
      </w:tr>
      <w:tr>
        <w:tc>
          <w:tcPr>
            <w:tcW w:type="dxa" w:w="3389"/>
            <w:vAlign w:val="center"/>
            <w:shd w:fill="F3F6F9"/>
          </w:tcPr>
          <w:p>
            <w:pPr>
              <w:spacing w:after="20"/>
            </w:pPr>
            <w:r>
              <w:rPr>
                <w:rFonts w:ascii="Aptos" w:hAnsi="Aptos"/>
                <w:b w:val="0"/>
                <w:sz w:val="16"/>
              </w:rPr>
              <w:t>created_by / confirmed_by</w:t>
            </w:r>
          </w:p>
        </w:tc>
        <w:tc>
          <w:tcPr>
            <w:tcW w:type="dxa" w:w="3389"/>
            <w:vAlign w:val="center"/>
            <w:shd w:fill="F3F6F9"/>
          </w:tcPr>
          <w:p>
            <w:pPr>
              <w:spacing w:after="20"/>
            </w:pPr>
            <w:r>
              <w:rPr>
                <w:rFonts w:ascii="Aptos" w:hAnsi="Aptos"/>
                <w:b w:val="0"/>
                <w:sz w:val="16"/>
              </w:rPr>
              <w:t>UUID nullable</w:t>
            </w:r>
          </w:p>
        </w:tc>
        <w:tc>
          <w:tcPr>
            <w:tcW w:type="dxa" w:w="3389"/>
            <w:vAlign w:val="center"/>
            <w:shd w:fill="F3F6F9"/>
          </w:tcPr>
          <w:p>
            <w:pPr>
              <w:spacing w:after="20"/>
            </w:pPr>
            <w:r>
              <w:rPr>
                <w:rFonts w:ascii="Aptos" w:hAnsi="Aptos"/>
                <w:b w:val="0"/>
                <w:sz w:val="16"/>
              </w:rPr>
              <w:t>Admin user IDs.</w:t>
            </w:r>
          </w:p>
        </w:tc>
      </w:tr>
      <w:tr>
        <w:tc>
          <w:tcPr>
            <w:tcW w:type="dxa" w:w="3389"/>
            <w:vAlign w:val="center"/>
          </w:tcPr>
          <w:p>
            <w:pPr>
              <w:spacing w:after="20"/>
            </w:pPr>
            <w:r>
              <w:rPr>
                <w:rFonts w:ascii="Aptos" w:hAnsi="Aptos"/>
                <w:b w:val="0"/>
                <w:sz w:val="16"/>
              </w:rPr>
              <w:t>created_at / confirmed_at</w:t>
            </w:r>
          </w:p>
        </w:tc>
        <w:tc>
          <w:tcPr>
            <w:tcW w:type="dxa" w:w="3389"/>
            <w:vAlign w:val="center"/>
          </w:tcPr>
          <w:p>
            <w:pPr>
              <w:spacing w:after="20"/>
            </w:pPr>
            <w:r>
              <w:rPr>
                <w:rFonts w:ascii="Aptos" w:hAnsi="Aptos"/>
                <w:b w:val="0"/>
                <w:sz w:val="16"/>
              </w:rPr>
              <w:t>timestamptz nullable</w:t>
            </w:r>
          </w:p>
        </w:tc>
        <w:tc>
          <w:tcPr>
            <w:tcW w:type="dxa" w:w="3389"/>
            <w:vAlign w:val="center"/>
          </w:tcPr>
          <w:p>
            <w:pPr>
              <w:spacing w:after="20"/>
            </w:pPr>
            <w:r>
              <w:rPr>
                <w:rFonts w:ascii="Aptos" w:hAnsi="Aptos"/>
                <w:b w:val="0"/>
                <w:sz w:val="16"/>
              </w:rPr>
              <w:t>UTC audit timestamps.</w:t>
            </w:r>
          </w:p>
        </w:tc>
      </w:tr>
    </w:tbl>
    <w:p>
      <w:pPr>
        <w:spacing w:after="20"/>
      </w:pPr>
    </w:p>
    <w:p>
      <w:pPr>
        <w:pStyle w:val="Heading2"/>
      </w:pPr>
      <w:r>
        <w:t>8.2 entry_test_result_import_rows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Type</w:t>
            </w:r>
          </w:p>
        </w:tc>
        <w:tc>
          <w:tcPr>
            <w:tcW w:type="dxa" w:w="3389"/>
            <w:vAlign w:val="center"/>
            <w:shd w:fill="17365D"/>
          </w:tcPr>
          <w:p>
            <w:pPr>
              <w:spacing w:after="20"/>
            </w:pPr>
            <w:r>
              <w:rPr>
                <w:rFonts w:ascii="Aptos" w:hAnsi="Aptos"/>
                <w:b/>
                <w:color w:val="FFFFFF"/>
                <w:sz w:val="16"/>
              </w:rPr>
              <w:t>Notes</w:t>
            </w:r>
          </w:p>
        </w:tc>
      </w:tr>
      <w:tr>
        <w:tc>
          <w:tcPr>
            <w:tcW w:type="dxa" w:w="3389"/>
            <w:vAlign w:val="center"/>
          </w:tcPr>
          <w:p>
            <w:pPr>
              <w:spacing w:after="20"/>
            </w:pPr>
            <w:r>
              <w:rPr>
                <w:rFonts w:ascii="Aptos" w:hAnsi="Aptos"/>
                <w:b w:val="0"/>
                <w:sz w:val="16"/>
              </w:rPr>
              <w:t>id</w:t>
            </w:r>
          </w:p>
        </w:tc>
        <w:tc>
          <w:tcPr>
            <w:tcW w:type="dxa" w:w="3389"/>
            <w:vAlign w:val="center"/>
          </w:tcPr>
          <w:p>
            <w:pPr>
              <w:spacing w:after="20"/>
            </w:pPr>
            <w:r>
              <w:rPr>
                <w:rFonts w:ascii="Aptos" w:hAnsi="Aptos"/>
                <w:b w:val="0"/>
                <w:sz w:val="16"/>
              </w:rPr>
              <w:t>UUID PK</w:t>
            </w:r>
          </w:p>
        </w:tc>
        <w:tc>
          <w:tcPr>
            <w:tcW w:type="dxa" w:w="3389"/>
            <w:vAlign w:val="center"/>
          </w:tcPr>
          <w:p>
            <w:pPr>
              <w:spacing w:after="20"/>
            </w:pPr>
            <w:r>
              <w:rPr>
                <w:rFonts w:ascii="Aptos" w:hAnsi="Aptos"/>
                <w:b w:val="0"/>
                <w:sz w:val="16"/>
              </w:rPr>
              <w:t>Staging row.</w:t>
            </w:r>
          </w:p>
        </w:tc>
      </w:tr>
      <w:tr>
        <w:tc>
          <w:tcPr>
            <w:tcW w:type="dxa" w:w="3389"/>
            <w:vAlign w:val="center"/>
            <w:shd w:fill="F3F6F9"/>
          </w:tcPr>
          <w:p>
            <w:pPr>
              <w:spacing w:after="20"/>
            </w:pPr>
            <w:r>
              <w:rPr>
                <w:rFonts w:ascii="Aptos" w:hAnsi="Aptos"/>
                <w:b w:val="0"/>
                <w:sz w:val="16"/>
              </w:rPr>
              <w:t>tenant_id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Tenant scope.</w:t>
            </w:r>
          </w:p>
        </w:tc>
      </w:tr>
      <w:tr>
        <w:tc>
          <w:tcPr>
            <w:tcW w:type="dxa" w:w="3389"/>
            <w:vAlign w:val="center"/>
          </w:tcPr>
          <w:p>
            <w:pPr>
              <w:spacing w:after="20"/>
            </w:pPr>
            <w:r>
              <w:rPr>
                <w:rFonts w:ascii="Aptos" w:hAnsi="Aptos"/>
                <w:b w:val="0"/>
                <w:sz w:val="16"/>
              </w:rPr>
              <w:t>import_id</w:t>
            </w:r>
          </w:p>
        </w:tc>
        <w:tc>
          <w:tcPr>
            <w:tcW w:type="dxa" w:w="3389"/>
            <w:vAlign w:val="center"/>
          </w:tcPr>
          <w:p>
            <w:pPr>
              <w:spacing w:after="20"/>
            </w:pPr>
            <w:r>
              <w:rPr>
                <w:rFonts w:ascii="Aptos" w:hAnsi="Aptos"/>
                <w:b w:val="0"/>
                <w:sz w:val="16"/>
              </w:rPr>
              <w:t>UUID FK</w:t>
            </w:r>
          </w:p>
        </w:tc>
        <w:tc>
          <w:tcPr>
            <w:tcW w:type="dxa" w:w="3389"/>
            <w:vAlign w:val="center"/>
          </w:tcPr>
          <w:p>
            <w:pPr>
              <w:spacing w:after="20"/>
            </w:pPr>
            <w:r>
              <w:rPr>
                <w:rFonts w:ascii="Aptos" w:hAnsi="Aptos"/>
                <w:b w:val="0"/>
                <w:sz w:val="16"/>
              </w:rPr>
              <w:t>Parent import.</w:t>
            </w:r>
          </w:p>
        </w:tc>
      </w:tr>
      <w:tr>
        <w:tc>
          <w:tcPr>
            <w:tcW w:type="dxa" w:w="3389"/>
            <w:vAlign w:val="center"/>
            <w:shd w:fill="F3F6F9"/>
          </w:tcPr>
          <w:p>
            <w:pPr>
              <w:spacing w:after="20"/>
            </w:pPr>
            <w:r>
              <w:rPr>
                <w:rFonts w:ascii="Aptos" w:hAnsi="Aptos"/>
                <w:b w:val="0"/>
                <w:sz w:val="16"/>
              </w:rPr>
              <w:t>row_number</w:t>
            </w:r>
          </w:p>
        </w:tc>
        <w:tc>
          <w:tcPr>
            <w:tcW w:type="dxa" w:w="3389"/>
            <w:vAlign w:val="center"/>
            <w:shd w:fill="F3F6F9"/>
          </w:tcPr>
          <w:p>
            <w:pPr>
              <w:spacing w:after="20"/>
            </w:pPr>
            <w:r>
              <w:rPr>
                <w:rFonts w:ascii="Aptos" w:hAnsi="Aptos"/>
                <w:b w:val="0"/>
                <w:sz w:val="16"/>
              </w:rPr>
              <w:t>integer</w:t>
            </w:r>
          </w:p>
        </w:tc>
        <w:tc>
          <w:tcPr>
            <w:tcW w:type="dxa" w:w="3389"/>
            <w:vAlign w:val="center"/>
            <w:shd w:fill="F3F6F9"/>
          </w:tcPr>
          <w:p>
            <w:pPr>
              <w:spacing w:after="20"/>
            </w:pPr>
            <w:r>
              <w:rPr>
                <w:rFonts w:ascii="Aptos" w:hAnsi="Aptos"/>
                <w:b w:val="0"/>
                <w:sz w:val="16"/>
              </w:rPr>
              <w:t>Workbook row number.</w:t>
            </w:r>
          </w:p>
        </w:tc>
      </w:tr>
      <w:tr>
        <w:tc>
          <w:tcPr>
            <w:tcW w:type="dxa" w:w="3389"/>
            <w:vAlign w:val="center"/>
          </w:tcPr>
          <w:p>
            <w:pPr>
              <w:spacing w:after="20"/>
            </w:pPr>
            <w:r>
              <w:rPr>
                <w:rFonts w:ascii="Aptos" w:hAnsi="Aptos"/>
                <w:b w:val="0"/>
                <w:sz w:val="16"/>
              </w:rPr>
              <w:t>raw_data</w:t>
            </w:r>
          </w:p>
        </w:tc>
        <w:tc>
          <w:tcPr>
            <w:tcW w:type="dxa" w:w="3389"/>
            <w:vAlign w:val="center"/>
          </w:tcPr>
          <w:p>
            <w:pPr>
              <w:spacing w:after="20"/>
            </w:pPr>
            <w:r>
              <w:rPr>
                <w:rFonts w:ascii="Aptos" w:hAnsi="Aptos"/>
                <w:b w:val="0"/>
                <w:sz w:val="16"/>
              </w:rPr>
              <w:t>jsonb</w:t>
            </w:r>
          </w:p>
        </w:tc>
        <w:tc>
          <w:tcPr>
            <w:tcW w:type="dxa" w:w="3389"/>
            <w:vAlign w:val="center"/>
          </w:tcPr>
          <w:p>
            <w:pPr>
              <w:spacing w:after="20"/>
            </w:pPr>
            <w:r>
              <w:rPr>
                <w:rFonts w:ascii="Aptos" w:hAnsi="Aptos"/>
                <w:b w:val="0"/>
                <w:sz w:val="16"/>
              </w:rPr>
              <w:t>Original cell values for audit/debug.</w:t>
            </w:r>
          </w:p>
        </w:tc>
      </w:tr>
      <w:tr>
        <w:tc>
          <w:tcPr>
            <w:tcW w:type="dxa" w:w="3389"/>
            <w:vAlign w:val="center"/>
            <w:shd w:fill="F3F6F9"/>
          </w:tcPr>
          <w:p>
            <w:pPr>
              <w:spacing w:after="20"/>
            </w:pPr>
            <w:r>
              <w:rPr>
                <w:rFonts w:ascii="Aptos" w:hAnsi="Aptos"/>
                <w:b w:val="0"/>
                <w:sz w:val="16"/>
              </w:rPr>
              <w:t>application_reference</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Normalized business reference.</w:t>
            </w:r>
          </w:p>
        </w:tc>
      </w:tr>
      <w:tr>
        <w:tc>
          <w:tcPr>
            <w:tcW w:type="dxa" w:w="3389"/>
            <w:vAlign w:val="center"/>
          </w:tcPr>
          <w:p>
            <w:pPr>
              <w:spacing w:after="20"/>
            </w:pPr>
            <w:r>
              <w:rPr>
                <w:rFonts w:ascii="Aptos" w:hAnsi="Aptos"/>
                <w:b w:val="0"/>
                <w:sz w:val="16"/>
              </w:rPr>
              <w:t>applicant_id</w:t>
            </w:r>
          </w:p>
        </w:tc>
        <w:tc>
          <w:tcPr>
            <w:tcW w:type="dxa" w:w="3389"/>
            <w:vAlign w:val="center"/>
          </w:tcPr>
          <w:p>
            <w:pPr>
              <w:spacing w:after="20"/>
            </w:pPr>
            <w:r>
              <w:rPr>
                <w:rFonts w:ascii="Aptos" w:hAnsi="Aptos"/>
                <w:b w:val="0"/>
                <w:sz w:val="16"/>
              </w:rPr>
              <w:t>UUID nullable</w:t>
            </w:r>
          </w:p>
        </w:tc>
        <w:tc>
          <w:tcPr>
            <w:tcW w:type="dxa" w:w="3389"/>
            <w:vAlign w:val="center"/>
          </w:tcPr>
          <w:p>
            <w:pPr>
              <w:spacing w:after="20"/>
            </w:pPr>
            <w:r>
              <w:rPr>
                <w:rFonts w:ascii="Aptos" w:hAnsi="Aptos"/>
                <w:b w:val="0"/>
                <w:sz w:val="16"/>
              </w:rPr>
              <w:t>Resolved F002 application ID.</w:t>
            </w:r>
          </w:p>
        </w:tc>
      </w:tr>
      <w:tr>
        <w:tc>
          <w:tcPr>
            <w:tcW w:type="dxa" w:w="3389"/>
            <w:vAlign w:val="center"/>
            <w:shd w:fill="F3F6F9"/>
          </w:tcPr>
          <w:p>
            <w:pPr>
              <w:spacing w:after="20"/>
            </w:pPr>
            <w:r>
              <w:rPr>
                <w:rFonts w:ascii="Aptos" w:hAnsi="Aptos"/>
                <w:b w:val="0"/>
                <w:sz w:val="16"/>
              </w:rPr>
              <w:t>test_score / total_marks</w:t>
            </w:r>
          </w:p>
        </w:tc>
        <w:tc>
          <w:tcPr>
            <w:tcW w:type="dxa" w:w="3389"/>
            <w:vAlign w:val="center"/>
            <w:shd w:fill="F3F6F9"/>
          </w:tcPr>
          <w:p>
            <w:pPr>
              <w:spacing w:after="20"/>
            </w:pPr>
            <w:r>
              <w:rPr>
                <w:rFonts w:ascii="Aptos" w:hAnsi="Aptos"/>
                <w:b w:val="0"/>
                <w:sz w:val="16"/>
              </w:rPr>
              <w:t>numeric</w:t>
            </w:r>
          </w:p>
        </w:tc>
        <w:tc>
          <w:tcPr>
            <w:tcW w:type="dxa" w:w="3389"/>
            <w:vAlign w:val="center"/>
            <w:shd w:fill="F3F6F9"/>
          </w:tcPr>
          <w:p>
            <w:pPr>
              <w:spacing w:after="20"/>
            </w:pPr>
            <w:r>
              <w:rPr>
                <w:rFonts w:ascii="Aptos" w:hAnsi="Aptos"/>
                <w:b w:val="0"/>
                <w:sz w:val="16"/>
              </w:rPr>
              <w:t>Parsed values.</w:t>
            </w:r>
          </w:p>
        </w:tc>
      </w:tr>
      <w:tr>
        <w:tc>
          <w:tcPr>
            <w:tcW w:type="dxa" w:w="3389"/>
            <w:vAlign w:val="center"/>
          </w:tcPr>
          <w:p>
            <w:pPr>
              <w:spacing w:after="20"/>
            </w:pPr>
            <w:r>
              <w:rPr>
                <w:rFonts w:ascii="Aptos" w:hAnsi="Aptos"/>
                <w:b w:val="0"/>
                <w:sz w:val="16"/>
              </w:rPr>
              <w:t>percentage</w:t>
            </w:r>
          </w:p>
        </w:tc>
        <w:tc>
          <w:tcPr>
            <w:tcW w:type="dxa" w:w="3389"/>
            <w:vAlign w:val="center"/>
          </w:tcPr>
          <w:p>
            <w:pPr>
              <w:spacing w:after="20"/>
            </w:pPr>
            <w:r>
              <w:rPr>
                <w:rFonts w:ascii="Aptos" w:hAnsi="Aptos"/>
                <w:b w:val="0"/>
                <w:sz w:val="16"/>
              </w:rPr>
              <w:t>numeric(5,2)</w:t>
            </w:r>
          </w:p>
        </w:tc>
        <w:tc>
          <w:tcPr>
            <w:tcW w:type="dxa" w:w="3389"/>
            <w:vAlign w:val="center"/>
          </w:tcPr>
          <w:p>
            <w:pPr>
              <w:spacing w:after="20"/>
            </w:pPr>
            <w:r>
              <w:rPr>
                <w:rFonts w:ascii="Aptos" w:hAnsi="Aptos"/>
                <w:b w:val="0"/>
                <w:sz w:val="16"/>
              </w:rPr>
              <w:t>Server-calculated.</w:t>
            </w:r>
          </w:p>
        </w:tc>
      </w:tr>
      <w:tr>
        <w:tc>
          <w:tcPr>
            <w:tcW w:type="dxa" w:w="3389"/>
            <w:vAlign w:val="center"/>
            <w:shd w:fill="F3F6F9"/>
          </w:tcPr>
          <w:p>
            <w:pPr>
              <w:spacing w:after="20"/>
            </w:pPr>
            <w:r>
              <w:rPr>
                <w:rFonts w:ascii="Aptos" w:hAnsi="Aptos"/>
                <w:b w:val="0"/>
                <w:sz w:val="16"/>
              </w:rPr>
              <w:t>result_status</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PASS/FAIL.</w:t>
            </w:r>
          </w:p>
        </w:tc>
      </w:tr>
      <w:tr>
        <w:tc>
          <w:tcPr>
            <w:tcW w:type="dxa" w:w="3389"/>
            <w:vAlign w:val="center"/>
          </w:tcPr>
          <w:p>
            <w:pPr>
              <w:spacing w:after="20"/>
            </w:pPr>
            <w:r>
              <w:rPr>
                <w:rFonts w:ascii="Aptos" w:hAnsi="Aptos"/>
                <w:b w:val="0"/>
                <w:sz w:val="16"/>
              </w:rPr>
              <w:t>validation_errors</w:t>
            </w:r>
          </w:p>
        </w:tc>
        <w:tc>
          <w:tcPr>
            <w:tcW w:type="dxa" w:w="3389"/>
            <w:vAlign w:val="center"/>
          </w:tcPr>
          <w:p>
            <w:pPr>
              <w:spacing w:after="20"/>
            </w:pPr>
            <w:r>
              <w:rPr>
                <w:rFonts w:ascii="Aptos" w:hAnsi="Aptos"/>
                <w:b w:val="0"/>
                <w:sz w:val="16"/>
              </w:rPr>
              <w:t>jsonb</w:t>
            </w:r>
          </w:p>
        </w:tc>
        <w:tc>
          <w:tcPr>
            <w:tcW w:type="dxa" w:w="3389"/>
            <w:vAlign w:val="center"/>
          </w:tcPr>
          <w:p>
            <w:pPr>
              <w:spacing w:after="20"/>
            </w:pPr>
            <w:r>
              <w:rPr>
                <w:rFonts w:ascii="Aptos" w:hAnsi="Aptos"/>
                <w:b w:val="0"/>
                <w:sz w:val="16"/>
              </w:rPr>
              <w:t>Stable error codes and field messages.</w:t>
            </w:r>
          </w:p>
        </w:tc>
      </w:tr>
      <w:tr>
        <w:tc>
          <w:tcPr>
            <w:tcW w:type="dxa" w:w="3389"/>
            <w:vAlign w:val="center"/>
            <w:shd w:fill="F3F6F9"/>
          </w:tcPr>
          <w:p>
            <w:pPr>
              <w:spacing w:after="20"/>
            </w:pPr>
            <w:r>
              <w:rPr>
                <w:rFonts w:ascii="Aptos" w:hAnsi="Aptos"/>
                <w:b w:val="0"/>
                <w:sz w:val="16"/>
              </w:rPr>
              <w:t>status</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VALID/INVALID/COMMITTED.</w:t>
            </w:r>
          </w:p>
        </w:tc>
      </w:tr>
    </w:tbl>
    <w:p>
      <w:pPr>
        <w:spacing w:after="20"/>
      </w:pPr>
    </w:p>
    <w:p>
      <w:pPr>
        <w:pStyle w:val="Heading2"/>
      </w:pPr>
      <w:r>
        <w:t>8.3 entry_test_results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Type</w:t>
            </w:r>
          </w:p>
        </w:tc>
        <w:tc>
          <w:tcPr>
            <w:tcW w:type="dxa" w:w="3389"/>
            <w:vAlign w:val="center"/>
            <w:shd w:fill="17365D"/>
          </w:tcPr>
          <w:p>
            <w:pPr>
              <w:spacing w:after="20"/>
            </w:pPr>
            <w:r>
              <w:rPr>
                <w:rFonts w:ascii="Aptos" w:hAnsi="Aptos"/>
                <w:b/>
                <w:color w:val="FFFFFF"/>
                <w:sz w:val="16"/>
              </w:rPr>
              <w:t>Notes</w:t>
            </w:r>
          </w:p>
        </w:tc>
      </w:tr>
      <w:tr>
        <w:tc>
          <w:tcPr>
            <w:tcW w:type="dxa" w:w="3389"/>
            <w:vAlign w:val="center"/>
          </w:tcPr>
          <w:p>
            <w:pPr>
              <w:spacing w:after="20"/>
            </w:pPr>
            <w:r>
              <w:rPr>
                <w:rFonts w:ascii="Aptos" w:hAnsi="Aptos"/>
                <w:b w:val="0"/>
                <w:sz w:val="16"/>
              </w:rPr>
              <w:t>id</w:t>
            </w:r>
          </w:p>
        </w:tc>
        <w:tc>
          <w:tcPr>
            <w:tcW w:type="dxa" w:w="3389"/>
            <w:vAlign w:val="center"/>
          </w:tcPr>
          <w:p>
            <w:pPr>
              <w:spacing w:after="20"/>
            </w:pPr>
            <w:r>
              <w:rPr>
                <w:rFonts w:ascii="Aptos" w:hAnsi="Aptos"/>
                <w:b w:val="0"/>
                <w:sz w:val="16"/>
              </w:rPr>
              <w:t>UUID PK</w:t>
            </w:r>
          </w:p>
        </w:tc>
        <w:tc>
          <w:tcPr>
            <w:tcW w:type="dxa" w:w="3389"/>
            <w:vAlign w:val="center"/>
          </w:tcPr>
          <w:p>
            <w:pPr>
              <w:spacing w:after="20"/>
            </w:pPr>
            <w:r>
              <w:rPr>
                <w:rFonts w:ascii="Aptos" w:hAnsi="Aptos"/>
                <w:b w:val="0"/>
                <w:sz w:val="16"/>
              </w:rPr>
              <w:t>Canonical result ID.</w:t>
            </w:r>
          </w:p>
        </w:tc>
      </w:tr>
      <w:tr>
        <w:tc>
          <w:tcPr>
            <w:tcW w:type="dxa" w:w="3389"/>
            <w:vAlign w:val="center"/>
            <w:shd w:fill="F3F6F9"/>
          </w:tcPr>
          <w:p>
            <w:pPr>
              <w:spacing w:after="20"/>
            </w:pPr>
            <w:r>
              <w:rPr>
                <w:rFonts w:ascii="Aptos" w:hAnsi="Aptos"/>
                <w:b w:val="0"/>
                <w:sz w:val="16"/>
              </w:rPr>
              <w:t>tenant_id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Required tenant scope.</w:t>
            </w:r>
          </w:p>
        </w:tc>
      </w:tr>
      <w:tr>
        <w:tc>
          <w:tcPr>
            <w:tcW w:type="dxa" w:w="3389"/>
            <w:vAlign w:val="center"/>
          </w:tcPr>
          <w:p>
            <w:pPr>
              <w:spacing w:after="20"/>
            </w:pPr>
            <w:r>
              <w:rPr>
                <w:rFonts w:ascii="Aptos" w:hAnsi="Aptos"/>
                <w:b w:val="0"/>
                <w:sz w:val="16"/>
              </w:rPr>
              <w:t>applicant_id</w:t>
            </w:r>
          </w:p>
        </w:tc>
        <w:tc>
          <w:tcPr>
            <w:tcW w:type="dxa" w:w="3389"/>
            <w:vAlign w:val="center"/>
          </w:tcPr>
          <w:p>
            <w:pPr>
              <w:spacing w:after="20"/>
            </w:pPr>
            <w:r>
              <w:rPr>
                <w:rFonts w:ascii="Aptos" w:hAnsi="Aptos"/>
                <w:b w:val="0"/>
                <w:sz w:val="16"/>
              </w:rPr>
              <w:t>UUID FK</w:t>
            </w:r>
          </w:p>
        </w:tc>
        <w:tc>
          <w:tcPr>
            <w:tcW w:type="dxa" w:w="3389"/>
            <w:vAlign w:val="center"/>
          </w:tcPr>
          <w:p>
            <w:pPr>
              <w:spacing w:after="20"/>
            </w:pPr>
            <w:r>
              <w:rPr>
                <w:rFonts w:ascii="Aptos" w:hAnsi="Aptos"/>
                <w:b w:val="0"/>
                <w:sz w:val="16"/>
              </w:rPr>
              <w:t>F002 applications.id.</w:t>
            </w:r>
          </w:p>
        </w:tc>
      </w:tr>
      <w:tr>
        <w:tc>
          <w:tcPr>
            <w:tcW w:type="dxa" w:w="3389"/>
            <w:vAlign w:val="center"/>
            <w:shd w:fill="F3F6F9"/>
          </w:tcPr>
          <w:p>
            <w:pPr>
              <w:spacing w:after="20"/>
            </w:pPr>
            <w:r>
              <w:rPr>
                <w:rFonts w:ascii="Aptos" w:hAnsi="Aptos"/>
                <w:b w:val="0"/>
                <w:sz w:val="16"/>
              </w:rPr>
              <w:t>test_session_id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F006 session reference.</w:t>
            </w:r>
          </w:p>
        </w:tc>
      </w:tr>
      <w:tr>
        <w:tc>
          <w:tcPr>
            <w:tcW w:type="dxa" w:w="3389"/>
            <w:vAlign w:val="center"/>
          </w:tcPr>
          <w:p>
            <w:pPr>
              <w:spacing w:after="20"/>
            </w:pPr>
            <w:r>
              <w:rPr>
                <w:rFonts w:ascii="Aptos" w:hAnsi="Aptos"/>
                <w:b w:val="0"/>
                <w:sz w:val="16"/>
              </w:rPr>
              <w:t>import_id / import_row_id</w:t>
            </w:r>
          </w:p>
        </w:tc>
        <w:tc>
          <w:tcPr>
            <w:tcW w:type="dxa" w:w="3389"/>
            <w:vAlign w:val="center"/>
          </w:tcPr>
          <w:p>
            <w:pPr>
              <w:spacing w:after="20"/>
            </w:pPr>
            <w:r>
              <w:rPr>
                <w:rFonts w:ascii="Aptos" w:hAnsi="Aptos"/>
                <w:b w:val="0"/>
                <w:sz w:val="16"/>
              </w:rPr>
              <w:t>UUID</w:t>
            </w:r>
          </w:p>
        </w:tc>
        <w:tc>
          <w:tcPr>
            <w:tcW w:type="dxa" w:w="3389"/>
            <w:vAlign w:val="center"/>
          </w:tcPr>
          <w:p>
            <w:pPr>
              <w:spacing w:after="20"/>
            </w:pPr>
            <w:r>
              <w:rPr>
                <w:rFonts w:ascii="Aptos" w:hAnsi="Aptos"/>
                <w:b w:val="0"/>
                <w:sz w:val="16"/>
              </w:rPr>
              <w:t>Confirmed provenance.</w:t>
            </w:r>
          </w:p>
        </w:tc>
      </w:tr>
      <w:tr>
        <w:tc>
          <w:tcPr>
            <w:tcW w:type="dxa" w:w="3389"/>
            <w:vAlign w:val="center"/>
            <w:shd w:fill="F3F6F9"/>
          </w:tcPr>
          <w:p>
            <w:pPr>
              <w:spacing w:after="20"/>
            </w:pPr>
            <w:r>
              <w:rPr>
                <w:rFonts w:ascii="Aptos" w:hAnsi="Aptos"/>
                <w:b w:val="0"/>
                <w:sz w:val="16"/>
              </w:rPr>
              <w:t>application_reference</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Immutable snapshot for audit/search.</w:t>
            </w:r>
          </w:p>
        </w:tc>
      </w:tr>
      <w:tr>
        <w:tc>
          <w:tcPr>
            <w:tcW w:type="dxa" w:w="3389"/>
            <w:vAlign w:val="center"/>
          </w:tcPr>
          <w:p>
            <w:pPr>
              <w:spacing w:after="20"/>
            </w:pPr>
            <w:r>
              <w:rPr>
                <w:rFonts w:ascii="Aptos" w:hAnsi="Aptos"/>
                <w:b w:val="0"/>
                <w:sz w:val="16"/>
              </w:rPr>
              <w:t>test_score / total_marks</w:t>
            </w:r>
          </w:p>
        </w:tc>
        <w:tc>
          <w:tcPr>
            <w:tcW w:type="dxa" w:w="3389"/>
            <w:vAlign w:val="center"/>
          </w:tcPr>
          <w:p>
            <w:pPr>
              <w:spacing w:after="20"/>
            </w:pPr>
            <w:r>
              <w:rPr>
                <w:rFonts w:ascii="Aptos" w:hAnsi="Aptos"/>
                <w:b w:val="0"/>
                <w:sz w:val="16"/>
              </w:rPr>
              <w:t>numeric</w:t>
            </w:r>
          </w:p>
        </w:tc>
        <w:tc>
          <w:tcPr>
            <w:tcW w:type="dxa" w:w="3389"/>
            <w:vAlign w:val="center"/>
          </w:tcPr>
          <w:p>
            <w:pPr>
              <w:spacing w:after="20"/>
            </w:pPr>
            <w:r>
              <w:rPr>
                <w:rFonts w:ascii="Aptos" w:hAnsi="Aptos"/>
                <w:b w:val="0"/>
                <w:sz w:val="16"/>
              </w:rPr>
              <w:t>Official source score.</w:t>
            </w:r>
          </w:p>
        </w:tc>
      </w:tr>
      <w:tr>
        <w:tc>
          <w:tcPr>
            <w:tcW w:type="dxa" w:w="3389"/>
            <w:vAlign w:val="center"/>
            <w:shd w:fill="F3F6F9"/>
          </w:tcPr>
          <w:p>
            <w:pPr>
              <w:spacing w:after="20"/>
            </w:pPr>
            <w:r>
              <w:rPr>
                <w:rFonts w:ascii="Aptos" w:hAnsi="Aptos"/>
                <w:b w:val="0"/>
                <w:sz w:val="16"/>
              </w:rPr>
              <w:t>percentage</w:t>
            </w:r>
          </w:p>
        </w:tc>
        <w:tc>
          <w:tcPr>
            <w:tcW w:type="dxa" w:w="3389"/>
            <w:vAlign w:val="center"/>
            <w:shd w:fill="F3F6F9"/>
          </w:tcPr>
          <w:p>
            <w:pPr>
              <w:spacing w:after="20"/>
            </w:pPr>
            <w:r>
              <w:rPr>
                <w:rFonts w:ascii="Aptos" w:hAnsi="Aptos"/>
                <w:b w:val="0"/>
                <w:sz w:val="16"/>
              </w:rPr>
              <w:t>numeric(5,2)</w:t>
            </w:r>
          </w:p>
        </w:tc>
        <w:tc>
          <w:tcPr>
            <w:tcW w:type="dxa" w:w="3389"/>
            <w:vAlign w:val="center"/>
            <w:shd w:fill="F3F6F9"/>
          </w:tcPr>
          <w:p>
            <w:pPr>
              <w:spacing w:after="20"/>
            </w:pPr>
            <w:r>
              <w:rPr>
                <w:rFonts w:ascii="Aptos" w:hAnsi="Aptos"/>
                <w:b w:val="0"/>
                <w:sz w:val="16"/>
              </w:rPr>
              <w:t>Calculated by F007.</w:t>
            </w:r>
          </w:p>
        </w:tc>
      </w:tr>
      <w:tr>
        <w:tc>
          <w:tcPr>
            <w:tcW w:type="dxa" w:w="3389"/>
            <w:vAlign w:val="center"/>
          </w:tcPr>
          <w:p>
            <w:pPr>
              <w:spacing w:after="20"/>
            </w:pPr>
            <w:r>
              <w:rPr>
                <w:rFonts w:ascii="Aptos" w:hAnsi="Aptos"/>
                <w:b w:val="0"/>
                <w:sz w:val="16"/>
              </w:rPr>
              <w:t>result_status</w:t>
            </w:r>
          </w:p>
        </w:tc>
        <w:tc>
          <w:tcPr>
            <w:tcW w:type="dxa" w:w="3389"/>
            <w:vAlign w:val="center"/>
          </w:tcPr>
          <w:p>
            <w:pPr>
              <w:spacing w:after="20"/>
            </w:pPr>
            <w:r>
              <w:rPr>
                <w:rFonts w:ascii="Aptos" w:hAnsi="Aptos"/>
                <w:b w:val="0"/>
                <w:sz w:val="16"/>
              </w:rPr>
              <w:t>varchar</w:t>
            </w:r>
          </w:p>
        </w:tc>
        <w:tc>
          <w:tcPr>
            <w:tcW w:type="dxa" w:w="3389"/>
            <w:vAlign w:val="center"/>
          </w:tcPr>
          <w:p>
            <w:pPr>
              <w:spacing w:after="20"/>
            </w:pPr>
            <w:r>
              <w:rPr>
                <w:rFonts w:ascii="Aptos" w:hAnsi="Aptos"/>
                <w:b w:val="0"/>
                <w:sz w:val="16"/>
              </w:rPr>
              <w:t>PASS/FAIL.</w:t>
            </w:r>
          </w:p>
        </w:tc>
      </w:tr>
      <w:tr>
        <w:tc>
          <w:tcPr>
            <w:tcW w:type="dxa" w:w="3389"/>
            <w:vAlign w:val="center"/>
            <w:shd w:fill="F3F6F9"/>
          </w:tcPr>
          <w:p>
            <w:pPr>
              <w:spacing w:after="20"/>
            </w:pPr>
            <w:r>
              <w:rPr>
                <w:rFonts w:ascii="Aptos" w:hAnsi="Aptos"/>
                <w:b w:val="0"/>
                <w:sz w:val="16"/>
              </w:rPr>
              <w:t>remarks</w:t>
            </w:r>
          </w:p>
        </w:tc>
        <w:tc>
          <w:tcPr>
            <w:tcW w:type="dxa" w:w="3389"/>
            <w:vAlign w:val="center"/>
            <w:shd w:fill="F3F6F9"/>
          </w:tcPr>
          <w:p>
            <w:pPr>
              <w:spacing w:after="20"/>
            </w:pPr>
            <w:r>
              <w:rPr>
                <w:rFonts w:ascii="Aptos" w:hAnsi="Aptos"/>
                <w:b w:val="0"/>
                <w:sz w:val="16"/>
              </w:rPr>
              <w:t>text nullable</w:t>
            </w:r>
          </w:p>
        </w:tc>
        <w:tc>
          <w:tcPr>
            <w:tcW w:type="dxa" w:w="3389"/>
            <w:vAlign w:val="center"/>
            <w:shd w:fill="F3F6F9"/>
          </w:tcPr>
          <w:p>
            <w:pPr>
              <w:spacing w:after="20"/>
            </w:pPr>
            <w:r>
              <w:rPr>
                <w:rFonts w:ascii="Aptos" w:hAnsi="Aptos"/>
                <w:b w:val="0"/>
                <w:sz w:val="16"/>
              </w:rPr>
              <w:t>Source remarks.</w:t>
            </w:r>
          </w:p>
        </w:tc>
      </w:tr>
      <w:tr>
        <w:tc>
          <w:tcPr>
            <w:tcW w:type="dxa" w:w="3389"/>
            <w:vAlign w:val="center"/>
          </w:tcPr>
          <w:p>
            <w:pPr>
              <w:spacing w:after="20"/>
            </w:pPr>
            <w:r>
              <w:rPr>
                <w:rFonts w:ascii="Aptos" w:hAnsi="Aptos"/>
                <w:b w:val="0"/>
                <w:sz w:val="16"/>
              </w:rPr>
              <w:t>supersedes_result_id</w:t>
            </w:r>
          </w:p>
        </w:tc>
        <w:tc>
          <w:tcPr>
            <w:tcW w:type="dxa" w:w="3389"/>
            <w:vAlign w:val="center"/>
          </w:tcPr>
          <w:p>
            <w:pPr>
              <w:spacing w:after="20"/>
            </w:pPr>
            <w:r>
              <w:rPr>
                <w:rFonts w:ascii="Aptos" w:hAnsi="Aptos"/>
                <w:b w:val="0"/>
                <w:sz w:val="16"/>
              </w:rPr>
              <w:t>UUID nullable</w:t>
            </w:r>
          </w:p>
        </w:tc>
        <w:tc>
          <w:tcPr>
            <w:tcW w:type="dxa" w:w="3389"/>
            <w:vAlign w:val="center"/>
          </w:tcPr>
          <w:p>
            <w:pPr>
              <w:spacing w:after="20"/>
            </w:pPr>
            <w:r>
              <w:rPr>
                <w:rFonts w:ascii="Aptos" w:hAnsi="Aptos"/>
                <w:b w:val="0"/>
                <w:sz w:val="16"/>
              </w:rPr>
              <w:t>Replacement chain.</w:t>
            </w:r>
          </w:p>
        </w:tc>
      </w:tr>
      <w:tr>
        <w:tc>
          <w:tcPr>
            <w:tcW w:type="dxa" w:w="3389"/>
            <w:vAlign w:val="center"/>
            <w:shd w:fill="F3F6F9"/>
          </w:tcPr>
          <w:p>
            <w:pPr>
              <w:spacing w:after="20"/>
            </w:pPr>
            <w:r>
              <w:rPr>
                <w:rFonts w:ascii="Aptos" w:hAnsi="Aptos"/>
                <w:b w:val="0"/>
                <w:sz w:val="16"/>
              </w:rPr>
              <w:t>created_by / created_at</w:t>
            </w:r>
          </w:p>
        </w:tc>
        <w:tc>
          <w:tcPr>
            <w:tcW w:type="dxa" w:w="3389"/>
            <w:vAlign w:val="center"/>
            <w:shd w:fill="F3F6F9"/>
          </w:tcPr>
          <w:p>
            <w:pPr>
              <w:spacing w:after="20"/>
            </w:pPr>
            <w:r>
              <w:rPr>
                <w:rFonts w:ascii="Aptos" w:hAnsi="Aptos"/>
                <w:b w:val="0"/>
                <w:sz w:val="16"/>
              </w:rPr>
              <w:t>UUID / timestamptz</w:t>
            </w:r>
          </w:p>
        </w:tc>
        <w:tc>
          <w:tcPr>
            <w:tcW w:type="dxa" w:w="3389"/>
            <w:vAlign w:val="center"/>
            <w:shd w:fill="F3F6F9"/>
          </w:tcPr>
          <w:p>
            <w:pPr>
              <w:spacing w:after="20"/>
            </w:pPr>
            <w:r>
              <w:rPr>
                <w:rFonts w:ascii="Aptos" w:hAnsi="Aptos"/>
                <w:b w:val="0"/>
                <w:sz w:val="16"/>
              </w:rPr>
              <w:t>Confirmation actor/time.</w:t>
            </w:r>
          </w:p>
        </w:tc>
      </w:tr>
    </w:tbl>
    <w:p>
      <w:pPr>
        <w:spacing w:after="20"/>
      </w:pPr>
    </w:p>
    <w:p>
      <w:r>
        <w:t>Unique constraint: (tenant_id, applicant_id, test_session_id) for the current canonical result. Enforce replacement through a transaction that retires/links the prior current row while retaining history. If the ORM/database design instead retains all revisions in one table, use a partial unique index on current rows.</w:t>
      </w:r>
    </w:p>
    <w:p>
      <w:pPr>
        <w:pStyle w:val="Heading2"/>
      </w:pPr>
      <w:r>
        <w:t>8.4 merit_lists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Type</w:t>
            </w:r>
          </w:p>
        </w:tc>
        <w:tc>
          <w:tcPr>
            <w:tcW w:type="dxa" w:w="3389"/>
            <w:vAlign w:val="center"/>
            <w:shd w:fill="17365D"/>
          </w:tcPr>
          <w:p>
            <w:pPr>
              <w:spacing w:after="20"/>
            </w:pPr>
            <w:r>
              <w:rPr>
                <w:rFonts w:ascii="Aptos" w:hAnsi="Aptos"/>
                <w:b/>
                <w:color w:val="FFFFFF"/>
                <w:sz w:val="16"/>
              </w:rPr>
              <w:t>Notes</w:t>
            </w:r>
          </w:p>
        </w:tc>
      </w:tr>
      <w:tr>
        <w:tc>
          <w:tcPr>
            <w:tcW w:type="dxa" w:w="3389"/>
            <w:vAlign w:val="center"/>
          </w:tcPr>
          <w:p>
            <w:pPr>
              <w:spacing w:after="20"/>
            </w:pPr>
            <w:r>
              <w:rPr>
                <w:rFonts w:ascii="Aptos" w:hAnsi="Aptos"/>
                <w:b w:val="0"/>
                <w:sz w:val="16"/>
              </w:rPr>
              <w:t>id</w:t>
            </w:r>
          </w:p>
        </w:tc>
        <w:tc>
          <w:tcPr>
            <w:tcW w:type="dxa" w:w="3389"/>
            <w:vAlign w:val="center"/>
          </w:tcPr>
          <w:p>
            <w:pPr>
              <w:spacing w:after="20"/>
            </w:pPr>
            <w:r>
              <w:rPr>
                <w:rFonts w:ascii="Aptos" w:hAnsi="Aptos"/>
                <w:b w:val="0"/>
                <w:sz w:val="16"/>
              </w:rPr>
              <w:t>UUID PK</w:t>
            </w:r>
          </w:p>
        </w:tc>
        <w:tc>
          <w:tcPr>
            <w:tcW w:type="dxa" w:w="3389"/>
            <w:vAlign w:val="center"/>
          </w:tcPr>
          <w:p>
            <w:pPr>
              <w:spacing w:after="20"/>
            </w:pPr>
            <w:r>
              <w:rPr>
                <w:rFonts w:ascii="Aptos" w:hAnsi="Aptos"/>
                <w:b w:val="0"/>
                <w:sz w:val="16"/>
              </w:rPr>
              <w:t>List identifier.</w:t>
            </w:r>
          </w:p>
        </w:tc>
      </w:tr>
      <w:tr>
        <w:tc>
          <w:tcPr>
            <w:tcW w:type="dxa" w:w="3389"/>
            <w:vAlign w:val="center"/>
            <w:shd w:fill="F3F6F9"/>
          </w:tcPr>
          <w:p>
            <w:pPr>
              <w:spacing w:after="20"/>
            </w:pPr>
            <w:r>
              <w:rPr>
                <w:rFonts w:ascii="Aptos" w:hAnsi="Aptos"/>
                <w:b w:val="0"/>
                <w:sz w:val="16"/>
              </w:rPr>
              <w:t>tenant_id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Tenant scope.</w:t>
            </w:r>
          </w:p>
        </w:tc>
      </w:tr>
      <w:tr>
        <w:tc>
          <w:tcPr>
            <w:tcW w:type="dxa" w:w="3389"/>
            <w:vAlign w:val="center"/>
          </w:tcPr>
          <w:p>
            <w:pPr>
              <w:spacing w:after="20"/>
            </w:pPr>
            <w:r>
              <w:rPr>
                <w:rFonts w:ascii="Aptos" w:hAnsi="Aptos"/>
                <w:b w:val="0"/>
                <w:sz w:val="16"/>
              </w:rPr>
              <w:t>intake_id</w:t>
            </w:r>
          </w:p>
        </w:tc>
        <w:tc>
          <w:tcPr>
            <w:tcW w:type="dxa" w:w="3389"/>
            <w:vAlign w:val="center"/>
          </w:tcPr>
          <w:p>
            <w:pPr>
              <w:spacing w:after="20"/>
            </w:pPr>
            <w:r>
              <w:rPr>
                <w:rFonts w:ascii="Aptos" w:hAnsi="Aptos"/>
                <w:b w:val="0"/>
                <w:sz w:val="16"/>
              </w:rPr>
              <w:t>UUID</w:t>
            </w:r>
          </w:p>
        </w:tc>
        <w:tc>
          <w:tcPr>
            <w:tcW w:type="dxa" w:w="3389"/>
            <w:vAlign w:val="center"/>
          </w:tcPr>
          <w:p>
            <w:pPr>
              <w:spacing w:after="20"/>
            </w:pPr>
            <w:r>
              <w:rPr>
                <w:rFonts w:ascii="Aptos" w:hAnsi="Aptos"/>
                <w:b w:val="0"/>
                <w:sz w:val="16"/>
              </w:rPr>
              <w:t>F000 intake reference.</w:t>
            </w:r>
          </w:p>
        </w:tc>
      </w:tr>
      <w:tr>
        <w:tc>
          <w:tcPr>
            <w:tcW w:type="dxa" w:w="3389"/>
            <w:vAlign w:val="center"/>
            <w:shd w:fill="F3F6F9"/>
          </w:tcPr>
          <w:p>
            <w:pPr>
              <w:spacing w:after="20"/>
            </w:pPr>
            <w:r>
              <w:rPr>
                <w:rFonts w:ascii="Aptos" w:hAnsi="Aptos"/>
                <w:b w:val="0"/>
                <w:sz w:val="16"/>
              </w:rPr>
              <w:t>test_session_id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F006 session.</w:t>
            </w:r>
          </w:p>
        </w:tc>
      </w:tr>
      <w:tr>
        <w:tc>
          <w:tcPr>
            <w:tcW w:type="dxa" w:w="3389"/>
            <w:vAlign w:val="center"/>
          </w:tcPr>
          <w:p>
            <w:pPr>
              <w:spacing w:after="20"/>
            </w:pPr>
            <w:r>
              <w:rPr>
                <w:rFonts w:ascii="Aptos" w:hAnsi="Aptos"/>
                <w:b w:val="0"/>
                <w:sz w:val="16"/>
              </w:rPr>
              <w:t>programme_offering_id</w:t>
            </w:r>
          </w:p>
        </w:tc>
        <w:tc>
          <w:tcPr>
            <w:tcW w:type="dxa" w:w="3389"/>
            <w:vAlign w:val="center"/>
          </w:tcPr>
          <w:p>
            <w:pPr>
              <w:spacing w:after="20"/>
            </w:pPr>
            <w:r>
              <w:rPr>
                <w:rFonts w:ascii="Aptos" w:hAnsi="Aptos"/>
                <w:b w:val="0"/>
                <w:sz w:val="16"/>
              </w:rPr>
              <w:t>UUID</w:t>
            </w:r>
          </w:p>
        </w:tc>
        <w:tc>
          <w:tcPr>
            <w:tcW w:type="dxa" w:w="3389"/>
            <w:vAlign w:val="center"/>
          </w:tcPr>
          <w:p>
            <w:pPr>
              <w:spacing w:after="20"/>
            </w:pPr>
            <w:r>
              <w:rPr>
                <w:rFonts w:ascii="Aptos" w:hAnsi="Aptos"/>
                <w:b w:val="0"/>
                <w:sz w:val="16"/>
              </w:rPr>
              <w:t>F000 offering.</w:t>
            </w:r>
          </w:p>
        </w:tc>
      </w:tr>
      <w:tr>
        <w:tc>
          <w:tcPr>
            <w:tcW w:type="dxa" w:w="3389"/>
            <w:vAlign w:val="center"/>
            <w:shd w:fill="F3F6F9"/>
          </w:tcPr>
          <w:p>
            <w:pPr>
              <w:spacing w:after="20"/>
            </w:pPr>
            <w:r>
              <w:rPr>
                <w:rFonts w:ascii="Aptos" w:hAnsi="Aptos"/>
                <w:b w:val="0"/>
                <w:sz w:val="16"/>
              </w:rPr>
              <w:t>version</w:t>
            </w:r>
          </w:p>
        </w:tc>
        <w:tc>
          <w:tcPr>
            <w:tcW w:type="dxa" w:w="3389"/>
            <w:vAlign w:val="center"/>
            <w:shd w:fill="F3F6F9"/>
          </w:tcPr>
          <w:p>
            <w:pPr>
              <w:spacing w:after="20"/>
            </w:pPr>
            <w:r>
              <w:rPr>
                <w:rFonts w:ascii="Aptos" w:hAnsi="Aptos"/>
                <w:b w:val="0"/>
                <w:sz w:val="16"/>
              </w:rPr>
              <w:t>integer</w:t>
            </w:r>
          </w:p>
        </w:tc>
        <w:tc>
          <w:tcPr>
            <w:tcW w:type="dxa" w:w="3389"/>
            <w:vAlign w:val="center"/>
            <w:shd w:fill="F3F6F9"/>
          </w:tcPr>
          <w:p>
            <w:pPr>
              <w:spacing w:after="20"/>
            </w:pPr>
            <w:r>
              <w:rPr>
                <w:rFonts w:ascii="Aptos" w:hAnsi="Aptos"/>
                <w:b w:val="0"/>
                <w:sz w:val="16"/>
              </w:rPr>
              <w:t>Monotonic per offering/session.</w:t>
            </w:r>
          </w:p>
        </w:tc>
      </w:tr>
      <w:tr>
        <w:tc>
          <w:tcPr>
            <w:tcW w:type="dxa" w:w="3389"/>
            <w:vAlign w:val="center"/>
          </w:tcPr>
          <w:p>
            <w:pPr>
              <w:spacing w:after="20"/>
            </w:pPr>
            <w:r>
              <w:rPr>
                <w:rFonts w:ascii="Aptos" w:hAnsi="Aptos"/>
                <w:b w:val="0"/>
                <w:sz w:val="16"/>
              </w:rPr>
              <w:t>seat_capacity_snapshot</w:t>
            </w:r>
          </w:p>
        </w:tc>
        <w:tc>
          <w:tcPr>
            <w:tcW w:type="dxa" w:w="3389"/>
            <w:vAlign w:val="center"/>
          </w:tcPr>
          <w:p>
            <w:pPr>
              <w:spacing w:after="20"/>
            </w:pPr>
            <w:r>
              <w:rPr>
                <w:rFonts w:ascii="Aptos" w:hAnsi="Aptos"/>
                <w:b w:val="0"/>
                <w:sz w:val="16"/>
              </w:rPr>
              <w:t>integer</w:t>
            </w:r>
          </w:p>
        </w:tc>
        <w:tc>
          <w:tcPr>
            <w:tcW w:type="dxa" w:w="3389"/>
            <w:vAlign w:val="center"/>
          </w:tcPr>
          <w:p>
            <w:pPr>
              <w:spacing w:after="20"/>
            </w:pPr>
            <w:r>
              <w:rPr>
                <w:rFonts w:ascii="Aptos" w:hAnsi="Aptos"/>
                <w:b w:val="0"/>
                <w:sz w:val="16"/>
              </w:rPr>
              <w:t>Positive capacity used.</w:t>
            </w:r>
          </w:p>
        </w:tc>
      </w:tr>
      <w:tr>
        <w:tc>
          <w:tcPr>
            <w:tcW w:type="dxa" w:w="3389"/>
            <w:vAlign w:val="center"/>
            <w:shd w:fill="F3F6F9"/>
          </w:tcPr>
          <w:p>
            <w:pPr>
              <w:spacing w:after="20"/>
            </w:pPr>
            <w:r>
              <w:rPr>
                <w:rFonts w:ascii="Aptos" w:hAnsi="Aptos"/>
                <w:b w:val="0"/>
                <w:sz w:val="16"/>
              </w:rPr>
              <w:t>status</w:t>
            </w:r>
          </w:p>
        </w:tc>
        <w:tc>
          <w:tcPr>
            <w:tcW w:type="dxa" w:w="3389"/>
            <w:vAlign w:val="center"/>
            <w:shd w:fill="F3F6F9"/>
          </w:tcPr>
          <w:p>
            <w:pPr>
              <w:spacing w:after="20"/>
            </w:pPr>
            <w:r>
              <w:rPr>
                <w:rFonts w:ascii="Aptos" w:hAnsi="Aptos"/>
                <w:b w:val="0"/>
                <w:sz w:val="16"/>
              </w:rPr>
              <w:t>varchar</w:t>
            </w:r>
          </w:p>
        </w:tc>
        <w:tc>
          <w:tcPr>
            <w:tcW w:type="dxa" w:w="3389"/>
            <w:vAlign w:val="center"/>
            <w:shd w:fill="F3F6F9"/>
          </w:tcPr>
          <w:p>
            <w:pPr>
              <w:spacing w:after="20"/>
            </w:pPr>
            <w:r>
              <w:rPr>
                <w:rFonts w:ascii="Aptos" w:hAnsi="Aptos"/>
                <w:b w:val="0"/>
                <w:sz w:val="16"/>
              </w:rPr>
              <w:t>List lifecycle.</w:t>
            </w:r>
          </w:p>
        </w:tc>
      </w:tr>
      <w:tr>
        <w:tc>
          <w:tcPr>
            <w:tcW w:type="dxa" w:w="3389"/>
            <w:vAlign w:val="center"/>
          </w:tcPr>
          <w:p>
            <w:pPr>
              <w:spacing w:after="20"/>
            </w:pPr>
            <w:r>
              <w:rPr>
                <w:rFonts w:ascii="Aptos" w:hAnsi="Aptos"/>
                <w:b w:val="0"/>
                <w:sz w:val="16"/>
              </w:rPr>
              <w:t>generated_at / generated_by</w:t>
            </w:r>
          </w:p>
        </w:tc>
        <w:tc>
          <w:tcPr>
            <w:tcW w:type="dxa" w:w="3389"/>
            <w:vAlign w:val="center"/>
          </w:tcPr>
          <w:p>
            <w:pPr>
              <w:spacing w:after="20"/>
            </w:pPr>
            <w:r>
              <w:rPr>
                <w:rFonts w:ascii="Aptos" w:hAnsi="Aptos"/>
                <w:b w:val="0"/>
                <w:sz w:val="16"/>
              </w:rPr>
              <w:t>timestamptz / UUID</w:t>
            </w:r>
          </w:p>
        </w:tc>
        <w:tc>
          <w:tcPr>
            <w:tcW w:type="dxa" w:w="3389"/>
            <w:vAlign w:val="center"/>
          </w:tcPr>
          <w:p>
            <w:pPr>
              <w:spacing w:after="20"/>
            </w:pPr>
            <w:r>
              <w:rPr>
                <w:rFonts w:ascii="Aptos" w:hAnsi="Aptos"/>
                <w:b w:val="0"/>
                <w:sz w:val="16"/>
              </w:rPr>
              <w:t>Draft provenance.</w:t>
            </w:r>
          </w:p>
        </w:tc>
      </w:tr>
      <w:tr>
        <w:tc>
          <w:tcPr>
            <w:tcW w:type="dxa" w:w="3389"/>
            <w:vAlign w:val="center"/>
            <w:shd w:fill="F3F6F9"/>
          </w:tcPr>
          <w:p>
            <w:pPr>
              <w:spacing w:after="20"/>
            </w:pPr>
            <w:r>
              <w:rPr>
                <w:rFonts w:ascii="Aptos" w:hAnsi="Aptos"/>
                <w:b w:val="0"/>
                <w:sz w:val="16"/>
              </w:rPr>
              <w:t>approved_at/by, published_at/by</w:t>
            </w:r>
          </w:p>
        </w:tc>
        <w:tc>
          <w:tcPr>
            <w:tcW w:type="dxa" w:w="3389"/>
            <w:vAlign w:val="center"/>
            <w:shd w:fill="F3F6F9"/>
          </w:tcPr>
          <w:p>
            <w:pPr>
              <w:spacing w:after="20"/>
            </w:pPr>
            <w:r>
              <w:rPr>
                <w:rFonts w:ascii="Aptos" w:hAnsi="Aptos"/>
                <w:b w:val="0"/>
                <w:sz w:val="16"/>
              </w:rPr>
              <w:t>nullable audit</w:t>
            </w:r>
          </w:p>
        </w:tc>
        <w:tc>
          <w:tcPr>
            <w:tcW w:type="dxa" w:w="3389"/>
            <w:vAlign w:val="center"/>
            <w:shd w:fill="F3F6F9"/>
          </w:tcPr>
          <w:p>
            <w:pPr>
              <w:spacing w:after="20"/>
            </w:pPr>
            <w:r>
              <w:rPr>
                <w:rFonts w:ascii="Aptos" w:hAnsi="Aptos"/>
                <w:b w:val="0"/>
                <w:sz w:val="16"/>
              </w:rPr>
              <w:t>Workflow events.</w:t>
            </w:r>
          </w:p>
        </w:tc>
      </w:tr>
      <w:tr>
        <w:tc>
          <w:tcPr>
            <w:tcW w:type="dxa" w:w="3389"/>
            <w:vAlign w:val="center"/>
          </w:tcPr>
          <w:p>
            <w:pPr>
              <w:spacing w:after="20"/>
            </w:pPr>
            <w:r>
              <w:rPr>
                <w:rFonts w:ascii="Aptos" w:hAnsi="Aptos"/>
                <w:b w:val="0"/>
                <w:sz w:val="16"/>
              </w:rPr>
              <w:t>supersedes_merit_list_id</w:t>
            </w:r>
          </w:p>
        </w:tc>
        <w:tc>
          <w:tcPr>
            <w:tcW w:type="dxa" w:w="3389"/>
            <w:vAlign w:val="center"/>
          </w:tcPr>
          <w:p>
            <w:pPr>
              <w:spacing w:after="20"/>
            </w:pPr>
            <w:r>
              <w:rPr>
                <w:rFonts w:ascii="Aptos" w:hAnsi="Aptos"/>
                <w:b w:val="0"/>
                <w:sz w:val="16"/>
              </w:rPr>
              <w:t>UUID nullable</w:t>
            </w:r>
          </w:p>
        </w:tc>
        <w:tc>
          <w:tcPr>
            <w:tcW w:type="dxa" w:w="3389"/>
            <w:vAlign w:val="center"/>
          </w:tcPr>
          <w:p>
            <w:pPr>
              <w:spacing w:after="20"/>
            </w:pPr>
            <w:r>
              <w:rPr>
                <w:rFonts w:ascii="Aptos" w:hAnsi="Aptos"/>
                <w:b w:val="0"/>
                <w:sz w:val="16"/>
              </w:rPr>
              <w:t>Prior version.</w:t>
            </w:r>
          </w:p>
        </w:tc>
      </w:tr>
    </w:tbl>
    <w:p>
      <w:pPr>
        <w:spacing w:after="20"/>
      </w:pPr>
    </w:p>
    <w:p>
      <w:r>
        <w:t>Unique constraint: (tenant_id, test_session_id, programme_offering_id, version). A policy may permit only one current DRAFT/APPROVED/PUBLISHED list per offering/session; enforce with transaction/partial unique index.</w:t>
      </w:r>
    </w:p>
    <w:p>
      <w:pPr>
        <w:pStyle w:val="Heading2"/>
      </w:pPr>
      <w:r>
        <w:t>8.5 merit_list_items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Column</w:t>
            </w:r>
          </w:p>
        </w:tc>
        <w:tc>
          <w:tcPr>
            <w:tcW w:type="dxa" w:w="3389"/>
            <w:vAlign w:val="center"/>
            <w:shd w:fill="17365D"/>
          </w:tcPr>
          <w:p>
            <w:pPr>
              <w:spacing w:after="20"/>
            </w:pPr>
            <w:r>
              <w:rPr>
                <w:rFonts w:ascii="Aptos" w:hAnsi="Aptos"/>
                <w:b/>
                <w:color w:val="FFFFFF"/>
                <w:sz w:val="16"/>
              </w:rPr>
              <w:t>Type</w:t>
            </w:r>
          </w:p>
        </w:tc>
        <w:tc>
          <w:tcPr>
            <w:tcW w:type="dxa" w:w="3389"/>
            <w:vAlign w:val="center"/>
            <w:shd w:fill="17365D"/>
          </w:tcPr>
          <w:p>
            <w:pPr>
              <w:spacing w:after="20"/>
            </w:pPr>
            <w:r>
              <w:rPr>
                <w:rFonts w:ascii="Aptos" w:hAnsi="Aptos"/>
                <w:b/>
                <w:color w:val="FFFFFF"/>
                <w:sz w:val="16"/>
              </w:rPr>
              <w:t>Notes</w:t>
            </w:r>
          </w:p>
        </w:tc>
      </w:tr>
      <w:tr>
        <w:tc>
          <w:tcPr>
            <w:tcW w:type="dxa" w:w="3389"/>
            <w:vAlign w:val="center"/>
          </w:tcPr>
          <w:p>
            <w:pPr>
              <w:spacing w:after="20"/>
            </w:pPr>
            <w:r>
              <w:rPr>
                <w:rFonts w:ascii="Aptos" w:hAnsi="Aptos"/>
                <w:b w:val="0"/>
                <w:sz w:val="16"/>
              </w:rPr>
              <w:t>id</w:t>
            </w:r>
          </w:p>
        </w:tc>
        <w:tc>
          <w:tcPr>
            <w:tcW w:type="dxa" w:w="3389"/>
            <w:vAlign w:val="center"/>
          </w:tcPr>
          <w:p>
            <w:pPr>
              <w:spacing w:after="20"/>
            </w:pPr>
            <w:r>
              <w:rPr>
                <w:rFonts w:ascii="Aptos" w:hAnsi="Aptos"/>
                <w:b w:val="0"/>
                <w:sz w:val="16"/>
              </w:rPr>
              <w:t>UUID PK</w:t>
            </w:r>
          </w:p>
        </w:tc>
        <w:tc>
          <w:tcPr>
            <w:tcW w:type="dxa" w:w="3389"/>
            <w:vAlign w:val="center"/>
          </w:tcPr>
          <w:p>
            <w:pPr>
              <w:spacing w:after="20"/>
            </w:pPr>
            <w:r>
              <w:rPr>
                <w:rFonts w:ascii="Aptos" w:hAnsi="Aptos"/>
                <w:b w:val="0"/>
                <w:sz w:val="16"/>
              </w:rPr>
              <w:t>Item identifier.</w:t>
            </w:r>
          </w:p>
        </w:tc>
      </w:tr>
      <w:tr>
        <w:tc>
          <w:tcPr>
            <w:tcW w:type="dxa" w:w="3389"/>
            <w:vAlign w:val="center"/>
            <w:shd w:fill="F3F6F9"/>
          </w:tcPr>
          <w:p>
            <w:pPr>
              <w:spacing w:after="20"/>
            </w:pPr>
            <w:r>
              <w:rPr>
                <w:rFonts w:ascii="Aptos" w:hAnsi="Aptos"/>
                <w:b w:val="0"/>
                <w:sz w:val="16"/>
              </w:rPr>
              <w:t>tenant_id</w:t>
            </w:r>
          </w:p>
        </w:tc>
        <w:tc>
          <w:tcPr>
            <w:tcW w:type="dxa" w:w="3389"/>
            <w:vAlign w:val="center"/>
            <w:shd w:fill="F3F6F9"/>
          </w:tcPr>
          <w:p>
            <w:pPr>
              <w:spacing w:after="20"/>
            </w:pPr>
            <w:r>
              <w:rPr>
                <w:rFonts w:ascii="Aptos" w:hAnsi="Aptos"/>
                <w:b w:val="0"/>
                <w:sz w:val="16"/>
              </w:rPr>
              <w:t>UUID</w:t>
            </w:r>
          </w:p>
        </w:tc>
        <w:tc>
          <w:tcPr>
            <w:tcW w:type="dxa" w:w="3389"/>
            <w:vAlign w:val="center"/>
            <w:shd w:fill="F3F6F9"/>
          </w:tcPr>
          <w:p>
            <w:pPr>
              <w:spacing w:after="20"/>
            </w:pPr>
            <w:r>
              <w:rPr>
                <w:rFonts w:ascii="Aptos" w:hAnsi="Aptos"/>
                <w:b w:val="0"/>
                <w:sz w:val="16"/>
              </w:rPr>
              <w:t>Tenant scope.</w:t>
            </w:r>
          </w:p>
        </w:tc>
      </w:tr>
      <w:tr>
        <w:tc>
          <w:tcPr>
            <w:tcW w:type="dxa" w:w="3389"/>
            <w:vAlign w:val="center"/>
          </w:tcPr>
          <w:p>
            <w:pPr>
              <w:spacing w:after="20"/>
            </w:pPr>
            <w:r>
              <w:rPr>
                <w:rFonts w:ascii="Aptos" w:hAnsi="Aptos"/>
                <w:b w:val="0"/>
                <w:sz w:val="16"/>
              </w:rPr>
              <w:t>merit_list_id</w:t>
            </w:r>
          </w:p>
        </w:tc>
        <w:tc>
          <w:tcPr>
            <w:tcW w:type="dxa" w:w="3389"/>
            <w:vAlign w:val="center"/>
          </w:tcPr>
          <w:p>
            <w:pPr>
              <w:spacing w:after="20"/>
            </w:pPr>
            <w:r>
              <w:rPr>
                <w:rFonts w:ascii="Aptos" w:hAnsi="Aptos"/>
                <w:b w:val="0"/>
                <w:sz w:val="16"/>
              </w:rPr>
              <w:t>UUID FK</w:t>
            </w:r>
          </w:p>
        </w:tc>
        <w:tc>
          <w:tcPr>
            <w:tcW w:type="dxa" w:w="3389"/>
            <w:vAlign w:val="center"/>
          </w:tcPr>
          <w:p>
            <w:pPr>
              <w:spacing w:after="20"/>
            </w:pPr>
            <w:r>
              <w:rPr>
                <w:rFonts w:ascii="Aptos" w:hAnsi="Aptos"/>
                <w:b w:val="0"/>
                <w:sz w:val="16"/>
              </w:rPr>
              <w:t>Parent snapshot.</w:t>
            </w:r>
          </w:p>
        </w:tc>
      </w:tr>
      <w:tr>
        <w:tc>
          <w:tcPr>
            <w:tcW w:type="dxa" w:w="3389"/>
            <w:vAlign w:val="center"/>
            <w:shd w:fill="F3F6F9"/>
          </w:tcPr>
          <w:p>
            <w:pPr>
              <w:spacing w:after="20"/>
            </w:pPr>
            <w:r>
              <w:rPr>
                <w:rFonts w:ascii="Aptos" w:hAnsi="Aptos"/>
                <w:b w:val="0"/>
                <w:sz w:val="16"/>
              </w:rPr>
              <w:t>applicant_id</w:t>
            </w:r>
          </w:p>
        </w:tc>
        <w:tc>
          <w:tcPr>
            <w:tcW w:type="dxa" w:w="3389"/>
            <w:vAlign w:val="center"/>
            <w:shd w:fill="F3F6F9"/>
          </w:tcPr>
          <w:p>
            <w:pPr>
              <w:spacing w:after="20"/>
            </w:pPr>
            <w:r>
              <w:rPr>
                <w:rFonts w:ascii="Aptos" w:hAnsi="Aptos"/>
                <w:b w:val="0"/>
                <w:sz w:val="16"/>
              </w:rPr>
              <w:t>UUID FK</w:t>
            </w:r>
          </w:p>
        </w:tc>
        <w:tc>
          <w:tcPr>
            <w:tcW w:type="dxa" w:w="3389"/>
            <w:vAlign w:val="center"/>
            <w:shd w:fill="F3F6F9"/>
          </w:tcPr>
          <w:p>
            <w:pPr>
              <w:spacing w:after="20"/>
            </w:pPr>
            <w:r>
              <w:rPr>
                <w:rFonts w:ascii="Aptos" w:hAnsi="Aptos"/>
                <w:b w:val="0"/>
                <w:sz w:val="16"/>
              </w:rPr>
              <w:t>F002 application.</w:t>
            </w:r>
          </w:p>
        </w:tc>
      </w:tr>
      <w:tr>
        <w:tc>
          <w:tcPr>
            <w:tcW w:type="dxa" w:w="3389"/>
            <w:vAlign w:val="center"/>
          </w:tcPr>
          <w:p>
            <w:pPr>
              <w:spacing w:after="20"/>
            </w:pPr>
            <w:r>
              <w:rPr>
                <w:rFonts w:ascii="Aptos" w:hAnsi="Aptos"/>
                <w:b w:val="0"/>
                <w:sz w:val="16"/>
              </w:rPr>
              <w:t>result_id</w:t>
            </w:r>
          </w:p>
        </w:tc>
        <w:tc>
          <w:tcPr>
            <w:tcW w:type="dxa" w:w="3389"/>
            <w:vAlign w:val="center"/>
          </w:tcPr>
          <w:p>
            <w:pPr>
              <w:spacing w:after="20"/>
            </w:pPr>
            <w:r>
              <w:rPr>
                <w:rFonts w:ascii="Aptos" w:hAnsi="Aptos"/>
                <w:b w:val="0"/>
                <w:sz w:val="16"/>
              </w:rPr>
              <w:t>UUID FK</w:t>
            </w:r>
          </w:p>
        </w:tc>
        <w:tc>
          <w:tcPr>
            <w:tcW w:type="dxa" w:w="3389"/>
            <w:vAlign w:val="center"/>
          </w:tcPr>
          <w:p>
            <w:pPr>
              <w:spacing w:after="20"/>
            </w:pPr>
            <w:r>
              <w:rPr>
                <w:rFonts w:ascii="Aptos" w:hAnsi="Aptos"/>
                <w:b w:val="0"/>
                <w:sz w:val="16"/>
              </w:rPr>
              <w:t>Canonical result used.</w:t>
            </w:r>
          </w:p>
        </w:tc>
      </w:tr>
      <w:tr>
        <w:tc>
          <w:tcPr>
            <w:tcW w:type="dxa" w:w="3389"/>
            <w:vAlign w:val="center"/>
            <w:shd w:fill="F3F6F9"/>
          </w:tcPr>
          <w:p>
            <w:pPr>
              <w:spacing w:after="20"/>
            </w:pPr>
            <w:r>
              <w:rPr>
                <w:rFonts w:ascii="Aptos" w:hAnsi="Aptos"/>
                <w:b w:val="0"/>
                <w:sz w:val="16"/>
              </w:rPr>
              <w:t>preference_order_snapshot</w:t>
            </w:r>
          </w:p>
        </w:tc>
        <w:tc>
          <w:tcPr>
            <w:tcW w:type="dxa" w:w="3389"/>
            <w:vAlign w:val="center"/>
            <w:shd w:fill="F3F6F9"/>
          </w:tcPr>
          <w:p>
            <w:pPr>
              <w:spacing w:after="20"/>
            </w:pPr>
            <w:r>
              <w:rPr>
                <w:rFonts w:ascii="Aptos" w:hAnsi="Aptos"/>
                <w:b w:val="0"/>
                <w:sz w:val="16"/>
              </w:rPr>
              <w:t>integer</w:t>
            </w:r>
          </w:p>
        </w:tc>
        <w:tc>
          <w:tcPr>
            <w:tcW w:type="dxa" w:w="3389"/>
            <w:vAlign w:val="center"/>
            <w:shd w:fill="F3F6F9"/>
          </w:tcPr>
          <w:p>
            <w:pPr>
              <w:spacing w:after="20"/>
            </w:pPr>
            <w:r>
              <w:rPr>
                <w:rFonts w:ascii="Aptos" w:hAnsi="Aptos"/>
                <w:b w:val="0"/>
                <w:sz w:val="16"/>
              </w:rPr>
              <w:t>Preference rank at calculation time.</w:t>
            </w:r>
          </w:p>
        </w:tc>
      </w:tr>
      <w:tr>
        <w:tc>
          <w:tcPr>
            <w:tcW w:type="dxa" w:w="3389"/>
            <w:vAlign w:val="center"/>
          </w:tcPr>
          <w:p>
            <w:pPr>
              <w:spacing w:after="20"/>
            </w:pPr>
            <w:r>
              <w:rPr>
                <w:rFonts w:ascii="Aptos" w:hAnsi="Aptos"/>
                <w:b w:val="0"/>
                <w:sz w:val="16"/>
              </w:rPr>
              <w:t>rank</w:t>
            </w:r>
          </w:p>
        </w:tc>
        <w:tc>
          <w:tcPr>
            <w:tcW w:type="dxa" w:w="3389"/>
            <w:vAlign w:val="center"/>
          </w:tcPr>
          <w:p>
            <w:pPr>
              <w:spacing w:after="20"/>
            </w:pPr>
            <w:r>
              <w:rPr>
                <w:rFonts w:ascii="Aptos" w:hAnsi="Aptos"/>
                <w:b w:val="0"/>
                <w:sz w:val="16"/>
              </w:rPr>
              <w:t>integer nullable</w:t>
            </w:r>
          </w:p>
        </w:tc>
        <w:tc>
          <w:tcPr>
            <w:tcW w:type="dxa" w:w="3389"/>
            <w:vAlign w:val="center"/>
          </w:tcPr>
          <w:p>
            <w:pPr>
              <w:spacing w:after="20"/>
            </w:pPr>
            <w:r>
              <w:rPr>
                <w:rFonts w:ascii="Aptos" w:hAnsi="Aptos"/>
                <w:b w:val="0"/>
                <w:sz w:val="16"/>
              </w:rPr>
              <w:t>Competition rank; null for non-qualifying.</w:t>
            </w:r>
          </w:p>
        </w:tc>
      </w:tr>
      <w:tr>
        <w:tc>
          <w:tcPr>
            <w:tcW w:type="dxa" w:w="3389"/>
            <w:vAlign w:val="center"/>
            <w:shd w:fill="F3F6F9"/>
          </w:tcPr>
          <w:p>
            <w:pPr>
              <w:spacing w:after="20"/>
            </w:pPr>
            <w:r>
              <w:rPr>
                <w:rFonts w:ascii="Aptos" w:hAnsi="Aptos"/>
                <w:b w:val="0"/>
                <w:sz w:val="16"/>
              </w:rPr>
              <w:t>percentage_snapshot</w:t>
            </w:r>
          </w:p>
        </w:tc>
        <w:tc>
          <w:tcPr>
            <w:tcW w:type="dxa" w:w="3389"/>
            <w:vAlign w:val="center"/>
            <w:shd w:fill="F3F6F9"/>
          </w:tcPr>
          <w:p>
            <w:pPr>
              <w:spacing w:after="20"/>
            </w:pPr>
            <w:r>
              <w:rPr>
                <w:rFonts w:ascii="Aptos" w:hAnsi="Aptos"/>
                <w:b w:val="0"/>
                <w:sz w:val="16"/>
              </w:rPr>
              <w:t>numeric(5,2)</w:t>
            </w:r>
          </w:p>
        </w:tc>
        <w:tc>
          <w:tcPr>
            <w:tcW w:type="dxa" w:w="3389"/>
            <w:vAlign w:val="center"/>
            <w:shd w:fill="F3F6F9"/>
          </w:tcPr>
          <w:p>
            <w:pPr>
              <w:spacing w:after="20"/>
            </w:pPr>
            <w:r>
              <w:rPr>
                <w:rFonts w:ascii="Aptos" w:hAnsi="Aptos"/>
                <w:b w:val="0"/>
                <w:sz w:val="16"/>
              </w:rPr>
              <w:t>Ranking value.</w:t>
            </w:r>
          </w:p>
        </w:tc>
      </w:tr>
      <w:tr>
        <w:tc>
          <w:tcPr>
            <w:tcW w:type="dxa" w:w="3389"/>
            <w:vAlign w:val="center"/>
          </w:tcPr>
          <w:p>
            <w:pPr>
              <w:spacing w:after="20"/>
            </w:pPr>
            <w:r>
              <w:rPr>
                <w:rFonts w:ascii="Aptos" w:hAnsi="Aptos"/>
                <w:b w:val="0"/>
                <w:sz w:val="16"/>
              </w:rPr>
              <w:t>status</w:t>
            </w:r>
          </w:p>
        </w:tc>
        <w:tc>
          <w:tcPr>
            <w:tcW w:type="dxa" w:w="3389"/>
            <w:vAlign w:val="center"/>
          </w:tcPr>
          <w:p>
            <w:pPr>
              <w:spacing w:after="20"/>
            </w:pPr>
            <w:r>
              <w:rPr>
                <w:rFonts w:ascii="Aptos" w:hAnsi="Aptos"/>
                <w:b w:val="0"/>
                <w:sz w:val="16"/>
              </w:rPr>
              <w:t>varchar</w:t>
            </w:r>
          </w:p>
        </w:tc>
        <w:tc>
          <w:tcPr>
            <w:tcW w:type="dxa" w:w="3389"/>
            <w:vAlign w:val="center"/>
          </w:tcPr>
          <w:p>
            <w:pPr>
              <w:spacing w:after="20"/>
            </w:pPr>
            <w:r>
              <w:rPr>
                <w:rFonts w:ascii="Aptos" w:hAnsi="Aptos"/>
                <w:b w:val="0"/>
                <w:sz w:val="16"/>
              </w:rPr>
              <w:t>SELECTED/WAITING/REJECTED/REVIEW_REQUIRED.</w:t>
            </w:r>
          </w:p>
        </w:tc>
      </w:tr>
      <w:tr>
        <w:tc>
          <w:tcPr>
            <w:tcW w:type="dxa" w:w="3389"/>
            <w:vAlign w:val="center"/>
            <w:shd w:fill="F3F6F9"/>
          </w:tcPr>
          <w:p>
            <w:pPr>
              <w:spacing w:after="20"/>
            </w:pPr>
            <w:r>
              <w:rPr>
                <w:rFonts w:ascii="Aptos" w:hAnsi="Aptos"/>
                <w:b w:val="0"/>
                <w:sz w:val="16"/>
              </w:rPr>
              <w:t>decision_reason</w:t>
            </w:r>
          </w:p>
        </w:tc>
        <w:tc>
          <w:tcPr>
            <w:tcW w:type="dxa" w:w="3389"/>
            <w:vAlign w:val="center"/>
            <w:shd w:fill="F3F6F9"/>
          </w:tcPr>
          <w:p>
            <w:pPr>
              <w:spacing w:after="20"/>
            </w:pPr>
            <w:r>
              <w:rPr>
                <w:rFonts w:ascii="Aptos" w:hAnsi="Aptos"/>
                <w:b w:val="0"/>
                <w:sz w:val="16"/>
              </w:rPr>
              <w:t>text nullable</w:t>
            </w:r>
          </w:p>
        </w:tc>
        <w:tc>
          <w:tcPr>
            <w:tcW w:type="dxa" w:w="3389"/>
            <w:vAlign w:val="center"/>
            <w:shd w:fill="F3F6F9"/>
          </w:tcPr>
          <w:p>
            <w:pPr>
              <w:spacing w:after="20"/>
            </w:pPr>
            <w:r>
              <w:rPr>
                <w:rFonts w:ascii="Aptos" w:hAnsi="Aptos"/>
                <w:b w:val="0"/>
                <w:sz w:val="16"/>
              </w:rPr>
              <w:t>Auditable reason for manual resolution.</w:t>
            </w:r>
          </w:p>
        </w:tc>
      </w:tr>
      <w:tr>
        <w:tc>
          <w:tcPr>
            <w:tcW w:type="dxa" w:w="3389"/>
            <w:vAlign w:val="center"/>
          </w:tcPr>
          <w:p>
            <w:pPr>
              <w:spacing w:after="20"/>
            </w:pPr>
            <w:r>
              <w:rPr>
                <w:rFonts w:ascii="Aptos" w:hAnsi="Aptos"/>
                <w:b w:val="0"/>
                <w:sz w:val="16"/>
              </w:rPr>
              <w:t>created_at</w:t>
            </w:r>
          </w:p>
        </w:tc>
        <w:tc>
          <w:tcPr>
            <w:tcW w:type="dxa" w:w="3389"/>
            <w:vAlign w:val="center"/>
          </w:tcPr>
          <w:p>
            <w:pPr>
              <w:spacing w:after="20"/>
            </w:pPr>
            <w:r>
              <w:rPr>
                <w:rFonts w:ascii="Aptos" w:hAnsi="Aptos"/>
                <w:b w:val="0"/>
                <w:sz w:val="16"/>
              </w:rPr>
              <w:t>timestamptz</w:t>
            </w:r>
          </w:p>
        </w:tc>
        <w:tc>
          <w:tcPr>
            <w:tcW w:type="dxa" w:w="3389"/>
            <w:vAlign w:val="center"/>
          </w:tcPr>
          <w:p>
            <w:pPr>
              <w:spacing w:after="20"/>
            </w:pPr>
            <w:r>
              <w:rPr>
                <w:rFonts w:ascii="Aptos" w:hAnsi="Aptos"/>
                <w:b w:val="0"/>
                <w:sz w:val="16"/>
              </w:rPr>
              <w:t>Snapshot creation.</w:t>
            </w:r>
          </w:p>
        </w:tc>
      </w:tr>
    </w:tbl>
    <w:p>
      <w:pPr>
        <w:spacing w:after="20"/>
      </w:pPr>
    </w:p>
    <w:p>
      <w:r>
        <w:t>Unique constraint: (tenant_id, merit_list_id, applicant_id). One applicant can appear in multiple offering lists.</w:t>
      </w:r>
    </w:p>
    <w:p>
      <w:pPr>
        <w:pStyle w:val="Heading1"/>
      </w:pPr>
      <w:r>
        <w:t>9. API contract</w:t>
      </w:r>
    </w:p>
    <w:p>
      <w:r>
        <w:t>All staff routes require bearer JWT, tenant and Admissions Admin authorization. UUID path/body values are validated. Use standard success/error envelope and pagination convention already used by the service. Swagger must describe request/response DTOs, multipart file field, enums, authorization, pagination, and possible error responses.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Method and path</w:t>
            </w:r>
          </w:p>
        </w:tc>
        <w:tc>
          <w:tcPr>
            <w:tcW w:type="dxa" w:w="5083"/>
            <w:vAlign w:val="center"/>
            <w:shd w:fill="17365D"/>
          </w:tcPr>
          <w:p>
            <w:pPr>
              <w:spacing w:after="20"/>
            </w:pPr>
            <w:r>
              <w:rPr>
                <w:rFonts w:ascii="Aptos" w:hAnsi="Aptos"/>
                <w:b/>
                <w:color w:val="FFFFFF"/>
                <w:sz w:val="16"/>
              </w:rPr>
              <w:t>Purpose / main response</w:t>
            </w:r>
          </w:p>
        </w:tc>
      </w:tr>
      <w:tr>
        <w:tc>
          <w:tcPr>
            <w:tcW w:type="dxa" w:w="5083"/>
            <w:vAlign w:val="center"/>
          </w:tcPr>
          <w:p>
            <w:pPr>
              <w:spacing w:after="20"/>
            </w:pPr>
            <w:r>
              <w:rPr>
                <w:rFonts w:ascii="Aptos" w:hAnsi="Aptos"/>
                <w:b w:val="0"/>
                <w:sz w:val="16"/>
              </w:rPr>
              <w:t>POST /api/v1/admissions/entry-test-results/imports</w:t>
            </w:r>
          </w:p>
        </w:tc>
        <w:tc>
          <w:tcPr>
            <w:tcW w:type="dxa" w:w="5083"/>
            <w:vAlign w:val="center"/>
          </w:tcPr>
          <w:p>
            <w:pPr>
              <w:spacing w:after="20"/>
            </w:pPr>
            <w:r>
              <w:rPr>
                <w:rFonts w:ascii="Aptos" w:hAnsi="Aptos"/>
                <w:b w:val="0"/>
                <w:sz w:val="16"/>
              </w:rPr>
              <w:t>Multipart upload: testSessionId + file. Returns import ID and initial state.</w:t>
            </w:r>
          </w:p>
        </w:tc>
      </w:tr>
      <w:tr>
        <w:tc>
          <w:tcPr>
            <w:tcW w:type="dxa" w:w="5083"/>
            <w:vAlign w:val="center"/>
            <w:shd w:fill="F3F6F9"/>
          </w:tcPr>
          <w:p>
            <w:pPr>
              <w:spacing w:after="20"/>
            </w:pPr>
            <w:r>
              <w:rPr>
                <w:rFonts w:ascii="Aptos" w:hAnsi="Aptos"/>
                <w:b w:val="0"/>
                <w:sz w:val="16"/>
              </w:rPr>
              <w:t>GET /api/v1/admissions/entry-test-results/imports/{importId}</w:t>
            </w:r>
          </w:p>
        </w:tc>
        <w:tc>
          <w:tcPr>
            <w:tcW w:type="dxa" w:w="5083"/>
            <w:vAlign w:val="center"/>
            <w:shd w:fill="F3F6F9"/>
          </w:tcPr>
          <w:p>
            <w:pPr>
              <w:spacing w:after="20"/>
            </w:pPr>
            <w:r>
              <w:rPr>
                <w:rFonts w:ascii="Aptos" w:hAnsi="Aptos"/>
                <w:b w:val="0"/>
                <w:sz w:val="16"/>
              </w:rPr>
              <w:t>Import summary, status, counts, file provenance and actor timestamps.</w:t>
            </w:r>
          </w:p>
        </w:tc>
      </w:tr>
      <w:tr>
        <w:tc>
          <w:tcPr>
            <w:tcW w:type="dxa" w:w="5083"/>
            <w:vAlign w:val="center"/>
          </w:tcPr>
          <w:p>
            <w:pPr>
              <w:spacing w:after="20"/>
            </w:pPr>
            <w:r>
              <w:rPr>
                <w:rFonts w:ascii="Aptos" w:hAnsi="Aptos"/>
                <w:b w:val="0"/>
                <w:sz w:val="16"/>
              </w:rPr>
              <w:t>GET /api/v1/admissions/entry-test-results/imports/{importId}/rows</w:t>
            </w:r>
          </w:p>
        </w:tc>
        <w:tc>
          <w:tcPr>
            <w:tcW w:type="dxa" w:w="5083"/>
            <w:vAlign w:val="center"/>
          </w:tcPr>
          <w:p>
            <w:pPr>
              <w:spacing w:after="20"/>
            </w:pPr>
            <w:r>
              <w:rPr>
                <w:rFonts w:ascii="Aptos" w:hAnsi="Aptos"/>
                <w:b w:val="0"/>
                <w:sz w:val="16"/>
              </w:rPr>
              <w:t>Paginated preview rows, normalized data and validation errors.</w:t>
            </w:r>
          </w:p>
        </w:tc>
      </w:tr>
      <w:tr>
        <w:tc>
          <w:tcPr>
            <w:tcW w:type="dxa" w:w="5083"/>
            <w:vAlign w:val="center"/>
            <w:shd w:fill="F3F6F9"/>
          </w:tcPr>
          <w:p>
            <w:pPr>
              <w:spacing w:after="20"/>
            </w:pPr>
            <w:r>
              <w:rPr>
                <w:rFonts w:ascii="Aptos" w:hAnsi="Aptos"/>
                <w:b w:val="0"/>
                <w:sz w:val="16"/>
              </w:rPr>
              <w:t>GET /api/v1/admissions/entry-test-results/imports/{importId}/errors</w:t>
            </w:r>
          </w:p>
        </w:tc>
        <w:tc>
          <w:tcPr>
            <w:tcW w:type="dxa" w:w="5083"/>
            <w:vAlign w:val="center"/>
            <w:shd w:fill="F3F6F9"/>
          </w:tcPr>
          <w:p>
            <w:pPr>
              <w:spacing w:after="20"/>
            </w:pPr>
            <w:r>
              <w:rPr>
                <w:rFonts w:ascii="Aptos" w:hAnsi="Aptos"/>
                <w:b w:val="0"/>
                <w:sz w:val="16"/>
              </w:rPr>
              <w:t>Downloadable or paginated row/field error report.</w:t>
            </w:r>
          </w:p>
        </w:tc>
      </w:tr>
      <w:tr>
        <w:tc>
          <w:tcPr>
            <w:tcW w:type="dxa" w:w="5083"/>
            <w:vAlign w:val="center"/>
          </w:tcPr>
          <w:p>
            <w:pPr>
              <w:spacing w:after="20"/>
            </w:pPr>
            <w:r>
              <w:rPr>
                <w:rFonts w:ascii="Aptos" w:hAnsi="Aptos"/>
                <w:b w:val="0"/>
                <w:sz w:val="16"/>
              </w:rPr>
              <w:t>POST /api/v1/admissions/entry-test-results/imports/{importId}/confirm</w:t>
            </w:r>
          </w:p>
        </w:tc>
        <w:tc>
          <w:tcPr>
            <w:tcW w:type="dxa" w:w="5083"/>
            <w:vAlign w:val="center"/>
          </w:tcPr>
          <w:p>
            <w:pPr>
              <w:spacing w:after="20"/>
            </w:pPr>
            <w:r>
              <w:rPr>
                <w:rFonts w:ascii="Aptos" w:hAnsi="Aptos"/>
                <w:b w:val="0"/>
                <w:sz w:val="16"/>
              </w:rPr>
              <w:t>Confirm a READY_TO_CONFIRM batch atomically; idempotent.</w:t>
            </w:r>
          </w:p>
        </w:tc>
      </w:tr>
      <w:tr>
        <w:tc>
          <w:tcPr>
            <w:tcW w:type="dxa" w:w="5083"/>
            <w:vAlign w:val="center"/>
            <w:shd w:fill="F3F6F9"/>
          </w:tcPr>
          <w:p>
            <w:pPr>
              <w:spacing w:after="20"/>
            </w:pPr>
            <w:r>
              <w:rPr>
                <w:rFonts w:ascii="Aptos" w:hAnsi="Aptos"/>
                <w:b w:val="0"/>
                <w:sz w:val="16"/>
              </w:rPr>
              <w:t>POST /api/v1/admissions/entry-test-results/imports/{importId}/cancel</w:t>
            </w:r>
          </w:p>
        </w:tc>
        <w:tc>
          <w:tcPr>
            <w:tcW w:type="dxa" w:w="5083"/>
            <w:vAlign w:val="center"/>
            <w:shd w:fill="F3F6F9"/>
          </w:tcPr>
          <w:p>
            <w:pPr>
              <w:spacing w:after="20"/>
            </w:pPr>
            <w:r>
              <w:rPr>
                <w:rFonts w:ascii="Aptos" w:hAnsi="Aptos"/>
                <w:b w:val="0"/>
                <w:sz w:val="16"/>
              </w:rPr>
              <w:t>Cancel unconfirmed import.</w:t>
            </w:r>
          </w:p>
        </w:tc>
      </w:tr>
      <w:tr>
        <w:tc>
          <w:tcPr>
            <w:tcW w:type="dxa" w:w="5083"/>
            <w:vAlign w:val="center"/>
          </w:tcPr>
          <w:p>
            <w:pPr>
              <w:spacing w:after="20"/>
            </w:pPr>
            <w:r>
              <w:rPr>
                <w:rFonts w:ascii="Aptos" w:hAnsi="Aptos"/>
                <w:b w:val="0"/>
                <w:sz w:val="16"/>
              </w:rPr>
              <w:t>GET /api/v1/admissions/entry-test-results</w:t>
            </w:r>
          </w:p>
        </w:tc>
        <w:tc>
          <w:tcPr>
            <w:tcW w:type="dxa" w:w="5083"/>
            <w:vAlign w:val="center"/>
          </w:tcPr>
          <w:p>
            <w:pPr>
              <w:spacing w:after="20"/>
            </w:pPr>
            <w:r>
              <w:rPr>
                <w:rFonts w:ascii="Aptos" w:hAnsi="Aptos"/>
                <w:b w:val="0"/>
                <w:sz w:val="16"/>
              </w:rPr>
              <w:t>Admin search by testSessionId, applicationReference, resultStatus; paginated.</w:t>
            </w:r>
          </w:p>
        </w:tc>
      </w:tr>
      <w:tr>
        <w:tc>
          <w:tcPr>
            <w:tcW w:type="dxa" w:w="5083"/>
            <w:vAlign w:val="center"/>
            <w:shd w:fill="F3F6F9"/>
          </w:tcPr>
          <w:p>
            <w:pPr>
              <w:spacing w:after="20"/>
            </w:pPr>
            <w:r>
              <w:rPr>
                <w:rFonts w:ascii="Aptos" w:hAnsi="Aptos"/>
                <w:b w:val="0"/>
                <w:sz w:val="16"/>
              </w:rPr>
              <w:t>POST /api/v1/admissions/merit-lists/generate</w:t>
            </w:r>
          </w:p>
        </w:tc>
        <w:tc>
          <w:tcPr>
            <w:tcW w:type="dxa" w:w="5083"/>
            <w:vAlign w:val="center"/>
            <w:shd w:fill="F3F6F9"/>
          </w:tcPr>
          <w:p>
            <w:pPr>
              <w:spacing w:after="20"/>
            </w:pPr>
            <w:r>
              <w:rPr>
                <w:rFonts w:ascii="Aptos" w:hAnsi="Aptos"/>
                <w:b w:val="0"/>
                <w:sz w:val="16"/>
              </w:rPr>
              <w:t>Body: testSessionId, programmeOfferingId. Returns draft list/version and counts.</w:t>
            </w:r>
          </w:p>
        </w:tc>
      </w:tr>
      <w:tr>
        <w:tc>
          <w:tcPr>
            <w:tcW w:type="dxa" w:w="5083"/>
            <w:vAlign w:val="center"/>
          </w:tcPr>
          <w:p>
            <w:pPr>
              <w:spacing w:after="20"/>
            </w:pPr>
            <w:r>
              <w:rPr>
                <w:rFonts w:ascii="Aptos" w:hAnsi="Aptos"/>
                <w:b w:val="0"/>
                <w:sz w:val="16"/>
              </w:rPr>
              <w:t>GET /api/v1/admissions/merit-lists</w:t>
            </w:r>
          </w:p>
        </w:tc>
        <w:tc>
          <w:tcPr>
            <w:tcW w:type="dxa" w:w="5083"/>
            <w:vAlign w:val="center"/>
          </w:tcPr>
          <w:p>
            <w:pPr>
              <w:spacing w:after="20"/>
            </w:pPr>
            <w:r>
              <w:rPr>
                <w:rFonts w:ascii="Aptos" w:hAnsi="Aptos"/>
                <w:b w:val="0"/>
                <w:sz w:val="16"/>
              </w:rPr>
              <w:t>Filter by session/offering/status/version; paginated.</w:t>
            </w:r>
          </w:p>
        </w:tc>
      </w:tr>
      <w:tr>
        <w:tc>
          <w:tcPr>
            <w:tcW w:type="dxa" w:w="5083"/>
            <w:vAlign w:val="center"/>
            <w:shd w:fill="F3F6F9"/>
          </w:tcPr>
          <w:p>
            <w:pPr>
              <w:spacing w:after="20"/>
            </w:pPr>
            <w:r>
              <w:rPr>
                <w:rFonts w:ascii="Aptos" w:hAnsi="Aptos"/>
                <w:b w:val="0"/>
                <w:sz w:val="16"/>
              </w:rPr>
              <w:t>GET /api/v1/admissions/merit-lists/{meritListId}</w:t>
            </w:r>
          </w:p>
        </w:tc>
        <w:tc>
          <w:tcPr>
            <w:tcW w:type="dxa" w:w="5083"/>
            <w:vAlign w:val="center"/>
            <w:shd w:fill="F3F6F9"/>
          </w:tcPr>
          <w:p>
            <w:pPr>
              <w:spacing w:after="20"/>
            </w:pPr>
            <w:r>
              <w:rPr>
                <w:rFonts w:ascii="Aptos" w:hAnsi="Aptos"/>
                <w:b w:val="0"/>
                <w:sz w:val="16"/>
              </w:rPr>
              <w:t>Full list metadata and paginated items.</w:t>
            </w:r>
          </w:p>
        </w:tc>
      </w:tr>
      <w:tr>
        <w:tc>
          <w:tcPr>
            <w:tcW w:type="dxa" w:w="5083"/>
            <w:vAlign w:val="center"/>
          </w:tcPr>
          <w:p>
            <w:pPr>
              <w:spacing w:after="20"/>
            </w:pPr>
            <w:r>
              <w:rPr>
                <w:rFonts w:ascii="Aptos" w:hAnsi="Aptos"/>
                <w:b w:val="0"/>
                <w:sz w:val="16"/>
              </w:rPr>
              <w:t>POST /api/v1/admissions/merit-lists/{meritListId}/approve</w:t>
            </w:r>
          </w:p>
        </w:tc>
        <w:tc>
          <w:tcPr>
            <w:tcW w:type="dxa" w:w="5083"/>
            <w:vAlign w:val="center"/>
          </w:tcPr>
          <w:p>
            <w:pPr>
              <w:spacing w:after="20"/>
            </w:pPr>
            <w:r>
              <w:rPr>
                <w:rFonts w:ascii="Aptos" w:hAnsi="Aptos"/>
                <w:b w:val="0"/>
                <w:sz w:val="16"/>
              </w:rPr>
              <w:t>Approve an eligible DRAFT; body includes optional resolution audit for ties.</w:t>
            </w:r>
          </w:p>
        </w:tc>
      </w:tr>
      <w:tr>
        <w:tc>
          <w:tcPr>
            <w:tcW w:type="dxa" w:w="5083"/>
            <w:vAlign w:val="center"/>
            <w:shd w:fill="F3F6F9"/>
          </w:tcPr>
          <w:p>
            <w:pPr>
              <w:spacing w:after="20"/>
            </w:pPr>
            <w:r>
              <w:rPr>
                <w:rFonts w:ascii="Aptos" w:hAnsi="Aptos"/>
                <w:b w:val="0"/>
                <w:sz w:val="16"/>
              </w:rPr>
              <w:t>POST /api/v1/admissions/merit-lists/{meritListId}/publish</w:t>
            </w:r>
          </w:p>
        </w:tc>
        <w:tc>
          <w:tcPr>
            <w:tcW w:type="dxa" w:w="5083"/>
            <w:vAlign w:val="center"/>
            <w:shd w:fill="F3F6F9"/>
          </w:tcPr>
          <w:p>
            <w:pPr>
              <w:spacing w:after="20"/>
            </w:pPr>
            <w:r>
              <w:rPr>
                <w:rFonts w:ascii="Aptos" w:hAnsi="Aptos"/>
                <w:b w:val="0"/>
                <w:sz w:val="16"/>
              </w:rPr>
              <w:t>Publish APPROVED list and emit idempotent F010 event.</w:t>
            </w:r>
          </w:p>
        </w:tc>
      </w:tr>
      <w:tr>
        <w:tc>
          <w:tcPr>
            <w:tcW w:type="dxa" w:w="5083"/>
            <w:vAlign w:val="center"/>
          </w:tcPr>
          <w:p>
            <w:pPr>
              <w:spacing w:after="20"/>
            </w:pPr>
            <w:r>
              <w:rPr>
                <w:rFonts w:ascii="Aptos" w:hAnsi="Aptos"/>
                <w:b w:val="0"/>
                <w:sz w:val="16"/>
              </w:rPr>
              <w:t>GET /api/v1/applicant/results</w:t>
            </w:r>
          </w:p>
        </w:tc>
        <w:tc>
          <w:tcPr>
            <w:tcW w:type="dxa" w:w="5083"/>
            <w:vAlign w:val="center"/>
          </w:tcPr>
          <w:p>
            <w:pPr>
              <w:spacing w:after="20"/>
            </w:pPr>
            <w:r>
              <w:rPr>
                <w:rFonts w:ascii="Aptos" w:hAnsi="Aptos"/>
                <w:b w:val="0"/>
                <w:sz w:val="16"/>
              </w:rPr>
              <w:t>Applicant reads own published result/list positions; identity from JWT.</w:t>
            </w:r>
          </w:p>
        </w:tc>
      </w:tr>
    </w:tbl>
    <w:p>
      <w:pPr>
        <w:spacing w:after="20"/>
      </w:pPr>
    </w:p>
    <w:p>
      <w:pPr>
        <w:pStyle w:val="Heading2"/>
      </w:pPr>
      <w:r>
        <w:t>9.1 Sample import request/response</w:t>
      </w:r>
    </w:p>
    <w:p>
      <w:pPr>
        <w:ind w:left="288"/>
      </w:pPr>
      <w:r>
        <w:rPr>
          <w:rFonts w:ascii="Consolas" w:hAnsi="Consolas"/>
          <w:color w:val="333333"/>
          <w:sz w:val="16"/>
        </w:rPr>
        <w:t>POST /api/v1/admissions/entry-test-results/imports  (multipart/form-data)</w:t>
        <w:br/>
        <w:t>testSessionId=&lt;UUID&gt;</w:t>
        <w:br/>
        <w:t>file=&lt;official-results.xlsx&gt;</w:t>
      </w:r>
    </w:p>
    <w:p>
      <w:pPr>
        <w:ind w:left="288"/>
      </w:pPr>
      <w:r>
        <w:rPr>
          <w:rFonts w:ascii="Consolas" w:hAnsi="Consolas"/>
          <w:color w:val="333333"/>
          <w:sz w:val="16"/>
        </w:rPr>
        <w:t>{"success":true,"data":{"id":"&lt;import-uuid&gt;","testSessionId":"&lt;session-uuid&gt;","status":"READY_TO_CONFIRM","rowCount":120,"validRowCount":120,"invalidRowCount":0}}</w:t>
      </w:r>
    </w:p>
    <w:p>
      <w:pPr>
        <w:pStyle w:val="Heading2"/>
      </w:pPr>
      <w:r>
        <w:t>9.2 Row error response</w:t>
      </w:r>
    </w:p>
    <w:p>
      <w:pPr>
        <w:ind w:left="288"/>
      </w:pPr>
      <w:r>
        <w:rPr>
          <w:rFonts w:ascii="Consolas" w:hAnsi="Consolas"/>
          <w:color w:val="333333"/>
          <w:sz w:val="16"/>
        </w:rPr>
        <w:t>{"success":true,"data":{"importId":"&lt;uuid&gt;","rowNumber":7,"applicationReference":"APP-2026-00123","status":"INVALID","errors":[{"code":"ATTENDANCE_NOT_VERIFIED","field":"application_reference","message":"Applicant has no verified PRESENT attendance for this session."}]}}</w:t>
      </w:r>
    </w:p>
    <w:p>
      <w:pPr>
        <w:pStyle w:val="Heading2"/>
      </w:pPr>
      <w:r>
        <w:t>9.3 Merit generation response</w:t>
      </w:r>
    </w:p>
    <w:p>
      <w:pPr>
        <w:ind w:left="288"/>
      </w:pPr>
      <w:r>
        <w:rPr>
          <w:rFonts w:ascii="Consolas" w:hAnsi="Consolas"/>
          <w:color w:val="333333"/>
          <w:sz w:val="16"/>
        </w:rPr>
        <w:t>{"success":true,"data":{"id":"&lt;merit-list-uuid&gt;","programmeOfferingId":"&lt;offering-uuid&gt;","testSessionId":"&lt;session-uuid&gt;","version":1,"status":"DRAFT","seatCapacity":60,"selectedCount":60,"waitingCount":24,"reviewRequiredCount":0}}</w:t>
      </w:r>
    </w:p>
    <w:p>
      <w:pPr>
        <w:pStyle w:val="Heading2"/>
      </w:pPr>
      <w:r>
        <w:t>9.4 Error codes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HTTP</w:t>
            </w:r>
          </w:p>
        </w:tc>
        <w:tc>
          <w:tcPr>
            <w:tcW w:type="dxa" w:w="3389"/>
            <w:vAlign w:val="center"/>
            <w:shd w:fill="17365D"/>
          </w:tcPr>
          <w:p>
            <w:pPr>
              <w:spacing w:after="20"/>
            </w:pPr>
            <w:r>
              <w:rPr>
                <w:rFonts w:ascii="Aptos" w:hAnsi="Aptos"/>
                <w:b/>
                <w:color w:val="FFFFFF"/>
                <w:sz w:val="16"/>
              </w:rPr>
              <w:t>Code</w:t>
            </w:r>
          </w:p>
        </w:tc>
        <w:tc>
          <w:tcPr>
            <w:tcW w:type="dxa" w:w="3389"/>
            <w:vAlign w:val="center"/>
            <w:shd w:fill="17365D"/>
          </w:tcPr>
          <w:p>
            <w:pPr>
              <w:spacing w:after="20"/>
            </w:pPr>
            <w:r>
              <w:rPr>
                <w:rFonts w:ascii="Aptos" w:hAnsi="Aptos"/>
                <w:b/>
                <w:color w:val="FFFFFF"/>
                <w:sz w:val="16"/>
              </w:rPr>
              <w:t>Meaning</w:t>
            </w:r>
          </w:p>
        </w:tc>
      </w:tr>
      <w:tr>
        <w:tc>
          <w:tcPr>
            <w:tcW w:type="dxa" w:w="3389"/>
            <w:vAlign w:val="center"/>
          </w:tcPr>
          <w:p>
            <w:pPr>
              <w:spacing w:after="20"/>
            </w:pPr>
            <w:r>
              <w:rPr>
                <w:rFonts w:ascii="Aptos" w:hAnsi="Aptos"/>
                <w:b w:val="0"/>
                <w:sz w:val="16"/>
              </w:rPr>
              <w:t>400</w:t>
            </w:r>
          </w:p>
        </w:tc>
        <w:tc>
          <w:tcPr>
            <w:tcW w:type="dxa" w:w="3389"/>
            <w:vAlign w:val="center"/>
          </w:tcPr>
          <w:p>
            <w:pPr>
              <w:spacing w:after="20"/>
            </w:pPr>
            <w:r>
              <w:rPr>
                <w:rFonts w:ascii="Aptos" w:hAnsi="Aptos"/>
                <w:b w:val="0"/>
                <w:sz w:val="16"/>
              </w:rPr>
              <w:t>INVALID_RESULT_WORKBOOK</w:t>
            </w:r>
          </w:p>
        </w:tc>
        <w:tc>
          <w:tcPr>
            <w:tcW w:type="dxa" w:w="3389"/>
            <w:vAlign w:val="center"/>
          </w:tcPr>
          <w:p>
            <w:pPr>
              <w:spacing w:after="20"/>
            </w:pPr>
            <w:r>
              <w:rPr>
                <w:rFonts w:ascii="Aptos" w:hAnsi="Aptos"/>
                <w:b w:val="0"/>
                <w:sz w:val="16"/>
              </w:rPr>
              <w:t>Unsupported/corrupt workbook, sheet, or headers.</w:t>
            </w:r>
          </w:p>
        </w:tc>
      </w:tr>
      <w:tr>
        <w:tc>
          <w:tcPr>
            <w:tcW w:type="dxa" w:w="3389"/>
            <w:vAlign w:val="center"/>
            <w:shd w:fill="F3F6F9"/>
          </w:tcPr>
          <w:p>
            <w:pPr>
              <w:spacing w:after="20"/>
            </w:pPr>
            <w:r>
              <w:rPr>
                <w:rFonts w:ascii="Aptos" w:hAnsi="Aptos"/>
                <w:b w:val="0"/>
                <w:sz w:val="16"/>
              </w:rPr>
              <w:t>400</w:t>
            </w:r>
          </w:p>
        </w:tc>
        <w:tc>
          <w:tcPr>
            <w:tcW w:type="dxa" w:w="3389"/>
            <w:vAlign w:val="center"/>
            <w:shd w:fill="F3F6F9"/>
          </w:tcPr>
          <w:p>
            <w:pPr>
              <w:spacing w:after="20"/>
            </w:pPr>
            <w:r>
              <w:rPr>
                <w:rFonts w:ascii="Aptos" w:hAnsi="Aptos"/>
                <w:b w:val="0"/>
                <w:sz w:val="16"/>
              </w:rPr>
              <w:t>INVALID_BANK/RESULT_COLUMNS</w:t>
            </w:r>
          </w:p>
        </w:tc>
        <w:tc>
          <w:tcPr>
            <w:tcW w:type="dxa" w:w="3389"/>
            <w:vAlign w:val="center"/>
            <w:shd w:fill="F3F6F9"/>
          </w:tcPr>
          <w:p>
            <w:pPr>
              <w:spacing w:after="20"/>
            </w:pPr>
            <w:r>
              <w:rPr>
                <w:rFonts w:ascii="Aptos" w:hAnsi="Aptos"/>
                <w:b w:val="0"/>
                <w:sz w:val="16"/>
              </w:rPr>
              <w:t>Do not reuse bank-specific code; use INVALID_RESULT_WORKBOOK or INVALID_RESULT_COLUMNS.</w:t>
            </w:r>
          </w:p>
        </w:tc>
      </w:tr>
      <w:tr>
        <w:tc>
          <w:tcPr>
            <w:tcW w:type="dxa" w:w="3389"/>
            <w:vAlign w:val="center"/>
          </w:tcPr>
          <w:p>
            <w:pPr>
              <w:spacing w:after="20"/>
            </w:pPr>
            <w:r>
              <w:rPr>
                <w:rFonts w:ascii="Aptos" w:hAnsi="Aptos"/>
                <w:b w:val="0"/>
                <w:sz w:val="16"/>
              </w:rPr>
              <w:t>404</w:t>
            </w:r>
          </w:p>
        </w:tc>
        <w:tc>
          <w:tcPr>
            <w:tcW w:type="dxa" w:w="3389"/>
            <w:vAlign w:val="center"/>
          </w:tcPr>
          <w:p>
            <w:pPr>
              <w:spacing w:after="20"/>
            </w:pPr>
            <w:r>
              <w:rPr>
                <w:rFonts w:ascii="Aptos" w:hAnsi="Aptos"/>
                <w:b w:val="0"/>
                <w:sz w:val="16"/>
              </w:rPr>
              <w:t>TEST_SESSION_NOT_FOUND / IMPORT_NOT_FOUND / MERIT_LIST_NOT_FOUND</w:t>
            </w:r>
          </w:p>
        </w:tc>
        <w:tc>
          <w:tcPr>
            <w:tcW w:type="dxa" w:w="3389"/>
            <w:vAlign w:val="center"/>
          </w:tcPr>
          <w:p>
            <w:pPr>
              <w:spacing w:after="20"/>
            </w:pPr>
            <w:r>
              <w:rPr>
                <w:rFonts w:ascii="Aptos" w:hAnsi="Aptos"/>
                <w:b w:val="0"/>
                <w:sz w:val="16"/>
              </w:rPr>
              <w:t>Tenant-scoped resource missing.</w:t>
            </w:r>
          </w:p>
        </w:tc>
      </w:tr>
      <w:tr>
        <w:tc>
          <w:tcPr>
            <w:tcW w:type="dxa" w:w="3389"/>
            <w:vAlign w:val="center"/>
            <w:shd w:fill="F3F6F9"/>
          </w:tcPr>
          <w:p>
            <w:pPr>
              <w:spacing w:after="20"/>
            </w:pPr>
            <w:r>
              <w:rPr>
                <w:rFonts w:ascii="Aptos" w:hAnsi="Aptos"/>
                <w:b w:val="0"/>
                <w:sz w:val="16"/>
              </w:rPr>
              <w:t>409</w:t>
            </w:r>
          </w:p>
        </w:tc>
        <w:tc>
          <w:tcPr>
            <w:tcW w:type="dxa" w:w="3389"/>
            <w:vAlign w:val="center"/>
            <w:shd w:fill="F3F6F9"/>
          </w:tcPr>
          <w:p>
            <w:pPr>
              <w:spacing w:after="20"/>
            </w:pPr>
            <w:r>
              <w:rPr>
                <w:rFonts w:ascii="Aptos" w:hAnsi="Aptos"/>
                <w:b w:val="0"/>
                <w:sz w:val="16"/>
              </w:rPr>
              <w:t>IMPORT_NOT_CONFIRMABLE</w:t>
            </w:r>
          </w:p>
        </w:tc>
        <w:tc>
          <w:tcPr>
            <w:tcW w:type="dxa" w:w="3389"/>
            <w:vAlign w:val="center"/>
            <w:shd w:fill="F3F6F9"/>
          </w:tcPr>
          <w:p>
            <w:pPr>
              <w:spacing w:after="20"/>
            </w:pPr>
            <w:r>
              <w:rPr>
                <w:rFonts w:ascii="Aptos" w:hAnsi="Aptos"/>
                <w:b w:val="0"/>
                <w:sz w:val="16"/>
              </w:rPr>
              <w:t>Not READY_TO_CONFIRM, already cancelled, or concurrent state change.</w:t>
            </w:r>
          </w:p>
        </w:tc>
      </w:tr>
      <w:tr>
        <w:tc>
          <w:tcPr>
            <w:tcW w:type="dxa" w:w="3389"/>
            <w:vAlign w:val="center"/>
          </w:tcPr>
          <w:p>
            <w:pPr>
              <w:spacing w:after="20"/>
            </w:pPr>
            <w:r>
              <w:rPr>
                <w:rFonts w:ascii="Aptos" w:hAnsi="Aptos"/>
                <w:b w:val="0"/>
                <w:sz w:val="16"/>
              </w:rPr>
              <w:t>409</w:t>
            </w:r>
          </w:p>
        </w:tc>
        <w:tc>
          <w:tcPr>
            <w:tcW w:type="dxa" w:w="3389"/>
            <w:vAlign w:val="center"/>
          </w:tcPr>
          <w:p>
            <w:pPr>
              <w:spacing w:after="20"/>
            </w:pPr>
            <w:r>
              <w:rPr>
                <w:rFonts w:ascii="Aptos" w:hAnsi="Aptos"/>
                <w:b w:val="0"/>
                <w:sz w:val="16"/>
              </w:rPr>
              <w:t>RESULT_ALREADY_EXISTS</w:t>
            </w:r>
          </w:p>
        </w:tc>
        <w:tc>
          <w:tcPr>
            <w:tcW w:type="dxa" w:w="3389"/>
            <w:vAlign w:val="center"/>
          </w:tcPr>
          <w:p>
            <w:pPr>
              <w:spacing w:after="20"/>
            </w:pPr>
            <w:r>
              <w:rPr>
                <w:rFonts w:ascii="Aptos" w:hAnsi="Aptos"/>
                <w:b w:val="0"/>
                <w:sz w:val="16"/>
              </w:rPr>
              <w:t>Confirmed score exists; use controlled correction.</w:t>
            </w:r>
          </w:p>
        </w:tc>
      </w:tr>
      <w:tr>
        <w:tc>
          <w:tcPr>
            <w:tcW w:type="dxa" w:w="3389"/>
            <w:vAlign w:val="center"/>
            <w:shd w:fill="F3F6F9"/>
          </w:tcPr>
          <w:p>
            <w:pPr>
              <w:spacing w:after="20"/>
            </w:pPr>
            <w:r>
              <w:rPr>
                <w:rFonts w:ascii="Aptos" w:hAnsi="Aptos"/>
                <w:b w:val="0"/>
                <w:sz w:val="16"/>
              </w:rPr>
              <w:t>409</w:t>
            </w:r>
          </w:p>
        </w:tc>
        <w:tc>
          <w:tcPr>
            <w:tcW w:type="dxa" w:w="3389"/>
            <w:vAlign w:val="center"/>
            <w:shd w:fill="F3F6F9"/>
          </w:tcPr>
          <w:p>
            <w:pPr>
              <w:spacing w:after="20"/>
            </w:pPr>
            <w:r>
              <w:rPr>
                <w:rFonts w:ascii="Aptos" w:hAnsi="Aptos"/>
                <w:b w:val="0"/>
                <w:sz w:val="16"/>
              </w:rPr>
              <w:t>IMPORT_ALREADY_CONFIRMED</w:t>
            </w:r>
          </w:p>
        </w:tc>
        <w:tc>
          <w:tcPr>
            <w:tcW w:type="dxa" w:w="3389"/>
            <w:vAlign w:val="center"/>
            <w:shd w:fill="F3F6F9"/>
          </w:tcPr>
          <w:p>
            <w:pPr>
              <w:spacing w:after="20"/>
            </w:pPr>
            <w:r>
              <w:rPr>
                <w:rFonts w:ascii="Aptos" w:hAnsi="Aptos"/>
                <w:b w:val="0"/>
                <w:sz w:val="16"/>
              </w:rPr>
              <w:t>Return existing confirmation idempotently or conflict per standard envelope.</w:t>
            </w:r>
          </w:p>
        </w:tc>
      </w:tr>
      <w:tr>
        <w:tc>
          <w:tcPr>
            <w:tcW w:type="dxa" w:w="3389"/>
            <w:vAlign w:val="center"/>
          </w:tcPr>
          <w:p>
            <w:pPr>
              <w:spacing w:after="20"/>
            </w:pPr>
            <w:r>
              <w:rPr>
                <w:rFonts w:ascii="Aptos" w:hAnsi="Aptos"/>
                <w:b w:val="0"/>
                <w:sz w:val="16"/>
              </w:rPr>
              <w:t>422</w:t>
            </w:r>
          </w:p>
        </w:tc>
        <w:tc>
          <w:tcPr>
            <w:tcW w:type="dxa" w:w="3389"/>
            <w:vAlign w:val="center"/>
          </w:tcPr>
          <w:p>
            <w:pPr>
              <w:spacing w:after="20"/>
            </w:pPr>
            <w:r>
              <w:rPr>
                <w:rFonts w:ascii="Aptos" w:hAnsi="Aptos"/>
                <w:b w:val="0"/>
                <w:sz w:val="16"/>
              </w:rPr>
              <w:t>RESULT_ROW_VALIDATION_FAILED</w:t>
            </w:r>
          </w:p>
        </w:tc>
        <w:tc>
          <w:tcPr>
            <w:tcW w:type="dxa" w:w="3389"/>
            <w:vAlign w:val="center"/>
          </w:tcPr>
          <w:p>
            <w:pPr>
              <w:spacing w:after="20"/>
            </w:pPr>
            <w:r>
              <w:rPr>
                <w:rFonts w:ascii="Aptos" w:hAnsi="Aptos"/>
                <w:b w:val="0"/>
                <w:sz w:val="16"/>
              </w:rPr>
              <w:t>One or more rows invalid; include preview/errors.</w:t>
            </w:r>
          </w:p>
        </w:tc>
      </w:tr>
      <w:tr>
        <w:tc>
          <w:tcPr>
            <w:tcW w:type="dxa" w:w="3389"/>
            <w:vAlign w:val="center"/>
            <w:shd w:fill="F3F6F9"/>
          </w:tcPr>
          <w:p>
            <w:pPr>
              <w:spacing w:after="20"/>
            </w:pPr>
            <w:r>
              <w:rPr>
                <w:rFonts w:ascii="Aptos" w:hAnsi="Aptos"/>
                <w:b w:val="0"/>
                <w:sz w:val="16"/>
              </w:rPr>
              <w:t>422</w:t>
            </w:r>
          </w:p>
        </w:tc>
        <w:tc>
          <w:tcPr>
            <w:tcW w:type="dxa" w:w="3389"/>
            <w:vAlign w:val="center"/>
            <w:shd w:fill="F3F6F9"/>
          </w:tcPr>
          <w:p>
            <w:pPr>
              <w:spacing w:after="20"/>
            </w:pPr>
            <w:r>
              <w:rPr>
                <w:rFonts w:ascii="Aptos" w:hAnsi="Aptos"/>
                <w:b w:val="0"/>
                <w:sz w:val="16"/>
              </w:rPr>
              <w:t>OFFERING_NOT_IN_TEST_SESSION</w:t>
            </w:r>
          </w:p>
        </w:tc>
        <w:tc>
          <w:tcPr>
            <w:tcW w:type="dxa" w:w="3389"/>
            <w:vAlign w:val="center"/>
            <w:shd w:fill="F3F6F9"/>
          </w:tcPr>
          <w:p>
            <w:pPr>
              <w:spacing w:after="20"/>
            </w:pPr>
            <w:r>
              <w:rPr>
                <w:rFonts w:ascii="Aptos" w:hAnsi="Aptos"/>
                <w:b w:val="0"/>
                <w:sz w:val="16"/>
              </w:rPr>
              <w:t>Requested offering is not associated with session.</w:t>
            </w:r>
          </w:p>
        </w:tc>
      </w:tr>
      <w:tr>
        <w:tc>
          <w:tcPr>
            <w:tcW w:type="dxa" w:w="3389"/>
            <w:vAlign w:val="center"/>
          </w:tcPr>
          <w:p>
            <w:pPr>
              <w:spacing w:after="20"/>
            </w:pPr>
            <w:r>
              <w:rPr>
                <w:rFonts w:ascii="Aptos" w:hAnsi="Aptos"/>
                <w:b w:val="0"/>
                <w:sz w:val="16"/>
              </w:rPr>
              <w:t>422</w:t>
            </w:r>
          </w:p>
        </w:tc>
        <w:tc>
          <w:tcPr>
            <w:tcW w:type="dxa" w:w="3389"/>
            <w:vAlign w:val="center"/>
          </w:tcPr>
          <w:p>
            <w:pPr>
              <w:spacing w:after="20"/>
            </w:pPr>
            <w:r>
              <w:rPr>
                <w:rFonts w:ascii="Aptos" w:hAnsi="Aptos"/>
                <w:b w:val="0"/>
                <w:sz w:val="16"/>
              </w:rPr>
              <w:t>OFFERING_CAPACITY_NOT_CONFIGURED</w:t>
            </w:r>
          </w:p>
        </w:tc>
        <w:tc>
          <w:tcPr>
            <w:tcW w:type="dxa" w:w="3389"/>
            <w:vAlign w:val="center"/>
          </w:tcPr>
          <w:p>
            <w:pPr>
              <w:spacing w:after="20"/>
            </w:pPr>
            <w:r>
              <w:rPr>
                <w:rFonts w:ascii="Aptos" w:hAnsi="Aptos"/>
                <w:b w:val="0"/>
                <w:sz w:val="16"/>
              </w:rPr>
              <w:t>No valid positive seat capacity.</w:t>
            </w:r>
          </w:p>
        </w:tc>
      </w:tr>
      <w:tr>
        <w:tc>
          <w:tcPr>
            <w:tcW w:type="dxa" w:w="3389"/>
            <w:vAlign w:val="center"/>
            <w:shd w:fill="F3F6F9"/>
          </w:tcPr>
          <w:p>
            <w:pPr>
              <w:spacing w:after="20"/>
            </w:pPr>
            <w:r>
              <w:rPr>
                <w:rFonts w:ascii="Aptos" w:hAnsi="Aptos"/>
                <w:b w:val="0"/>
                <w:sz w:val="16"/>
              </w:rPr>
              <w:t>422</w:t>
            </w:r>
          </w:p>
        </w:tc>
        <w:tc>
          <w:tcPr>
            <w:tcW w:type="dxa" w:w="3389"/>
            <w:vAlign w:val="center"/>
            <w:shd w:fill="F3F6F9"/>
          </w:tcPr>
          <w:p>
            <w:pPr>
              <w:spacing w:after="20"/>
            </w:pPr>
            <w:r>
              <w:rPr>
                <w:rFonts w:ascii="Aptos" w:hAnsi="Aptos"/>
                <w:b w:val="0"/>
                <w:sz w:val="16"/>
              </w:rPr>
              <w:t>MERIT_TIE_REVIEW_REQUIRED</w:t>
            </w:r>
          </w:p>
        </w:tc>
        <w:tc>
          <w:tcPr>
            <w:tcW w:type="dxa" w:w="3389"/>
            <w:vAlign w:val="center"/>
            <w:shd w:fill="F3F6F9"/>
          </w:tcPr>
          <w:p>
            <w:pPr>
              <w:spacing w:after="20"/>
            </w:pPr>
            <w:r>
              <w:rPr>
                <w:rFonts w:ascii="Aptos" w:hAnsi="Aptos"/>
                <w:b w:val="0"/>
                <w:sz w:val="16"/>
              </w:rPr>
              <w:t>Capacity boundary tie awaits audited decision.</w:t>
            </w:r>
          </w:p>
        </w:tc>
      </w:tr>
      <w:tr>
        <w:tc>
          <w:tcPr>
            <w:tcW w:type="dxa" w:w="3389"/>
            <w:vAlign w:val="center"/>
          </w:tcPr>
          <w:p>
            <w:pPr>
              <w:spacing w:after="20"/>
            </w:pPr>
            <w:r>
              <w:rPr>
                <w:rFonts w:ascii="Aptos" w:hAnsi="Aptos"/>
                <w:b w:val="0"/>
                <w:sz w:val="16"/>
              </w:rPr>
              <w:t>422</w:t>
            </w:r>
          </w:p>
        </w:tc>
        <w:tc>
          <w:tcPr>
            <w:tcW w:type="dxa" w:w="3389"/>
            <w:vAlign w:val="center"/>
          </w:tcPr>
          <w:p>
            <w:pPr>
              <w:spacing w:after="20"/>
            </w:pPr>
            <w:r>
              <w:rPr>
                <w:rFonts w:ascii="Aptos" w:hAnsi="Aptos"/>
                <w:b w:val="0"/>
                <w:sz w:val="16"/>
              </w:rPr>
              <w:t>MERIT_LIST_NOT_APPROVABLE / NOT_PUBLISHABLE</w:t>
            </w:r>
          </w:p>
        </w:tc>
        <w:tc>
          <w:tcPr>
            <w:tcW w:type="dxa" w:w="3389"/>
            <w:vAlign w:val="center"/>
          </w:tcPr>
          <w:p>
            <w:pPr>
              <w:spacing w:after="20"/>
            </w:pPr>
            <w:r>
              <w:rPr>
                <w:rFonts w:ascii="Aptos" w:hAnsi="Aptos"/>
                <w:b w:val="0"/>
                <w:sz w:val="16"/>
              </w:rPr>
              <w:t>Workflow precondition not met.</w:t>
            </w:r>
          </w:p>
        </w:tc>
      </w:tr>
      <w:tr>
        <w:tc>
          <w:tcPr>
            <w:tcW w:type="dxa" w:w="3389"/>
            <w:vAlign w:val="center"/>
            <w:shd w:fill="F3F6F9"/>
          </w:tcPr>
          <w:p>
            <w:pPr>
              <w:spacing w:after="20"/>
            </w:pPr>
            <w:r>
              <w:rPr>
                <w:rFonts w:ascii="Aptos" w:hAnsi="Aptos"/>
                <w:b w:val="0"/>
                <w:sz w:val="16"/>
              </w:rPr>
              <w:t>403</w:t>
            </w:r>
          </w:p>
        </w:tc>
        <w:tc>
          <w:tcPr>
            <w:tcW w:type="dxa" w:w="3389"/>
            <w:vAlign w:val="center"/>
            <w:shd w:fill="F3F6F9"/>
          </w:tcPr>
          <w:p>
            <w:pPr>
              <w:spacing w:after="20"/>
            </w:pPr>
            <w:r>
              <w:rPr>
                <w:rFonts w:ascii="Aptos" w:hAnsi="Aptos"/>
                <w:b w:val="0"/>
                <w:sz w:val="16"/>
              </w:rPr>
              <w:t>FORBIDDEN</w:t>
            </w:r>
          </w:p>
        </w:tc>
        <w:tc>
          <w:tcPr>
            <w:tcW w:type="dxa" w:w="3389"/>
            <w:vAlign w:val="center"/>
            <w:shd w:fill="F3F6F9"/>
          </w:tcPr>
          <w:p>
            <w:pPr>
              <w:spacing w:after="20"/>
            </w:pPr>
            <w:r>
              <w:rPr>
                <w:rFonts w:ascii="Aptos" w:hAnsi="Aptos"/>
                <w:b w:val="0"/>
                <w:sz w:val="16"/>
              </w:rPr>
              <w:t>Role or tenant scope insufficient.</w:t>
            </w:r>
          </w:p>
        </w:tc>
      </w:tr>
      <w:tr>
        <w:tc>
          <w:tcPr>
            <w:tcW w:type="dxa" w:w="3389"/>
            <w:vAlign w:val="center"/>
          </w:tcPr>
          <w:p>
            <w:pPr>
              <w:spacing w:after="20"/>
            </w:pPr>
            <w:r>
              <w:rPr>
                <w:rFonts w:ascii="Aptos" w:hAnsi="Aptos"/>
                <w:b w:val="0"/>
                <w:sz w:val="16"/>
              </w:rPr>
              <w:t>413</w:t>
            </w:r>
          </w:p>
        </w:tc>
        <w:tc>
          <w:tcPr>
            <w:tcW w:type="dxa" w:w="3389"/>
            <w:vAlign w:val="center"/>
          </w:tcPr>
          <w:p>
            <w:pPr>
              <w:spacing w:after="20"/>
            </w:pPr>
            <w:r>
              <w:rPr>
                <w:rFonts w:ascii="Aptos" w:hAnsi="Aptos"/>
                <w:b w:val="0"/>
                <w:sz w:val="16"/>
              </w:rPr>
              <w:t>UPLOAD_TOO_LARGE</w:t>
            </w:r>
          </w:p>
        </w:tc>
        <w:tc>
          <w:tcPr>
            <w:tcW w:type="dxa" w:w="3389"/>
            <w:vAlign w:val="center"/>
          </w:tcPr>
          <w:p>
            <w:pPr>
              <w:spacing w:after="20"/>
            </w:pPr>
            <w:r>
              <w:rPr>
                <w:rFonts w:ascii="Aptos" w:hAnsi="Aptos"/>
                <w:b w:val="0"/>
                <w:sz w:val="16"/>
              </w:rPr>
              <w:t>Configured upload limit exceeded.</w:t>
            </w:r>
          </w:p>
        </w:tc>
      </w:tr>
    </w:tbl>
    <w:p>
      <w:pPr>
        <w:spacing w:after="20"/>
      </w:pPr>
    </w:p>
    <w:p>
      <w:pPr>
        <w:pStyle w:val="Heading1"/>
      </w:pPr>
      <w:r>
        <w:t>10. F006 and F000 integration changes</w:t>
      </w:r>
    </w:p>
    <w:p>
      <w:pPr>
        <w:pStyle w:val="Heading2"/>
      </w:pPr>
      <w:r>
        <w:t>10.1 F006 result duplication</w:t>
      </w:r>
    </w:p>
    <w:p>
      <w:r>
        <w:t>The codebase already has F006 entry-test outcome storage/API concepts. They overlap with F007 result ownership. Make F007 the canonical owner. F006 should retain attendance and identity verification, but must not accept a second independent official score/merit result. Before removing F006 outcome writes, inspect production/development data and migrate or preserve existing records read-only; provide a compatibility period if clients already call those routes. Do not map legacy labels to numeric scores without an explicit data rule.</w:t>
      </w:r>
    </w:p>
    <w:p>
      <w:pPr>
        <w:pStyle w:val="Heading2"/>
      </w:pPr>
      <w:r>
        <w:t>10.2 F000 capacity</w:t>
      </w:r>
    </w:p>
    <w:p>
      <w:r>
        <w:t>Add positive integer seat_capacity to programme_offerings and include it in create/update/read DTOs and Swagger. Require it before merit generation, and ideally before offering publication. Existing offerings require a reviewed backfill; do not assume capacity 1 or unlimited.</w:t>
      </w:r>
    </w:p>
    <w:p>
      <w:pPr>
        <w:pStyle w:val="Heading2"/>
      </w:pPr>
      <w:r>
        <w:t>10.3 F006 session-programme mapping</w:t>
      </w:r>
    </w:p>
    <w:p>
      <w:r>
        <w:t>F006 session-to-programme association must be queryable and tenant/intake consistent. Merit generation rejects an offering absent from that session. Reuse the existing association table if present; do not create a second mapping table.</w:t>
      </w:r>
    </w:p>
    <w:p>
      <w:pPr>
        <w:pStyle w:val="Heading1"/>
      </w:pPr>
      <w:r>
        <w:t>11. Publication and applicant visibility</w:t>
      </w:r>
    </w:p>
    <w:p>
      <w:pPr>
        <w:pStyle w:val="ListBullet"/>
      </w:pPr>
      <w:r>
        <w:t>Applicants can see only their own result and item(s) from PUBLISHED lists; DRAFT/APPROVED and import previews are staff-only.</w:t>
      </w:r>
    </w:p>
    <w:p>
      <w:pPr>
        <w:pStyle w:val="ListBullet"/>
      </w:pPr>
      <w:r>
        <w:t>A result endpoint must not reveal another applicant’s identity, score, preference or rank.</w:t>
      </w:r>
    </w:p>
    <w:p>
      <w:pPr>
        <w:pStyle w:val="ListBullet"/>
      </w:pPr>
      <w:r>
        <w:t>Publish operation is transactional with an outbox event keyed by meritListId + version, so F010 delivery is idempotent.</w:t>
      </w:r>
    </w:p>
    <w:p>
      <w:pPr>
        <w:pStyle w:val="ListBullet"/>
      </w:pPr>
      <w:r>
        <w:t>Notification payload should direct applicants to authenticated portal details; omit private score/rank by default unless the institution explicitly approves disclosure.</w:t>
      </w:r>
    </w:p>
    <w:p>
      <w:pPr>
        <w:pStyle w:val="ListBullet"/>
      </w:pPr>
      <w:r>
        <w:t>A superseded list remains auditable. Applicant APIs return only the current published version according to the approved version transition.</w:t>
      </w:r>
    </w:p>
    <w:p>
      <w:pPr>
        <w:pStyle w:val="Heading1"/>
      </w:pPr>
      <w:r>
        <w:t>12. Security, consistency and operations</w:t>
      </w:r>
    </w:p>
    <w:p>
      <w:pPr>
        <w:pStyle w:val="ListBullet"/>
      </w:pPr>
      <w:r>
        <w:t>Validate uploaded file content, not only client MIME; impose configurable file/row limits and protect against malformed ZIP/XML workbook payloads.</w:t>
      </w:r>
    </w:p>
    <w:p>
      <w:pPr>
        <w:pStyle w:val="ListBullet"/>
      </w:pPr>
      <w:r>
        <w:t>Store uploads in controlled private storage; do not expose raw local paths or public file links. Apply retention and access logging.</w:t>
      </w:r>
    </w:p>
    <w:p>
      <w:pPr>
        <w:pStyle w:val="ListBullet"/>
      </w:pPr>
      <w:r>
        <w:t>Tenant-scope every query and mutation; use UUIDs and authenticated actor IDs from token claims.</w:t>
      </w:r>
    </w:p>
    <w:p>
      <w:pPr>
        <w:pStyle w:val="ListBullet"/>
      </w:pPr>
      <w:r>
        <w:t>Use database transactions and row locks for confirm, approve, publish, correction, and version changes.</w:t>
      </w:r>
    </w:p>
    <w:p>
      <w:pPr>
        <w:pStyle w:val="ListBullet"/>
      </w:pPr>
      <w:r>
        <w:t>Use stable error codes and structured logs; avoid logging workbook contents, identity numbers, tokens or unnecessary personal data.</w:t>
      </w:r>
    </w:p>
    <w:p>
      <w:pPr>
        <w:pStyle w:val="ListBullet"/>
      </w:pPr>
      <w:r>
        <w:t>Provide import status polling and pagination; use deterministic ordering (row_number, rank, applicant UUID).</w:t>
      </w:r>
    </w:p>
    <w:p>
      <w:pPr>
        <w:pStyle w:val="ListBullet"/>
      </w:pPr>
      <w:r>
        <w:t>Keep score precision, rounding mode, tie policy, source hash, and algorithm version with audit metadata.</w:t>
      </w:r>
    </w:p>
    <w:p>
      <w:pPr>
        <w:pStyle w:val="Heading1"/>
      </w:pPr>
      <w:r>
        <w:t>13. Outstanding institution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pPr>
              <w:spacing w:after="20"/>
            </w:pPr>
            <w:r>
              <w:rPr>
                <w:rFonts w:ascii="Aptos" w:hAnsi="Aptos"/>
                <w:b/>
                <w:color w:val="FFFFFF"/>
                <w:sz w:val="16"/>
              </w:rPr>
              <w:t>Decision</w:t>
            </w:r>
          </w:p>
        </w:tc>
        <w:tc>
          <w:tcPr>
            <w:tcW w:type="dxa" w:w="3389"/>
            <w:vAlign w:val="center"/>
            <w:shd w:fill="17365D"/>
          </w:tcPr>
          <w:p>
            <w:pPr>
              <w:spacing w:after="20"/>
            </w:pPr>
            <w:r>
              <w:rPr>
                <w:rFonts w:ascii="Aptos" w:hAnsi="Aptos"/>
                <w:b/>
                <w:color w:val="FFFFFF"/>
                <w:sz w:val="16"/>
              </w:rPr>
              <w:t>Recommended interim rule</w:t>
            </w:r>
          </w:p>
        </w:tc>
        <w:tc>
          <w:tcPr>
            <w:tcW w:type="dxa" w:w="3389"/>
            <w:vAlign w:val="center"/>
            <w:shd w:fill="17365D"/>
          </w:tcPr>
          <w:p>
            <w:pPr>
              <w:spacing w:after="20"/>
            </w:pPr>
            <w:r>
              <w:rPr>
                <w:rFonts w:ascii="Aptos" w:hAnsi="Aptos"/>
                <w:b/>
                <w:color w:val="FFFFFF"/>
                <w:sz w:val="16"/>
              </w:rPr>
              <w:t>Approval needed</w:t>
            </w:r>
          </w:p>
        </w:tc>
      </w:tr>
      <w:tr>
        <w:tc>
          <w:tcPr>
            <w:tcW w:type="dxa" w:w="3389"/>
            <w:vAlign w:val="center"/>
          </w:tcPr>
          <w:p>
            <w:pPr>
              <w:spacing w:after="20"/>
            </w:pPr>
            <w:r>
              <w:rPr>
                <w:rFonts w:ascii="Aptos" w:hAnsi="Aptos"/>
                <w:b w:val="0"/>
                <w:sz w:val="16"/>
              </w:rPr>
              <w:t>PASS/FAIL authority</w:t>
            </w:r>
          </w:p>
        </w:tc>
        <w:tc>
          <w:tcPr>
            <w:tcW w:type="dxa" w:w="3389"/>
            <w:vAlign w:val="center"/>
          </w:tcPr>
          <w:p>
            <w:pPr>
              <w:spacing w:after="20"/>
            </w:pPr>
            <w:r>
              <w:rPr>
                <w:rFonts w:ascii="Aptos" w:hAnsi="Aptos"/>
                <w:b w:val="0"/>
                <w:sz w:val="16"/>
              </w:rPr>
              <w:t>Treat the official result workbook’s PASS/FAIL as authoritative until a versioned threshold is formally configured.</w:t>
            </w:r>
          </w:p>
        </w:tc>
        <w:tc>
          <w:tcPr>
            <w:tcW w:type="dxa" w:w="3389"/>
            <w:vAlign w:val="center"/>
          </w:tcPr>
          <w:p>
            <w:pPr>
              <w:spacing w:after="20"/>
            </w:pPr>
            <w:r>
              <w:rPr>
                <w:rFonts w:ascii="Aptos" w:hAnsi="Aptos"/>
                <w:b w:val="0"/>
                <w:sz w:val="16"/>
              </w:rPr>
              <w:t>Admissions policy owner</w:t>
            </w:r>
          </w:p>
        </w:tc>
      </w:tr>
      <w:tr>
        <w:tc>
          <w:tcPr>
            <w:tcW w:type="dxa" w:w="3389"/>
            <w:vAlign w:val="center"/>
            <w:shd w:fill="F3F6F9"/>
          </w:tcPr>
          <w:p>
            <w:pPr>
              <w:spacing w:after="20"/>
            </w:pPr>
            <w:r>
              <w:rPr>
                <w:rFonts w:ascii="Aptos" w:hAnsi="Aptos"/>
                <w:b w:val="0"/>
                <w:sz w:val="16"/>
              </w:rPr>
              <w:t>Tie at final seat</w:t>
            </w:r>
          </w:p>
        </w:tc>
        <w:tc>
          <w:tcPr>
            <w:tcW w:type="dxa" w:w="3389"/>
            <w:vAlign w:val="center"/>
            <w:shd w:fill="F3F6F9"/>
          </w:tcPr>
          <w:p>
            <w:pPr>
              <w:spacing w:after="20"/>
            </w:pPr>
            <w:r>
              <w:rPr>
                <w:rFonts w:ascii="Aptos" w:hAnsi="Aptos"/>
                <w:b w:val="0"/>
                <w:sz w:val="16"/>
              </w:rPr>
              <w:t>Block list approval/publication for REVIEW_REQUIRED; record a documented human decision. No hidden tie-break.</w:t>
            </w:r>
          </w:p>
        </w:tc>
        <w:tc>
          <w:tcPr>
            <w:tcW w:type="dxa" w:w="3389"/>
            <w:vAlign w:val="center"/>
            <w:shd w:fill="F3F6F9"/>
          </w:tcPr>
          <w:p>
            <w:pPr>
              <w:spacing w:after="20"/>
            </w:pPr>
            <w:r>
              <w:rPr>
                <w:rFonts w:ascii="Aptos" w:hAnsi="Aptos"/>
                <w:b w:val="0"/>
                <w:sz w:val="16"/>
              </w:rPr>
              <w:t>Admissions policy owner</w:t>
            </w:r>
          </w:p>
        </w:tc>
      </w:tr>
      <w:tr>
        <w:tc>
          <w:tcPr>
            <w:tcW w:type="dxa" w:w="3389"/>
            <w:vAlign w:val="center"/>
          </w:tcPr>
          <w:p>
            <w:pPr>
              <w:spacing w:after="20"/>
            </w:pPr>
            <w:r>
              <w:rPr>
                <w:rFonts w:ascii="Aptos" w:hAnsi="Aptos"/>
                <w:b w:val="0"/>
                <w:sz w:val="16"/>
              </w:rPr>
              <w:t>Attendance eligibility</w:t>
            </w:r>
          </w:p>
        </w:tc>
        <w:tc>
          <w:tcPr>
            <w:tcW w:type="dxa" w:w="3389"/>
            <w:vAlign w:val="center"/>
          </w:tcPr>
          <w:p>
            <w:pPr>
              <w:spacing w:after="20"/>
            </w:pPr>
            <w:r>
              <w:rPr>
                <w:rFonts w:ascii="Aptos" w:hAnsi="Aptos"/>
                <w:b w:val="0"/>
                <w:sz w:val="16"/>
              </w:rPr>
              <w:t>Require PRESENT plus verified identity; any exception must be an audited override.</w:t>
            </w:r>
          </w:p>
        </w:tc>
        <w:tc>
          <w:tcPr>
            <w:tcW w:type="dxa" w:w="3389"/>
            <w:vAlign w:val="center"/>
          </w:tcPr>
          <w:p>
            <w:pPr>
              <w:spacing w:after="20"/>
            </w:pPr>
            <w:r>
              <w:rPr>
                <w:rFonts w:ascii="Aptos" w:hAnsi="Aptos"/>
                <w:b w:val="0"/>
                <w:sz w:val="16"/>
              </w:rPr>
              <w:t>Admissions / examination office</w:t>
            </w:r>
          </w:p>
        </w:tc>
      </w:tr>
      <w:tr>
        <w:tc>
          <w:tcPr>
            <w:tcW w:type="dxa" w:w="3389"/>
            <w:vAlign w:val="center"/>
            <w:shd w:fill="F3F6F9"/>
          </w:tcPr>
          <w:p>
            <w:pPr>
              <w:spacing w:after="20"/>
            </w:pPr>
            <w:r>
              <w:rPr>
                <w:rFonts w:ascii="Aptos" w:hAnsi="Aptos"/>
                <w:b w:val="0"/>
                <w:sz w:val="16"/>
              </w:rPr>
              <w:t>Result correction approver</w:t>
            </w:r>
          </w:p>
        </w:tc>
        <w:tc>
          <w:tcPr>
            <w:tcW w:type="dxa" w:w="3389"/>
            <w:vAlign w:val="center"/>
            <w:shd w:fill="F3F6F9"/>
          </w:tcPr>
          <w:p>
            <w:pPr>
              <w:spacing w:after="20"/>
            </w:pPr>
            <w:r>
              <w:rPr>
                <w:rFonts w:ascii="Aptos" w:hAnsi="Aptos"/>
                <w:b w:val="0"/>
                <w:sz w:val="16"/>
              </w:rPr>
              <w:t>Require a second authorized admin or recorded manager reason; retain immutable history.</w:t>
            </w:r>
          </w:p>
        </w:tc>
        <w:tc>
          <w:tcPr>
            <w:tcW w:type="dxa" w:w="3389"/>
            <w:vAlign w:val="center"/>
            <w:shd w:fill="F3F6F9"/>
          </w:tcPr>
          <w:p>
            <w:pPr>
              <w:spacing w:after="20"/>
            </w:pPr>
            <w:r>
              <w:rPr>
                <w:rFonts w:ascii="Aptos" w:hAnsi="Aptos"/>
                <w:b w:val="0"/>
                <w:sz w:val="16"/>
              </w:rPr>
              <w:t>Admissions policy owner</w:t>
            </w:r>
          </w:p>
        </w:tc>
      </w:tr>
      <w:tr>
        <w:tc>
          <w:tcPr>
            <w:tcW w:type="dxa" w:w="3389"/>
            <w:vAlign w:val="center"/>
          </w:tcPr>
          <w:p>
            <w:pPr>
              <w:spacing w:after="20"/>
            </w:pPr>
            <w:r>
              <w:rPr>
                <w:rFonts w:ascii="Aptos" w:hAnsi="Aptos"/>
                <w:b w:val="0"/>
                <w:sz w:val="16"/>
              </w:rPr>
              <w:t>Waiting-list movement</w:t>
            </w:r>
          </w:p>
        </w:tc>
        <w:tc>
          <w:tcPr>
            <w:tcW w:type="dxa" w:w="3389"/>
            <w:vAlign w:val="center"/>
          </w:tcPr>
          <w:p>
            <w:pPr>
              <w:spacing w:after="20"/>
            </w:pPr>
            <w:r>
              <w:rPr>
                <w:rFonts w:ascii="Aptos" w:hAnsi="Aptos"/>
                <w:b w:val="0"/>
                <w:sz w:val="16"/>
              </w:rPr>
              <w:t>F008 offer decline/expiry triggers a new F007 list version or controlled next-candidate selection, never an unlogged rank rewrite.</w:t>
            </w:r>
          </w:p>
        </w:tc>
        <w:tc>
          <w:tcPr>
            <w:tcW w:type="dxa" w:w="3389"/>
            <w:vAlign w:val="center"/>
          </w:tcPr>
          <w:p>
            <w:pPr>
              <w:spacing w:after="20"/>
            </w:pPr>
            <w:r>
              <w:rPr>
                <w:rFonts w:ascii="Aptos" w:hAnsi="Aptos"/>
                <w:b w:val="0"/>
                <w:sz w:val="16"/>
              </w:rPr>
              <w:t>Admissions + F008 owner</w:t>
            </w:r>
          </w:p>
        </w:tc>
      </w:tr>
      <w:tr>
        <w:tc>
          <w:tcPr>
            <w:tcW w:type="dxa" w:w="3389"/>
            <w:vAlign w:val="center"/>
            <w:shd w:fill="F3F6F9"/>
          </w:tcPr>
          <w:p>
            <w:pPr>
              <w:spacing w:after="20"/>
            </w:pPr>
            <w:r>
              <w:rPr>
                <w:rFonts w:ascii="Aptos" w:hAnsi="Aptos"/>
                <w:b w:val="0"/>
                <w:sz w:val="16"/>
              </w:rPr>
              <w:t>Session import window</w:t>
            </w:r>
          </w:p>
        </w:tc>
        <w:tc>
          <w:tcPr>
            <w:tcW w:type="dxa" w:w="3389"/>
            <w:vAlign w:val="center"/>
            <w:shd w:fill="F3F6F9"/>
          </w:tcPr>
          <w:p>
            <w:pPr>
              <w:spacing w:after="20"/>
            </w:pPr>
            <w:r>
              <w:rPr>
                <w:rFonts w:ascii="Aptos" w:hAnsi="Aptos"/>
                <w:b w:val="0"/>
                <w:sz w:val="16"/>
              </w:rPr>
              <w:t>Allow import only after F006 marks the session result-ready/closed, or an admin override with reason.</w:t>
            </w:r>
          </w:p>
        </w:tc>
        <w:tc>
          <w:tcPr>
            <w:tcW w:type="dxa" w:w="3389"/>
            <w:vAlign w:val="center"/>
            <w:shd w:fill="F3F6F9"/>
          </w:tcPr>
          <w:p>
            <w:pPr>
              <w:spacing w:after="20"/>
            </w:pPr>
            <w:r>
              <w:rPr>
                <w:rFonts w:ascii="Aptos" w:hAnsi="Aptos"/>
                <w:b w:val="0"/>
                <w:sz w:val="16"/>
              </w:rPr>
              <w:t>F006 / examination office</w:t>
            </w:r>
          </w:p>
        </w:tc>
      </w:tr>
      <w:tr>
        <w:tc>
          <w:tcPr>
            <w:tcW w:type="dxa" w:w="3389"/>
            <w:vAlign w:val="center"/>
          </w:tcPr>
          <w:p>
            <w:pPr>
              <w:spacing w:after="20"/>
            </w:pPr>
            <w:r>
              <w:rPr>
                <w:rFonts w:ascii="Aptos" w:hAnsi="Aptos"/>
                <w:b w:val="0"/>
                <w:sz w:val="16"/>
              </w:rPr>
              <w:t>Multi-offer policy</w:t>
            </w:r>
          </w:p>
        </w:tc>
        <w:tc>
          <w:tcPr>
            <w:tcW w:type="dxa" w:w="3389"/>
            <w:vAlign w:val="center"/>
          </w:tcPr>
          <w:p>
            <w:pPr>
              <w:spacing w:after="20"/>
            </w:pPr>
            <w:r>
              <w:rPr>
                <w:rFonts w:ascii="Aptos" w:hAnsi="Aptos"/>
                <w:b w:val="0"/>
                <w:sz w:val="16"/>
              </w:rPr>
              <w:t>Allow selection on multiple offering lists until F008 acceptance; F008 owns final commitment.</w:t>
            </w:r>
          </w:p>
        </w:tc>
        <w:tc>
          <w:tcPr>
            <w:tcW w:type="dxa" w:w="3389"/>
            <w:vAlign w:val="center"/>
          </w:tcPr>
          <w:p>
            <w:pPr>
              <w:spacing w:after="20"/>
            </w:pPr>
            <w:r>
              <w:rPr>
                <w:rFonts w:ascii="Aptos" w:hAnsi="Aptos"/>
                <w:b w:val="0"/>
                <w:sz w:val="16"/>
              </w:rPr>
              <w:t>Admissions policy owner</w:t>
            </w:r>
          </w:p>
        </w:tc>
      </w:tr>
      <w:tr>
        <w:tc>
          <w:tcPr>
            <w:tcW w:type="dxa" w:w="3389"/>
            <w:vAlign w:val="center"/>
            <w:shd w:fill="F3F6F9"/>
          </w:tcPr>
          <w:p>
            <w:pPr>
              <w:spacing w:after="20"/>
            </w:pPr>
            <w:r>
              <w:rPr>
                <w:rFonts w:ascii="Aptos" w:hAnsi="Aptos"/>
                <w:b w:val="0"/>
                <w:sz w:val="16"/>
              </w:rPr>
              <w:t>Retention</w:t>
            </w:r>
          </w:p>
        </w:tc>
        <w:tc>
          <w:tcPr>
            <w:tcW w:type="dxa" w:w="3389"/>
            <w:vAlign w:val="center"/>
            <w:shd w:fill="F3F6F9"/>
          </w:tcPr>
          <w:p>
            <w:pPr>
              <w:spacing w:after="20"/>
            </w:pPr>
            <w:r>
              <w:rPr>
                <w:rFonts w:ascii="Aptos" w:hAnsi="Aptos"/>
                <w:b w:val="0"/>
                <w:sz w:val="16"/>
              </w:rPr>
              <w:t>Define source workbook, raw staging row, result and audit retention durations.</w:t>
            </w:r>
          </w:p>
        </w:tc>
        <w:tc>
          <w:tcPr>
            <w:tcW w:type="dxa" w:w="3389"/>
            <w:vAlign w:val="center"/>
            <w:shd w:fill="F3F6F9"/>
          </w:tcPr>
          <w:p>
            <w:pPr>
              <w:spacing w:after="20"/>
            </w:pPr>
            <w:r>
              <w:rPr>
                <w:rFonts w:ascii="Aptos" w:hAnsi="Aptos"/>
                <w:b w:val="0"/>
                <w:sz w:val="16"/>
              </w:rPr>
              <w:t>Institution data owner</w:t>
            </w:r>
          </w:p>
        </w:tc>
      </w:tr>
    </w:tbl>
    <w:p>
      <w:pPr>
        <w:spacing w:after="20"/>
      </w:pPr>
    </w:p>
    <w:p>
      <w:pPr>
        <w:pStyle w:val="Heading1"/>
      </w:pPr>
      <w:r>
        <w:t>14. Implementation sequence</w:t>
      </w:r>
    </w:p>
    <w:p>
      <w:pPr>
        <w:pStyle w:val="ListNumber"/>
      </w:pPr>
      <w:r>
        <w:t>Confirm outstanding institution decisions or accept the explicit interim defaults.</w:t>
      </w:r>
    </w:p>
    <w:p>
      <w:pPr>
        <w:pStyle w:val="ListNumber"/>
      </w:pPr>
      <w:r>
        <w:t>Add F000 seat_capacity and expose it in offering APIs; backfill existing records through reviewed data.</w:t>
      </w:r>
    </w:p>
    <w:p>
      <w:pPr>
        <w:pStyle w:val="ListNumber"/>
      </w:pPr>
      <w:r>
        <w:t>Add F007 migrations/entities/indexes for imports, staging rows, canonical results, merit lists/items and audit fields.</w:t>
      </w:r>
    </w:p>
    <w:p>
      <w:pPr>
        <w:pStyle w:val="ListNumber"/>
      </w:pPr>
      <w:r>
        <w:t>Implement workbook parser, validation preview, secure storage, row-error reporting, and all-or-none confirmation.</w:t>
      </w:r>
    </w:p>
    <w:p>
      <w:pPr>
        <w:pStyle w:val="ListNumber"/>
      </w:pPr>
      <w:r>
        <w:t>Implement eligibility checks against F002/F005/F006, then draft per-offering list generation with capacity/tie guard.</w:t>
      </w:r>
    </w:p>
    <w:p>
      <w:pPr>
        <w:pStyle w:val="ListNumber"/>
      </w:pPr>
      <w:r>
        <w:t>Implement approve/publish transitions, transactional audit and outbox event for F010.</w:t>
      </w:r>
    </w:p>
    <w:p>
      <w:pPr>
        <w:pStyle w:val="ListNumber"/>
      </w:pPr>
      <w:r>
        <w:t>Add applicant-only published-result endpoint and Swagger DTOs/error schemas.</w:t>
      </w:r>
    </w:p>
    <w:p>
      <w:pPr>
        <w:pStyle w:val="ListNumber"/>
      </w:pPr>
      <w:r>
        <w:t>Reconcile/retire F006 overlapping outcome write APIs and migrate historical data safely.</w:t>
      </w:r>
    </w:p>
    <w:p>
      <w:pPr>
        <w:pStyle w:val="ListNumber"/>
      </w:pPr>
      <w:r>
        <w:t>Deploy migrations before application rollout; monitor import failures, duplicate uploads, and publication events.</w:t>
      </w:r>
    </w:p>
    <w:p>
      <w:pPr>
        <w:pStyle w:val="Heading1"/>
      </w:pPr>
      <w:r>
        <w:t>15. Acceptance criteria</w:t>
      </w:r>
    </w:p>
    <w:p>
      <w:pPr>
        <w:pStyle w:val="ListBullet"/>
      </w:pPr>
      <w:r>
        <w:t>Invalid workbook or any invalid row cannot create official result records.</w:t>
      </w:r>
    </w:p>
    <w:p>
      <w:pPr>
        <w:pStyle w:val="ListBullet"/>
      </w:pPr>
      <w:r>
        <w:t>Preview is visible with row-numbered errors and valid/invalid counts.</w:t>
      </w:r>
    </w:p>
    <w:p>
      <w:pPr>
        <w:pStyle w:val="ListBullet"/>
      </w:pPr>
      <w:r>
        <w:t>Confirm is atomic, tenant-scoped, idempotent, and records actor/time/source hash.</w:t>
      </w:r>
    </w:p>
    <w:p>
      <w:pPr>
        <w:pStyle w:val="ListBullet"/>
      </w:pPr>
      <w:r>
        <w:t>Duplicate applicant/session results cannot be created through concurrent uploads.</w:t>
      </w:r>
    </w:p>
    <w:p>
      <w:pPr>
        <w:pStyle w:val="ListBullet"/>
      </w:pPr>
      <w:r>
        <w:t>A candidate is considered only for session-associated selected offerings where eligibility passes.</w:t>
      </w:r>
    </w:p>
    <w:p>
      <w:pPr>
        <w:pStyle w:val="ListBullet"/>
      </w:pPr>
      <w:r>
        <w:t>Merit generation fails when seat capacity is absent/invalid.</w:t>
      </w:r>
    </w:p>
    <w:p>
      <w:pPr>
        <w:pStyle w:val="ListBullet"/>
      </w:pPr>
      <w:r>
        <w:t>Ranks use descending calculated percentage and documented competition ranking.</w:t>
      </w:r>
    </w:p>
    <w:p>
      <w:pPr>
        <w:pStyle w:val="ListBullet"/>
      </w:pPr>
      <w:r>
        <w:t>Tie crossing capacity blocks approval until audited resolution.</w:t>
      </w:r>
    </w:p>
    <w:p>
      <w:pPr>
        <w:pStyle w:val="ListBullet"/>
      </w:pPr>
      <w:r>
        <w:t>Each offering list is separately versioned; the same applicant can appear on multiple lists.</w:t>
      </w:r>
    </w:p>
    <w:p>
      <w:pPr>
        <w:pStyle w:val="ListBullet"/>
      </w:pPr>
      <w:r>
        <w:t>Only approved lists can publish; publish emits one idempotent F010 event.</w:t>
      </w:r>
    </w:p>
    <w:p>
      <w:pPr>
        <w:pStyle w:val="ListBullet"/>
      </w:pPr>
      <w:r>
        <w:t>Applicant can read only own published outcome; unpublished lists remain private.</w:t>
      </w:r>
    </w:p>
    <w:p>
      <w:pPr>
        <w:pStyle w:val="ListBullet"/>
      </w:pPr>
      <w:r>
        <w:t>Legacy F006 score/outcome data is preserved or migrated before endpoint retirement.</w:t>
      </w:r>
    </w:p>
    <w:p>
      <w:pPr>
        <w:pStyle w:val="ListBullet"/>
      </w:pPr>
      <w:r>
        <w:t>Swagger documents auth, multipart inputs, response models, pagination, validation and possible responses.</w:t>
      </w:r>
    </w:p>
    <w:p>
      <w:pPr>
        <w:pStyle w:val="Heading1"/>
      </w:pPr>
      <w:r>
        <w:t>Appendix A. F007 responsibility boundary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pPr>
              <w:spacing w:after="20"/>
            </w:pPr>
            <w:r>
              <w:rPr>
                <w:rFonts w:ascii="Aptos" w:hAnsi="Aptos"/>
                <w:b/>
                <w:color w:val="FFFFFF"/>
                <w:sz w:val="16"/>
              </w:rPr>
              <w:t>Question</w:t>
            </w:r>
          </w:p>
        </w:tc>
        <w:tc>
          <w:tcPr>
            <w:tcW w:type="dxa" w:w="5083"/>
            <w:vAlign w:val="center"/>
            <w:shd w:fill="17365D"/>
          </w:tcPr>
          <w:p>
            <w:pPr>
              <w:spacing w:after="20"/>
            </w:pPr>
            <w:r>
              <w:rPr>
                <w:rFonts w:ascii="Aptos" w:hAnsi="Aptos"/>
                <w:b/>
                <w:color w:val="FFFFFF"/>
                <w:sz w:val="16"/>
              </w:rPr>
              <w:t>Answer</w:t>
            </w:r>
          </w:p>
        </w:tc>
      </w:tr>
      <w:tr>
        <w:tc>
          <w:tcPr>
            <w:tcW w:type="dxa" w:w="5083"/>
            <w:vAlign w:val="center"/>
          </w:tcPr>
          <w:p>
            <w:pPr>
              <w:spacing w:after="20"/>
            </w:pPr>
            <w:r>
              <w:rPr>
                <w:rFonts w:ascii="Aptos" w:hAnsi="Aptos"/>
                <w:b w:val="0"/>
                <w:sz w:val="16"/>
              </w:rPr>
              <w:t>Where is attendance recorded?</w:t>
            </w:r>
          </w:p>
        </w:tc>
        <w:tc>
          <w:tcPr>
            <w:tcW w:type="dxa" w:w="5083"/>
            <w:vAlign w:val="center"/>
          </w:tcPr>
          <w:p>
            <w:pPr>
              <w:spacing w:after="20"/>
            </w:pPr>
            <w:r>
              <w:rPr>
                <w:rFonts w:ascii="Aptos" w:hAnsi="Aptos"/>
                <w:b w:val="0"/>
                <w:sz w:val="16"/>
              </w:rPr>
              <w:t>F006.</w:t>
            </w:r>
          </w:p>
        </w:tc>
      </w:tr>
      <w:tr>
        <w:tc>
          <w:tcPr>
            <w:tcW w:type="dxa" w:w="5083"/>
            <w:vAlign w:val="center"/>
            <w:shd w:fill="F3F6F9"/>
          </w:tcPr>
          <w:p>
            <w:pPr>
              <w:spacing w:after="20"/>
            </w:pPr>
            <w:r>
              <w:rPr>
                <w:rFonts w:ascii="Aptos" w:hAnsi="Aptos"/>
                <w:b w:val="0"/>
                <w:sz w:val="16"/>
              </w:rPr>
              <w:t>Where are official scores stored?</w:t>
            </w:r>
          </w:p>
        </w:tc>
        <w:tc>
          <w:tcPr>
            <w:tcW w:type="dxa" w:w="5083"/>
            <w:vAlign w:val="center"/>
            <w:shd w:fill="F3F6F9"/>
          </w:tcPr>
          <w:p>
            <w:pPr>
              <w:spacing w:after="20"/>
            </w:pPr>
            <w:r>
              <w:rPr>
                <w:rFonts w:ascii="Aptos" w:hAnsi="Aptos"/>
                <w:b w:val="0"/>
                <w:sz w:val="16"/>
              </w:rPr>
              <w:t>F007 entry_test_results.</w:t>
            </w:r>
          </w:p>
        </w:tc>
      </w:tr>
      <w:tr>
        <w:tc>
          <w:tcPr>
            <w:tcW w:type="dxa" w:w="5083"/>
            <w:vAlign w:val="center"/>
          </w:tcPr>
          <w:p>
            <w:pPr>
              <w:spacing w:after="20"/>
            </w:pPr>
            <w:r>
              <w:rPr>
                <w:rFonts w:ascii="Aptos" w:hAnsi="Aptos"/>
                <w:b w:val="0"/>
                <w:sz w:val="16"/>
              </w:rPr>
              <w:t>Does an upload instantly mark applicants paid/selected?</w:t>
            </w:r>
          </w:p>
        </w:tc>
        <w:tc>
          <w:tcPr>
            <w:tcW w:type="dxa" w:w="5083"/>
            <w:vAlign w:val="center"/>
          </w:tcPr>
          <w:p>
            <w:pPr>
              <w:spacing w:after="20"/>
            </w:pPr>
            <w:r>
              <w:rPr>
                <w:rFonts w:ascii="Aptos" w:hAnsi="Aptos"/>
                <w:b w:val="0"/>
                <w:sz w:val="16"/>
              </w:rPr>
              <w:t>No. It stages rows; explicit confirmation writes results; merit generation and publication are separate.</w:t>
            </w:r>
          </w:p>
        </w:tc>
      </w:tr>
      <w:tr>
        <w:tc>
          <w:tcPr>
            <w:tcW w:type="dxa" w:w="5083"/>
            <w:vAlign w:val="center"/>
            <w:shd w:fill="F3F6F9"/>
          </w:tcPr>
          <w:p>
            <w:pPr>
              <w:spacing w:after="20"/>
            </w:pPr>
            <w:r>
              <w:rPr>
                <w:rFonts w:ascii="Aptos" w:hAnsi="Aptos"/>
                <w:b w:val="0"/>
                <w:sz w:val="16"/>
              </w:rPr>
              <w:t>Can one result apply to multiple programme preferences?</w:t>
            </w:r>
          </w:p>
        </w:tc>
        <w:tc>
          <w:tcPr>
            <w:tcW w:type="dxa" w:w="5083"/>
            <w:vAlign w:val="center"/>
            <w:shd w:fill="F3F6F9"/>
          </w:tcPr>
          <w:p>
            <w:pPr>
              <w:spacing w:after="20"/>
            </w:pPr>
            <w:r>
              <w:rPr>
                <w:rFonts w:ascii="Aptos" w:hAnsi="Aptos"/>
                <w:b w:val="0"/>
                <w:sz w:val="16"/>
              </w:rPr>
              <w:t>Yes, when each offering is associated with the session and the applicant meets its eligibility rules.</w:t>
            </w:r>
          </w:p>
        </w:tc>
      </w:tr>
      <w:tr>
        <w:tc>
          <w:tcPr>
            <w:tcW w:type="dxa" w:w="5083"/>
            <w:vAlign w:val="center"/>
          </w:tcPr>
          <w:p>
            <w:pPr>
              <w:spacing w:after="20"/>
            </w:pPr>
            <w:r>
              <w:rPr>
                <w:rFonts w:ascii="Aptos" w:hAnsi="Aptos"/>
                <w:b w:val="0"/>
                <w:sz w:val="16"/>
              </w:rPr>
              <w:t>Who commits the seat?</w:t>
            </w:r>
          </w:p>
        </w:tc>
        <w:tc>
          <w:tcPr>
            <w:tcW w:type="dxa" w:w="5083"/>
            <w:vAlign w:val="center"/>
          </w:tcPr>
          <w:p>
            <w:pPr>
              <w:spacing w:after="20"/>
            </w:pPr>
            <w:r>
              <w:rPr>
                <w:rFonts w:ascii="Aptos" w:hAnsi="Aptos"/>
                <w:b w:val="0"/>
                <w:sz w:val="16"/>
              </w:rPr>
              <w:t>F008 after offer acceptance.</w:t>
            </w:r>
          </w:p>
        </w:tc>
      </w:tr>
      <w:tr>
        <w:tc>
          <w:tcPr>
            <w:tcW w:type="dxa" w:w="5083"/>
            <w:vAlign w:val="center"/>
            <w:shd w:fill="F3F6F9"/>
          </w:tcPr>
          <w:p>
            <w:pPr>
              <w:spacing w:after="20"/>
            </w:pPr>
            <w:r>
              <w:rPr>
                <w:rFonts w:ascii="Aptos" w:hAnsi="Aptos"/>
                <w:b w:val="0"/>
                <w:sz w:val="16"/>
              </w:rPr>
              <w:t>Who sends applicant notifications?</w:t>
            </w:r>
          </w:p>
        </w:tc>
        <w:tc>
          <w:tcPr>
            <w:tcW w:type="dxa" w:w="5083"/>
            <w:vAlign w:val="center"/>
            <w:shd w:fill="F3F6F9"/>
          </w:tcPr>
          <w:p>
            <w:pPr>
              <w:spacing w:after="20"/>
            </w:pPr>
            <w:r>
              <w:rPr>
                <w:rFonts w:ascii="Aptos" w:hAnsi="Aptos"/>
                <w:b w:val="0"/>
                <w:sz w:val="16"/>
              </w:rPr>
              <w:t>F010 consumes F007 publication events.</w:t>
            </w:r>
          </w:p>
        </w:tc>
      </w:tr>
      <w:tr>
        <w:tc>
          <w:tcPr>
            <w:tcW w:type="dxa" w:w="5083"/>
            <w:vAlign w:val="center"/>
          </w:tcPr>
          <w:p>
            <w:pPr>
              <w:spacing w:after="20"/>
            </w:pPr>
            <w:r>
              <w:rPr>
                <w:rFonts w:ascii="Aptos" w:hAnsi="Aptos"/>
                <w:b w:val="0"/>
                <w:sz w:val="16"/>
              </w:rPr>
              <w:t>Should F007 write to applications table for each rank?</w:t>
            </w:r>
          </w:p>
        </w:tc>
        <w:tc>
          <w:tcPr>
            <w:tcW w:type="dxa" w:w="5083"/>
            <w:vAlign w:val="center"/>
          </w:tcPr>
          <w:p>
            <w:pPr>
              <w:spacing w:after="20"/>
            </w:pPr>
            <w:r>
              <w:rPr>
                <w:rFonts w:ascii="Aptos" w:hAnsi="Aptos"/>
                <w:b w:val="0"/>
                <w:sz w:val="16"/>
              </w:rPr>
              <w:t>No. Keep result and list history in F007-owned tables; F008 owns offers/commitment.</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Implementation Specification v1.2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ADM-F007  |  RESULT IMPORT &amp; MERIT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