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MDX Faculty CV Converter</w:t>
      </w:r>
    </w:p>
    <w:p>
      <w:pPr>
        <w:spacing w:after="260"/>
      </w:pPr>
      <w:r>
        <w:rPr>
          <w:b/>
          <w:bCs/>
          <w:color w:val="0E7C7B"/>
          <w:sz w:val="30"/>
          <w:szCs w:val="30"/>
        </w:rPr>
        <w:t xml:space="preserve">Enhancement Recommendations</w:t>
      </w:r>
    </w:p>
    <w:p>
      <w:pPr>
        <w:spacing w:after="300"/>
      </w:pPr>
      <w:r>
        <w:rPr>
          <w:b/>
          <w:bCs/>
          <w:color w:val="595959"/>
          <w:sz w:val="20"/>
          <w:szCs w:val="20"/>
        </w:rPr>
        <w:t xml:space="preserve">Prepared: </w:t>
      </w:r>
      <w:r>
        <w:rPr>
          <w:color w:val="595959"/>
          <w:sz w:val="20"/>
          <w:szCs w:val="20"/>
        </w:rPr>
        <w:t xml:space="preserve">29 August 2026</w:t>
      </w:r>
      <w:r>
        <w:rPr>
          <w:color w:val="595959"/>
          <w:sz w:val="20"/>
          <w:szCs w:val="20"/>
        </w:rPr>
        <w:t xml:space="preserve">    |    </w:t>
      </w:r>
      <w:r>
        <w:rPr>
          <w:b/>
          <w:bCs/>
          <w:color w:val="595959"/>
          <w:sz w:val="20"/>
          <w:szCs w:val="20"/>
        </w:rPr>
        <w:t xml:space="preserve">Based on: </w:t>
      </w:r>
      <w:r>
        <w:rPr>
          <w:color w:val="595959"/>
          <w:sz w:val="20"/>
          <w:szCs w:val="20"/>
        </w:rPr>
        <w:t xml:space="preserve">HANDOVER.md, FIXLOG.md, and a direct review of the current codebase</w:t>
      </w:r>
    </w:p>
    <w:p>
      <w:pPr>
        <w:pStyle w:val="Heading1"/>
        <w:spacing w:after="140" w:before="320"/>
      </w:pPr>
      <w:r>
        <w:rPr>
          <w:b/>
          <w:bCs/>
          <w:color w:val="1F3864"/>
        </w:rPr>
        <w:t xml:space="preserve">Why this document</w:t>
      </w:r>
    </w:p>
    <w:p>
      <w:pPr>
        <w:spacing w:after="160" w:line="276"/>
      </w:pPr>
      <w:r>
        <w:t xml:space="preserve">The converter already does the hard part well: it turns a staff member's own CV into the official MDX Faculty CV template, extracts content verbatim so nothing is fabricated, and now auto-approves the confident majority of items so a reviewer's time goes to the handful that genuinely need a human judgement call. HANDOVER.md puts review time at roughly a minute for a well-structured CV, down from 5–8 minutes.</w:t>
      </w:r>
    </w:p>
    <w:p>
      <w:pPr>
        <w:spacing w:after="160" w:line="276"/>
      </w:pPr>
      <w:r>
        <w:t xml:space="preserve">The recommendations below are not about fixing what's broken — the fix log shows a system that has been hardened against a wide range of real CVs, including several structural problems (multi-column PDFs, hyphenated names, unstructured skill lists) that were tried, fixed, and regression-tested. This document is about the next step: making the tool more useful once it moves from “works well on one CV at a time” to “works well as the everyday way HR converts CVs.”</w:t>
      </w:r>
    </w:p>
    <w:p>
      <w:pPr>
        <w:spacing w:after="160" w:line="276"/>
      </w:pPr>
      <w:r>
        <w:t xml:space="preserve">Each recommendation below was checked directly against the backend and frontend code, not just proposed in the abstract — so the effort estimates reflect what already exists versus what would need to be built.</w:t>
      </w:r>
    </w:p>
    <w:p>
      <w:pPr>
        <w:pStyle w:val="Heading1"/>
        <w:spacing w:after="140" w:before="320"/>
      </w:pPr>
      <w:r>
        <w:rPr>
          <w:b/>
          <w:bCs/>
          <w:color w:val="1F3864"/>
        </w:rPr>
        <w:t xml:space="preserve">How to read this</w:t>
      </w:r>
    </w:p>
    <w:p>
      <w:pPr>
        <w:spacing w:after="160" w:line="276"/>
      </w:pPr>
      <w:r>
        <w:t xml:space="preserve">Recommendations are grouped into three tiers by effort, and within each tier, ordered by impact. “Effort” is a rough build estimate for one developer already familiar with the codebase; “What's already there” is the reason the estimate is often smaller than it looks — several of these are more wiring than invention.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6040"/>
      </w:tblGrid>
      <w:tr>
        <w:trPr>
          <w:tblHeader/>
        </w:trPr>
        <w:tc>
          <w:tcPr>
            <w:tcW w:type="dxa" w:w="3000"/>
            <w:shd w:fill="1F3864" w:color="auto" w:val="clear"/>
            <w:tcMar>
              <w:top w:type="dxa" w:w="100"/>
              <w:left w:type="dxa" w:w="120"/>
              <w:bottom w:type="dxa" w:w="100"/>
              <w:right w:type="dxa" w:w="120"/>
            </w:tcMar>
          </w:tcPr>
          <w:p>
            <w:r>
              <w:rPr>
                <w:b/>
                <w:bCs/>
              </w:rPr>
              <w:t xml:space="preserve">Recommendation</w:t>
            </w:r>
          </w:p>
        </w:tc>
        <w:tc>
          <w:tcPr>
            <w:tcW w:type="dxa" w:w="1400"/>
            <w:shd w:fill="1F3864" w:color="auto" w:val="clear"/>
            <w:tcMar>
              <w:top w:type="dxa" w:w="100"/>
              <w:left w:type="dxa" w:w="120"/>
              <w:bottom w:type="dxa" w:w="100"/>
              <w:right w:type="dxa" w:w="120"/>
            </w:tcMar>
          </w:tcPr>
          <w:p>
            <w:r>
              <w:rPr>
                <w:b/>
                <w:bCs/>
              </w:rPr>
              <w:t xml:space="preserve">Effort</w:t>
            </w:r>
          </w:p>
        </w:tc>
        <w:tc>
          <w:tcPr>
            <w:tcW w:type="dxa" w:w="6040"/>
            <w:shd w:fill="1F3864" w:color="auto" w:val="clear"/>
            <w:tcMar>
              <w:top w:type="dxa" w:w="100"/>
              <w:left w:type="dxa" w:w="120"/>
              <w:bottom w:type="dxa" w:w="100"/>
              <w:right w:type="dxa" w:w="120"/>
            </w:tcMar>
          </w:tcPr>
          <w:p>
            <w:r>
              <w:rPr>
                <w:b/>
                <w:bCs/>
              </w:rPr>
              <w:t xml:space="preserve">What's already there</w:t>
            </w:r>
          </w:p>
        </w:tc>
      </w:tr>
      <w:tr>
        <w:tc>
          <w:tcPr>
            <w:tcW w:type="dxa" w:w="3000"/>
            <w:shd w:fill="F2F2F2" w:color="auto" w:val="clear"/>
            <w:tcMar>
              <w:top w:type="dxa" w:w="100"/>
              <w:left w:type="dxa" w:w="120"/>
              <w:bottom w:type="dxa" w:w="100"/>
              <w:right w:type="dxa" w:w="120"/>
            </w:tcMar>
          </w:tcPr>
          <w:p>
            <w:r>
              <w:rPr>
                <w:b/>
                <w:bCs/>
              </w:rPr>
              <w:t xml:space="preserve">Batch upload</w:t>
            </w:r>
          </w:p>
        </w:tc>
        <w:tc>
          <w:tcPr>
            <w:tcW w:type="dxa" w:w="1400"/>
            <w:shd w:fill="F2F2F2" w:color="auto" w:val="clear"/>
            <w:tcMar>
              <w:top w:type="dxa" w:w="100"/>
              <w:left w:type="dxa" w:w="120"/>
              <w:bottom w:type="dxa" w:w="100"/>
              <w:right w:type="dxa" w:w="120"/>
            </w:tcMar>
          </w:tcPr>
          <w:p>
            <w:r>
              <w:rPr>
                <w:b/>
                <w:bCs/>
                <w:color w:val="1E7A34"/>
              </w:rPr>
              <w:t xml:space="preserve">Small</w:t>
            </w:r>
          </w:p>
        </w:tc>
        <w:tc>
          <w:tcPr>
            <w:tcW w:type="dxa" w:w="6040"/>
            <w:shd w:fill="F2F2F2" w:color="auto" w:val="clear"/>
            <w:tcMar>
              <w:top w:type="dxa" w:w="100"/>
              <w:left w:type="dxa" w:w="120"/>
              <w:bottom w:type="dxa" w:w="100"/>
              <w:right w:type="dxa" w:w="120"/>
            </w:tcMar>
          </w:tcPr>
          <w:p>
            <w:r>
              <w:rPr>
                <w:b w:val="false"/>
                <w:bCs w:val="false"/>
              </w:rPr>
              <w:t xml:space="preserve">Upload endpoint, background processing per CV, and an auto-refreshing history/queue table already exist. This is close to a front-end-only change.</w:t>
            </w:r>
          </w:p>
        </w:tc>
      </w:tr>
      <w:tr>
        <w:tc>
          <w:tcPr>
            <w:tcW w:type="dxa" w:w="3000"/>
            <w:shd w:fill="FFFFFF" w:color="auto" w:val="clear"/>
            <w:tcMar>
              <w:top w:type="dxa" w:w="100"/>
              <w:left w:type="dxa" w:w="120"/>
              <w:bottom w:type="dxa" w:w="100"/>
              <w:right w:type="dxa" w:w="120"/>
            </w:tcMar>
          </w:tcPr>
          <w:p>
            <w:r>
              <w:rPr>
                <w:b/>
                <w:bCs/>
              </w:rPr>
              <w:t xml:space="preserve">Activity log in the review screen</w:t>
            </w:r>
          </w:p>
        </w:tc>
        <w:tc>
          <w:tcPr>
            <w:tcW w:type="dxa" w:w="1400"/>
            <w:shd w:fill="FFFFFF" w:color="auto" w:val="clear"/>
            <w:tcMar>
              <w:top w:type="dxa" w:w="100"/>
              <w:left w:type="dxa" w:w="120"/>
              <w:bottom w:type="dxa" w:w="100"/>
              <w:right w:type="dxa" w:w="120"/>
            </w:tcMar>
          </w:tcPr>
          <w:p>
            <w:r>
              <w:rPr>
                <w:b/>
                <w:bCs/>
                <w:color w:val="1E7A34"/>
              </w:rPr>
              <w:t xml:space="preserve">Small</w:t>
            </w:r>
          </w:p>
        </w:tc>
        <w:tc>
          <w:tcPr>
            <w:tcW w:type="dxa" w:w="6040"/>
            <w:shd w:fill="FFFFFF" w:color="auto" w:val="clear"/>
            <w:tcMar>
              <w:top w:type="dxa" w:w="100"/>
              <w:left w:type="dxa" w:w="120"/>
              <w:bottom w:type="dxa" w:w="100"/>
              <w:right w:type="dxa" w:w="120"/>
            </w:tcMar>
          </w:tcPr>
          <w:p>
            <w:r>
              <w:rPr>
                <w:b w:val="false"/>
                <w:bCs w:val="false"/>
              </w:rPr>
              <w:t xml:space="preserve">Every processing and review step is already logged to an audit_log table — it just isn't shown anywhere yet.</w:t>
            </w:r>
          </w:p>
        </w:tc>
      </w:tr>
      <w:tr>
        <w:tc>
          <w:tcPr>
            <w:tcW w:type="dxa" w:w="3000"/>
            <w:shd w:fill="F2F2F2" w:color="auto" w:val="clear"/>
            <w:tcMar>
              <w:top w:type="dxa" w:w="100"/>
              <w:left w:type="dxa" w:w="120"/>
              <w:bottom w:type="dxa" w:w="100"/>
              <w:right w:type="dxa" w:w="120"/>
            </w:tcMar>
          </w:tcPr>
          <w:p>
            <w:r>
              <w:rPr>
                <w:b/>
                <w:bCs/>
              </w:rPr>
              <w:t xml:space="preserve">“Hard to parse” early warning</w:t>
            </w:r>
          </w:p>
        </w:tc>
        <w:tc>
          <w:tcPr>
            <w:tcW w:type="dxa" w:w="1400"/>
            <w:shd w:fill="F2F2F2" w:color="auto" w:val="clear"/>
            <w:tcMar>
              <w:top w:type="dxa" w:w="100"/>
              <w:left w:type="dxa" w:w="120"/>
              <w:bottom w:type="dxa" w:w="100"/>
              <w:right w:type="dxa" w:w="120"/>
            </w:tcMar>
          </w:tcPr>
          <w:p>
            <w:r>
              <w:rPr>
                <w:b/>
                <w:bCs/>
                <w:color w:val="1E7A34"/>
              </w:rPr>
              <w:t xml:space="preserve">Small</w:t>
            </w:r>
          </w:p>
        </w:tc>
        <w:tc>
          <w:tcPr>
            <w:tcW w:type="dxa" w:w="6040"/>
            <w:shd w:fill="F2F2F2" w:color="auto" w:val="clear"/>
            <w:tcMar>
              <w:top w:type="dxa" w:w="100"/>
              <w:left w:type="dxa" w:w="120"/>
              <w:bottom w:type="dxa" w:w="100"/>
              <w:right w:type="dxa" w:w="120"/>
            </w:tcMar>
          </w:tcPr>
          <w:p>
            <w:r>
              <w:rPr>
                <w:b w:val="false"/>
                <w:bCs w:val="false"/>
              </w:rPr>
              <w:t xml:space="preserve">The coverage score this needs is already calculated by the quality report on every CV.</w:t>
            </w:r>
          </w:p>
        </w:tc>
      </w:tr>
      <w:tr>
        <w:tc>
          <w:tcPr>
            <w:tcW w:type="dxa" w:w="3000"/>
            <w:shd w:fill="FFFFFF" w:color="auto" w:val="clear"/>
            <w:tcMar>
              <w:top w:type="dxa" w:w="100"/>
              <w:left w:type="dxa" w:w="120"/>
              <w:bottom w:type="dxa" w:w="100"/>
              <w:right w:type="dxa" w:w="120"/>
            </w:tcMar>
          </w:tcPr>
          <w:p>
            <w:r>
              <w:rPr>
                <w:b/>
                <w:bCs/>
              </w:rPr>
              <w:t xml:space="preserve">Staff profile management screen</w:t>
            </w:r>
          </w:p>
        </w:tc>
        <w:tc>
          <w:tcPr>
            <w:tcW w:type="dxa" w:w="1400"/>
            <w:shd w:fill="FFFFFF" w:color="auto" w:val="clear"/>
            <w:tcMar>
              <w:top w:type="dxa" w:w="100"/>
              <w:left w:type="dxa" w:w="120"/>
              <w:bottom w:type="dxa" w:w="100"/>
              <w:right w:type="dxa" w:w="120"/>
            </w:tcMar>
          </w:tcPr>
          <w:p>
            <w:r>
              <w:rPr>
                <w:b/>
                <w:bCs/>
                <w:color w:val="B7791F"/>
              </w:rPr>
              <w:t xml:space="preserve">Medium</w:t>
            </w:r>
          </w:p>
        </w:tc>
        <w:tc>
          <w:tcPr>
            <w:tcW w:type="dxa" w:w="6040"/>
            <w:shd w:fill="FFFFFF" w:color="auto" w:val="clear"/>
            <w:tcMar>
              <w:top w:type="dxa" w:w="100"/>
              <w:left w:type="dxa" w:w="120"/>
              <w:bottom w:type="dxa" w:w="100"/>
              <w:right w:type="dxa" w:w="120"/>
            </w:tcMar>
          </w:tcPr>
          <w:p>
            <w:r>
              <w:rPr>
                <w:b w:val="false"/>
                <w:bCs w:val="false"/>
              </w:rPr>
              <w:t xml:space="preserve">Full CRUD API already exists (GET/PUT/DELETE /api/profiles); only the screen is missing.</w:t>
            </w:r>
          </w:p>
        </w:tc>
      </w:tr>
      <w:tr>
        <w:tc>
          <w:tcPr>
            <w:tcW w:type="dxa" w:w="3000"/>
            <w:shd w:fill="F2F2F2" w:color="auto" w:val="clear"/>
            <w:tcMar>
              <w:top w:type="dxa" w:w="100"/>
              <w:left w:type="dxa" w:w="120"/>
              <w:bottom w:type="dxa" w:w="100"/>
              <w:right w:type="dxa" w:w="120"/>
            </w:tcMar>
          </w:tcPr>
          <w:p>
            <w:r>
              <w:rPr>
                <w:b/>
                <w:bCs/>
              </w:rPr>
              <w:t xml:space="preserve">Configurable auto-approval threshold</w:t>
            </w:r>
          </w:p>
        </w:tc>
        <w:tc>
          <w:tcPr>
            <w:tcW w:type="dxa" w:w="1400"/>
            <w:shd w:fill="F2F2F2" w:color="auto" w:val="clear"/>
            <w:tcMar>
              <w:top w:type="dxa" w:w="100"/>
              <w:left w:type="dxa" w:w="120"/>
              <w:bottom w:type="dxa" w:w="100"/>
              <w:right w:type="dxa" w:w="120"/>
            </w:tcMar>
          </w:tcPr>
          <w:p>
            <w:r>
              <w:rPr>
                <w:b/>
                <w:bCs/>
                <w:color w:val="B7791F"/>
              </w:rPr>
              <w:t xml:space="preserve">Medium</w:t>
            </w:r>
          </w:p>
        </w:tc>
        <w:tc>
          <w:tcPr>
            <w:tcW w:type="dxa" w:w="6040"/>
            <w:shd w:fill="F2F2F2" w:color="auto" w:val="clear"/>
            <w:tcMar>
              <w:top w:type="dxa" w:w="100"/>
              <w:left w:type="dxa" w:w="120"/>
              <w:bottom w:type="dxa" w:w="100"/>
              <w:right w:type="dxa" w:w="120"/>
            </w:tcMar>
          </w:tcPr>
          <w:p>
            <w:r>
              <w:rPr>
                <w:b w:val="false"/>
                <w:bCs w:val="false"/>
              </w:rPr>
              <w:t xml:space="preserve">The threshold is a single constant in the code today; needs to move into a setting HR can see and change.</w:t>
            </w:r>
          </w:p>
        </w:tc>
      </w:tr>
      <w:tr>
        <w:tc>
          <w:tcPr>
            <w:tcW w:type="dxa" w:w="3000"/>
            <w:shd w:fill="FFFFFF" w:color="auto" w:val="clear"/>
            <w:tcMar>
              <w:top w:type="dxa" w:w="100"/>
              <w:left w:type="dxa" w:w="120"/>
              <w:bottom w:type="dxa" w:w="100"/>
              <w:right w:type="dxa" w:w="120"/>
            </w:tcMar>
          </w:tcPr>
          <w:p>
            <w:r>
              <w:rPr>
                <w:b/>
                <w:bCs/>
              </w:rPr>
              <w:t xml:space="preserve">Cross-CV “untaught headings” view</w:t>
            </w:r>
          </w:p>
        </w:tc>
        <w:tc>
          <w:tcPr>
            <w:tcW w:type="dxa" w:w="1400"/>
            <w:shd w:fill="FFFFFF" w:color="auto" w:val="clear"/>
            <w:tcMar>
              <w:top w:type="dxa" w:w="100"/>
              <w:left w:type="dxa" w:w="120"/>
              <w:bottom w:type="dxa" w:w="100"/>
              <w:right w:type="dxa" w:w="120"/>
            </w:tcMar>
          </w:tcPr>
          <w:p>
            <w:r>
              <w:rPr>
                <w:b/>
                <w:bCs/>
                <w:color w:val="B7791F"/>
              </w:rPr>
              <w:t xml:space="preserve">Medium</w:t>
            </w:r>
          </w:p>
        </w:tc>
        <w:tc>
          <w:tcPr>
            <w:tcW w:type="dxa" w:w="6040"/>
            <w:shd w:fill="FFFFFF" w:color="auto" w:val="clear"/>
            <w:tcMar>
              <w:top w:type="dxa" w:w="100"/>
              <w:left w:type="dxa" w:w="120"/>
              <w:bottom w:type="dxa" w:w="100"/>
              <w:right w:type="dxa" w:w="120"/>
            </w:tcMar>
          </w:tcPr>
          <w:p>
            <w:r>
              <w:rPr>
                <w:b w:val="false"/>
                <w:bCs w:val="false"/>
              </w:rPr>
              <w:t xml:space="preserve">Per-CV heading teaching already exists; this adds one aggregate view across CVs.</w:t>
            </w:r>
          </w:p>
        </w:tc>
      </w:tr>
      <w:tr>
        <w:tc>
          <w:tcPr>
            <w:tcW w:type="dxa" w:w="3000"/>
            <w:shd w:fill="F2F2F2" w:color="auto" w:val="clear"/>
            <w:tcMar>
              <w:top w:type="dxa" w:w="100"/>
              <w:left w:type="dxa" w:w="120"/>
              <w:bottom w:type="dxa" w:w="100"/>
              <w:right w:type="dxa" w:w="120"/>
            </w:tcMar>
          </w:tcPr>
          <w:p>
            <w:r>
              <w:rPr>
                <w:b/>
                <w:bCs/>
              </w:rPr>
              <w:t xml:space="preserve">Filename → detected-name confirmation</w:t>
            </w:r>
          </w:p>
        </w:tc>
        <w:tc>
          <w:tcPr>
            <w:tcW w:type="dxa" w:w="1400"/>
            <w:shd w:fill="F2F2F2" w:color="auto" w:val="clear"/>
            <w:tcMar>
              <w:top w:type="dxa" w:w="100"/>
              <w:left w:type="dxa" w:w="120"/>
              <w:bottom w:type="dxa" w:w="100"/>
              <w:right w:type="dxa" w:w="120"/>
            </w:tcMar>
          </w:tcPr>
          <w:p>
            <w:r>
              <w:rPr>
                <w:b/>
                <w:bCs/>
                <w:color w:val="B7791F"/>
              </w:rPr>
              <w:t xml:space="preserve">Medium</w:t>
            </w:r>
          </w:p>
        </w:tc>
        <w:tc>
          <w:tcPr>
            <w:tcW w:type="dxa" w:w="6040"/>
            <w:shd w:fill="F2F2F2" w:color="auto" w:val="clear"/>
            <w:tcMar>
              <w:top w:type="dxa" w:w="100"/>
              <w:left w:type="dxa" w:w="120"/>
              <w:bottom w:type="dxa" w:w="100"/>
              <w:right w:type="dxa" w:w="120"/>
            </w:tcMar>
          </w:tcPr>
          <w:p>
            <w:r>
              <w:rPr>
                <w:b w:val="false"/>
                <w:bCs w:val="false"/>
              </w:rPr>
              <w:t xml:space="preserve">Name detection already runs; this surfaces it as a checkpoint rather than a silent risk.</w:t>
            </w:r>
          </w:p>
        </w:tc>
      </w:tr>
      <w:tr>
        <w:tc>
          <w:tcPr>
            <w:tcW w:type="dxa" w:w="3000"/>
            <w:shd w:fill="FFFFFF" w:color="auto" w:val="clear"/>
            <w:tcMar>
              <w:top w:type="dxa" w:w="100"/>
              <w:left w:type="dxa" w:w="120"/>
              <w:bottom w:type="dxa" w:w="100"/>
              <w:right w:type="dxa" w:w="120"/>
            </w:tcMar>
          </w:tcPr>
          <w:p>
            <w:r>
              <w:rPr>
                <w:b/>
                <w:bCs/>
              </w:rPr>
              <w:t xml:space="preserve">Authentication &amp; per-reviewer accounts</w:t>
            </w:r>
          </w:p>
        </w:tc>
        <w:tc>
          <w:tcPr>
            <w:tcW w:type="dxa" w:w="1400"/>
            <w:shd w:fill="FFFFFF" w:color="auto" w:val="clear"/>
            <w:tcMar>
              <w:top w:type="dxa" w:w="100"/>
              <w:left w:type="dxa" w:w="120"/>
              <w:bottom w:type="dxa" w:w="100"/>
              <w:right w:type="dxa" w:w="120"/>
            </w:tcMar>
          </w:tcPr>
          <w:p>
            <w:r>
              <w:rPr>
                <w:b/>
                <w:bCs/>
                <w:color w:val="B00020"/>
              </w:rPr>
              <w:t xml:space="preserve">Large</w:t>
            </w:r>
          </w:p>
        </w:tc>
        <w:tc>
          <w:tcPr>
            <w:tcW w:type="dxa" w:w="6040"/>
            <w:shd w:fill="FFFFFF" w:color="auto" w:val="clear"/>
            <w:tcMar>
              <w:top w:type="dxa" w:w="100"/>
              <w:left w:type="dxa" w:w="120"/>
              <w:bottom w:type="dxa" w:w="100"/>
              <w:right w:type="dxa" w:w="120"/>
            </w:tcMar>
          </w:tcPr>
          <w:p>
            <w:r>
              <w:rPr>
                <w:b w:val="false"/>
                <w:bCs w:val="false"/>
              </w:rPr>
              <w:t xml:space="preserve">No auth exists today. This is close to a from-scratch build, and the one item that blocks real staff data at scale.</w:t>
            </w:r>
          </w:p>
        </w:tc>
      </w:tr>
    </w:tbl>
    <w:p>
      <w:pPr>
        <w:spacing w:after="200"/>
      </w:pPr>
    </w:p>
    <w:p>
      <w:pPr>
        <w:pStyle w:val="Heading1"/>
        <w:spacing w:after="140" w:before="320"/>
      </w:pPr>
      <w:r>
        <w:rPr>
          <w:b/>
          <w:bCs/>
          <w:color w:val="1F3864"/>
        </w:rPr>
        <w:t xml:space="preserve">Tier 1 — Quick wins</w:t>
      </w:r>
    </w:p>
    <w:p>
      <w:pPr>
        <w:spacing w:after="160" w:line="276"/>
      </w:pPr>
      <w:r>
        <w:t xml:space="preserve">Small, largely additive changes that use what's already built. Worth doing before anything else, because they remove the two most concrete friction points — uploading CVs one at a time, and having no visibility into what the system already recorded about each one.</w:t>
      </w:r>
    </w:p>
    <w:p>
      <w:pPr>
        <w:pStyle w:val="Heading2"/>
        <w:spacing w:after="100" w:before="260"/>
      </w:pPr>
      <w:r>
        <w:rPr>
          <w:b/>
          <w:bCs/>
          <w:color w:val="0E7C7B"/>
        </w:rPr>
        <w:t xml:space="preserve">1. Batch upload</w:t>
      </w:r>
    </w:p>
    <w:p>
      <w:pPr>
        <w:spacing w:after="160" w:line="276"/>
      </w:pPr>
      <w:r>
        <w:rPr>
          <w:b/>
          <w:bCs/>
          <w:color w:val="B7791F"/>
        </w:rPr>
        <w:t xml:space="preserve">The gap: </w:t>
      </w:r>
      <w:r>
        <w:t xml:space="preserve">HR uploads and reviews one CV at a time. Since per-CV review is already close to a minute for a well-structured CV, the next real bottleneck for converting a whole department is clicking through uploads one by one.</w:t>
      </w:r>
    </w:p>
    <w:p>
      <w:pPr>
        <w:spacing w:after="160" w:line="276"/>
      </w:pPr>
      <w:r>
        <w:rPr>
          <w:b/>
          <w:bCs/>
          <w:color w:val="1E7A34"/>
        </w:rPr>
        <w:t xml:space="preserve">The fix: </w:t>
      </w:r>
      <w:r>
        <w:t xml:space="preserve">let the upload box accept multiple files, loop the existing upload call once per file, and let the queue view show all of them processing in parallel. The upload endpoint and the background processing behind it already handle one CV independently of any other — there is no per-CV serial bottleneck to remove on the backend.</w:t>
      </w:r>
    </w:p>
    <w:p>
      <w:pPr>
        <w:spacing w:after="160" w:line="276"/>
      </w:pPr>
      <w:r>
        <w:rPr>
          <w:b/>
          <w:bCs/>
          <w:color w:val="1F3864"/>
        </w:rPr>
        <w:t xml:space="preserve">Effort: </w:t>
      </w:r>
      <w:r>
        <w:t xml:space="preserve">Small — primarily a change to the upload page (accept a file list, upload each one, then land on the existing history table instead of redirecting into a single review screen).</w:t>
      </w:r>
    </w:p>
    <w:p>
      <w:pPr>
        <w:pStyle w:val="Heading2"/>
        <w:spacing w:after="100" w:before="260"/>
      </w:pPr>
      <w:r>
        <w:rPr>
          <w:b/>
          <w:bCs/>
          <w:color w:val="0E7C7B"/>
        </w:rPr>
        <w:t xml:space="preserve">2. Activity log in the review screen</w:t>
      </w:r>
    </w:p>
    <w:p>
      <w:pPr>
        <w:spacing w:after="160" w:line="276"/>
      </w:pPr>
      <w:r>
        <w:rPr>
          <w:b/>
          <w:bCs/>
          <w:color w:val="B7791F"/>
        </w:rPr>
        <w:t xml:space="preserve">The gap: </w:t>
      </w:r>
      <w:r>
        <w:t xml:space="preserve">When a CV behaves unexpectedly — an item that got auto-approved, a profile that silently overrode a field, an item a command bar entry deleted — there is no way to see what happened, in what order, from the review screen.</w:t>
      </w:r>
    </w:p>
    <w:p>
      <w:pPr>
        <w:spacing w:after="160" w:line="276"/>
      </w:pPr>
      <w:r>
        <w:rPr>
          <w:b/>
          <w:bCs/>
          <w:color w:val="1E7A34"/>
        </w:rPr>
        <w:t xml:space="preserve">The fix: </w:t>
      </w:r>
      <w:r>
        <w:t xml:space="preserve">the system already logs every step — upload, extraction, classification, biography drafting, profile prefill, auto-approval, manual edits, command-bar actions, generation, download — to a dedicated audit table. It is never read anywhere. Adding one endpoint to fetch it and a collapsible panel on the review page turns data that already exists into something a reviewer, or an administrator troubleshooting a complaint, can actually see.</w:t>
      </w:r>
    </w:p>
    <w:p>
      <w:pPr>
        <w:spacing w:after="160" w:line="276"/>
      </w:pPr>
      <w:r>
        <w:rPr>
          <w:b/>
          <w:bCs/>
          <w:color w:val="1F3864"/>
        </w:rPr>
        <w:t xml:space="preserve">Effort: </w:t>
      </w:r>
      <w:r>
        <w:t xml:space="preserve">Small — one new read-only endpoint plus a simple list panel.</w:t>
      </w:r>
    </w:p>
    <w:p>
      <w:pPr>
        <w:spacing w:after="160" w:line="276"/>
      </w:pPr>
      <w:r>
        <w:rPr>
          <w:b/>
          <w:bCs/>
          <w:color w:val="595959"/>
        </w:rPr>
        <w:t xml:space="preserve">Note: </w:t>
      </w:r>
      <w:r>
        <w:rPr>
          <w:i/>
          <w:iCs/>
          <w:color w:val="595959"/>
        </w:rPr>
        <w:t xml:space="preserve">today's log records what happened, not who did it, since there is no login system yet. It becomes a full audit trail once accounts exist (Tier 3).</w:t>
      </w:r>
    </w:p>
    <w:p>
      <w:pPr>
        <w:pStyle w:val="Heading2"/>
        <w:spacing w:after="100" w:before="260"/>
      </w:pPr>
      <w:r>
        <w:rPr>
          <w:b/>
          <w:bCs/>
          <w:color w:val="0E7C7B"/>
        </w:rPr>
        <w:t xml:space="preserve">3. “Hard to parse” early warning</w:t>
      </w:r>
    </w:p>
    <w:p>
      <w:pPr>
        <w:spacing w:after="160" w:line="276"/>
      </w:pPr>
      <w:r>
        <w:rPr>
          <w:b/>
          <w:bCs/>
          <w:color w:val="B7791F"/>
        </w:rPr>
        <w:t xml:space="preserve">The gap: </w:t>
      </w:r>
      <w:r>
        <w:t xml:space="preserve">A two-column PDF or an unusually laid-out CV can send 20–60 lines to the Unmapped Information queue. Right now a reviewer only discovers this after opening the CV and scrolling through review — nothing tells them up front to expect a longer session.</w:t>
      </w:r>
    </w:p>
    <w:p>
      <w:pPr>
        <w:spacing w:after="160" w:line="276"/>
      </w:pPr>
      <w:r>
        <w:rPr>
          <w:b/>
          <w:bCs/>
          <w:color w:val="1E7A34"/>
        </w:rPr>
        <w:t xml:space="preserve">The fix: </w:t>
      </w:r>
      <w:r>
        <w:t xml:space="preserve">the quality report already computes a coverage score for every CV — how much of the extracted content reached a real section versus the unmapped note. Showing a plain banner (“this CV's layout was hard to parse — expect more manual review”) when that score is low is a presentation change, not a new detection.</w:t>
      </w:r>
    </w:p>
    <w:p>
      <w:pPr>
        <w:spacing w:after="160" w:line="276"/>
      </w:pPr>
      <w:r>
        <w:rPr>
          <w:b/>
          <w:bCs/>
          <w:color w:val="1F3864"/>
        </w:rPr>
        <w:t xml:space="preserve">Effort: </w:t>
      </w:r>
      <w:r>
        <w:t xml:space="preserve">Small — front-end only, reading a value the API already returns.</w:t>
      </w:r>
    </w:p>
    <w:p>
      <w:pPr>
        <w:pStyle w:val="Heading1"/>
        <w:spacing w:after="140" w:before="320"/>
      </w:pPr>
      <w:r>
        <w:rPr>
          <w:b/>
          <w:bCs/>
          <w:color w:val="1F3864"/>
        </w:rPr>
        <w:t xml:space="preserve">Tier 2 — Unlocks value already built</w:t>
      </w:r>
    </w:p>
    <w:p>
      <w:pPr>
        <w:spacing w:after="160" w:line="276"/>
      </w:pPr>
      <w:r>
        <w:t xml:space="preserve">These take a bit more work, but each one turns something the backend can already do into something HR can actually use, without which real value sits behind an API nobody but a developer can reach.</w:t>
      </w:r>
    </w:p>
    <w:p>
      <w:pPr>
        <w:pStyle w:val="Heading2"/>
        <w:spacing w:after="100" w:before="260"/>
      </w:pPr>
      <w:r>
        <w:rPr>
          <w:b/>
          <w:bCs/>
          <w:color w:val="0E7C7B"/>
        </w:rPr>
        <w:t xml:space="preserve">4. Staff profile management screen</w:t>
      </w:r>
    </w:p>
    <w:p>
      <w:pPr>
        <w:spacing w:after="160" w:line="276"/>
      </w:pPr>
      <w:r>
        <w:rPr>
          <w:b/>
          <w:bCs/>
          <w:color w:val="0E7C7B"/>
        </w:rPr>
        <w:t xml:space="preserve">Why this matters most: </w:t>
      </w:r>
      <w:r>
        <w:t xml:space="preserve">the saved staff profile is arguably the single biggest structural win in the whole project — it is what fills in a person's MDX email, ORCID, LinkedIn, and memberships, none of which any CV reliably states. It has been verified to work end-to-end. But profiles can currently only be created or edited by calling the API directly.</w:t>
      </w:r>
    </w:p>
    <w:p>
      <w:pPr>
        <w:spacing w:after="160" w:line="276"/>
      </w:pPr>
      <w:r>
        <w:rPr>
          <w:b/>
          <w:bCs/>
          <w:color w:val="1E7A34"/>
        </w:rPr>
        <w:t xml:space="preserve">The fix: </w:t>
      </w:r>
      <w:r>
        <w:t xml:space="preserve">a simple list-and-edit screen (in the same style as the existing upload and review pages) against the profile endpoints that already exist: list, get, save, delete, and seed-from-a-reviewed-CV. The data shape is already simple — name, title, email, phone, a handful of link fields, and a list of memberships.</w:t>
      </w:r>
    </w:p>
    <w:p>
      <w:pPr>
        <w:spacing w:after="160" w:line="276"/>
      </w:pPr>
      <w:r>
        <w:rPr>
          <w:b/>
          <w:bCs/>
          <w:color w:val="1F3864"/>
        </w:rPr>
        <w:t xml:space="preserve">Effort: </w:t>
      </w:r>
      <w:r>
        <w:t xml:space="preserve">Medium — roughly a day, almost entirely front-end, since the API and data model need no changes.</w:t>
      </w:r>
    </w:p>
    <w:p>
      <w:pPr>
        <w:pStyle w:val="Heading2"/>
        <w:spacing w:after="100" w:before="260"/>
      </w:pPr>
      <w:r>
        <w:rPr>
          <w:b/>
          <w:bCs/>
          <w:color w:val="0E7C7B"/>
        </w:rPr>
        <w:t xml:space="preserve">5. Configurable auto-approval threshold, with HR sign-off</w:t>
      </w:r>
    </w:p>
    <w:p>
      <w:pPr>
        <w:spacing w:after="160" w:line="276"/>
      </w:pPr>
      <w:r>
        <w:rPr>
          <w:b/>
          <w:bCs/>
          <w:color w:val="0E7C7B"/>
        </w:rPr>
        <w:t xml:space="preserve">Why this matters: </w:t>
      </w:r>
      <w:r>
        <w:t xml:space="preserve">auto-approval is the behavioural change with the biggest effect on what actually reaches a generated CV without a person looking at it first, and HANDOVER.md flags this as the one item that still needs an explicit decision from HR, not just a developer's judgement call.</w:t>
      </w:r>
    </w:p>
    <w:p>
      <w:pPr>
        <w:spacing w:after="160" w:line="276"/>
      </w:pPr>
      <w:r>
        <w:rPr>
          <w:b/>
          <w:bCs/>
          <w:color w:val="1E7A34"/>
        </w:rPr>
        <w:t xml:space="preserve">The fix: </w:t>
      </w:r>
      <w:r>
        <w:t xml:space="preserve">move the confidence cutoff out of the code and into a setting that can be viewed and changed without a deployment — paired with a short explanation of the trade-off (a lower threshold means less review time but more items reach the document without a specific human decision).</w:t>
      </w:r>
    </w:p>
    <w:p>
      <w:pPr>
        <w:spacing w:after="160" w:line="276"/>
      </w:pPr>
      <w:r>
        <w:rPr>
          <w:b/>
          <w:bCs/>
          <w:color w:val="1F3864"/>
        </w:rPr>
        <w:t xml:space="preserve">Effort: </w:t>
      </w:r>
      <w:r>
        <w:t xml:space="preserve">Medium — a small settings table, one endpoint, and a control in the interface.</w:t>
      </w:r>
    </w:p>
    <w:p>
      <w:pPr>
        <w:pStyle w:val="Heading2"/>
        <w:spacing w:after="100" w:before="260"/>
      </w:pPr>
      <w:r>
        <w:rPr>
          <w:b/>
          <w:bCs/>
          <w:color w:val="0E7C7B"/>
        </w:rPr>
        <w:t xml:space="preserve">6. Cross-CV “untaught headings” view</w:t>
      </w:r>
    </w:p>
    <w:p>
      <w:pPr>
        <w:spacing w:after="160" w:line="276"/>
      </w:pPr>
      <w:r>
        <w:rPr>
          <w:b/>
          <w:bCs/>
          <w:color w:val="B7791F"/>
        </w:rPr>
        <w:t xml:space="preserve">The gap: </w:t>
      </w:r>
      <w:r>
        <w:t xml:space="preserve">HR can already teach the system a new heading (“OTHER INFORMATION → file under Skills”) from inside one CV's review screen, and it applies to every CV uploaded afterwards. But it's reactive — the same untaught heading can turn up on several CVs before anyone notices the pattern and teaches it.</w:t>
      </w:r>
    </w:p>
    <w:p>
      <w:pPr>
        <w:spacing w:after="160" w:line="276"/>
      </w:pPr>
      <w:r>
        <w:rPr>
          <w:b/>
          <w:bCs/>
          <w:color w:val="1E7A34"/>
        </w:rPr>
        <w:t xml:space="preserve">The fix: </w:t>
      </w:r>
      <w:r>
        <w:t xml:space="preserve">a small dashboard listing headings that have shown up unmapped across recent CVs, with a count, so HR can close the gap once instead of rediscovering it CV by CV.</w:t>
      </w:r>
    </w:p>
    <w:p>
      <w:pPr>
        <w:spacing w:after="160" w:line="276"/>
      </w:pPr>
      <w:r>
        <w:rPr>
          <w:b/>
          <w:bCs/>
          <w:color w:val="1F3864"/>
        </w:rPr>
        <w:t xml:space="preserve">Effort: </w:t>
      </w:r>
      <w:r>
        <w:t xml:space="preserve">Medium — one aggregate query plus a simple table view; the teaching mechanism itself is unchanged.</w:t>
      </w:r>
    </w:p>
    <w:p>
      <w:pPr>
        <w:pStyle w:val="Heading2"/>
        <w:spacing w:after="100" w:before="260"/>
      </w:pPr>
      <w:r>
        <w:rPr>
          <w:b/>
          <w:bCs/>
          <w:color w:val="0E7C7B"/>
        </w:rPr>
        <w:t xml:space="preserve">7. Filename → detected-name confirmation</w:t>
      </w:r>
    </w:p>
    <w:p>
      <w:pPr>
        <w:spacing w:after="160" w:line="276"/>
      </w:pPr>
      <w:r>
        <w:rPr>
          <w:b/>
          <w:bCs/>
          <w:color w:val="B7791F"/>
        </w:rPr>
        <w:t xml:space="preserve">The gap: </w:t>
      </w:r>
      <w:r>
        <w:t xml:space="preserve">Name detection uses the uploaded filename as a search anchor, so “Anuradha Vyas CV.docx” works well while “CV_final_v2.docx” falls back to weaker heuristics — and HR is told to name files after the person, but nothing enforces or checks it.</w:t>
      </w:r>
    </w:p>
    <w:p>
      <w:pPr>
        <w:spacing w:after="160" w:line="276"/>
      </w:pPr>
      <w:r>
        <w:rPr>
          <w:b/>
          <w:bCs/>
          <w:color w:val="1E7A34"/>
        </w:rPr>
        <w:t xml:space="preserve">The fix: </w:t>
      </w:r>
      <w:r>
        <w:t xml:space="preserve">surface the detected name once processing finishes and ask for a quick confirmation, rather than relying on a naming convention nobody is reminded of at the moment it matters.</w:t>
      </w:r>
    </w:p>
    <w:p>
      <w:pPr>
        <w:spacing w:after="160" w:line="276"/>
      </w:pPr>
      <w:r>
        <w:rPr>
          <w:b/>
          <w:bCs/>
          <w:color w:val="1F3864"/>
        </w:rPr>
        <w:t xml:space="preserve">Effort: </w:t>
      </w:r>
      <w:r>
        <w:t xml:space="preserve">Medium — touches the review screen and needs a small confirm/correct step, though the detection logic itself doesn't change.</w:t>
      </w:r>
    </w:p>
    <w:p>
      <w:pPr>
        <w:pStyle w:val="Heading1"/>
        <w:spacing w:after="140" w:before="320"/>
      </w:pPr>
      <w:r>
        <w:rPr>
          <w:b/>
          <w:bCs/>
          <w:color w:val="1F3864"/>
        </w:rPr>
        <w:t xml:space="preserve">Tier 3 — Before this handles real staff data at scale</w:t>
      </w:r>
    </w:p>
    <w:p>
      <w:pPr>
        <w:spacing w:after="160" w:line="276"/>
      </w:pPr>
      <w:r>
        <w:t xml:space="preserve">Larger investments. Not needed for a continued pilot, but each is a stated limitation in HANDOVER.md and becomes a real blocker the moment this stops being a one-person trial.</w:t>
      </w:r>
    </w:p>
    <w:p>
      <w:pPr>
        <w:pStyle w:val="Heading2"/>
        <w:spacing w:after="100" w:before="260"/>
      </w:pPr>
      <w:r>
        <w:rPr>
          <w:b/>
          <w:bCs/>
          <w:color w:val="0E7C7B"/>
        </w:rPr>
        <w:t xml:space="preserve">8. Authentication &amp; per-reviewer accounts</w:t>
      </w:r>
    </w:p>
    <w:p>
      <w:pPr>
        <w:spacing w:after="160" w:line="276"/>
      </w:pPr>
      <w:r>
        <w:rPr>
          <w:b/>
          <w:bCs/>
          <w:color w:val="B7791F"/>
        </w:rPr>
        <w:t xml:space="preserve">Current state: </w:t>
      </w:r>
      <w:r>
        <w:t xml:space="preserve">there is no login of any kind — the tool assumes a single implicit reviewer, and nothing in the codebase (no auth library, no user table) suggests otherwise. Anyone who can reach the server can see, edit, and generate any CV.</w:t>
      </w:r>
    </w:p>
    <w:p>
      <w:pPr>
        <w:spacing w:after="160" w:line="276"/>
      </w:pPr>
      <w:r>
        <w:rPr>
          <w:b/>
          <w:bCs/>
          <w:color w:val="0E7C7B"/>
        </w:rPr>
        <w:t xml:space="preserve">Why it matters: </w:t>
      </w:r>
      <w:r>
        <w:t xml:space="preserve">this is explicitly called out in HANDOVER.md as not yet suitable for multi-user or production HR use, and it's also the missing piece that would let the activity log (Tier 1, item 2) attribute an action to a specific person rather than just recording that it happened.</w:t>
      </w:r>
    </w:p>
    <w:p>
      <w:pPr>
        <w:spacing w:after="160" w:line="276"/>
      </w:pPr>
      <w:r>
        <w:rPr>
          <w:b/>
          <w:bCs/>
          <w:color w:val="1F3864"/>
        </w:rPr>
        <w:t xml:space="preserve">Effort: </w:t>
      </w:r>
      <w:r>
        <w:t xml:space="preserve">Large — the size depends on how much is needed: a single shared password gate is a modest addition, while individual accounts with per-reviewer attribution in the audit log is a more substantial piece of work. Worth scoping deliberately once real rollout, rather than pilot use, is on the table.</w:t>
      </w:r>
    </w:p>
    <w:p>
      <w:pPr>
        <w:pStyle w:val="Heading1"/>
        <w:spacing w:after="140" w:before="320"/>
      </w:pPr>
      <w:r>
        <w:rPr>
          <w:b/>
          <w:bCs/>
          <w:color w:val="1F3864"/>
        </w:rPr>
        <w:t xml:space="preserve">Not recommended right now</w:t>
      </w:r>
    </w:p>
    <w:p>
      <w:pPr>
        <w:pStyle w:val="ListParagraph"/>
        <w:numPr>
          <w:ilvl w:val="0"/>
          <w:numId w:val="2"/>
        </w:numPr>
        <w:spacing w:after="90" w:line="276"/>
      </w:pPr>
      <w:r>
        <w:t xml:space="preserve">Another attempt at multi-column PDF reading order. Two structurally different fixes (layout-mode text extraction, and coordinate-based column reconstruction) were already tried and failed on real files — documented in FIXLOG.md. The early-warning banner above (Tier 1, item 3) is the more productive response: flag the hard cases rather than chase a third parsing approach without new evidence that one would work.</w:t>
      </w:r>
    </w:p>
    <w:p>
      <w:pPr>
        <w:pStyle w:val="ListParagraph"/>
        <w:numPr>
          <w:ilvl w:val="0"/>
          <w:numId w:val="2"/>
        </w:numPr>
        <w:spacing w:after="90" w:line="276"/>
      </w:pPr>
      <w:r>
        <w:t xml:space="preserve">OCR for scanned CVs. Explicitly out of scope today, and reasonably so unless scanned/image-only CVs are actually common in practice — worth confirming that before investing here rather than assuming it's needed.</w:t>
      </w:r>
    </w:p>
    <w:p>
      <w:pPr>
        <w:pStyle w:val="Heading1"/>
        <w:spacing w:after="140" w:before="320"/>
      </w:pPr>
      <w:r>
        <w:rPr>
          <w:b/>
          <w:bCs/>
          <w:color w:val="1F3864"/>
        </w:rPr>
        <w:t xml:space="preserve">Suggested order</w:t>
      </w:r>
    </w:p>
    <w:p>
      <w:pPr>
        <w:spacing w:after="160" w:line="276"/>
      </w:pPr>
      <w:r>
        <w:t xml:space="preserve">If sequencing this as a short roadmap rather than a flat list:</w:t>
      </w:r>
    </w:p>
    <w:p>
      <w:pPr>
        <w:pStyle w:val="ListParagraph"/>
        <w:numPr>
          <w:ilvl w:val="0"/>
          <w:numId w:val="2"/>
        </w:numPr>
        <w:spacing w:after="90" w:line="276"/>
      </w:pPr>
      <w:r>
        <w:t xml:space="preserve">Ship the three Tier 1 items together — they're small, independent, and immediately reduce day-to-day friction.</w:t>
      </w:r>
    </w:p>
    <w:p>
      <w:pPr>
        <w:pStyle w:val="ListParagraph"/>
        <w:numPr>
          <w:ilvl w:val="0"/>
          <w:numId w:val="2"/>
        </w:numPr>
        <w:spacing w:after="90" w:line="276"/>
      </w:pPr>
      <w:r>
        <w:t xml:space="preserve">Follow with the profile screen and the auto-approval setting (Tier 2, items 4–5) — both unlock value that's already built and waiting.</w:t>
      </w:r>
    </w:p>
    <w:p>
      <w:pPr>
        <w:pStyle w:val="ListParagraph"/>
        <w:numPr>
          <w:ilvl w:val="0"/>
          <w:numId w:val="2"/>
        </w:numPr>
        <w:spacing w:after="90" w:line="276"/>
      </w:pPr>
      <w:r>
        <w:t xml:space="preserve">Bring the auto-approval threshold decision to HR explicitly once it's configurable, rather than leaving the current default as a developer's implicit choice.</w:t>
      </w:r>
    </w:p>
    <w:p>
      <w:pPr>
        <w:pStyle w:val="ListParagraph"/>
        <w:numPr>
          <w:ilvl w:val="0"/>
          <w:numId w:val="2"/>
        </w:numPr>
        <w:spacing w:after="90" w:line="276"/>
      </w:pPr>
      <w:r>
        <w:t xml:space="preserve">Treat authentication as its own scoped project once the tool is moving from pilot to standard practice, not a feature to fit alongside the others.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2026-08-29T07:25:29.316Z</dcterms:created>
  <dcterms:modified xsi:type="dcterms:W3CDTF">2026-08-29T07:25:29.327Z</dcterms:modified>
</cp:coreProperties>
</file>

<file path=docProps/custom.xml><?xml version="1.0" encoding="utf-8"?>
<Properties xmlns="http://schemas.openxmlformats.org/officeDocument/2006/custom-properties" xmlns:vt="http://schemas.openxmlformats.org/officeDocument/2006/docPropsVTypes"/>
</file>