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24"/>
              <w:left w:val="single" w:color="1B2A4A" w:sz="24"/>
              <w:bottom w:val="single" w:color="1B2A4A" w:sz="24"/>
              <w:right w:val="single" w:color="1B2A4A" w:sz="24"/>
            </w:tcBorders>
            <w:shd w:fill="1B2A4A" w:val="clear"/>
            <w:tcMar>
              <w:top w:type="dxa" w:w="400"/>
              <w:left w:type="dxa" w:w="400"/>
              <w:bottom w:type="dxa" w:w="400"/>
              <w:right w:type="dxa" w:w="400"/>
            </w:tcMar>
          </w:tcPr>
          <w:p>
            <w:pPr>
              <w:spacing w:after="120"/>
              <w:jc w:val="center"/>
            </w:pPr>
            <w:r>
              <w:rPr>
                <w:rFonts w:ascii="Arial" w:cs="Arial" w:eastAsia="Arial" w:hAnsi="Arial"/>
                <w:b/>
                <w:bCs/>
                <w:color w:val="FFFFFF"/>
                <w:sz w:val="52"/>
                <w:szCs w:val="52"/>
              </w:rPr>
              <w:t xml:space="preserve">MODEL DOCUMENTATION</w:t>
            </w:r>
          </w:p>
          <w:p>
            <w:pPr>
              <w:spacing w:after="240"/>
              <w:jc w:val="center"/>
            </w:pPr>
            <w:r>
              <w:rPr>
                <w:rFonts w:ascii="Arial" w:cs="Arial" w:eastAsia="Arial" w:hAnsi="Arial"/>
                <w:b/>
                <w:bCs/>
                <w:color w:val="FFFFFF"/>
                <w:sz w:val="52"/>
                <w:szCs w:val="52"/>
              </w:rPr>
              <w:t xml:space="preserve">MINIMUM STANDARDS POLICY</w:t>
            </w:r>
          </w:p>
          <w:p>
            <w:pPr>
              <w:spacing w:after="80"/>
              <w:jc w:val="center"/>
            </w:pPr>
            <w:r>
              <w:rPr>
                <w:rFonts w:ascii="Arial" w:cs="Arial" w:eastAsia="Arial" w:hAnsi="Arial"/>
                <w:color w:val="D6E4F7"/>
                <w:sz w:val="22"/>
                <w:szCs w:val="22"/>
              </w:rPr>
              <w:t xml:space="preserve">Technical Documentation Function  ·  Technology Division</w:t>
            </w:r>
          </w:p>
          <w:p>
            <w:pPr>
              <w:spacing w:after="0"/>
              <w:jc w:val="center"/>
            </w:pPr>
            <w:r>
              <w:rPr>
                <w:rFonts w:ascii="Arial" w:cs="Arial" w:eastAsia="Arial" w:hAnsi="Arial"/>
                <w:color w:val="D6E4F7"/>
                <w:sz w:val="22"/>
                <w:szCs w:val="22"/>
              </w:rPr>
              <w:t xml:space="preserve">Policy Classification: Internal  ·  Version 1.0  ·  </w:t>
            </w:r>
            <w:r>
              <w:rPr>
                <w:rFonts w:ascii="Arial" w:cs="Arial" w:eastAsia="Arial" w:hAnsi="Arial"/>
                <w:b/>
                <w:bCs/>
                <w:color w:val="F5A623"/>
                <w:sz w:val="22"/>
                <w:szCs w:val="22"/>
              </w:rPr>
              <w:t xml:space="preserve">[EFFECTIVE DATE]</w:t>
            </w:r>
          </w:p>
        </w:tc>
      </w:tr>
    </w:tbl>
    <w:p>
      <w:pPr>
        <w:spacing w:after="3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200"/>
        <w:gridCol w:w="2480"/>
      </w:tblGrid>
      <w:tr>
        <w:tc>
          <w:tcPr>
            <w:tcW w:type="dxa" w:w="2200"/>
            <w:tcBorders>
              <w:top w:val="single" w:color="E8E8E8" w:sz="4"/>
              <w:left w:val="single" w:color="E8E8E8" w:sz="4"/>
              <w:bottom w:val="single" w:color="E8E8E8" w:sz="4"/>
              <w:right w:val="single" w:color="E8E8E8" w:sz="4"/>
            </w:tcBorders>
            <w:shd w:fill="D6E4F7" w:val="clear"/>
            <w:tcMar>
              <w:top w:type="dxa" w:w="60"/>
              <w:left w:type="dxa" w:w="120"/>
              <w:bottom w:type="dxa" w:w="60"/>
              <w:right w:type="dxa" w:w="120"/>
            </w:tcMar>
          </w:tcPr>
          <w:p>
            <w:pPr>
              <w:spacing w:after="0"/>
            </w:pPr>
            <w:r>
              <w:rPr>
                <w:rFonts w:ascii="Arial" w:cs="Arial" w:eastAsia="Arial" w:hAnsi="Arial"/>
                <w:b/>
                <w:bCs/>
                <w:color w:val="1B2A4A"/>
                <w:sz w:val="20"/>
                <w:szCs w:val="20"/>
              </w:rPr>
              <w:t xml:space="preserve">Policy Owner</w:t>
            </w:r>
          </w:p>
        </w:tc>
        <w:tc>
          <w:tcPr>
            <w:tcW w:type="dxa" w:w="248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b/>
                <w:bCs/>
                <w:color w:val="F5A623"/>
                <w:sz w:val="22"/>
                <w:szCs w:val="22"/>
              </w:rPr>
              <w:t xml:space="preserve">[POLICY OWNER TITLE]</w:t>
            </w:r>
          </w:p>
        </w:tc>
        <w:tc>
          <w:tcPr>
            <w:tcW w:type="dxa" w:w="2200"/>
            <w:tcBorders>
              <w:top w:val="single" w:color="E8E8E8" w:sz="4"/>
              <w:left w:val="single" w:color="E8E8E8" w:sz="4"/>
              <w:bottom w:val="single" w:color="E8E8E8" w:sz="4"/>
              <w:right w:val="single" w:color="E8E8E8" w:sz="4"/>
            </w:tcBorders>
            <w:shd w:fill="D6E4F7" w:val="clear"/>
            <w:tcMar>
              <w:top w:type="dxa" w:w="60"/>
              <w:left w:type="dxa" w:w="120"/>
              <w:bottom w:type="dxa" w:w="60"/>
              <w:right w:type="dxa" w:w="120"/>
            </w:tcMar>
          </w:tcPr>
          <w:p>
            <w:pPr>
              <w:spacing w:after="0"/>
            </w:pPr>
            <w:r>
              <w:rPr>
                <w:rFonts w:ascii="Arial" w:cs="Arial" w:eastAsia="Arial" w:hAnsi="Arial"/>
                <w:b/>
                <w:bCs/>
                <w:color w:val="1B2A4A"/>
                <w:sz w:val="20"/>
                <w:szCs w:val="20"/>
              </w:rPr>
              <w:t xml:space="preserve">Document ID</w:t>
            </w:r>
          </w:p>
        </w:tc>
        <w:tc>
          <w:tcPr>
            <w:tcW w:type="dxa" w:w="248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b/>
                <w:bCs/>
                <w:color w:val="F5A623"/>
                <w:sz w:val="22"/>
                <w:szCs w:val="22"/>
              </w:rPr>
              <w:t xml:space="preserve">[DOCUMENT ID]</w:t>
            </w:r>
          </w:p>
        </w:tc>
      </w:tr>
      <w:tr>
        <w:tc>
          <w:tcPr>
            <w:tcW w:type="dxa" w:w="2200"/>
            <w:tcBorders>
              <w:top w:val="single" w:color="E8E8E8" w:sz="4"/>
              <w:left w:val="single" w:color="E8E8E8" w:sz="4"/>
              <w:bottom w:val="single" w:color="E8E8E8" w:sz="4"/>
              <w:right w:val="single" w:color="E8E8E8" w:sz="4"/>
            </w:tcBorders>
            <w:shd w:fill="D6E4F7" w:val="clear"/>
            <w:tcMar>
              <w:top w:type="dxa" w:w="60"/>
              <w:left w:type="dxa" w:w="120"/>
              <w:bottom w:type="dxa" w:w="60"/>
              <w:right w:type="dxa" w:w="120"/>
            </w:tcMar>
          </w:tcPr>
          <w:p>
            <w:pPr>
              <w:spacing w:after="0"/>
            </w:pPr>
            <w:r>
              <w:rPr>
                <w:rFonts w:ascii="Arial" w:cs="Arial" w:eastAsia="Arial" w:hAnsi="Arial"/>
                <w:b/>
                <w:bCs/>
                <w:color w:val="1B2A4A"/>
                <w:sz w:val="20"/>
                <w:szCs w:val="20"/>
              </w:rPr>
              <w:t xml:space="preserve">Version</w:t>
            </w:r>
          </w:p>
        </w:tc>
        <w:tc>
          <w:tcPr>
            <w:tcW w:type="dxa" w:w="248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color w:val="1A1A1A"/>
                <w:sz w:val="20"/>
                <w:szCs w:val="20"/>
              </w:rPr>
              <w:t xml:space="preserve">1.0</w:t>
            </w:r>
          </w:p>
        </w:tc>
        <w:tc>
          <w:tcPr>
            <w:tcW w:type="dxa" w:w="2200"/>
            <w:tcBorders>
              <w:top w:val="single" w:color="E8E8E8" w:sz="4"/>
              <w:left w:val="single" w:color="E8E8E8" w:sz="4"/>
              <w:bottom w:val="single" w:color="E8E8E8" w:sz="4"/>
              <w:right w:val="single" w:color="E8E8E8" w:sz="4"/>
            </w:tcBorders>
            <w:shd w:fill="D6E4F7" w:val="clear"/>
            <w:tcMar>
              <w:top w:type="dxa" w:w="60"/>
              <w:left w:type="dxa" w:w="120"/>
              <w:bottom w:type="dxa" w:w="60"/>
              <w:right w:type="dxa" w:w="120"/>
            </w:tcMar>
          </w:tcPr>
          <w:p>
            <w:pPr>
              <w:spacing w:after="0"/>
            </w:pPr>
            <w:r>
              <w:rPr>
                <w:rFonts w:ascii="Arial" w:cs="Arial" w:eastAsia="Arial" w:hAnsi="Arial"/>
                <w:b/>
                <w:bCs/>
                <w:color w:val="1B2A4A"/>
                <w:sz w:val="20"/>
                <w:szCs w:val="20"/>
              </w:rPr>
              <w:t xml:space="preserve">Status</w:t>
            </w:r>
          </w:p>
        </w:tc>
        <w:tc>
          <w:tcPr>
            <w:tcW w:type="dxa" w:w="248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color w:val="1A1A1A"/>
                <w:sz w:val="20"/>
                <w:szCs w:val="20"/>
              </w:rPr>
              <w:t xml:space="preserve">Active</w:t>
            </w:r>
          </w:p>
        </w:tc>
      </w:tr>
      <w:tr>
        <w:tc>
          <w:tcPr>
            <w:tcW w:type="dxa" w:w="2200"/>
            <w:tcBorders>
              <w:top w:val="single" w:color="E8E8E8" w:sz="4"/>
              <w:left w:val="single" w:color="E8E8E8" w:sz="4"/>
              <w:bottom w:val="single" w:color="E8E8E8" w:sz="4"/>
              <w:right w:val="single" w:color="E8E8E8" w:sz="4"/>
            </w:tcBorders>
            <w:shd w:fill="D6E4F7" w:val="clear"/>
            <w:tcMar>
              <w:top w:type="dxa" w:w="60"/>
              <w:left w:type="dxa" w:w="120"/>
              <w:bottom w:type="dxa" w:w="60"/>
              <w:right w:type="dxa" w:w="120"/>
            </w:tcMar>
          </w:tcPr>
          <w:p>
            <w:pPr>
              <w:spacing w:after="0"/>
            </w:pPr>
            <w:r>
              <w:rPr>
                <w:rFonts w:ascii="Arial" w:cs="Arial" w:eastAsia="Arial" w:hAnsi="Arial"/>
                <w:b/>
                <w:bCs/>
                <w:color w:val="1B2A4A"/>
                <w:sz w:val="20"/>
                <w:szCs w:val="20"/>
              </w:rPr>
              <w:t xml:space="preserve">Effective Date</w:t>
            </w:r>
          </w:p>
        </w:tc>
        <w:tc>
          <w:tcPr>
            <w:tcW w:type="dxa" w:w="248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b/>
                <w:bCs/>
                <w:color w:val="F5A623"/>
                <w:sz w:val="22"/>
                <w:szCs w:val="22"/>
              </w:rPr>
              <w:t xml:space="preserve">[EFFECTIVE DATE]</w:t>
            </w:r>
          </w:p>
        </w:tc>
        <w:tc>
          <w:tcPr>
            <w:tcW w:type="dxa" w:w="2200"/>
            <w:tcBorders>
              <w:top w:val="single" w:color="E8E8E8" w:sz="4"/>
              <w:left w:val="single" w:color="E8E8E8" w:sz="4"/>
              <w:bottom w:val="single" w:color="E8E8E8" w:sz="4"/>
              <w:right w:val="single" w:color="E8E8E8" w:sz="4"/>
            </w:tcBorders>
            <w:shd w:fill="D6E4F7" w:val="clear"/>
            <w:tcMar>
              <w:top w:type="dxa" w:w="60"/>
              <w:left w:type="dxa" w:w="120"/>
              <w:bottom w:type="dxa" w:w="60"/>
              <w:right w:type="dxa" w:w="120"/>
            </w:tcMar>
          </w:tcPr>
          <w:p>
            <w:pPr>
              <w:spacing w:after="0"/>
            </w:pPr>
            <w:r>
              <w:rPr>
                <w:rFonts w:ascii="Arial" w:cs="Arial" w:eastAsia="Arial" w:hAnsi="Arial"/>
                <w:b/>
                <w:bCs/>
                <w:color w:val="1B2A4A"/>
                <w:sz w:val="20"/>
                <w:szCs w:val="20"/>
              </w:rPr>
              <w:t xml:space="preserve">Next Review Date</w:t>
            </w:r>
          </w:p>
        </w:tc>
        <w:tc>
          <w:tcPr>
            <w:tcW w:type="dxa" w:w="248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b/>
                <w:bCs/>
                <w:color w:val="F5A623"/>
                <w:sz w:val="22"/>
                <w:szCs w:val="22"/>
              </w:rPr>
              <w:t xml:space="preserve">[REVIEW DATE]</w:t>
            </w:r>
          </w:p>
        </w:tc>
      </w:tr>
      <w:tr>
        <w:tc>
          <w:tcPr>
            <w:tcW w:type="dxa" w:w="2200"/>
            <w:tcBorders>
              <w:top w:val="single" w:color="E8E8E8" w:sz="4"/>
              <w:left w:val="single" w:color="E8E8E8" w:sz="4"/>
              <w:bottom w:val="single" w:color="E8E8E8" w:sz="4"/>
              <w:right w:val="single" w:color="E8E8E8" w:sz="4"/>
            </w:tcBorders>
            <w:shd w:fill="D6E4F7" w:val="clear"/>
            <w:tcMar>
              <w:top w:type="dxa" w:w="60"/>
              <w:left w:type="dxa" w:w="120"/>
              <w:bottom w:type="dxa" w:w="60"/>
              <w:right w:type="dxa" w:w="120"/>
            </w:tcMar>
          </w:tcPr>
          <w:p>
            <w:pPr>
              <w:spacing w:after="0"/>
            </w:pPr>
            <w:r>
              <w:rPr>
                <w:rFonts w:ascii="Arial" w:cs="Arial" w:eastAsia="Arial" w:hAnsi="Arial"/>
                <w:b/>
                <w:bCs/>
                <w:color w:val="1B2A4A"/>
                <w:sz w:val="20"/>
                <w:szCs w:val="20"/>
              </w:rPr>
              <w:t xml:space="preserve">Approved By</w:t>
            </w:r>
          </w:p>
        </w:tc>
        <w:tc>
          <w:tcPr>
            <w:tcW w:type="dxa" w:w="248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b/>
                <w:bCs/>
                <w:color w:val="F5A623"/>
                <w:sz w:val="22"/>
                <w:szCs w:val="22"/>
              </w:rPr>
              <w:t xml:space="preserve">[APPROVER NAME / TITLE]</w:t>
            </w:r>
          </w:p>
        </w:tc>
        <w:tc>
          <w:tcPr>
            <w:tcW w:type="dxa" w:w="2200"/>
            <w:tcBorders>
              <w:top w:val="single" w:color="E8E8E8" w:sz="4"/>
              <w:left w:val="single" w:color="E8E8E8" w:sz="4"/>
              <w:bottom w:val="single" w:color="E8E8E8" w:sz="4"/>
              <w:right w:val="single" w:color="E8E8E8" w:sz="4"/>
            </w:tcBorders>
            <w:shd w:fill="D6E4F7" w:val="clear"/>
            <w:tcMar>
              <w:top w:type="dxa" w:w="60"/>
              <w:left w:type="dxa" w:w="120"/>
              <w:bottom w:type="dxa" w:w="60"/>
              <w:right w:type="dxa" w:w="120"/>
            </w:tcMar>
          </w:tcPr>
          <w:p>
            <w:pPr>
              <w:spacing w:after="0"/>
            </w:pPr>
            <w:r>
              <w:rPr>
                <w:rFonts w:ascii="Arial" w:cs="Arial" w:eastAsia="Arial" w:hAnsi="Arial"/>
                <w:b/>
                <w:bCs/>
                <w:color w:val="1B2A4A"/>
                <w:sz w:val="20"/>
                <w:szCs w:val="20"/>
              </w:rPr>
              <w:t xml:space="preserve">Classification</w:t>
            </w:r>
          </w:p>
        </w:tc>
        <w:tc>
          <w:tcPr>
            <w:tcW w:type="dxa" w:w="248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color w:val="1A1A1A"/>
                <w:sz w:val="20"/>
                <w:szCs w:val="20"/>
              </w:rPr>
              <w:t xml:space="preserve">Internal</w:t>
            </w:r>
          </w:p>
        </w:tc>
      </w:tr>
    </w:tbl>
    <w:p>
      <w:pPr>
        <w:spacing w:after="4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8"/>
              <w:left w:val="single" w:color="4A6FA5" w:sz="8"/>
              <w:bottom w:val="single" w:color="4A6FA5" w:sz="8"/>
              <w:right w:val="single" w:color="4A6FA5" w:sz="8"/>
            </w:tcBorders>
            <w:shd w:fill="EEF4FC" w:val="clear"/>
            <w:tcMar>
              <w:top w:type="dxa" w:w="120"/>
              <w:left w:type="dxa" w:w="200"/>
              <w:bottom w:type="dxa" w:w="120"/>
              <w:right w:type="dxa" w:w="200"/>
            </w:tcMar>
          </w:tcPr>
          <w:p>
            <w:pPr>
              <w:spacing w:after="100"/>
            </w:pPr>
            <w:r>
              <w:rPr>
                <w:rFonts w:ascii="Arial" w:cs="Arial" w:eastAsia="Arial" w:hAnsi="Arial"/>
                <w:b/>
                <w:bCs/>
                <w:color w:val="1B2A4A"/>
                <w:sz w:val="20"/>
                <w:szCs w:val="20"/>
              </w:rPr>
              <w:t xml:space="preserve">POLICY SUBSERVIENCE AND SCOPE DISCLAIMER</w:t>
            </w:r>
          </w:p>
          <w:p>
            <w:pPr>
              <w:spacing w:after="100"/>
            </w:pPr>
            <w:r>
              <w:rPr>
                <w:rFonts w:ascii="Arial" w:cs="Arial" w:eastAsia="Arial" w:hAnsi="Arial"/>
                <w:color w:val="1A1A1A"/>
                <w:sz w:val="20"/>
                <w:szCs w:val="20"/>
              </w:rPr>
              <w:t xml:space="preserve">This Policy operates as an addendum to, and is wholly subservient to, all existing organizational policies, including but not limited to the firm's Information Security Policy, Acceptable Use Policy, Data Classification Policy, and any policies enforced by the Compliance function. In the event of any conflict between this Policy and an existing organizational policy or regulatory obligation, the existing policy or regulatory obligation shall prevail.</w:t>
            </w:r>
          </w:p>
          <w:p>
            <w:pPr>
              <w:spacing w:after="100"/>
            </w:pPr>
            <w:r>
              <w:rPr>
                <w:rFonts w:ascii="Arial" w:cs="Arial" w:eastAsia="Arial" w:hAnsi="Arial"/>
                <w:color w:val="1A1A1A"/>
                <w:sz w:val="20"/>
                <w:szCs w:val="20"/>
              </w:rPr>
              <w:t xml:space="preserve">This Policy does not govern, encroach upon, or supersede the responsibilities of the Compliance function with respect to regulatory obligations, including those arising under SR 11-7, NIST AI RMF, or any applicable securities regulation. The Compliance function retains full authority over regulatory interpretation and enforcement. This Policy governs only the documentation standards and processes within the Technical Documentation Function as they relate to machine learning model documentation.</w:t>
            </w:r>
          </w:p>
          <w:p>
            <w:pPr>
              <w:spacing w:after="0"/>
            </w:pPr>
            <w:r>
              <w:rPr>
                <w:rFonts w:ascii="Arial" w:cs="Arial" w:eastAsia="Arial" w:hAnsi="Arial"/>
                <w:i/>
                <w:iCs/>
                <w:color w:val="1A1A1A"/>
                <w:sz w:val="20"/>
                <w:szCs w:val="20"/>
              </w:rPr>
              <w:t xml:space="preserve">Queries regarding the relationship between this Policy and existing compliance obligations should be directed to [COMPLIANCE CONTACT PLACEHOLDER] prior to escalation.</w:t>
            </w:r>
          </w:p>
        </w:tc>
      </w:tr>
    </w:tbl>
    <w:p>
      <w:pPr>
        <w:spacing w:after="400" w:before="0"/>
      </w:pPr>
      <w:r>
        <w:t xml:space="preserve"/>
      </w:r>
    </w:p>
    <w:p>
      <w:pPr>
        <w:pStyle w:val="Heading1"/>
        <w:spacing w:after="120" w:before="320"/>
      </w:pPr>
      <w:r>
        <w:rPr>
          <w:rFonts w:ascii="Arial" w:cs="Arial" w:eastAsia="Arial" w:hAnsi="Arial"/>
          <w:b/>
          <w:bCs/>
          <w:color w:val="1B2A4A"/>
          <w:sz w:val="28"/>
          <w:szCs w:val="28"/>
        </w:rPr>
        <w:t xml:space="preserve">1.  Purpose</w:t>
      </w:r>
    </w:p>
    <w:p>
      <w:pPr>
        <w:pBdr>
          <w:bottom w:val="single" w:color="2E4D8A" w:sz="6" w:space="1"/>
        </w:pBdr>
        <w:spacing w:after="160" w:before="0"/>
      </w:pPr>
    </w:p>
    <w:p>
      <w:pPr>
        <w:spacing w:after="140" w:before="0"/>
      </w:pPr>
      <w:r>
        <w:rPr>
          <w:rFonts w:ascii="Arial" w:cs="Arial" w:eastAsia="Arial" w:hAnsi="Arial"/>
          <w:color w:val="1A1A1A"/>
          <w:sz w:val="22"/>
          <w:szCs w:val="22"/>
        </w:rPr>
        <w:t xml:space="preserve">This Policy establishes the minimum documentation standards that must be satisfied before any machine learning model is eligible for production deployment within the Organization. It defines the mandatory fields, intake requirements, review and approval processes, storage obligations, and audit trail requirements that govern model documentation produced by or in collaboration with the Technical Documentation Function.</w:t>
      </w:r>
    </w:p>
    <w:p>
      <w:pPr>
        <w:spacing w:after="80" w:before="0"/>
      </w:pPr>
      <w:r>
        <w:t xml:space="preserve"/>
      </w:r>
    </w:p>
    <w:p>
      <w:pPr>
        <w:spacing w:after="140" w:before="0"/>
      </w:pPr>
      <w:r>
        <w:rPr>
          <w:rFonts w:ascii="Arial" w:cs="Arial" w:eastAsia="Arial" w:hAnsi="Arial"/>
          <w:color w:val="1A1A1A"/>
          <w:sz w:val="22"/>
          <w:szCs w:val="22"/>
        </w:rPr>
        <w:t xml:space="preserve">The purpose of this Policy is fourfold:</w:t>
      </w:r>
    </w:p>
    <w:p>
      <w:pPr>
        <w:pStyle w:val="ListParagraph"/>
        <w:numPr>
          <w:ilvl w:val="0"/>
          <w:numId w:val="2"/>
        </w:numPr>
        <w:spacing w:after="100" w:before="0"/>
      </w:pPr>
      <w:r>
        <w:rPr>
          <w:rFonts w:ascii="Arial" w:cs="Arial" w:eastAsia="Arial" w:hAnsi="Arial"/>
          <w:color w:val="1A1A1A"/>
          <w:sz w:val="22"/>
          <w:szCs w:val="22"/>
        </w:rPr>
        <w:t xml:space="preserve">To ensure that accountability for model behaviour and documentation accuracy is clearly assigned to a named individual for every model in production.</w:t>
      </w:r>
    </w:p>
    <w:p>
      <w:pPr>
        <w:pStyle w:val="ListParagraph"/>
        <w:numPr>
          <w:ilvl w:val="0"/>
          <w:numId w:val="2"/>
        </w:numPr>
        <w:spacing w:after="100" w:before="0"/>
      </w:pPr>
      <w:r>
        <w:rPr>
          <w:rFonts w:ascii="Arial" w:cs="Arial" w:eastAsia="Arial" w:hAnsi="Arial"/>
          <w:color w:val="1A1A1A"/>
          <w:sz w:val="22"/>
          <w:szCs w:val="22"/>
        </w:rPr>
        <w:t xml:space="preserve">To promote transparency by requiring that model documentation accurately and completely represents a model's purpose, methodology, data inputs, performance characteristics, and known limitations.</w:t>
      </w:r>
    </w:p>
    <w:p>
      <w:pPr>
        <w:pStyle w:val="ListParagraph"/>
        <w:numPr>
          <w:ilvl w:val="0"/>
          <w:numId w:val="2"/>
        </w:numPr>
        <w:spacing w:after="100" w:before="0"/>
      </w:pPr>
      <w:r>
        <w:rPr>
          <w:rFonts w:ascii="Arial" w:cs="Arial" w:eastAsia="Arial" w:hAnsi="Arial"/>
          <w:color w:val="1A1A1A"/>
          <w:sz w:val="22"/>
          <w:szCs w:val="22"/>
        </w:rPr>
        <w:t xml:space="preserve">To apply a risk-based and proportionate documentation standard that scales with the potential impact of a model's outputs on trading activities, client outcomes, or organizational risk.</w:t>
      </w:r>
    </w:p>
    <w:p>
      <w:pPr>
        <w:pStyle w:val="ListParagraph"/>
        <w:numPr>
          <w:ilvl w:val="0"/>
          <w:numId w:val="2"/>
        </w:numPr>
        <w:spacing w:after="100" w:before="0"/>
      </w:pPr>
      <w:r>
        <w:rPr>
          <w:rFonts w:ascii="Arial" w:cs="Arial" w:eastAsia="Arial" w:hAnsi="Arial"/>
          <w:color w:val="1A1A1A"/>
          <w:sz w:val="22"/>
          <w:szCs w:val="22"/>
        </w:rPr>
        <w:t xml:space="preserve">To create and maintain an auditable record of model documentation that supports the Organization's obligations under applicable model risk management frameworks, including SR 11-7 and NIST AI RMF, as enforced by the Compliance function.</w:t>
      </w:r>
    </w:p>
    <w:p>
      <w:pPr>
        <w:spacing w:after="160" w:before="0"/>
      </w:pPr>
      <w:r>
        <w:t xml:space="preserve"/>
      </w:r>
    </w:p>
    <w:p>
      <w:pPr>
        <w:pStyle w:val="Heading1"/>
        <w:spacing w:after="120" w:before="320"/>
      </w:pPr>
      <w:r>
        <w:rPr>
          <w:rFonts w:ascii="Arial" w:cs="Arial" w:eastAsia="Arial" w:hAnsi="Arial"/>
          <w:b/>
          <w:bCs/>
          <w:color w:val="1B2A4A"/>
          <w:sz w:val="28"/>
          <w:szCs w:val="28"/>
        </w:rPr>
        <w:t xml:space="preserve">2.  Scope</w:t>
      </w:r>
    </w:p>
    <w:p>
      <w:pPr>
        <w:pBdr>
          <w:bottom w:val="single" w:color="2E4D8A" w:sz="6" w:space="1"/>
        </w:pBdr>
        <w:spacing w:after="160" w:before="0"/>
      </w:pPr>
    </w:p>
    <w:p>
      <w:pPr>
        <w:spacing w:after="140" w:before="0"/>
      </w:pPr>
      <w:r>
        <w:rPr>
          <w:rFonts w:ascii="Arial" w:cs="Arial" w:eastAsia="Arial" w:hAnsi="Arial"/>
          <w:color w:val="1A1A1A"/>
          <w:sz w:val="22"/>
          <w:szCs w:val="22"/>
        </w:rPr>
        <w:t xml:space="preserve">This Policy applies to:</w:t>
      </w:r>
    </w:p>
    <w:p>
      <w:pPr>
        <w:pStyle w:val="ListParagraph"/>
        <w:numPr>
          <w:ilvl w:val="0"/>
          <w:numId w:val="2"/>
        </w:numPr>
        <w:spacing w:after="100" w:before="0"/>
      </w:pPr>
      <w:r>
        <w:rPr>
          <w:rFonts w:ascii="Arial" w:cs="Arial" w:eastAsia="Arial" w:hAnsi="Arial"/>
          <w:color w:val="1A1A1A"/>
          <w:sz w:val="22"/>
          <w:szCs w:val="22"/>
        </w:rPr>
        <w:t xml:space="preserve">All machine learning models deployed or proposed for deployment to production within the Organization, regardless of the team responsible for model development.</w:t>
      </w:r>
    </w:p>
    <w:p>
      <w:pPr>
        <w:pStyle w:val="ListParagraph"/>
        <w:numPr>
          <w:ilvl w:val="0"/>
          <w:numId w:val="2"/>
        </w:numPr>
        <w:spacing w:after="100" w:before="0"/>
      </w:pPr>
      <w:r>
        <w:rPr>
          <w:rFonts w:ascii="Arial" w:cs="Arial" w:eastAsia="Arial" w:hAnsi="Arial"/>
          <w:color w:val="1A1A1A"/>
          <w:sz w:val="22"/>
          <w:szCs w:val="22"/>
        </w:rPr>
        <w:t xml:space="preserve">All personnel within the Technical Documentation Function who are engaged in producing, reviewing, or maintaining model documentation.</w:t>
      </w:r>
    </w:p>
    <w:p>
      <w:pPr>
        <w:pStyle w:val="ListParagraph"/>
        <w:numPr>
          <w:ilvl w:val="0"/>
          <w:numId w:val="2"/>
        </w:numPr>
        <w:spacing w:after="100" w:before="0"/>
      </w:pPr>
      <w:r>
        <w:rPr>
          <w:rFonts w:ascii="Arial" w:cs="Arial" w:eastAsia="Arial" w:hAnsi="Arial"/>
          <w:color w:val="1A1A1A"/>
          <w:sz w:val="22"/>
          <w:szCs w:val="22"/>
        </w:rPr>
        <w:t xml:space="preserve">All Model Owners — engineers, quantitative analysts, and developers — whose models are subject to documentation under this Policy.</w:t>
      </w:r>
    </w:p>
    <w:p>
      <w:pPr>
        <w:spacing w:after="80" w:before="0"/>
      </w:pPr>
      <w:r>
        <w:t xml:space="preserve"/>
      </w:r>
    </w:p>
    <w:p>
      <w:pPr>
        <w:spacing w:after="140" w:before="0"/>
      </w:pPr>
      <w:r>
        <w:rPr>
          <w:rFonts w:ascii="Arial" w:cs="Arial" w:eastAsia="Arial" w:hAnsi="Arial"/>
          <w:color w:val="1A1A1A"/>
          <w:sz w:val="22"/>
          <w:szCs w:val="22"/>
        </w:rPr>
        <w:t xml:space="preserve">This Policy applies to all applications built and used internally by the Organization, including those whose outputs reach the trading floor. It applies regardless of whether the underlying model is developed in-house or provisioned through a third-party gateway, provided the model's outputs are used within the Organization's production environment.</w:t>
      </w:r>
    </w:p>
    <w:p>
      <w:pPr>
        <w:spacing w:after="80" w:before="0"/>
      </w:pPr>
      <w:r>
        <w:t xml:space="preserve"/>
      </w:r>
    </w:p>
    <w:p>
      <w:pPr>
        <w:spacing w:after="140" w:before="0"/>
      </w:pPr>
      <w:r>
        <w:rPr>
          <w:rFonts w:ascii="Arial" w:cs="Arial" w:eastAsia="Arial" w:hAnsi="Arial"/>
          <w:color w:val="1A1A1A"/>
          <w:sz w:val="22"/>
          <w:szCs w:val="22"/>
        </w:rPr>
        <w:t xml:space="preserve">This Policy does not apply to:</w:t>
      </w:r>
    </w:p>
    <w:p>
      <w:pPr>
        <w:pStyle w:val="ListParagraph"/>
        <w:numPr>
          <w:ilvl w:val="0"/>
          <w:numId w:val="2"/>
        </w:numPr>
        <w:spacing w:after="100" w:before="0"/>
      </w:pPr>
      <w:r>
        <w:rPr>
          <w:rFonts w:ascii="Arial" w:cs="Arial" w:eastAsia="Arial" w:hAnsi="Arial"/>
          <w:color w:val="1A1A1A"/>
          <w:sz w:val="22"/>
          <w:szCs w:val="22"/>
        </w:rPr>
        <w:t xml:space="preserve">Models in development or testing environments that have not been submitted for production review.</w:t>
      </w:r>
    </w:p>
    <w:p>
      <w:pPr>
        <w:pStyle w:val="ListParagraph"/>
        <w:numPr>
          <w:ilvl w:val="0"/>
          <w:numId w:val="2"/>
        </w:numPr>
        <w:spacing w:after="100" w:before="0"/>
      </w:pPr>
      <w:r>
        <w:rPr>
          <w:rFonts w:ascii="Arial" w:cs="Arial" w:eastAsia="Arial" w:hAnsi="Arial"/>
          <w:color w:val="1A1A1A"/>
          <w:sz w:val="22"/>
          <w:szCs w:val="22"/>
        </w:rPr>
        <w:t xml:space="preserve">Third-party vendor tools used solely for internal productivity purposes with no model output consumed by the Organization's systems.</w:t>
      </w:r>
    </w:p>
    <w:p>
      <w:pPr>
        <w:pStyle w:val="ListParagraph"/>
        <w:numPr>
          <w:ilvl w:val="0"/>
          <w:numId w:val="2"/>
        </w:numPr>
        <w:spacing w:after="100" w:before="0"/>
      </w:pPr>
      <w:r>
        <w:rPr>
          <w:rFonts w:ascii="Arial" w:cs="Arial" w:eastAsia="Arial" w:hAnsi="Arial"/>
          <w:color w:val="1A1A1A"/>
          <w:sz w:val="22"/>
          <w:szCs w:val="22"/>
        </w:rPr>
        <w:t xml:space="preserve">Documentation produced by the Compliance function in the discharge of its regulatory obligations.</w:t>
      </w:r>
    </w:p>
    <w:p>
      <w:pPr>
        <w:spacing w:after="160" w:before="0"/>
      </w:pPr>
      <w:r>
        <w:t xml:space="preserve"/>
      </w:r>
    </w:p>
    <w:p>
      <w:pPr>
        <w:pStyle w:val="Heading1"/>
        <w:spacing w:after="120" w:before="320"/>
      </w:pPr>
      <w:r>
        <w:rPr>
          <w:rFonts w:ascii="Arial" w:cs="Arial" w:eastAsia="Arial" w:hAnsi="Arial"/>
          <w:b/>
          <w:bCs/>
          <w:color w:val="1B2A4A"/>
          <w:sz w:val="28"/>
          <w:szCs w:val="28"/>
        </w:rPr>
        <w:t xml:space="preserve">3.  Definitions</w:t>
      </w:r>
    </w:p>
    <w:p>
      <w:pPr>
        <w:pBdr>
          <w:bottom w:val="single" w:color="2E4D8A" w:sz="6" w:space="1"/>
        </w:pBdr>
        <w:spacing w:after="160" w:before="0"/>
      </w:pPr>
    </w:p>
    <w:p>
      <w:pPr>
        <w:spacing w:after="140" w:before="0"/>
      </w:pPr>
      <w:r>
        <w:rPr>
          <w:rFonts w:ascii="Arial" w:cs="Arial" w:eastAsia="Arial" w:hAnsi="Arial"/>
          <w:color w:val="1A1A1A"/>
          <w:sz w:val="22"/>
          <w:szCs w:val="22"/>
        </w:rPr>
        <w:t xml:space="preserve">The following terms are used with the meanings assigned below throughout this Policy. Definitions are consistent with IAPP guidance on responsible AI governance and with the terminology of SR 11-7 and NIST AI RMF where applicable.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r>
              <w:rPr>
                <w:rFonts w:ascii="Arial" w:cs="Arial" w:eastAsia="Arial" w:hAnsi="Arial"/>
                <w:b/>
                <w:bCs/>
                <w:color w:val="1B2A4A"/>
                <w:sz w:val="20"/>
                <w:szCs w:val="20"/>
              </w:rPr>
              <w:t xml:space="preserve">Term</w:t>
            </w:r>
          </w:p>
        </w:tc>
        <w:tc>
          <w:tcPr>
            <w:tcW w:type="dxa" w:w="656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r>
              <w:rPr>
                <w:rFonts w:ascii="Arial" w:cs="Arial" w:eastAsia="Arial" w:hAnsi="Arial"/>
                <w:b/>
                <w:bCs/>
                <w:color w:val="1B2A4A"/>
                <w:sz w:val="20"/>
                <w:szCs w:val="20"/>
              </w:rPr>
              <w:t xml:space="preserve">Definition</w:t>
            </w:r>
          </w:p>
        </w:tc>
      </w:tr>
      <w:tr>
        <w:tc>
          <w:tcPr>
            <w:tcW w:type="dxa" w:w="28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Accountability</w:t>
            </w:r>
          </w:p>
        </w:tc>
        <w:tc>
          <w:tcPr>
            <w:tcW w:type="dxa" w:w="656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The obligation of a named individual to ensure that actions taken under this Policy are traceable, documented, and defensible. Accountability cannot be delegated; it remains with the named Model Owner.</w:t>
            </w:r>
          </w:p>
        </w:tc>
      </w:tr>
      <w:tr>
        <w:tc>
          <w:tcPr>
            <w:tcW w:type="dxa" w:w="28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AI-Assisted Documentation</w:t>
            </w:r>
          </w:p>
        </w:tc>
        <w:tc>
          <w:tcPr>
            <w:tcW w:type="dxa" w:w="656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Any documentation in which generative artificial intelligence tools were used at any stage of drafting, editing, or structuring content, regardless of the proportion of AI-generated content in the final output.</w:t>
            </w:r>
          </w:p>
        </w:tc>
      </w:tr>
      <w:tr>
        <w:tc>
          <w:tcPr>
            <w:tcW w:type="dxa" w:w="28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Data Minimization</w:t>
            </w:r>
          </w:p>
        </w:tc>
        <w:tc>
          <w:tcPr>
            <w:tcW w:type="dxa" w:w="656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The principle that information included in AI tool prompts or model documentation inputs shall be limited to what is necessary and proportionate for the documentation purpose. Confidential trading logic, strategy parameters, and client-adjacent data shall not be included in prompts submitted to AI tools.</w:t>
            </w:r>
          </w:p>
        </w:tc>
      </w:tr>
      <w:tr>
        <w:tc>
          <w:tcPr>
            <w:tcW w:type="dxa" w:w="28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Documentation Standard</w:t>
            </w:r>
          </w:p>
        </w:tc>
        <w:tc>
          <w:tcPr>
            <w:tcW w:type="dxa" w:w="656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The minimum set of fields, processes, and controls defined in this Policy that must be satisfied before a model is eligible for production deployment or documentation publication.</w:t>
            </w:r>
          </w:p>
        </w:tc>
      </w:tr>
      <w:tr>
        <w:tc>
          <w:tcPr>
            <w:tcW w:type="dxa" w:w="28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Intake Form</w:t>
            </w:r>
          </w:p>
        </w:tc>
        <w:tc>
          <w:tcPr>
            <w:tcW w:type="dxa" w:w="656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The structured instrument completed by the Model Owner prior to the commencement of documentation work. The Intake Form is the primary mechanism by which this Policy is operationalized as a production gate.</w:t>
            </w:r>
          </w:p>
        </w:tc>
      </w:tr>
      <w:tr>
        <w:tc>
          <w:tcPr>
            <w:tcW w:type="dxa" w:w="28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Model</w:t>
            </w:r>
          </w:p>
        </w:tc>
        <w:tc>
          <w:tcPr>
            <w:tcW w:type="dxa" w:w="656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For the purposes of this Policy, any quantitative method, algorithm, machine learning system, or statistical technique that processes inputs to generate outputs used in decision support, risk assessment, or operational functions within the Organization.</w:t>
            </w:r>
          </w:p>
        </w:tc>
      </w:tr>
      <w:tr>
        <w:tc>
          <w:tcPr>
            <w:tcW w:type="dxa" w:w="28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Model Card</w:t>
            </w:r>
          </w:p>
        </w:tc>
        <w:tc>
          <w:tcPr>
            <w:tcW w:type="dxa" w:w="656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A structured document that records the mandatory fields defined in Section 5 for a specific model. The Model Card is the primary output of the documentation process governed by this Policy.</w:t>
            </w:r>
          </w:p>
        </w:tc>
      </w:tr>
      <w:tr>
        <w:tc>
          <w:tcPr>
            <w:tcW w:type="dxa" w:w="28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Model Owner</w:t>
            </w:r>
          </w:p>
        </w:tc>
        <w:tc>
          <w:tcPr>
            <w:tcW w:type="dxa" w:w="656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The individual designated as accountable for a model's behaviour, documentation accuracy, and compliance with this Policy. The Model Owner is responsible for completing the Intake Form and validating the accuracy of the Model Card.</w:t>
            </w:r>
          </w:p>
        </w:tc>
      </w:tr>
      <w:tr>
        <w:tc>
          <w:tcPr>
            <w:tcW w:type="dxa" w:w="28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Production</w:t>
            </w:r>
          </w:p>
        </w:tc>
        <w:tc>
          <w:tcPr>
            <w:tcW w:type="dxa" w:w="656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The state in which a model is actively used to generate outputs that inform or influence business decisions, trading activities, or risk assessments within the Organization.</w:t>
            </w:r>
          </w:p>
        </w:tc>
      </w:tr>
      <w:tr>
        <w:tc>
          <w:tcPr>
            <w:tcW w:type="dxa" w:w="28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Purpose Limitation</w:t>
            </w:r>
          </w:p>
        </w:tc>
        <w:tc>
          <w:tcPr>
            <w:tcW w:type="dxa" w:w="656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The principle that documentation produced under this Policy shall be used solely for its stated governance and accountability purposes and shall not be repurposed in ways inconsistent with those purposes.</w:t>
            </w:r>
          </w:p>
        </w:tc>
      </w:tr>
      <w:tr>
        <w:tc>
          <w:tcPr>
            <w:tcW w:type="dxa" w:w="28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Risk Classification</w:t>
            </w:r>
          </w:p>
        </w:tc>
        <w:tc>
          <w:tcPr>
            <w:tcW w:type="dxa" w:w="656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The assignment of a model to Tier 1 (High Risk), Tier 2 (Medium Risk), or Tier 3 (Low Risk) based on the criteria defined in Section 4 of this Policy.</w:t>
            </w:r>
          </w:p>
        </w:tc>
      </w:tr>
      <w:tr>
        <w:tc>
          <w:tcPr>
            <w:tcW w:type="dxa" w:w="28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Trading Floor Surface</w:t>
            </w:r>
          </w:p>
        </w:tc>
        <w:tc>
          <w:tcPr>
            <w:tcW w:type="dxa" w:w="656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Any interface, output, or dependency by which a model's outputs are accessible to, or acted upon by, personnel engaged in trading, portfolio management, or related investment activities.</w:t>
            </w:r>
          </w:p>
        </w:tc>
      </w:tr>
      <w:tr>
        <w:tc>
          <w:tcPr>
            <w:tcW w:type="dxa" w:w="28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Transparency</w:t>
            </w:r>
          </w:p>
        </w:tc>
        <w:tc>
          <w:tcPr>
            <w:tcW w:type="dxa" w:w="656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The obligation to accurately and completely represent a model's purpose, methodology, data inputs, performance characteristics, and known limitations in its documentation, without omission of material information.</w:t>
            </w:r>
          </w:p>
        </w:tc>
      </w:tr>
    </w:tbl>
    <w:p>
      <w:pPr>
        <w:spacing w:after="160" w:before="0"/>
      </w:pPr>
      <w:r>
        <w:t xml:space="preserve"/>
      </w:r>
    </w:p>
    <w:p>
      <w:pPr>
        <w:pStyle w:val="Heading1"/>
        <w:spacing w:after="120" w:before="320"/>
      </w:pPr>
      <w:r>
        <w:rPr>
          <w:rFonts w:ascii="Arial" w:cs="Arial" w:eastAsia="Arial" w:hAnsi="Arial"/>
          <w:b/>
          <w:bCs/>
          <w:color w:val="1B2A4A"/>
          <w:sz w:val="28"/>
          <w:szCs w:val="28"/>
        </w:rPr>
        <w:t xml:space="preserve">4.  Risk Classification</w:t>
      </w:r>
    </w:p>
    <w:p>
      <w:pPr>
        <w:pBdr>
          <w:bottom w:val="single" w:color="2E4D8A" w:sz="6" w:space="1"/>
        </w:pBdr>
        <w:spacing w:after="160" w:before="0"/>
      </w:pPr>
    </w:p>
    <w:p>
      <w:pPr>
        <w:spacing w:after="140" w:before="0"/>
      </w:pPr>
      <w:r>
        <w:rPr>
          <w:rFonts w:ascii="Arial" w:cs="Arial" w:eastAsia="Arial" w:hAnsi="Arial"/>
          <w:color w:val="1A1A1A"/>
          <w:sz w:val="22"/>
          <w:szCs w:val="22"/>
        </w:rPr>
        <w:t xml:space="preserve">All models within scope of this Policy shall be assigned a risk classification prior to the commencement of documentation work. Risk classification determines the depth of documentation required and the sign-off obligations applicable to the model.</w:t>
      </w:r>
    </w:p>
    <w:p>
      <w:pPr>
        <w:spacing w:after="80" w:before="0"/>
      </w:pPr>
      <w:r>
        <w:t xml:space="preserve"/>
      </w:r>
    </w:p>
    <w:p>
      <w:pPr>
        <w:pStyle w:val="Heading2"/>
        <w:spacing w:after="100" w:before="240"/>
      </w:pPr>
      <w:r>
        <w:rPr>
          <w:rFonts w:ascii="Arial" w:cs="Arial" w:eastAsia="Arial" w:hAnsi="Arial"/>
          <w:b/>
          <w:bCs/>
          <w:color w:val="2E4D8A"/>
          <w:sz w:val="24"/>
          <w:szCs w:val="24"/>
        </w:rPr>
        <w:t xml:space="preserve">4.1  Classification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160"/>
        <w:gridCol w:w="2600"/>
      </w:tblGrid>
      <w:tr>
        <w:tc>
          <w:tcPr>
            <w:tcW w:type="dxa" w:w="12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r>
              <w:rPr>
                <w:rFonts w:ascii="Arial" w:cs="Arial" w:eastAsia="Arial" w:hAnsi="Arial"/>
                <w:b/>
                <w:bCs/>
                <w:color w:val="1B2A4A"/>
                <w:sz w:val="20"/>
                <w:szCs w:val="20"/>
              </w:rPr>
              <w:t xml:space="preserve">Tier</w:t>
            </w:r>
          </w:p>
        </w:tc>
        <w:tc>
          <w:tcPr>
            <w:tcW w:type="dxa" w:w="24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r>
              <w:rPr>
                <w:rFonts w:ascii="Arial" w:cs="Arial" w:eastAsia="Arial" w:hAnsi="Arial"/>
                <w:b/>
                <w:bCs/>
                <w:color w:val="1B2A4A"/>
                <w:sz w:val="20"/>
                <w:szCs w:val="20"/>
              </w:rPr>
              <w:t xml:space="preserve">Classification</w:t>
            </w:r>
          </w:p>
        </w:tc>
        <w:tc>
          <w:tcPr>
            <w:tcW w:type="dxa" w:w="316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r>
              <w:rPr>
                <w:rFonts w:ascii="Arial" w:cs="Arial" w:eastAsia="Arial" w:hAnsi="Arial"/>
                <w:b/>
                <w:bCs/>
                <w:color w:val="1B2A4A"/>
                <w:sz w:val="20"/>
                <w:szCs w:val="20"/>
              </w:rPr>
              <w:t xml:space="preserve">Criteria</w:t>
            </w:r>
          </w:p>
        </w:tc>
        <w:tc>
          <w:tcPr>
            <w:tcW w:type="dxa" w:w="26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r>
              <w:rPr>
                <w:rFonts w:ascii="Arial" w:cs="Arial" w:eastAsia="Arial" w:hAnsi="Arial"/>
                <w:b/>
                <w:bCs/>
                <w:color w:val="1B2A4A"/>
                <w:sz w:val="20"/>
                <w:szCs w:val="20"/>
              </w:rPr>
              <w:t xml:space="preserve">Documentation Depth</w:t>
            </w:r>
          </w:p>
        </w:tc>
      </w:tr>
      <w:tr>
        <w:tc>
          <w:tcPr>
            <w:tcW w:type="dxa" w:w="12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1</w:t>
            </w:r>
          </w:p>
        </w:tc>
        <w:tc>
          <w:tcPr>
            <w:tcW w:type="dxa" w:w="24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High Risk</w:t>
            </w:r>
          </w:p>
        </w:tc>
        <w:tc>
          <w:tcPr>
            <w:tcW w:type="dxa" w:w="316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Model outputs directly inform or influence trading decisions, client-facing outcomes, or risk-weighted positions. All models with any trading floor surface area are automatically classified Tier 1 regardless of model complexity.</w:t>
            </w:r>
          </w:p>
        </w:tc>
        <w:tc>
          <w:tcPr>
            <w:tcW w:type="dxa" w:w="26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Full documentation standard. All mandatory fields required. Dual sign-off: model owner and [MODEL RISK FUNCTION PLACEHOLDER].</w:t>
            </w:r>
          </w:p>
        </w:tc>
      </w:tr>
      <w:tr>
        <w:tc>
          <w:tcPr>
            <w:tcW w:type="dxa" w:w="12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2</w:t>
            </w:r>
          </w:p>
        </w:tc>
        <w:tc>
          <w:tcPr>
            <w:tcW w:type="dxa" w:w="24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Medium Risk</w:t>
            </w:r>
          </w:p>
        </w:tc>
        <w:tc>
          <w:tcPr>
            <w:tcW w:type="dxa" w:w="316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Model outputs inform internal decisions but do not directly drive trading or client outcomes. Includes models used in risk monitoring, performance attribution, and internal analytics.</w:t>
            </w:r>
          </w:p>
        </w:tc>
        <w:tc>
          <w:tcPr>
            <w:tcW w:type="dxa" w:w="26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Standard documentation. All mandatory fields required. Single sign-off: model owner.</w:t>
            </w:r>
          </w:p>
        </w:tc>
      </w:tr>
      <w:tr>
        <w:tc>
          <w:tcPr>
            <w:tcW w:type="dxa" w:w="12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3</w:t>
            </w:r>
          </w:p>
        </w:tc>
        <w:tc>
          <w:tcPr>
            <w:tcW w:type="dxa" w:w="24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Low Risk</w:t>
            </w:r>
          </w:p>
        </w:tc>
        <w:tc>
          <w:tcPr>
            <w:tcW w:type="dxa" w:w="316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Internal tooling, workflow automation, and models with no decision impact. Output is not used to inform financial, trading, or risk decisions.</w:t>
            </w:r>
          </w:p>
        </w:tc>
        <w:tc>
          <w:tcPr>
            <w:tcW w:type="dxa" w:w="26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Baseline documentation. Core mandatory fields required. Team lead acknowledgment sufficient.</w:t>
            </w:r>
          </w:p>
        </w:tc>
      </w:tr>
    </w:tbl>
    <w:p>
      <w:pPr>
        <w:spacing w:after="160" w:before="0"/>
      </w:pPr>
      <w:r>
        <w:t xml:space="preserve"/>
      </w:r>
    </w:p>
    <w:p>
      <w:pPr>
        <w:pStyle w:val="Heading2"/>
        <w:spacing w:after="100" w:before="240"/>
      </w:pPr>
      <w:r>
        <w:rPr>
          <w:rFonts w:ascii="Arial" w:cs="Arial" w:eastAsia="Arial" w:hAnsi="Arial"/>
          <w:b/>
          <w:bCs/>
          <w:color w:val="2E4D8A"/>
          <w:sz w:val="24"/>
          <w:szCs w:val="24"/>
        </w:rPr>
        <w:t xml:space="preserve">4.2  Trading Floor Default</w:t>
      </w:r>
    </w:p>
    <w:p>
      <w:pPr>
        <w:spacing w:after="140" w:before="0"/>
      </w:pPr>
      <w:r>
        <w:rPr>
          <w:rFonts w:ascii="Arial" w:cs="Arial" w:eastAsia="Arial" w:hAnsi="Arial"/>
          <w:color w:val="1A1A1A"/>
          <w:sz w:val="22"/>
          <w:szCs w:val="22"/>
        </w:rPr>
        <w:t xml:space="preserve">Any model whose outputs have any trading floor surface area — whether direct or indirect, whether the model's primary purpose is trading-related or not — is automatically classified as Tier 1 (High Risk). This default is not subject to override on the basis of model complexity or perceived materiality. The names of specific products and systems within scope of this provision are identified in Annex A [PLACEHOLDER — TO BE COMPLETED BY POLICY OWNER].</w:t>
      </w:r>
    </w:p>
    <w:p>
      <w:pPr>
        <w:spacing w:after="80" w:before="0"/>
      </w:pPr>
      <w:r>
        <w:t xml:space="preserve"/>
      </w:r>
    </w:p>
    <w:p>
      <w:pPr>
        <w:pStyle w:val="Heading2"/>
        <w:spacing w:after="100" w:before="240"/>
      </w:pPr>
      <w:r>
        <w:rPr>
          <w:rFonts w:ascii="Arial" w:cs="Arial" w:eastAsia="Arial" w:hAnsi="Arial"/>
          <w:b/>
          <w:bCs/>
          <w:color w:val="2E4D8A"/>
          <w:sz w:val="24"/>
          <w:szCs w:val="24"/>
        </w:rPr>
        <w:t xml:space="preserve">4.3  Classification Responsibility</w:t>
      </w:r>
    </w:p>
    <w:p>
      <w:pPr>
        <w:spacing w:after="140" w:before="0"/>
      </w:pPr>
      <w:r>
        <w:rPr>
          <w:rFonts w:ascii="Arial" w:cs="Arial" w:eastAsia="Arial" w:hAnsi="Arial"/>
          <w:color w:val="1A1A1A"/>
          <w:sz w:val="22"/>
          <w:szCs w:val="22"/>
        </w:rPr>
        <w:t xml:space="preserve">The initial risk classification is proposed by the Model Owner in the Intake Form. The Technical Documentation Function reviews the proposed classification for consistency with the criteria in Section 4.1. For Tier 1 models, classification must be confirmed by [MODEL RISK FUNCTION PLACEHOLDER] before documentation commences.</w:t>
      </w:r>
    </w:p>
    <w:p>
      <w:pPr>
        <w:spacing w:after="160" w:before="0"/>
      </w:pPr>
      <w:r>
        <w:t xml:space="preserve"/>
      </w:r>
    </w:p>
    <w:p>
      <w:pPr>
        <w:pStyle w:val="Heading1"/>
        <w:spacing w:after="120" w:before="320"/>
      </w:pPr>
      <w:r>
        <w:rPr>
          <w:rFonts w:ascii="Arial" w:cs="Arial" w:eastAsia="Arial" w:hAnsi="Arial"/>
          <w:b/>
          <w:bCs/>
          <w:color w:val="1B2A4A"/>
          <w:sz w:val="28"/>
          <w:szCs w:val="28"/>
        </w:rPr>
        <w:t xml:space="preserve">5.  Mandatory Documentation Fields</w:t>
      </w:r>
    </w:p>
    <w:p>
      <w:pPr>
        <w:pBdr>
          <w:bottom w:val="single" w:color="2E4D8A" w:sz="6" w:space="1"/>
        </w:pBdr>
        <w:spacing w:after="160" w:before="0"/>
      </w:pPr>
    </w:p>
    <w:p>
      <w:pPr>
        <w:spacing w:after="140" w:before="0"/>
      </w:pPr>
      <w:r>
        <w:rPr>
          <w:rFonts w:ascii="Arial" w:cs="Arial" w:eastAsia="Arial" w:hAnsi="Arial"/>
          <w:color w:val="1A1A1A"/>
          <w:sz w:val="22"/>
          <w:szCs w:val="22"/>
        </w:rPr>
        <w:t xml:space="preserve">The following fields are mandatory for all Model Cards produced under this Policy. Required fields by tier are indicated. A field marked 'Required' must be present and substantively completed; a field marked 'Recommended' should be completed where information is available; a field marked '—' is not required for that tier.</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1400"/>
        <w:gridCol w:w="2160"/>
      </w:tblGrid>
      <w:tr>
        <w:tc>
          <w:tcPr>
            <w:tcW w:type="dxa" w:w="30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r>
              <w:rPr>
                <w:rFonts w:ascii="Arial" w:cs="Arial" w:eastAsia="Arial" w:hAnsi="Arial"/>
                <w:b/>
                <w:bCs/>
                <w:color w:val="1B2A4A"/>
                <w:sz w:val="20"/>
                <w:szCs w:val="20"/>
              </w:rPr>
              <w:t xml:space="preserve">Field</w:t>
            </w:r>
          </w:p>
        </w:tc>
        <w:tc>
          <w:tcPr>
            <w:tcW w:type="dxa" w:w="14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r>
              <w:rPr>
                <w:rFonts w:ascii="Arial" w:cs="Arial" w:eastAsia="Arial" w:hAnsi="Arial"/>
                <w:b/>
                <w:bCs/>
                <w:color w:val="1B2A4A"/>
                <w:sz w:val="20"/>
                <w:szCs w:val="20"/>
              </w:rPr>
              <w:t xml:space="preserve">Tier 1</w:t>
            </w:r>
          </w:p>
        </w:tc>
        <w:tc>
          <w:tcPr>
            <w:tcW w:type="dxa" w:w="14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r>
              <w:rPr>
                <w:rFonts w:ascii="Arial" w:cs="Arial" w:eastAsia="Arial" w:hAnsi="Arial"/>
                <w:b/>
                <w:bCs/>
                <w:color w:val="1B2A4A"/>
                <w:sz w:val="20"/>
                <w:szCs w:val="20"/>
              </w:rPr>
              <w:t xml:space="preserve">Tier 2</w:t>
            </w:r>
          </w:p>
        </w:tc>
        <w:tc>
          <w:tcPr>
            <w:tcW w:type="dxa" w:w="14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r>
              <w:rPr>
                <w:rFonts w:ascii="Arial" w:cs="Arial" w:eastAsia="Arial" w:hAnsi="Arial"/>
                <w:b/>
                <w:bCs/>
                <w:color w:val="1B2A4A"/>
                <w:sz w:val="20"/>
                <w:szCs w:val="20"/>
              </w:rPr>
              <w:t xml:space="preserve">Tier 3</w:t>
            </w:r>
          </w:p>
        </w:tc>
        <w:tc>
          <w:tcPr>
            <w:tcW w:type="dxa" w:w="216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r>
              <w:rPr>
                <w:rFonts w:ascii="Arial" w:cs="Arial" w:eastAsia="Arial" w:hAnsi="Arial"/>
                <w:b/>
                <w:bCs/>
                <w:color w:val="1B2A4A"/>
                <w:sz w:val="20"/>
                <w:szCs w:val="20"/>
              </w:rPr>
              <w:t xml:space="preserve">Definition</w:t>
            </w:r>
          </w:p>
        </w:tc>
      </w:tr>
      <w:tr>
        <w:tc>
          <w:tcPr>
            <w:tcW w:type="dxa" w:w="30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Model Name and Version</w:t>
            </w:r>
          </w:p>
        </w:tc>
        <w:tc>
          <w:tcPr>
            <w:tcW w:type="dxa" w:w="140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216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Unique identifier including version number. Must match the identifier used in the production system.</w:t>
            </w:r>
          </w:p>
        </w:tc>
      </w:tr>
      <w:tr>
        <w:tc>
          <w:tcPr>
            <w:tcW w:type="dxa" w:w="30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Model Owner</w:t>
            </w:r>
          </w:p>
        </w:tc>
        <w:tc>
          <w:tcPr>
            <w:tcW w:type="dxa" w:w="140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216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Named individual accountable for the model's behaviour and documentation accuracy.</w:t>
            </w:r>
          </w:p>
        </w:tc>
      </w:tr>
      <w:tr>
        <w:tc>
          <w:tcPr>
            <w:tcW w:type="dxa" w:w="30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Intended Use</w:t>
            </w:r>
          </w:p>
        </w:tc>
        <w:tc>
          <w:tcPr>
            <w:tcW w:type="dxa" w:w="140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216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Explicit statement of the purpose for which the model was developed and the decisions it is designed to support.</w:t>
            </w:r>
          </w:p>
        </w:tc>
      </w:tr>
      <w:tr>
        <w:tc>
          <w:tcPr>
            <w:tcW w:type="dxa" w:w="30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Out-of-Scope Uses</w:t>
            </w:r>
          </w:p>
        </w:tc>
        <w:tc>
          <w:tcPr>
            <w:tcW w:type="dxa" w:w="140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tcPr>
          <w:p>
            <w:pPr>
              <w:spacing w:after="0"/>
            </w:pPr>
            <w:r>
              <w:rPr>
                <w:rFonts w:ascii="Arial" w:cs="Arial" w:eastAsia="Arial" w:hAnsi="Arial"/>
                <w:color w:val="5A5A5A"/>
                <w:sz w:val="20"/>
                <w:szCs w:val="20"/>
              </w:rPr>
              <w:t xml:space="preserve">Recommended</w:t>
            </w:r>
          </w:p>
        </w:tc>
        <w:tc>
          <w:tcPr>
            <w:tcW w:type="dxa" w:w="216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Explicit statement of uses for which the model was not designed and should not be applied.</w:t>
            </w:r>
          </w:p>
        </w:tc>
      </w:tr>
      <w:tr>
        <w:tc>
          <w:tcPr>
            <w:tcW w:type="dxa" w:w="30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Data Inputs</w:t>
            </w:r>
          </w:p>
        </w:tc>
        <w:tc>
          <w:tcPr>
            <w:tcW w:type="dxa" w:w="140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216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Description of all data sources used as model inputs, including data type, origin, and any preprocessing applied.</w:t>
            </w:r>
          </w:p>
        </w:tc>
      </w:tr>
      <w:tr>
        <w:tc>
          <w:tcPr>
            <w:tcW w:type="dxa" w:w="30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Training Data Summary</w:t>
            </w:r>
          </w:p>
        </w:tc>
        <w:tc>
          <w:tcPr>
            <w:tcW w:type="dxa" w:w="140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tcPr>
          <w:p>
            <w:pPr>
              <w:spacing w:after="0"/>
            </w:pPr>
            <w:r>
              <w:rPr>
                <w:rFonts w:ascii="Arial" w:cs="Arial" w:eastAsia="Arial" w:hAnsi="Arial"/>
                <w:color w:val="5A5A5A"/>
                <w:sz w:val="20"/>
                <w:szCs w:val="20"/>
              </w:rPr>
              <w:t xml:space="preserve">—</w:t>
            </w:r>
          </w:p>
        </w:tc>
        <w:tc>
          <w:tcPr>
            <w:tcW w:type="dxa" w:w="216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Description of training dataset characteristics, time period, and any known biases or gaps.</w:t>
            </w:r>
          </w:p>
        </w:tc>
      </w:tr>
      <w:tr>
        <w:tc>
          <w:tcPr>
            <w:tcW w:type="dxa" w:w="30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Model Architecture / Methodology</w:t>
            </w:r>
          </w:p>
        </w:tc>
        <w:tc>
          <w:tcPr>
            <w:tcW w:type="dxa" w:w="140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color w:val="5A5A5A"/>
                <w:sz w:val="20"/>
                <w:szCs w:val="20"/>
              </w:rPr>
              <w:t xml:space="preserve">Recommended</w:t>
            </w:r>
          </w:p>
        </w:tc>
        <w:tc>
          <w:tcPr>
            <w:tcW w:type="dxa" w:w="216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High-level description of the modelling approach. Sufficient for a technically qualified reviewer to assess conceptual soundness.</w:t>
            </w:r>
          </w:p>
        </w:tc>
      </w:tr>
      <w:tr>
        <w:tc>
          <w:tcPr>
            <w:tcW w:type="dxa" w:w="30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Performance Metrics</w:t>
            </w:r>
          </w:p>
        </w:tc>
        <w:tc>
          <w:tcPr>
            <w:tcW w:type="dxa" w:w="140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tcPr>
          <w:p>
            <w:pPr>
              <w:spacing w:after="0"/>
            </w:pPr>
            <w:r>
              <w:rPr>
                <w:rFonts w:ascii="Arial" w:cs="Arial" w:eastAsia="Arial" w:hAnsi="Arial"/>
                <w:color w:val="5A5A5A"/>
                <w:sz w:val="20"/>
                <w:szCs w:val="20"/>
              </w:rPr>
              <w:t xml:space="preserve">Recommended</w:t>
            </w:r>
          </w:p>
        </w:tc>
        <w:tc>
          <w:tcPr>
            <w:tcW w:type="dxa" w:w="216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Quantitative evaluation results including key metrics, evaluation conditions, and backtesting parameters where applicable.</w:t>
            </w:r>
          </w:p>
        </w:tc>
      </w:tr>
      <w:tr>
        <w:tc>
          <w:tcPr>
            <w:tcW w:type="dxa" w:w="30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Known Limitations</w:t>
            </w:r>
          </w:p>
        </w:tc>
        <w:tc>
          <w:tcPr>
            <w:tcW w:type="dxa" w:w="140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216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Documented conditions under which model performance degrades, including market regimes, data gaps, or distributional assumptions that may not hold.</w:t>
            </w:r>
          </w:p>
        </w:tc>
      </w:tr>
      <w:tr>
        <w:tc>
          <w:tcPr>
            <w:tcW w:type="dxa" w:w="30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Risk Classification</w:t>
            </w:r>
          </w:p>
        </w:tc>
        <w:tc>
          <w:tcPr>
            <w:tcW w:type="dxa" w:w="140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216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Tier designation (1 / 2 / 3) and the rationale for the classification.</w:t>
            </w:r>
          </w:p>
        </w:tc>
      </w:tr>
      <w:tr>
        <w:tc>
          <w:tcPr>
            <w:tcW w:type="dxa" w:w="30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Human Oversight Requirement</w:t>
            </w:r>
          </w:p>
        </w:tc>
        <w:tc>
          <w:tcPr>
            <w:tcW w:type="dxa" w:w="140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color w:val="5A5A5A"/>
                <w:sz w:val="20"/>
                <w:szCs w:val="20"/>
              </w:rPr>
              <w:t xml:space="preserve">Recommended</w:t>
            </w:r>
          </w:p>
        </w:tc>
        <w:tc>
          <w:tcPr>
            <w:tcW w:type="dxa" w:w="216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Statement of whether and how human review is required before model outputs are acted upon. References applicable firm policy.</w:t>
            </w:r>
          </w:p>
        </w:tc>
      </w:tr>
      <w:tr>
        <w:tc>
          <w:tcPr>
            <w:tcW w:type="dxa" w:w="30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Approval Sign-Off</w:t>
            </w:r>
          </w:p>
        </w:tc>
        <w:tc>
          <w:tcPr>
            <w:tcW w:type="dxa" w:w="140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216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Named approver(s), role, and date of approval. Dual sign-off required for Tier 1.</w:t>
            </w:r>
          </w:p>
        </w:tc>
      </w:tr>
      <w:tr>
        <w:tc>
          <w:tcPr>
            <w:tcW w:type="dxa" w:w="30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Storage Location</w:t>
            </w:r>
          </w:p>
        </w:tc>
        <w:tc>
          <w:tcPr>
            <w:tcW w:type="dxa" w:w="140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216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Confluence page URL or equivalent. Must be accessible to model risk and compliance functions.</w:t>
            </w:r>
          </w:p>
        </w:tc>
      </w:tr>
      <w:tr>
        <w:tc>
          <w:tcPr>
            <w:tcW w:type="dxa" w:w="30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Review Date</w:t>
            </w:r>
          </w:p>
        </w:tc>
        <w:tc>
          <w:tcPr>
            <w:tcW w:type="dxa" w:w="140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216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Scheduled next review date. Annual minimum; earlier if model is retrained or use case changes.</w:t>
            </w:r>
          </w:p>
        </w:tc>
      </w:tr>
      <w:tr>
        <w:tc>
          <w:tcPr>
            <w:tcW w:type="dxa" w:w="30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AI-Assisted Drafting Disclosure</w:t>
            </w:r>
          </w:p>
        </w:tc>
        <w:tc>
          <w:tcPr>
            <w:tcW w:type="dxa" w:w="140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140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Required</w:t>
            </w:r>
          </w:p>
        </w:tc>
        <w:tc>
          <w:tcPr>
            <w:tcW w:type="dxa" w:w="216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Statement of whether generative AI tools were used in producing this document, consistent with the AI-Generated Content Policy.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8"/>
              <w:left w:val="single" w:color="4A6FA5" w:sz="8"/>
              <w:bottom w:val="single" w:color="4A6FA5" w:sz="8"/>
              <w:right w:val="single" w:color="4A6FA5" w:sz="8"/>
            </w:tcBorders>
            <w:shd w:fill="EEF4FC" w:val="clear"/>
            <w:tcMar>
              <w:top w:type="dxa" w:w="120"/>
              <w:left w:type="dxa" w:w="200"/>
              <w:bottom w:type="dxa" w:w="120"/>
              <w:right w:type="dxa" w:w="200"/>
            </w:tcMar>
          </w:tcPr>
          <w:p>
            <w:pPr>
              <w:spacing w:after="60"/>
            </w:pPr>
            <w:r>
              <w:rPr>
                <w:rFonts w:ascii="Arial" w:cs="Arial" w:eastAsia="Arial" w:hAnsi="Arial"/>
                <w:b/>
                <w:bCs/>
                <w:color w:val="1B2A4A"/>
                <w:sz w:val="20"/>
                <w:szCs w:val="20"/>
              </w:rPr>
              <w:t xml:space="preserve">Note on Confidentiality of Field Content</w:t>
            </w:r>
          </w:p>
          <w:p>
            <w:pPr>
              <w:spacing w:after="0"/>
            </w:pPr>
            <w:r>
              <w:rPr>
                <w:rFonts w:ascii="Arial" w:cs="Arial" w:eastAsia="Arial" w:hAnsi="Arial"/>
                <w:color w:val="1A1A1A"/>
                <w:sz w:val="20"/>
                <w:szCs w:val="20"/>
              </w:rPr>
              <w:t xml:space="preserve">In completing mandatory fields, personnel must apply the Organization's data classification policy. Trading strategy descriptions, model parameters that constitute proprietary intellectual property, and client-adjacent data must not be reproduced in documentation stored outside systems authorized for that classification level. Where a mandatory field cannot be completed without disclosing such information, the field must include a summary description and a reference to the location of the full information in an appropriately classified system.</w:t>
            </w:r>
          </w:p>
        </w:tc>
      </w:tr>
    </w:tbl>
    <w:p>
      <w:pPr>
        <w:spacing w:after="160" w:before="0"/>
      </w:pPr>
      <w:r>
        <w:t xml:space="preserve"/>
      </w:r>
    </w:p>
    <w:p>
      <w:pPr>
        <w:pStyle w:val="Heading1"/>
        <w:spacing w:after="120" w:before="320"/>
      </w:pPr>
      <w:r>
        <w:rPr>
          <w:rFonts w:ascii="Arial" w:cs="Arial" w:eastAsia="Arial" w:hAnsi="Arial"/>
          <w:b/>
          <w:bCs/>
          <w:color w:val="1B2A4A"/>
          <w:sz w:val="28"/>
          <w:szCs w:val="28"/>
        </w:rPr>
        <w:t xml:space="preserve">6.  Intake Requirements</w:t>
      </w:r>
    </w:p>
    <w:p>
      <w:pPr>
        <w:pBdr>
          <w:bottom w:val="single" w:color="2E4D8A" w:sz="6" w:space="1"/>
        </w:pBdr>
        <w:spacing w:after="160" w:before="0"/>
      </w:pPr>
    </w:p>
    <w:p>
      <w:pPr>
        <w:pStyle w:val="Heading2"/>
        <w:spacing w:after="100" w:before="240"/>
      </w:pPr>
      <w:r>
        <w:rPr>
          <w:rFonts w:ascii="Arial" w:cs="Arial" w:eastAsia="Arial" w:hAnsi="Arial"/>
          <w:b/>
          <w:bCs/>
          <w:color w:val="2E4D8A"/>
          <w:sz w:val="24"/>
          <w:szCs w:val="24"/>
        </w:rPr>
        <w:t xml:space="preserve">6.1  The Intake Form as a Production Gate</w:t>
      </w:r>
    </w:p>
    <w:p>
      <w:pPr>
        <w:spacing w:after="140" w:before="0"/>
      </w:pPr>
      <w:r>
        <w:rPr>
          <w:rFonts w:ascii="Arial" w:cs="Arial" w:eastAsia="Arial" w:hAnsi="Arial"/>
          <w:color w:val="1A1A1A"/>
          <w:sz w:val="22"/>
          <w:szCs w:val="22"/>
        </w:rPr>
        <w:t xml:space="preserve">No model documentation may commence, and no model may proceed through the production approval process, until a completed Intake Form has been submitted by the Model Owner and accepted by the Technical Documentation Function. The Intake Form is the primary mechanism by which this Policy is enforced as a production gate.</w:t>
      </w:r>
    </w:p>
    <w:p>
      <w:pPr>
        <w:spacing w:after="80" w:before="0"/>
      </w:pPr>
      <w:r>
        <w:t xml:space="preserve"/>
      </w:r>
    </w:p>
    <w:p>
      <w:pPr>
        <w:pStyle w:val="Heading2"/>
        <w:spacing w:after="100" w:before="240"/>
      </w:pPr>
      <w:r>
        <w:rPr>
          <w:rFonts w:ascii="Arial" w:cs="Arial" w:eastAsia="Arial" w:hAnsi="Arial"/>
          <w:b/>
          <w:bCs/>
          <w:color w:val="2E4D8A"/>
          <w:sz w:val="24"/>
          <w:szCs w:val="24"/>
        </w:rPr>
        <w:t xml:space="preserve">6.2  Intake Form Content</w:t>
      </w:r>
    </w:p>
    <w:p>
      <w:pPr>
        <w:spacing w:after="140" w:before="0"/>
      </w:pPr>
      <w:r>
        <w:rPr>
          <w:rFonts w:ascii="Arial" w:cs="Arial" w:eastAsia="Arial" w:hAnsi="Arial"/>
          <w:color w:val="1A1A1A"/>
          <w:sz w:val="22"/>
          <w:szCs w:val="22"/>
        </w:rPr>
        <w:t xml:space="preserve">The Intake Form shall capture, at minimum, the following information:</w:t>
      </w:r>
    </w:p>
    <w:p>
      <w:pPr>
        <w:pStyle w:val="ListParagraph"/>
        <w:numPr>
          <w:ilvl w:val="0"/>
          <w:numId w:val="2"/>
        </w:numPr>
        <w:spacing w:after="100" w:before="0"/>
      </w:pPr>
      <w:r>
        <w:rPr>
          <w:rFonts w:ascii="Arial" w:cs="Arial" w:eastAsia="Arial" w:hAnsi="Arial"/>
          <w:color w:val="1A1A1A"/>
          <w:sz w:val="22"/>
          <w:szCs w:val="22"/>
        </w:rPr>
        <w:t xml:space="preserve">Model name and proposed version identifier.</w:t>
      </w:r>
    </w:p>
    <w:p>
      <w:pPr>
        <w:pStyle w:val="ListParagraph"/>
        <w:numPr>
          <w:ilvl w:val="0"/>
          <w:numId w:val="2"/>
        </w:numPr>
        <w:spacing w:after="100" w:before="0"/>
      </w:pPr>
      <w:r>
        <w:rPr>
          <w:rFonts w:ascii="Arial" w:cs="Arial" w:eastAsia="Arial" w:hAnsi="Arial"/>
          <w:color w:val="1A1A1A"/>
          <w:sz w:val="22"/>
          <w:szCs w:val="22"/>
        </w:rPr>
        <w:t xml:space="preserve">Model Owner name and role.</w:t>
      </w:r>
    </w:p>
    <w:p>
      <w:pPr>
        <w:pStyle w:val="ListParagraph"/>
        <w:numPr>
          <w:ilvl w:val="0"/>
          <w:numId w:val="2"/>
        </w:numPr>
        <w:spacing w:after="100" w:before="0"/>
      </w:pPr>
      <w:r>
        <w:rPr>
          <w:rFonts w:ascii="Arial" w:cs="Arial" w:eastAsia="Arial" w:hAnsi="Arial"/>
          <w:color w:val="1A1A1A"/>
          <w:sz w:val="22"/>
          <w:szCs w:val="22"/>
        </w:rPr>
        <w:t xml:space="preserve">Proposed risk classification and supporting rationale.</w:t>
      </w:r>
    </w:p>
    <w:p>
      <w:pPr>
        <w:pStyle w:val="ListParagraph"/>
        <w:numPr>
          <w:ilvl w:val="0"/>
          <w:numId w:val="2"/>
        </w:numPr>
        <w:spacing w:after="100" w:before="0"/>
      </w:pPr>
      <w:r>
        <w:rPr>
          <w:rFonts w:ascii="Arial" w:cs="Arial" w:eastAsia="Arial" w:hAnsi="Arial"/>
          <w:color w:val="1A1A1A"/>
          <w:sz w:val="22"/>
          <w:szCs w:val="22"/>
        </w:rPr>
        <w:t xml:space="preserve">Description of intended use and any known out-of-scope uses.</w:t>
      </w:r>
    </w:p>
    <w:p>
      <w:pPr>
        <w:pStyle w:val="ListParagraph"/>
        <w:numPr>
          <w:ilvl w:val="0"/>
          <w:numId w:val="2"/>
        </w:numPr>
        <w:spacing w:after="100" w:before="0"/>
      </w:pPr>
      <w:r>
        <w:rPr>
          <w:rFonts w:ascii="Arial" w:cs="Arial" w:eastAsia="Arial" w:hAnsi="Arial"/>
          <w:color w:val="1A1A1A"/>
          <w:sz w:val="22"/>
          <w:szCs w:val="22"/>
        </w:rPr>
        <w:t xml:space="preserve">Data inputs: sources, types, and any preprocessing or transformation.</w:t>
      </w:r>
    </w:p>
    <w:p>
      <w:pPr>
        <w:pStyle w:val="ListParagraph"/>
        <w:numPr>
          <w:ilvl w:val="0"/>
          <w:numId w:val="2"/>
        </w:numPr>
        <w:spacing w:after="100" w:before="0"/>
      </w:pPr>
      <w:r>
        <w:rPr>
          <w:rFonts w:ascii="Arial" w:cs="Arial" w:eastAsia="Arial" w:hAnsi="Arial"/>
          <w:color w:val="1A1A1A"/>
          <w:sz w:val="22"/>
          <w:szCs w:val="22"/>
        </w:rPr>
        <w:t xml:space="preserve">Summary of model methodology sufficient to enable risk classification review.</w:t>
      </w:r>
    </w:p>
    <w:p>
      <w:pPr>
        <w:pStyle w:val="ListParagraph"/>
        <w:numPr>
          <w:ilvl w:val="0"/>
          <w:numId w:val="2"/>
        </w:numPr>
        <w:spacing w:after="100" w:before="0"/>
      </w:pPr>
      <w:r>
        <w:rPr>
          <w:rFonts w:ascii="Arial" w:cs="Arial" w:eastAsia="Arial" w:hAnsi="Arial"/>
          <w:color w:val="1A1A1A"/>
          <w:sz w:val="22"/>
          <w:szCs w:val="22"/>
        </w:rPr>
        <w:t xml:space="preserve">Confirmation of whether the model has any trading floor surface area.</w:t>
      </w:r>
    </w:p>
    <w:p>
      <w:pPr>
        <w:pStyle w:val="ListParagraph"/>
        <w:numPr>
          <w:ilvl w:val="0"/>
          <w:numId w:val="2"/>
        </w:numPr>
        <w:spacing w:after="100" w:before="0"/>
      </w:pPr>
      <w:r>
        <w:rPr>
          <w:rFonts w:ascii="Arial" w:cs="Arial" w:eastAsia="Arial" w:hAnsi="Arial"/>
          <w:color w:val="1A1A1A"/>
          <w:sz w:val="22"/>
          <w:szCs w:val="22"/>
        </w:rPr>
        <w:t xml:space="preserve">Names of proposed SME reviewers for technical accuracy sign-off.</w:t>
      </w:r>
    </w:p>
    <w:p>
      <w:pPr>
        <w:pStyle w:val="ListParagraph"/>
        <w:numPr>
          <w:ilvl w:val="0"/>
          <w:numId w:val="2"/>
        </w:numPr>
        <w:spacing w:after="100" w:before="0"/>
      </w:pPr>
      <w:r>
        <w:rPr>
          <w:rFonts w:ascii="Arial" w:cs="Arial" w:eastAsia="Arial" w:hAnsi="Arial"/>
          <w:color w:val="1A1A1A"/>
          <w:sz w:val="22"/>
          <w:szCs w:val="22"/>
        </w:rPr>
        <w:t xml:space="preserve">Confirmation that no confidential trading strategy descriptions, proprietary model parameters, or client-adjacent data will be included in documentation stored outside classified systems.</w:t>
      </w:r>
    </w:p>
    <w:p>
      <w:pPr>
        <w:spacing w:after="80" w:before="0"/>
      </w:pPr>
      <w:r>
        <w:t xml:space="preserve"/>
      </w:r>
    </w:p>
    <w:p>
      <w:pPr>
        <w:spacing w:after="140" w:before="0"/>
      </w:pPr>
      <w:r>
        <w:rPr>
          <w:rFonts w:ascii="Arial" w:cs="Arial" w:eastAsia="Arial" w:hAnsi="Arial"/>
          <w:color w:val="1A1A1A"/>
          <w:sz w:val="22"/>
          <w:szCs w:val="22"/>
        </w:rPr>
        <w:t xml:space="preserve">The Intake Form is maintained in Confluence at </w:t>
      </w:r>
      <w:r>
        <w:rPr>
          <w:rFonts w:ascii="Arial" w:cs="Arial" w:eastAsia="Arial" w:hAnsi="Arial"/>
          <w:color w:val="1A1A1A"/>
          <w:sz w:val="22"/>
          <w:szCs w:val="22"/>
        </w:rPr>
      </w:r>
      <w:r>
        <w:rPr>
          <w:rFonts w:ascii="Arial" w:cs="Arial" w:eastAsia="Arial" w:hAnsi="Arial"/>
          <w:color w:val="1A1A1A"/>
          <w:sz w:val="22"/>
          <w:szCs w:val="22"/>
        </w:rPr>
        <w:t xml:space="preserve">. The form must be completed in full. Partially completed forms will be returned to the Model Owner without commencement of documentation work.</w:t>
      </w:r>
    </w:p>
    <w:p>
      <w:pPr>
        <w:spacing w:after="80" w:before="0"/>
      </w:pPr>
      <w:r>
        <w:t xml:space="preserve"/>
      </w:r>
    </w:p>
    <w:p>
      <w:pPr>
        <w:pStyle w:val="Heading2"/>
        <w:spacing w:after="100" w:before="240"/>
      </w:pPr>
      <w:r>
        <w:rPr>
          <w:rFonts w:ascii="Arial" w:cs="Arial" w:eastAsia="Arial" w:hAnsi="Arial"/>
          <w:b/>
          <w:bCs/>
          <w:color w:val="2E4D8A"/>
          <w:sz w:val="24"/>
          <w:szCs w:val="24"/>
        </w:rPr>
        <w:t xml:space="preserve">6.3  Intake Review</w:t>
      </w:r>
    </w:p>
    <w:p>
      <w:pPr>
        <w:spacing w:after="140" w:before="0"/>
      </w:pPr>
      <w:r>
        <w:rPr>
          <w:rFonts w:ascii="Arial" w:cs="Arial" w:eastAsia="Arial" w:hAnsi="Arial"/>
          <w:color w:val="1A1A1A"/>
          <w:sz w:val="22"/>
          <w:szCs w:val="22"/>
        </w:rPr>
        <w:t xml:space="preserve">The Technical Documentation Function shall review each submitted Intake Form within [PLACEHOLDER — BUSINESS DAYS] business days of receipt. Review covers completeness of mandatory fields and consistency of the proposed risk classification with the criteria in Section 4. Substantive queries regarding the Intake Form shall be directed to the Model Owner before documentation commences.</w:t>
      </w:r>
    </w:p>
    <w:p>
      <w:pPr>
        <w:spacing w:after="160" w:before="0"/>
      </w:pPr>
      <w:r>
        <w:t xml:space="preserve"/>
      </w:r>
    </w:p>
    <w:p>
      <w:pPr>
        <w:pStyle w:val="Heading1"/>
        <w:spacing w:after="120" w:before="320"/>
      </w:pPr>
      <w:r>
        <w:rPr>
          <w:rFonts w:ascii="Arial" w:cs="Arial" w:eastAsia="Arial" w:hAnsi="Arial"/>
          <w:b/>
          <w:bCs/>
          <w:color w:val="1B2A4A"/>
          <w:sz w:val="28"/>
          <w:szCs w:val="28"/>
        </w:rPr>
        <w:t xml:space="preserve">7.  Review and Approval</w:t>
      </w:r>
    </w:p>
    <w:p>
      <w:pPr>
        <w:pBdr>
          <w:bottom w:val="single" w:color="2E4D8A" w:sz="6" w:space="1"/>
        </w:pBdr>
        <w:spacing w:after="160" w:before="0"/>
      </w:pPr>
    </w:p>
    <w:p>
      <w:pPr>
        <w:pStyle w:val="Heading2"/>
        <w:spacing w:after="100" w:before="240"/>
      </w:pPr>
      <w:r>
        <w:rPr>
          <w:rFonts w:ascii="Arial" w:cs="Arial" w:eastAsia="Arial" w:hAnsi="Arial"/>
          <w:b/>
          <w:bCs/>
          <w:color w:val="2E4D8A"/>
          <w:sz w:val="24"/>
          <w:szCs w:val="24"/>
        </w:rPr>
        <w:t xml:space="preserve">7.1  Two-Tier Review Standard</w:t>
      </w:r>
    </w:p>
    <w:p>
      <w:pPr>
        <w:spacing w:after="140" w:before="0"/>
      </w:pPr>
      <w:r>
        <w:rPr>
          <w:rFonts w:ascii="Arial" w:cs="Arial" w:eastAsia="Arial" w:hAnsi="Arial"/>
          <w:color w:val="1A1A1A"/>
          <w:sz w:val="22"/>
          <w:szCs w:val="22"/>
        </w:rPr>
        <w:t xml:space="preserve">All Model Cards produced under this Policy are subject to a minimum two-tier review before publication:</w:t>
      </w:r>
    </w:p>
    <w:p>
      <w:pPr>
        <w:pStyle w:val="ListParagraph"/>
        <w:numPr>
          <w:ilvl w:val="0"/>
          <w:numId w:val="2"/>
        </w:numPr>
        <w:spacing w:after="100" w:before="0"/>
      </w:pPr>
      <w:r>
        <w:rPr>
          <w:rFonts w:ascii="Arial" w:cs="Arial" w:eastAsia="Arial" w:hAnsi="Arial"/>
          <w:color w:val="1A1A1A"/>
          <w:sz w:val="22"/>
          <w:szCs w:val="22"/>
        </w:rPr>
        <w:t xml:space="preserve">Tier A — Technical Accuracy Review: Conducted by the designated Subject Matter Expert (SME) named in the Intake Form. The SME verifies that all field content accurately represents the model's behaviour, data inputs, methodology, and limitations. The SME sign-off constitutes confirmation of technical accuracy and completeness.</w:t>
      </w:r>
    </w:p>
    <w:p>
      <w:pPr>
        <w:pStyle w:val="ListParagraph"/>
        <w:numPr>
          <w:ilvl w:val="0"/>
          <w:numId w:val="2"/>
        </w:numPr>
        <w:spacing w:after="100" w:before="0"/>
      </w:pPr>
      <w:r>
        <w:rPr>
          <w:rFonts w:ascii="Arial" w:cs="Arial" w:eastAsia="Arial" w:hAnsi="Arial"/>
          <w:color w:val="1A1A1A"/>
          <w:sz w:val="22"/>
          <w:szCs w:val="22"/>
        </w:rPr>
        <w:t xml:space="preserve">Tier B — Documentation Quality Review: Conducted by the Technical Documentation Function lead. This review confirms that the Model Card satisfies the structural and completeness requirements of this Policy and that the AI-Assisted Drafting Disclosure field has been completed.</w:t>
      </w:r>
    </w:p>
    <w:p>
      <w:pPr>
        <w:spacing w:after="80" w:before="0"/>
      </w:pPr>
      <w:r>
        <w:t xml:space="preserve"/>
      </w:r>
    </w:p>
    <w:p>
      <w:pPr>
        <w:pStyle w:val="Heading2"/>
        <w:spacing w:after="100" w:before="240"/>
      </w:pPr>
      <w:r>
        <w:rPr>
          <w:rFonts w:ascii="Arial" w:cs="Arial" w:eastAsia="Arial" w:hAnsi="Arial"/>
          <w:b/>
          <w:bCs/>
          <w:color w:val="2E4D8A"/>
          <w:sz w:val="24"/>
          <w:szCs w:val="24"/>
        </w:rPr>
        <w:t xml:space="preserve">7.2  Additional Sign-Off for Tier 1 Models</w:t>
      </w:r>
    </w:p>
    <w:p>
      <w:pPr>
        <w:spacing w:after="140" w:before="0"/>
      </w:pPr>
      <w:r>
        <w:rPr>
          <w:rFonts w:ascii="Arial" w:cs="Arial" w:eastAsia="Arial" w:hAnsi="Arial"/>
          <w:color w:val="1A1A1A"/>
          <w:sz w:val="22"/>
          <w:szCs w:val="22"/>
        </w:rPr>
        <w:t xml:space="preserve">For Tier 1 (High Risk) models, a dual sign-off is required in addition to the two-tier review described in Section 7.1. Dual sign-off must be obtained from:</w:t>
      </w:r>
    </w:p>
    <w:p>
      <w:pPr>
        <w:pStyle w:val="ListParagraph"/>
        <w:numPr>
          <w:ilvl w:val="0"/>
          <w:numId w:val="2"/>
        </w:numPr>
        <w:spacing w:after="100" w:before="0"/>
      </w:pPr>
      <w:r>
        <w:rPr>
          <w:rFonts w:ascii="Arial" w:cs="Arial" w:eastAsia="Arial" w:hAnsi="Arial"/>
          <w:color w:val="1A1A1A"/>
          <w:sz w:val="22"/>
          <w:szCs w:val="22"/>
        </w:rPr>
        <w:t xml:space="preserve">The Model Owner, confirming the accuracy of all field content.</w:t>
      </w:r>
    </w:p>
    <w:p>
      <w:pPr>
        <w:pStyle w:val="ListParagraph"/>
        <w:numPr>
          <w:ilvl w:val="0"/>
          <w:numId w:val="2"/>
        </w:numPr>
        <w:spacing w:after="100" w:before="0"/>
      </w:pPr>
      <w:r>
        <w:rPr>
          <w:rFonts w:ascii="Arial" w:cs="Arial" w:eastAsia="Arial" w:hAnsi="Arial"/>
          <w:color w:val="1A1A1A"/>
          <w:sz w:val="22"/>
          <w:szCs w:val="22"/>
        </w:rPr>
        <w:t xml:space="preserve">[MODEL RISK FUNCTION PLACEHOLDER], confirming that the documentation satisfies the Organization's model risk management obligations for production-eligible models with trading floor surface area.</w:t>
      </w:r>
    </w:p>
    <w:p>
      <w:pPr>
        <w:spacing w:after="80" w:before="0"/>
      </w:pPr>
      <w:r>
        <w:t xml:space="preserve"/>
      </w:r>
    </w:p>
    <w:p>
      <w:pPr>
        <w:spacing w:after="140" w:before="0"/>
      </w:pPr>
      <w:r>
        <w:rPr>
          <w:rFonts w:ascii="Arial" w:cs="Arial" w:eastAsia="Arial" w:hAnsi="Arial"/>
          <w:color w:val="1A1A1A"/>
          <w:sz w:val="22"/>
          <w:szCs w:val="22"/>
        </w:rPr>
        <w:t xml:space="preserve">Dual sign-off must be documented in writing (email confirmation is acceptable) and retained as an audit artifact in accordance with Section 9.</w:t>
      </w:r>
    </w:p>
    <w:p>
      <w:pPr>
        <w:spacing w:after="80" w:before="0"/>
      </w:pPr>
      <w:r>
        <w:t xml:space="preserve"/>
      </w:r>
    </w:p>
    <w:p>
      <w:pPr>
        <w:pStyle w:val="Heading2"/>
        <w:spacing w:after="100" w:before="240"/>
      </w:pPr>
      <w:r>
        <w:rPr>
          <w:rFonts w:ascii="Arial" w:cs="Arial" w:eastAsia="Arial" w:hAnsi="Arial"/>
          <w:b/>
          <w:bCs/>
          <w:color w:val="2E4D8A"/>
          <w:sz w:val="24"/>
          <w:szCs w:val="24"/>
        </w:rPr>
        <w:t xml:space="preserve">7.3  Accountability</w:t>
      </w:r>
    </w:p>
    <w:p>
      <w:pPr>
        <w:spacing w:after="140" w:before="0"/>
      </w:pPr>
      <w:r>
        <w:rPr>
          <w:rFonts w:ascii="Arial" w:cs="Arial" w:eastAsia="Arial" w:hAnsi="Arial"/>
          <w:color w:val="1A1A1A"/>
          <w:sz w:val="22"/>
          <w:szCs w:val="22"/>
        </w:rPr>
        <w:t xml:space="preserve">The Model Owner is accountable for the accuracy of all content in the Model Card, regardless of whether the documentation was drafted by the Technical Documentation Function. This accountability is non-delegable. The writer who used AI tools in producing any section of the Model Card is responsible for verifying the accuracy of that section against source material.</w:t>
      </w:r>
    </w:p>
    <w:p>
      <w:pPr>
        <w:spacing w:after="160" w:before="0"/>
      </w:pPr>
      <w:r>
        <w:t xml:space="preserve"/>
      </w:r>
    </w:p>
    <w:p>
      <w:pPr>
        <w:pStyle w:val="Heading1"/>
        <w:spacing w:after="120" w:before="320"/>
      </w:pPr>
      <w:r>
        <w:rPr>
          <w:rFonts w:ascii="Arial" w:cs="Arial" w:eastAsia="Arial" w:hAnsi="Arial"/>
          <w:b/>
          <w:bCs/>
          <w:color w:val="1B2A4A"/>
          <w:sz w:val="28"/>
          <w:szCs w:val="28"/>
        </w:rPr>
        <w:t xml:space="preserve">8.  Storage and Version Control</w:t>
      </w:r>
    </w:p>
    <w:p>
      <w:pPr>
        <w:pBdr>
          <w:bottom w:val="single" w:color="2E4D8A" w:sz="6" w:space="1"/>
        </w:pBdr>
        <w:spacing w:after="160" w:before="0"/>
      </w:pPr>
    </w:p>
    <w:p>
      <w:pPr>
        <w:pStyle w:val="Heading2"/>
        <w:spacing w:after="100" w:before="240"/>
      </w:pPr>
      <w:r>
        <w:rPr>
          <w:rFonts w:ascii="Arial" w:cs="Arial" w:eastAsia="Arial" w:hAnsi="Arial"/>
          <w:b/>
          <w:bCs/>
          <w:color w:val="2E4D8A"/>
          <w:sz w:val="24"/>
          <w:szCs w:val="24"/>
        </w:rPr>
        <w:t xml:space="preserve">8.1  Authoritative Storage Location</w:t>
      </w:r>
    </w:p>
    <w:p>
      <w:pPr>
        <w:spacing w:after="140" w:before="0"/>
      </w:pPr>
      <w:r>
        <w:rPr>
          <w:rFonts w:ascii="Arial" w:cs="Arial" w:eastAsia="Arial" w:hAnsi="Arial"/>
          <w:color w:val="1A1A1A"/>
          <w:sz w:val="22"/>
          <w:szCs w:val="22"/>
        </w:rPr>
        <w:t xml:space="preserve">All Model Cards produced under this Policy shall be stored in Confluence in the designated model documentation space at </w:t>
      </w:r>
      <w:r>
        <w:rPr>
          <w:rFonts w:ascii="Arial" w:cs="Arial" w:eastAsia="Arial" w:hAnsi="Arial"/>
          <w:color w:val="1A1A1A"/>
          <w:sz w:val="22"/>
          <w:szCs w:val="22"/>
        </w:rPr>
      </w:r>
      <w:r>
        <w:rPr>
          <w:rFonts w:ascii="Arial" w:cs="Arial" w:eastAsia="Arial" w:hAnsi="Arial"/>
          <w:color w:val="1A1A1A"/>
          <w:sz w:val="22"/>
          <w:szCs w:val="22"/>
        </w:rPr>
        <w:t xml:space="preserve">. This location constitutes the authoritative record. Model documentation stored solely in email, local drives, or other non-designated systems does not satisfy the requirements of this Policy.</w:t>
      </w:r>
    </w:p>
    <w:p>
      <w:pPr>
        <w:spacing w:after="80" w:before="0"/>
      </w:pPr>
      <w:r>
        <w:t xml:space="preserve"/>
      </w:r>
    </w:p>
    <w:p>
      <w:pPr>
        <w:pStyle w:val="Heading2"/>
        <w:spacing w:after="100" w:before="240"/>
      </w:pPr>
      <w:r>
        <w:rPr>
          <w:rFonts w:ascii="Arial" w:cs="Arial" w:eastAsia="Arial" w:hAnsi="Arial"/>
          <w:b/>
          <w:bCs/>
          <w:color w:val="2E4D8A"/>
          <w:sz w:val="24"/>
          <w:szCs w:val="24"/>
        </w:rPr>
        <w:t xml:space="preserve">8.2  Version Control</w:t>
      </w:r>
    </w:p>
    <w:p>
      <w:pPr>
        <w:spacing w:after="140" w:before="0"/>
      </w:pPr>
      <w:r>
        <w:rPr>
          <w:rFonts w:ascii="Arial" w:cs="Arial" w:eastAsia="Arial" w:hAnsi="Arial"/>
          <w:color w:val="1A1A1A"/>
          <w:sz w:val="22"/>
          <w:szCs w:val="22"/>
        </w:rPr>
        <w:t xml:space="preserve">All Model Cards shall be subject to version control. Each version shall record the version number, the date of publication, the name of the author, and a summary of changes from the prior version. Prior versions shall be retained and accessible. The current version shall be clearly identified.</w:t>
      </w:r>
    </w:p>
    <w:p>
      <w:pPr>
        <w:spacing w:after="80" w:before="0"/>
      </w:pPr>
      <w:r>
        <w:t xml:space="preserve"/>
      </w:r>
    </w:p>
    <w:p>
      <w:pPr>
        <w:pStyle w:val="Heading2"/>
        <w:spacing w:after="100" w:before="240"/>
      </w:pPr>
      <w:r>
        <w:rPr>
          <w:rFonts w:ascii="Arial" w:cs="Arial" w:eastAsia="Arial" w:hAnsi="Arial"/>
          <w:b/>
          <w:bCs/>
          <w:color w:val="2E4D8A"/>
          <w:sz w:val="24"/>
          <w:szCs w:val="24"/>
        </w:rPr>
        <w:t xml:space="preserve">8.3  Accessibility</w:t>
      </w:r>
    </w:p>
    <w:p>
      <w:pPr>
        <w:spacing w:after="140" w:before="0"/>
      </w:pPr>
      <w:r>
        <w:rPr>
          <w:rFonts w:ascii="Arial" w:cs="Arial" w:eastAsia="Arial" w:hAnsi="Arial"/>
          <w:color w:val="1A1A1A"/>
          <w:sz w:val="22"/>
          <w:szCs w:val="22"/>
        </w:rPr>
        <w:t xml:space="preserve">Model Cards shall be accessible to [MODEL RISK FUNCTION PLACEHOLDER] and the Compliance function upon request, without requiring the involvement of the Technical Documentation Function as an intermediary. The Technical Documentation Function shall ensure that access permissions for the designated Confluence space are consistent with this requirement.</w:t>
      </w:r>
    </w:p>
    <w:p>
      <w:pPr>
        <w:spacing w:after="160" w:before="0"/>
      </w:pPr>
      <w:r>
        <w:t xml:space="preserve"/>
      </w:r>
    </w:p>
    <w:p>
      <w:pPr>
        <w:pStyle w:val="Heading1"/>
        <w:spacing w:after="120" w:before="320"/>
      </w:pPr>
      <w:r>
        <w:rPr>
          <w:rFonts w:ascii="Arial" w:cs="Arial" w:eastAsia="Arial" w:hAnsi="Arial"/>
          <w:b/>
          <w:bCs/>
          <w:color w:val="1B2A4A"/>
          <w:sz w:val="28"/>
          <w:szCs w:val="28"/>
        </w:rPr>
        <w:t xml:space="preserve">9.  Audit Trail Requirements</w:t>
      </w:r>
    </w:p>
    <w:p>
      <w:pPr>
        <w:pBdr>
          <w:bottom w:val="single" w:color="2E4D8A" w:sz="6" w:space="1"/>
        </w:pBdr>
        <w:spacing w:after="160" w:before="0"/>
      </w:pPr>
    </w:p>
    <w:p>
      <w:pPr>
        <w:spacing w:after="140" w:before="0"/>
      </w:pPr>
      <w:r>
        <w:rPr>
          <w:rFonts w:ascii="Arial" w:cs="Arial" w:eastAsia="Arial" w:hAnsi="Arial"/>
          <w:color w:val="1A1A1A"/>
          <w:sz w:val="22"/>
          <w:szCs w:val="22"/>
        </w:rPr>
        <w:t xml:space="preserve">The following artifacts constitute the audit trail for this Policy. All artifacts must be retained for the periods specified. Retention obligations are subject to the Organization's records management policy and any applicable regulatory requirements as enforced by the Compliance function.</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r>
              <w:rPr>
                <w:rFonts w:ascii="Arial" w:cs="Arial" w:eastAsia="Arial" w:hAnsi="Arial"/>
                <w:b/>
                <w:bCs/>
                <w:color w:val="1B2A4A"/>
                <w:sz w:val="20"/>
                <w:szCs w:val="20"/>
              </w:rPr>
              <w:t xml:space="preserve">Artifact</w:t>
            </w:r>
          </w:p>
        </w:tc>
        <w:tc>
          <w:tcPr>
            <w:tcW w:type="dxa" w:w="416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r>
              <w:rPr>
                <w:rFonts w:ascii="Arial" w:cs="Arial" w:eastAsia="Arial" w:hAnsi="Arial"/>
                <w:b/>
                <w:bCs/>
                <w:color w:val="1B2A4A"/>
                <w:sz w:val="20"/>
                <w:szCs w:val="20"/>
              </w:rPr>
              <w:t xml:space="preserve">Description</w:t>
            </w:r>
          </w:p>
        </w:tc>
        <w:tc>
          <w:tcPr>
            <w:tcW w:type="dxa" w:w="28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r>
              <w:rPr>
                <w:rFonts w:ascii="Arial" w:cs="Arial" w:eastAsia="Arial" w:hAnsi="Arial"/>
                <w:b/>
                <w:bCs/>
                <w:color w:val="1B2A4A"/>
                <w:sz w:val="20"/>
                <w:szCs w:val="20"/>
              </w:rPr>
              <w:t xml:space="preserve">Retention</w:t>
            </w:r>
          </w:p>
        </w:tc>
      </w:tr>
      <w:tr>
        <w:tc>
          <w:tcPr>
            <w:tcW w:type="dxa" w:w="24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Completed Intake Form</w:t>
            </w:r>
          </w:p>
        </w:tc>
        <w:tc>
          <w:tcPr>
            <w:tcW w:type="dxa" w:w="416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Signed record of all mandatory fields provided by the Model Owner prior to documentation commencement.</w:t>
            </w:r>
          </w:p>
        </w:tc>
        <w:tc>
          <w:tcPr>
            <w:tcW w:type="dxa" w:w="28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Minimum 3 years from date of completion, or as required by applicable regulatory obligations.</w:t>
            </w:r>
          </w:p>
        </w:tc>
      </w:tr>
      <w:tr>
        <w:tc>
          <w:tcPr>
            <w:tcW w:type="dxa" w:w="24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Model Card (all versions)</w:t>
            </w:r>
          </w:p>
        </w:tc>
        <w:tc>
          <w:tcPr>
            <w:tcW w:type="dxa" w:w="416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Versioned documentation record for each model, stored in Confluence. Prior versions must be retained and accessible.</w:t>
            </w:r>
          </w:p>
        </w:tc>
        <w:tc>
          <w:tcPr>
            <w:tcW w:type="dxa" w:w="28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Duration of model's production life plus 5 years, or as required by applicable regulatory obligations.</w:t>
            </w:r>
          </w:p>
        </w:tc>
      </w:tr>
      <w:tr>
        <w:tc>
          <w:tcPr>
            <w:tcW w:type="dxa" w:w="24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Approval Sign-Off Record</w:t>
            </w:r>
          </w:p>
        </w:tc>
        <w:tc>
          <w:tcPr>
            <w:tcW w:type="dxa" w:w="416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Email confirmation or equivalent written record from all required approvers. For Tier 1 models, dual sign-off records must be retained.</w:t>
            </w:r>
          </w:p>
        </w:tc>
        <w:tc>
          <w:tcPr>
            <w:tcW w:type="dxa" w:w="28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Minimum 5 years from date of approval.</w:t>
            </w:r>
          </w:p>
        </w:tc>
      </w:tr>
      <w:tr>
        <w:tc>
          <w:tcPr>
            <w:tcW w:type="dxa" w:w="24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AI-Assisted Drafting Disclosure</w:t>
            </w:r>
          </w:p>
        </w:tc>
        <w:tc>
          <w:tcPr>
            <w:tcW w:type="dxa" w:w="416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Where generative AI tools were used in producing a Model Card, a record of which tool was used and which sections were AI-assisted.</w:t>
            </w:r>
          </w:p>
        </w:tc>
        <w:tc>
          <w:tcPr>
            <w:tcW w:type="dxa" w:w="28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Co-terminus with the associated Model Card version.</w:t>
            </w:r>
          </w:p>
        </w:tc>
      </w:tr>
      <w:tr>
        <w:tc>
          <w:tcPr>
            <w:tcW w:type="dxa" w:w="24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Model Documentation Register</w:t>
            </w:r>
          </w:p>
        </w:tc>
        <w:tc>
          <w:tcPr>
            <w:tcW w:type="dxa" w:w="416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The centralized inventory of all production models, their risk tier, documentation status, and review dates. Maintained by the Technical Documentation Function.</w:t>
            </w:r>
          </w:p>
        </w:tc>
        <w:tc>
          <w:tcPr>
            <w:tcW w:type="dxa" w:w="28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Continuously maintained. Point-in-time snapshots archived quarterly.</w:t>
            </w:r>
          </w:p>
        </w:tc>
      </w:tr>
      <w:tr>
        <w:tc>
          <w:tcPr>
            <w:tcW w:type="dxa" w:w="24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Policy Acknowledgment Records</w:t>
            </w:r>
          </w:p>
        </w:tc>
        <w:tc>
          <w:tcPr>
            <w:tcW w:type="dxa" w:w="416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Written confirmation from all personnel within scope that they have received and understood this Policy.</w:t>
            </w:r>
          </w:p>
        </w:tc>
        <w:tc>
          <w:tcPr>
            <w:tcW w:type="dxa" w:w="28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Duration of individual's tenure plus 2 years.</w:t>
            </w:r>
          </w:p>
        </w:tc>
      </w:tr>
      <w:tr>
        <w:tc>
          <w:tcPr>
            <w:tcW w:type="dxa" w:w="24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Quarterly Coverage Report</w:t>
            </w:r>
          </w:p>
        </w:tc>
        <w:tc>
          <w:tcPr>
            <w:tcW w:type="dxa" w:w="416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Summary of documentation coverage metrics reported to [MODEL RISK FUNCTION PLACEHOLDER] and relevant leadership.</w:t>
            </w:r>
          </w:p>
        </w:tc>
        <w:tc>
          <w:tcPr>
            <w:tcW w:type="dxa" w:w="28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Minimum 3 years.</w:t>
            </w:r>
          </w:p>
        </w:tc>
      </w:tr>
    </w:tbl>
    <w:p>
      <w:pPr>
        <w:spacing w:after="160" w:before="0"/>
      </w:pPr>
      <w:r>
        <w:t xml:space="preserve"/>
      </w:r>
    </w:p>
    <w:p>
      <w:pPr>
        <w:pStyle w:val="Heading1"/>
        <w:spacing w:after="120" w:before="320"/>
      </w:pPr>
      <w:r>
        <w:rPr>
          <w:rFonts w:ascii="Arial" w:cs="Arial" w:eastAsia="Arial" w:hAnsi="Arial"/>
          <w:b/>
          <w:bCs/>
          <w:color w:val="1B2A4A"/>
          <w:sz w:val="28"/>
          <w:szCs w:val="28"/>
        </w:rPr>
        <w:t xml:space="preserve">10.  Model Documentation Register</w:t>
      </w:r>
    </w:p>
    <w:p>
      <w:pPr>
        <w:pBdr>
          <w:bottom w:val="single" w:color="2E4D8A" w:sz="6" w:space="1"/>
        </w:pBdr>
        <w:spacing w:after="160" w:before="0"/>
      </w:pPr>
    </w:p>
    <w:p>
      <w:pPr>
        <w:spacing w:after="140" w:before="0"/>
      </w:pPr>
      <w:r>
        <w:rPr>
          <w:rFonts w:ascii="Arial" w:cs="Arial" w:eastAsia="Arial" w:hAnsi="Arial"/>
          <w:color w:val="1A1A1A"/>
          <w:sz w:val="22"/>
          <w:szCs w:val="22"/>
        </w:rPr>
        <w:t xml:space="preserve">The Technical Documentation Function shall maintain a centralized Model Documentation Register. The Register shall record, for each production model:</w:t>
      </w:r>
    </w:p>
    <w:p>
      <w:pPr>
        <w:pStyle w:val="ListParagraph"/>
        <w:numPr>
          <w:ilvl w:val="0"/>
          <w:numId w:val="2"/>
        </w:numPr>
        <w:spacing w:after="100" w:before="0"/>
      </w:pPr>
      <w:r>
        <w:rPr>
          <w:rFonts w:ascii="Arial" w:cs="Arial" w:eastAsia="Arial" w:hAnsi="Arial"/>
          <w:color w:val="1A1A1A"/>
          <w:sz w:val="22"/>
          <w:szCs w:val="22"/>
        </w:rPr>
        <w:t xml:space="preserve">Model name and version.</w:t>
      </w:r>
    </w:p>
    <w:p>
      <w:pPr>
        <w:pStyle w:val="ListParagraph"/>
        <w:numPr>
          <w:ilvl w:val="0"/>
          <w:numId w:val="2"/>
        </w:numPr>
        <w:spacing w:after="100" w:before="0"/>
      </w:pPr>
      <w:r>
        <w:rPr>
          <w:rFonts w:ascii="Arial" w:cs="Arial" w:eastAsia="Arial" w:hAnsi="Arial"/>
          <w:color w:val="1A1A1A"/>
          <w:sz w:val="22"/>
          <w:szCs w:val="22"/>
        </w:rPr>
        <w:t xml:space="preserve">Risk classification tier.</w:t>
      </w:r>
    </w:p>
    <w:p>
      <w:pPr>
        <w:pStyle w:val="ListParagraph"/>
        <w:numPr>
          <w:ilvl w:val="0"/>
          <w:numId w:val="2"/>
        </w:numPr>
        <w:spacing w:after="100" w:before="0"/>
      </w:pPr>
      <w:r>
        <w:rPr>
          <w:rFonts w:ascii="Arial" w:cs="Arial" w:eastAsia="Arial" w:hAnsi="Arial"/>
          <w:color w:val="1A1A1A"/>
          <w:sz w:val="22"/>
          <w:szCs w:val="22"/>
        </w:rPr>
        <w:t xml:space="preserve">Intake Form completion date.</w:t>
      </w:r>
    </w:p>
    <w:p>
      <w:pPr>
        <w:pStyle w:val="ListParagraph"/>
        <w:numPr>
          <w:ilvl w:val="0"/>
          <w:numId w:val="2"/>
        </w:numPr>
        <w:spacing w:after="100" w:before="0"/>
      </w:pPr>
      <w:r>
        <w:rPr>
          <w:rFonts w:ascii="Arial" w:cs="Arial" w:eastAsia="Arial" w:hAnsi="Arial"/>
          <w:color w:val="1A1A1A"/>
          <w:sz w:val="22"/>
          <w:szCs w:val="22"/>
        </w:rPr>
        <w:t xml:space="preserve">Model Card version and publication date.</w:t>
      </w:r>
    </w:p>
    <w:p>
      <w:pPr>
        <w:pStyle w:val="ListParagraph"/>
        <w:numPr>
          <w:ilvl w:val="0"/>
          <w:numId w:val="2"/>
        </w:numPr>
        <w:spacing w:after="100" w:before="0"/>
      </w:pPr>
      <w:r>
        <w:rPr>
          <w:rFonts w:ascii="Arial" w:cs="Arial" w:eastAsia="Arial" w:hAnsi="Arial"/>
          <w:color w:val="1A1A1A"/>
          <w:sz w:val="22"/>
          <w:szCs w:val="22"/>
        </w:rPr>
        <w:t xml:space="preserve">SME reviewer name and sign-off date.</w:t>
      </w:r>
    </w:p>
    <w:p>
      <w:pPr>
        <w:pStyle w:val="ListParagraph"/>
        <w:numPr>
          <w:ilvl w:val="0"/>
          <w:numId w:val="2"/>
        </w:numPr>
        <w:spacing w:after="100" w:before="0"/>
      </w:pPr>
      <w:r>
        <w:rPr>
          <w:rFonts w:ascii="Arial" w:cs="Arial" w:eastAsia="Arial" w:hAnsi="Arial"/>
          <w:color w:val="1A1A1A"/>
          <w:sz w:val="22"/>
          <w:szCs w:val="22"/>
        </w:rPr>
        <w:t xml:space="preserve">[MODEL RISK FUNCTION PLACEHOLDER] sign-off date (Tier 1 models only).</w:t>
      </w:r>
    </w:p>
    <w:p>
      <w:pPr>
        <w:pStyle w:val="ListParagraph"/>
        <w:numPr>
          <w:ilvl w:val="0"/>
          <w:numId w:val="2"/>
        </w:numPr>
        <w:spacing w:after="100" w:before="0"/>
      </w:pPr>
      <w:r>
        <w:rPr>
          <w:rFonts w:ascii="Arial" w:cs="Arial" w:eastAsia="Arial" w:hAnsi="Arial"/>
          <w:color w:val="1A1A1A"/>
          <w:sz w:val="22"/>
          <w:szCs w:val="22"/>
        </w:rPr>
        <w:t xml:space="preserve">Scheduled next review date.</w:t>
      </w:r>
    </w:p>
    <w:p>
      <w:pPr>
        <w:pStyle w:val="ListParagraph"/>
        <w:numPr>
          <w:ilvl w:val="0"/>
          <w:numId w:val="2"/>
        </w:numPr>
        <w:spacing w:after="100" w:before="0"/>
      </w:pPr>
      <w:r>
        <w:rPr>
          <w:rFonts w:ascii="Arial" w:cs="Arial" w:eastAsia="Arial" w:hAnsi="Arial"/>
          <w:color w:val="1A1A1A"/>
          <w:sz w:val="22"/>
          <w:szCs w:val="22"/>
        </w:rPr>
        <w:t xml:space="preserve">Documentation status: Complete, In Progress, or Overdue.</w:t>
      </w:r>
    </w:p>
    <w:p>
      <w:pPr>
        <w:spacing w:after="80" w:before="0"/>
      </w:pPr>
      <w:r>
        <w:t xml:space="preserve"/>
      </w:r>
    </w:p>
    <w:p>
      <w:pPr>
        <w:spacing w:after="140" w:before="0"/>
      </w:pPr>
      <w:r>
        <w:rPr>
          <w:rFonts w:ascii="Arial" w:cs="Arial" w:eastAsia="Arial" w:hAnsi="Arial"/>
          <w:color w:val="1A1A1A"/>
          <w:sz w:val="22"/>
          <w:szCs w:val="22"/>
        </w:rPr>
        <w:t xml:space="preserve">The Register is maintained in Confluence at </w:t>
      </w:r>
      <w:r>
        <w:rPr>
          <w:rFonts w:ascii="Arial" w:cs="Arial" w:eastAsia="Arial" w:hAnsi="Arial"/>
          <w:color w:val="1A1A1A"/>
          <w:sz w:val="22"/>
          <w:szCs w:val="22"/>
        </w:rPr>
      </w:r>
      <w:r>
        <w:rPr>
          <w:rFonts w:ascii="Arial" w:cs="Arial" w:eastAsia="Arial" w:hAnsi="Arial"/>
          <w:color w:val="1A1A1A"/>
          <w:sz w:val="22"/>
          <w:szCs w:val="22"/>
        </w:rPr>
        <w:t xml:space="preserve">. It shall be reviewed and updated monthly by the Technical Documentation Function lead. A point-in-time snapshot of the Register shall be archived quarterly.</w:t>
      </w:r>
    </w:p>
    <w:p>
      <w:pPr>
        <w:spacing w:after="160" w:before="0"/>
      </w:pPr>
      <w:r>
        <w:t xml:space="preserve"/>
      </w:r>
    </w:p>
    <w:p>
      <w:pPr>
        <w:pStyle w:val="Heading1"/>
        <w:spacing w:after="120" w:before="320"/>
      </w:pPr>
      <w:r>
        <w:rPr>
          <w:rFonts w:ascii="Arial" w:cs="Arial" w:eastAsia="Arial" w:hAnsi="Arial"/>
          <w:b/>
          <w:bCs/>
          <w:color w:val="1B2A4A"/>
          <w:sz w:val="28"/>
          <w:szCs w:val="28"/>
        </w:rPr>
        <w:t xml:space="preserve">11.  Measurable Outcomes and Reporting</w:t>
      </w:r>
    </w:p>
    <w:p>
      <w:pPr>
        <w:pBdr>
          <w:bottom w:val="single" w:color="2E4D8A" w:sz="6" w:space="1"/>
        </w:pBdr>
        <w:spacing w:after="160" w:before="0"/>
      </w:pPr>
    </w:p>
    <w:p>
      <w:pPr>
        <w:spacing w:after="140" w:before="0"/>
      </w:pPr>
      <w:r>
        <w:rPr>
          <w:rFonts w:ascii="Arial" w:cs="Arial" w:eastAsia="Arial" w:hAnsi="Arial"/>
          <w:color w:val="1A1A1A"/>
          <w:sz w:val="22"/>
          <w:szCs w:val="22"/>
        </w:rPr>
        <w:t xml:space="preserve">The effectiveness of this Policy shall be assessed against the following measurable outcomes. Results shall be reported to [MODEL RISK FUNCTION PLACEHOLDER] and relevant technology leadership on the cadence specified.</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c>
          <w:tcPr>
            <w:tcW w:type="dxa" w:w="24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r>
              <w:rPr>
                <w:rFonts w:ascii="Arial" w:cs="Arial" w:eastAsia="Arial" w:hAnsi="Arial"/>
                <w:b/>
                <w:bCs/>
                <w:color w:val="1B2A4A"/>
                <w:sz w:val="20"/>
                <w:szCs w:val="20"/>
              </w:rPr>
              <w:t xml:space="preserve">Metric</w:t>
            </w:r>
          </w:p>
        </w:tc>
        <w:tc>
          <w:tcPr>
            <w:tcW w:type="dxa" w:w="28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r>
              <w:rPr>
                <w:rFonts w:ascii="Arial" w:cs="Arial" w:eastAsia="Arial" w:hAnsi="Arial"/>
                <w:b/>
                <w:bCs/>
                <w:color w:val="1B2A4A"/>
                <w:sz w:val="20"/>
                <w:szCs w:val="20"/>
              </w:rPr>
              <w:t xml:space="preserve">Definition</w:t>
            </w:r>
          </w:p>
        </w:tc>
        <w:tc>
          <w:tcPr>
            <w:tcW w:type="dxa" w:w="20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r>
              <w:rPr>
                <w:rFonts w:ascii="Arial" w:cs="Arial" w:eastAsia="Arial" w:hAnsi="Arial"/>
                <w:b/>
                <w:bCs/>
                <w:color w:val="1B2A4A"/>
                <w:sz w:val="20"/>
                <w:szCs w:val="20"/>
              </w:rPr>
              <w:t xml:space="preserve">Target</w:t>
            </w:r>
          </w:p>
        </w:tc>
        <w:tc>
          <w:tcPr>
            <w:tcW w:type="dxa" w:w="216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r>
              <w:rPr>
                <w:rFonts w:ascii="Arial" w:cs="Arial" w:eastAsia="Arial" w:hAnsi="Arial"/>
                <w:b/>
                <w:bCs/>
                <w:color w:val="1B2A4A"/>
                <w:sz w:val="20"/>
                <w:szCs w:val="20"/>
              </w:rPr>
              <w:t xml:space="preserve">Reporting Cadence</w:t>
            </w:r>
          </w:p>
        </w:tc>
      </w:tr>
      <w:tr>
        <w:tc>
          <w:tcPr>
            <w:tcW w:type="dxa" w:w="24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Documentation Coverage Rate</w:t>
            </w:r>
          </w:p>
        </w:tc>
        <w:tc>
          <w:tcPr>
            <w:tcW w:type="dxa" w:w="28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Percentage of production models with a Model Card meeting the minimum standard for their risk tier.</w:t>
            </w:r>
          </w:p>
        </w:tc>
        <w:tc>
          <w:tcPr>
            <w:tcW w:type="dxa" w:w="20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100% of Tier 1 models; 80% of Tier 2 models within 6 months of policy effective date.</w:t>
            </w:r>
          </w:p>
        </w:tc>
        <w:tc>
          <w:tcPr>
            <w:tcW w:type="dxa" w:w="216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Quarterly</w:t>
            </w:r>
          </w:p>
        </w:tc>
      </w:tr>
      <w:tr>
        <w:tc>
          <w:tcPr>
            <w:tcW w:type="dxa" w:w="24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Intake Compliance Rate</w:t>
            </w:r>
          </w:p>
        </w:tc>
        <w:tc>
          <w:tcPr>
            <w:tcW w:type="dxa" w:w="28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Percentage of new models entering the documentation workflow with a completed and signed Intake Form.</w:t>
            </w:r>
          </w:p>
        </w:tc>
        <w:tc>
          <w:tcPr>
            <w:tcW w:type="dxa" w:w="20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100% from policy effective date.</w:t>
            </w:r>
          </w:p>
        </w:tc>
        <w:tc>
          <w:tcPr>
            <w:tcW w:type="dxa" w:w="216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Monthly</w:t>
            </w:r>
          </w:p>
        </w:tc>
      </w:tr>
      <w:tr>
        <w:tc>
          <w:tcPr>
            <w:tcW w:type="dxa" w:w="24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Review Cycle Adherence</w:t>
            </w:r>
          </w:p>
        </w:tc>
        <w:tc>
          <w:tcPr>
            <w:tcW w:type="dxa" w:w="28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Percentage of Model Cards with an overdue review date (i.e. review date passed without a completed review).</w:t>
            </w:r>
          </w:p>
        </w:tc>
        <w:tc>
          <w:tcPr>
            <w:tcW w:type="dxa" w:w="20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0% overdue at time of quarterly report.</w:t>
            </w:r>
          </w:p>
        </w:tc>
        <w:tc>
          <w:tcPr>
            <w:tcW w:type="dxa" w:w="216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Quarterly</w:t>
            </w:r>
          </w:p>
        </w:tc>
      </w:tr>
      <w:tr>
        <w:tc>
          <w:tcPr>
            <w:tcW w:type="dxa" w:w="24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Time to Documentation Completion</w:t>
            </w:r>
          </w:p>
        </w:tc>
        <w:tc>
          <w:tcPr>
            <w:tcW w:type="dxa" w:w="28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Elapsed time from completed Intake Form to published Model Card, by risk tier.</w:t>
            </w:r>
          </w:p>
        </w:tc>
        <w:tc>
          <w:tcPr>
            <w:tcW w:type="dxa" w:w="20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Baseline established in first quarter; improvement target set in subsequent reviews.</w:t>
            </w:r>
          </w:p>
        </w:tc>
        <w:tc>
          <w:tcPr>
            <w:tcW w:type="dxa" w:w="216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Quarterly</w:t>
            </w:r>
          </w:p>
        </w:tc>
      </w:tr>
      <w:tr>
        <w:tc>
          <w:tcPr>
            <w:tcW w:type="dxa" w:w="24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Policy Acknowledgment Coverage</w:t>
            </w:r>
          </w:p>
        </w:tc>
        <w:tc>
          <w:tcPr>
            <w:tcW w:type="dxa" w:w="28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Percentage of in-scope personnel who have provided written acknowledgment of this Policy.</w:t>
            </w:r>
          </w:p>
        </w:tc>
        <w:tc>
          <w:tcPr>
            <w:tcW w:type="dxa" w:w="20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100% within 30 days of policy effective date.</w:t>
            </w:r>
          </w:p>
        </w:tc>
        <w:tc>
          <w:tcPr>
            <w:tcW w:type="dxa" w:w="216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One-time; verified at annual review.</w:t>
            </w:r>
          </w:p>
        </w:tc>
      </w:tr>
    </w:tbl>
    <w:p>
      <w:pPr>
        <w:spacing w:after="160" w:before="0"/>
      </w:pPr>
      <w:r>
        <w:t xml:space="preserve"/>
      </w:r>
    </w:p>
    <w:p>
      <w:pPr>
        <w:pStyle w:val="Heading1"/>
        <w:spacing w:after="120" w:before="320"/>
      </w:pPr>
      <w:r>
        <w:rPr>
          <w:rFonts w:ascii="Arial" w:cs="Arial" w:eastAsia="Arial" w:hAnsi="Arial"/>
          <w:b/>
          <w:bCs/>
          <w:color w:val="1B2A4A"/>
          <w:sz w:val="28"/>
          <w:szCs w:val="28"/>
        </w:rPr>
        <w:t xml:space="preserve">12.  Roles and Responsibilities (RACI)</w:t>
      </w:r>
    </w:p>
    <w:p>
      <w:pPr>
        <w:pBdr>
          <w:bottom w:val="single" w:color="2E4D8A" w:sz="6" w:space="1"/>
        </w:pBdr>
        <w:spacing w:after="160" w:before="0"/>
      </w:pPr>
    </w:p>
    <w:p>
      <w:pPr>
        <w:spacing w:after="140" w:before="0"/>
      </w:pPr>
      <w:r>
        <w:rPr>
          <w:rFonts w:ascii="Arial" w:cs="Arial" w:eastAsia="Arial" w:hAnsi="Arial"/>
          <w:color w:val="1A1A1A"/>
          <w:sz w:val="22"/>
          <w:szCs w:val="22"/>
        </w:rPr>
        <w:t xml:space="preserve">R = Responsible  ·  A = Accountable  ·  C = Consulted  ·  I = Informed</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c>
          <w:tcPr>
            <w:tcW w:type="dxa" w:w="32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r>
              <w:rPr>
                <w:rFonts w:ascii="Arial" w:cs="Arial" w:eastAsia="Arial" w:hAnsi="Arial"/>
                <w:b/>
                <w:bCs/>
                <w:color w:val="1B2A4A"/>
                <w:sz w:val="20"/>
                <w:szCs w:val="20"/>
              </w:rPr>
              <w:t xml:space="preserve">Activity</w:t>
            </w:r>
          </w:p>
        </w:tc>
        <w:tc>
          <w:tcPr>
            <w:tcW w:type="dxa" w:w="154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r>
              <w:rPr>
                <w:rFonts w:ascii="Arial" w:cs="Arial" w:eastAsia="Arial" w:hAnsi="Arial"/>
                <w:b/>
                <w:bCs/>
                <w:color w:val="1B2A4A"/>
                <w:sz w:val="20"/>
                <w:szCs w:val="20"/>
              </w:rPr>
              <w:t xml:space="preserve">Model Owner</w:t>
            </w:r>
          </w:p>
        </w:tc>
        <w:tc>
          <w:tcPr>
            <w:tcW w:type="dxa" w:w="154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r>
              <w:rPr>
                <w:rFonts w:ascii="Arial" w:cs="Arial" w:eastAsia="Arial" w:hAnsi="Arial"/>
                <w:b/>
                <w:bCs/>
                <w:color w:val="1B2A4A"/>
                <w:sz w:val="20"/>
                <w:szCs w:val="20"/>
              </w:rPr>
              <w:t xml:space="preserve">Tech Doc Function</w:t>
            </w:r>
          </w:p>
        </w:tc>
        <w:tc>
          <w:tcPr>
            <w:tcW w:type="dxa" w:w="154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r>
              <w:rPr>
                <w:rFonts w:ascii="Arial" w:cs="Arial" w:eastAsia="Arial" w:hAnsi="Arial"/>
                <w:b/>
                <w:bCs/>
                <w:color w:val="1B2A4A"/>
                <w:sz w:val="20"/>
                <w:szCs w:val="20"/>
              </w:rPr>
              <w:t xml:space="preserve">[Model Risk Placeholder]</w:t>
            </w:r>
          </w:p>
        </w:tc>
        <w:tc>
          <w:tcPr>
            <w:tcW w:type="dxa" w:w="154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r>
              <w:rPr>
                <w:rFonts w:ascii="Arial" w:cs="Arial" w:eastAsia="Arial" w:hAnsi="Arial"/>
                <w:b/>
                <w:bCs/>
                <w:color w:val="1B2A4A"/>
                <w:sz w:val="20"/>
                <w:szCs w:val="20"/>
              </w:rPr>
              <w:t xml:space="preserve">Leadership / Compliance</w:t>
            </w:r>
          </w:p>
        </w:tc>
      </w:tr>
      <w:tr>
        <w:tc>
          <w:tcPr>
            <w:tcW w:type="dxa" w:w="32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Complete the Intake Form</w:t>
            </w:r>
          </w:p>
        </w:tc>
        <w:tc>
          <w:tcPr>
            <w:tcW w:type="dxa" w:w="154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vAlign w:val="center"/>
          </w:tcPr>
          <w:p>
            <w:pPr>
              <w:spacing w:after="0"/>
              <w:jc w:val="center"/>
            </w:pPr>
            <w:r>
              <w:rPr>
                <w:rFonts w:ascii="Arial" w:cs="Arial" w:eastAsia="Arial" w:hAnsi="Arial"/>
                <w:b/>
                <w:bCs/>
                <w:color w:val="1B6B3A"/>
                <w:sz w:val="20"/>
                <w:szCs w:val="20"/>
              </w:rPr>
              <w:t xml:space="preserve">R</w:t>
            </w:r>
          </w:p>
        </w:tc>
        <w:tc>
          <w:tcPr>
            <w:tcW w:type="dxa" w:w="154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vAlign w:val="center"/>
          </w:tcPr>
          <w:p>
            <w:pPr>
              <w:spacing w:after="0"/>
              <w:jc w:val="center"/>
            </w:pPr>
            <w:r>
              <w:rPr>
                <w:rFonts w:ascii="Arial" w:cs="Arial" w:eastAsia="Arial" w:hAnsi="Arial"/>
                <w:b/>
                <w:bCs/>
                <w:color w:val="1B2A4A"/>
                <w:sz w:val="20"/>
                <w:szCs w:val="20"/>
              </w:rPr>
              <w:t xml:space="preserve">A</w:t>
            </w:r>
          </w:p>
        </w:tc>
        <w:tc>
          <w:tcPr>
            <w:tcW w:type="dxa" w:w="154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vAlign w:val="center"/>
          </w:tcPr>
          <w:p>
            <w:pPr>
              <w:spacing w:after="0"/>
              <w:jc w:val="center"/>
            </w:pPr>
            <w:r>
              <w:rPr>
                <w:rFonts w:ascii="Arial" w:cs="Arial" w:eastAsia="Arial" w:hAnsi="Arial"/>
                <w:color w:val="5A5A5A"/>
                <w:sz w:val="20"/>
                <w:szCs w:val="20"/>
              </w:rPr>
              <w:t xml:space="preserve">I</w:t>
            </w:r>
          </w:p>
        </w:tc>
        <w:tc>
          <w:tcPr>
            <w:tcW w:type="dxa" w:w="154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vAlign w:val="center"/>
          </w:tcPr>
          <w:p>
            <w:pPr>
              <w:spacing w:after="0"/>
              <w:jc w:val="center"/>
            </w:pPr>
            <w:r>
              <w:rPr>
                <w:rFonts w:ascii="Arial" w:cs="Arial" w:eastAsia="Arial" w:hAnsi="Arial"/>
                <w:color w:val="5A5A5A"/>
                <w:sz w:val="20"/>
                <w:szCs w:val="20"/>
              </w:rPr>
              <w:t xml:space="preserve">—</w:t>
            </w:r>
          </w:p>
        </w:tc>
      </w:tr>
      <w:tr>
        <w:tc>
          <w:tcPr>
            <w:tcW w:type="dxa" w:w="32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Validate Intake Form completeness</w:t>
            </w:r>
          </w:p>
        </w:tc>
        <w:tc>
          <w:tcPr>
            <w:tcW w:type="dxa" w:w="154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vAlign w:val="center"/>
          </w:tcPr>
          <w:p>
            <w:pPr>
              <w:spacing w:after="0"/>
              <w:jc w:val="center"/>
            </w:pPr>
            <w:r>
              <w:rPr>
                <w:rFonts w:ascii="Arial" w:cs="Arial" w:eastAsia="Arial" w:hAnsi="Arial"/>
                <w:color w:val="5A5A5A"/>
                <w:sz w:val="20"/>
                <w:szCs w:val="20"/>
              </w:rPr>
              <w:t xml:space="preserve">C</w:t>
            </w:r>
          </w:p>
        </w:tc>
        <w:tc>
          <w:tcPr>
            <w:tcW w:type="dxa" w:w="154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vAlign w:val="center"/>
          </w:tcPr>
          <w:p>
            <w:pPr>
              <w:spacing w:after="0"/>
              <w:jc w:val="center"/>
            </w:pPr>
            <w:r>
              <w:rPr>
                <w:rFonts w:ascii="Arial" w:cs="Arial" w:eastAsia="Arial" w:hAnsi="Arial"/>
                <w:b/>
                <w:bCs/>
                <w:color w:val="1B6B3A"/>
                <w:sz w:val="20"/>
                <w:szCs w:val="20"/>
              </w:rPr>
              <w:t xml:space="preserve">R</w:t>
            </w:r>
          </w:p>
        </w:tc>
        <w:tc>
          <w:tcPr>
            <w:tcW w:type="dxa" w:w="154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vAlign w:val="center"/>
          </w:tcPr>
          <w:p>
            <w:pPr>
              <w:spacing w:after="0"/>
              <w:jc w:val="center"/>
            </w:pPr>
            <w:r>
              <w:rPr>
                <w:rFonts w:ascii="Arial" w:cs="Arial" w:eastAsia="Arial" w:hAnsi="Arial"/>
                <w:color w:val="5A5A5A"/>
                <w:sz w:val="20"/>
                <w:szCs w:val="20"/>
              </w:rPr>
              <w:t xml:space="preserve">I</w:t>
            </w:r>
          </w:p>
        </w:tc>
        <w:tc>
          <w:tcPr>
            <w:tcW w:type="dxa" w:w="154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vAlign w:val="center"/>
          </w:tcPr>
          <w:p>
            <w:pPr>
              <w:spacing w:after="0"/>
              <w:jc w:val="center"/>
            </w:pPr>
            <w:r>
              <w:rPr>
                <w:rFonts w:ascii="Arial" w:cs="Arial" w:eastAsia="Arial" w:hAnsi="Arial"/>
                <w:color w:val="5A5A5A"/>
                <w:sz w:val="20"/>
                <w:szCs w:val="20"/>
              </w:rPr>
              <w:t xml:space="preserve">—</w:t>
            </w:r>
          </w:p>
        </w:tc>
      </w:tr>
      <w:tr>
        <w:tc>
          <w:tcPr>
            <w:tcW w:type="dxa" w:w="32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Assign Risk Classification</w:t>
            </w:r>
          </w:p>
        </w:tc>
        <w:tc>
          <w:tcPr>
            <w:tcW w:type="dxa" w:w="154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vAlign w:val="center"/>
          </w:tcPr>
          <w:p>
            <w:pPr>
              <w:spacing w:after="0"/>
              <w:jc w:val="center"/>
            </w:pPr>
            <w:r>
              <w:rPr>
                <w:rFonts w:ascii="Arial" w:cs="Arial" w:eastAsia="Arial" w:hAnsi="Arial"/>
                <w:b/>
                <w:bCs/>
                <w:color w:val="1B2A4A"/>
                <w:sz w:val="20"/>
                <w:szCs w:val="20"/>
              </w:rPr>
              <w:t xml:space="preserve">A</w:t>
            </w:r>
          </w:p>
        </w:tc>
        <w:tc>
          <w:tcPr>
            <w:tcW w:type="dxa" w:w="154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vAlign w:val="center"/>
          </w:tcPr>
          <w:p>
            <w:pPr>
              <w:spacing w:after="0"/>
              <w:jc w:val="center"/>
            </w:pPr>
            <w:r>
              <w:rPr>
                <w:rFonts w:ascii="Arial" w:cs="Arial" w:eastAsia="Arial" w:hAnsi="Arial"/>
                <w:b/>
                <w:bCs/>
                <w:color w:val="1B6B3A"/>
                <w:sz w:val="20"/>
                <w:szCs w:val="20"/>
              </w:rPr>
              <w:t xml:space="preserve">R</w:t>
            </w:r>
          </w:p>
        </w:tc>
        <w:tc>
          <w:tcPr>
            <w:tcW w:type="dxa" w:w="154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vAlign w:val="center"/>
          </w:tcPr>
          <w:p>
            <w:pPr>
              <w:spacing w:after="0"/>
              <w:jc w:val="center"/>
            </w:pPr>
            <w:r>
              <w:rPr>
                <w:rFonts w:ascii="Arial" w:cs="Arial" w:eastAsia="Arial" w:hAnsi="Arial"/>
                <w:color w:val="5A5A5A"/>
                <w:sz w:val="20"/>
                <w:szCs w:val="20"/>
              </w:rPr>
              <w:t xml:space="preserve">C</w:t>
            </w:r>
          </w:p>
        </w:tc>
        <w:tc>
          <w:tcPr>
            <w:tcW w:type="dxa" w:w="154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vAlign w:val="center"/>
          </w:tcPr>
          <w:p>
            <w:pPr>
              <w:spacing w:after="0"/>
              <w:jc w:val="center"/>
            </w:pPr>
            <w:r>
              <w:rPr>
                <w:rFonts w:ascii="Arial" w:cs="Arial" w:eastAsia="Arial" w:hAnsi="Arial"/>
                <w:color w:val="5A5A5A"/>
                <w:sz w:val="20"/>
                <w:szCs w:val="20"/>
              </w:rPr>
              <w:t xml:space="preserve">I</w:t>
            </w:r>
          </w:p>
        </w:tc>
      </w:tr>
      <w:tr>
        <w:tc>
          <w:tcPr>
            <w:tcW w:type="dxa" w:w="32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Produce the Model Card draft</w:t>
            </w:r>
          </w:p>
        </w:tc>
        <w:tc>
          <w:tcPr>
            <w:tcW w:type="dxa" w:w="154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vAlign w:val="center"/>
          </w:tcPr>
          <w:p>
            <w:pPr>
              <w:spacing w:after="0"/>
              <w:jc w:val="center"/>
            </w:pPr>
            <w:r>
              <w:rPr>
                <w:rFonts w:ascii="Arial" w:cs="Arial" w:eastAsia="Arial" w:hAnsi="Arial"/>
                <w:color w:val="5A5A5A"/>
                <w:sz w:val="20"/>
                <w:szCs w:val="20"/>
              </w:rPr>
              <w:t xml:space="preserve">I</w:t>
            </w:r>
          </w:p>
        </w:tc>
        <w:tc>
          <w:tcPr>
            <w:tcW w:type="dxa" w:w="154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vAlign w:val="center"/>
          </w:tcPr>
          <w:p>
            <w:pPr>
              <w:spacing w:after="0"/>
              <w:jc w:val="center"/>
            </w:pPr>
            <w:r>
              <w:rPr>
                <w:rFonts w:ascii="Arial" w:cs="Arial" w:eastAsia="Arial" w:hAnsi="Arial"/>
                <w:b/>
                <w:bCs/>
                <w:color w:val="1B6B3A"/>
                <w:sz w:val="20"/>
                <w:szCs w:val="20"/>
              </w:rPr>
              <w:t xml:space="preserve">R</w:t>
            </w:r>
          </w:p>
        </w:tc>
        <w:tc>
          <w:tcPr>
            <w:tcW w:type="dxa" w:w="154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vAlign w:val="center"/>
          </w:tcPr>
          <w:p>
            <w:pPr>
              <w:spacing w:after="0"/>
              <w:jc w:val="center"/>
            </w:pPr>
            <w:r>
              <w:rPr>
                <w:rFonts w:ascii="Arial" w:cs="Arial" w:eastAsia="Arial" w:hAnsi="Arial"/>
                <w:b/>
                <w:bCs/>
                <w:color w:val="1B2A4A"/>
                <w:sz w:val="20"/>
                <w:szCs w:val="20"/>
              </w:rPr>
              <w:t xml:space="preserve">A</w:t>
            </w:r>
          </w:p>
        </w:tc>
        <w:tc>
          <w:tcPr>
            <w:tcW w:type="dxa" w:w="154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vAlign w:val="center"/>
          </w:tcPr>
          <w:p>
            <w:pPr>
              <w:spacing w:after="0"/>
              <w:jc w:val="center"/>
            </w:pPr>
            <w:r>
              <w:rPr>
                <w:rFonts w:ascii="Arial" w:cs="Arial" w:eastAsia="Arial" w:hAnsi="Arial"/>
                <w:color w:val="5A5A5A"/>
                <w:sz w:val="20"/>
                <w:szCs w:val="20"/>
              </w:rPr>
              <w:t xml:space="preserve">—</w:t>
            </w:r>
          </w:p>
        </w:tc>
      </w:tr>
      <w:tr>
        <w:tc>
          <w:tcPr>
            <w:tcW w:type="dxa" w:w="32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Technical accuracy review (SME)</w:t>
            </w:r>
          </w:p>
        </w:tc>
        <w:tc>
          <w:tcPr>
            <w:tcW w:type="dxa" w:w="154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vAlign w:val="center"/>
          </w:tcPr>
          <w:p>
            <w:pPr>
              <w:spacing w:after="0"/>
              <w:jc w:val="center"/>
            </w:pPr>
            <w:r>
              <w:rPr>
                <w:rFonts w:ascii="Arial" w:cs="Arial" w:eastAsia="Arial" w:hAnsi="Arial"/>
                <w:b/>
                <w:bCs/>
                <w:color w:val="1B6B3A"/>
                <w:sz w:val="20"/>
                <w:szCs w:val="20"/>
              </w:rPr>
              <w:t xml:space="preserve">R</w:t>
            </w:r>
          </w:p>
        </w:tc>
        <w:tc>
          <w:tcPr>
            <w:tcW w:type="dxa" w:w="154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vAlign w:val="center"/>
          </w:tcPr>
          <w:p>
            <w:pPr>
              <w:spacing w:after="0"/>
              <w:jc w:val="center"/>
            </w:pPr>
            <w:r>
              <w:rPr>
                <w:rFonts w:ascii="Arial" w:cs="Arial" w:eastAsia="Arial" w:hAnsi="Arial"/>
                <w:color w:val="5A5A5A"/>
                <w:sz w:val="20"/>
                <w:szCs w:val="20"/>
              </w:rPr>
              <w:t xml:space="preserve">C</w:t>
            </w:r>
          </w:p>
        </w:tc>
        <w:tc>
          <w:tcPr>
            <w:tcW w:type="dxa" w:w="154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vAlign w:val="center"/>
          </w:tcPr>
          <w:p>
            <w:pPr>
              <w:spacing w:after="0"/>
              <w:jc w:val="center"/>
            </w:pPr>
            <w:r>
              <w:rPr>
                <w:rFonts w:ascii="Arial" w:cs="Arial" w:eastAsia="Arial" w:hAnsi="Arial"/>
                <w:b/>
                <w:bCs/>
                <w:color w:val="1B2A4A"/>
                <w:sz w:val="20"/>
                <w:szCs w:val="20"/>
              </w:rPr>
              <w:t xml:space="preserve">A</w:t>
            </w:r>
          </w:p>
        </w:tc>
        <w:tc>
          <w:tcPr>
            <w:tcW w:type="dxa" w:w="154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vAlign w:val="center"/>
          </w:tcPr>
          <w:p>
            <w:pPr>
              <w:spacing w:after="0"/>
              <w:jc w:val="center"/>
            </w:pPr>
            <w:r>
              <w:rPr>
                <w:rFonts w:ascii="Arial" w:cs="Arial" w:eastAsia="Arial" w:hAnsi="Arial"/>
                <w:color w:val="5A5A5A"/>
                <w:sz w:val="20"/>
                <w:szCs w:val="20"/>
              </w:rPr>
              <w:t xml:space="preserve">—</w:t>
            </w:r>
          </w:p>
        </w:tc>
      </w:tr>
      <w:tr>
        <w:tc>
          <w:tcPr>
            <w:tcW w:type="dxa" w:w="32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Tier 1 dual sign-off</w:t>
            </w:r>
          </w:p>
        </w:tc>
        <w:tc>
          <w:tcPr>
            <w:tcW w:type="dxa" w:w="154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vAlign w:val="center"/>
          </w:tcPr>
          <w:p>
            <w:pPr>
              <w:spacing w:after="0"/>
              <w:jc w:val="center"/>
            </w:pPr>
            <w:r>
              <w:rPr>
                <w:rFonts w:ascii="Arial" w:cs="Arial" w:eastAsia="Arial" w:hAnsi="Arial"/>
                <w:b/>
                <w:bCs/>
                <w:color w:val="1B2A4A"/>
                <w:sz w:val="20"/>
                <w:szCs w:val="20"/>
              </w:rPr>
              <w:t xml:space="preserve">A</w:t>
            </w:r>
          </w:p>
        </w:tc>
        <w:tc>
          <w:tcPr>
            <w:tcW w:type="dxa" w:w="154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vAlign w:val="center"/>
          </w:tcPr>
          <w:p>
            <w:pPr>
              <w:spacing w:after="0"/>
              <w:jc w:val="center"/>
            </w:pPr>
            <w:r>
              <w:rPr>
                <w:rFonts w:ascii="Arial" w:cs="Arial" w:eastAsia="Arial" w:hAnsi="Arial"/>
                <w:color w:val="5A5A5A"/>
                <w:sz w:val="20"/>
                <w:szCs w:val="20"/>
              </w:rPr>
              <w:t xml:space="preserve">C</w:t>
            </w:r>
          </w:p>
        </w:tc>
        <w:tc>
          <w:tcPr>
            <w:tcW w:type="dxa" w:w="154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vAlign w:val="center"/>
          </w:tcPr>
          <w:p>
            <w:pPr>
              <w:spacing w:after="0"/>
              <w:jc w:val="center"/>
            </w:pPr>
            <w:r>
              <w:rPr>
                <w:rFonts w:ascii="Arial" w:cs="Arial" w:eastAsia="Arial" w:hAnsi="Arial"/>
                <w:b/>
                <w:bCs/>
                <w:color w:val="1B6B3A"/>
                <w:sz w:val="20"/>
                <w:szCs w:val="20"/>
              </w:rPr>
              <w:t xml:space="preserve">R</w:t>
            </w:r>
          </w:p>
        </w:tc>
        <w:tc>
          <w:tcPr>
            <w:tcW w:type="dxa" w:w="154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vAlign w:val="center"/>
          </w:tcPr>
          <w:p>
            <w:pPr>
              <w:spacing w:after="0"/>
              <w:jc w:val="center"/>
            </w:pPr>
            <w:r>
              <w:rPr>
                <w:rFonts w:ascii="Arial" w:cs="Arial" w:eastAsia="Arial" w:hAnsi="Arial"/>
                <w:color w:val="5A5A5A"/>
                <w:sz w:val="20"/>
                <w:szCs w:val="20"/>
              </w:rPr>
              <w:t xml:space="preserve">—</w:t>
            </w:r>
          </w:p>
        </w:tc>
      </w:tr>
      <w:tr>
        <w:tc>
          <w:tcPr>
            <w:tcW w:type="dxa" w:w="32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Publish to Confluence</w:t>
            </w:r>
          </w:p>
        </w:tc>
        <w:tc>
          <w:tcPr>
            <w:tcW w:type="dxa" w:w="154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vAlign w:val="center"/>
          </w:tcPr>
          <w:p>
            <w:pPr>
              <w:spacing w:after="0"/>
              <w:jc w:val="center"/>
            </w:pPr>
            <w:r>
              <w:rPr>
                <w:rFonts w:ascii="Arial" w:cs="Arial" w:eastAsia="Arial" w:hAnsi="Arial"/>
                <w:color w:val="5A5A5A"/>
                <w:sz w:val="20"/>
                <w:szCs w:val="20"/>
              </w:rPr>
              <w:t xml:space="preserve">I</w:t>
            </w:r>
          </w:p>
        </w:tc>
        <w:tc>
          <w:tcPr>
            <w:tcW w:type="dxa" w:w="154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vAlign w:val="center"/>
          </w:tcPr>
          <w:p>
            <w:pPr>
              <w:spacing w:after="0"/>
              <w:jc w:val="center"/>
            </w:pPr>
            <w:r>
              <w:rPr>
                <w:rFonts w:ascii="Arial" w:cs="Arial" w:eastAsia="Arial" w:hAnsi="Arial"/>
                <w:b/>
                <w:bCs/>
                <w:color w:val="1B6B3A"/>
                <w:sz w:val="20"/>
                <w:szCs w:val="20"/>
              </w:rPr>
              <w:t xml:space="preserve">R</w:t>
            </w:r>
          </w:p>
        </w:tc>
        <w:tc>
          <w:tcPr>
            <w:tcW w:type="dxa" w:w="154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vAlign w:val="center"/>
          </w:tcPr>
          <w:p>
            <w:pPr>
              <w:spacing w:after="0"/>
              <w:jc w:val="center"/>
            </w:pPr>
            <w:r>
              <w:rPr>
                <w:rFonts w:ascii="Arial" w:cs="Arial" w:eastAsia="Arial" w:hAnsi="Arial"/>
                <w:b/>
                <w:bCs/>
                <w:color w:val="1B2A4A"/>
                <w:sz w:val="20"/>
                <w:szCs w:val="20"/>
              </w:rPr>
              <w:t xml:space="preserve">A</w:t>
            </w:r>
          </w:p>
        </w:tc>
        <w:tc>
          <w:tcPr>
            <w:tcW w:type="dxa" w:w="154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vAlign w:val="center"/>
          </w:tcPr>
          <w:p>
            <w:pPr>
              <w:spacing w:after="0"/>
              <w:jc w:val="center"/>
            </w:pPr>
            <w:r>
              <w:rPr>
                <w:rFonts w:ascii="Arial" w:cs="Arial" w:eastAsia="Arial" w:hAnsi="Arial"/>
                <w:color w:val="5A5A5A"/>
                <w:sz w:val="20"/>
                <w:szCs w:val="20"/>
              </w:rPr>
              <w:t xml:space="preserve">—</w:t>
            </w:r>
          </w:p>
        </w:tc>
      </w:tr>
      <w:tr>
        <w:tc>
          <w:tcPr>
            <w:tcW w:type="dxa" w:w="32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Maintain Model Documentation Register</w:t>
            </w:r>
          </w:p>
        </w:tc>
        <w:tc>
          <w:tcPr>
            <w:tcW w:type="dxa" w:w="154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vAlign w:val="center"/>
          </w:tcPr>
          <w:p>
            <w:pPr>
              <w:spacing w:after="0"/>
              <w:jc w:val="center"/>
            </w:pPr>
            <w:r>
              <w:rPr>
                <w:rFonts w:ascii="Arial" w:cs="Arial" w:eastAsia="Arial" w:hAnsi="Arial"/>
                <w:color w:val="5A5A5A"/>
                <w:sz w:val="20"/>
                <w:szCs w:val="20"/>
              </w:rPr>
              <w:t xml:space="preserve">I</w:t>
            </w:r>
          </w:p>
        </w:tc>
        <w:tc>
          <w:tcPr>
            <w:tcW w:type="dxa" w:w="154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vAlign w:val="center"/>
          </w:tcPr>
          <w:p>
            <w:pPr>
              <w:spacing w:after="0"/>
              <w:jc w:val="center"/>
            </w:pPr>
            <w:r>
              <w:rPr>
                <w:rFonts w:ascii="Arial" w:cs="Arial" w:eastAsia="Arial" w:hAnsi="Arial"/>
                <w:b/>
                <w:bCs/>
                <w:color w:val="1B2A4A"/>
                <w:sz w:val="20"/>
                <w:szCs w:val="20"/>
              </w:rPr>
              <w:t xml:space="preserve">A</w:t>
            </w:r>
          </w:p>
        </w:tc>
        <w:tc>
          <w:tcPr>
            <w:tcW w:type="dxa" w:w="154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vAlign w:val="center"/>
          </w:tcPr>
          <w:p>
            <w:pPr>
              <w:spacing w:after="0"/>
              <w:jc w:val="center"/>
            </w:pPr>
            <w:r>
              <w:rPr>
                <w:rFonts w:ascii="Arial" w:cs="Arial" w:eastAsia="Arial" w:hAnsi="Arial"/>
                <w:b/>
                <w:bCs/>
                <w:color w:val="1B6B3A"/>
                <w:sz w:val="20"/>
                <w:szCs w:val="20"/>
              </w:rPr>
              <w:t xml:space="preserve">R</w:t>
            </w:r>
          </w:p>
        </w:tc>
        <w:tc>
          <w:tcPr>
            <w:tcW w:type="dxa" w:w="154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vAlign w:val="center"/>
          </w:tcPr>
          <w:p>
            <w:pPr>
              <w:spacing w:after="0"/>
              <w:jc w:val="center"/>
            </w:pPr>
            <w:r>
              <w:rPr>
                <w:rFonts w:ascii="Arial" w:cs="Arial" w:eastAsia="Arial" w:hAnsi="Arial"/>
                <w:color w:val="5A5A5A"/>
                <w:sz w:val="20"/>
                <w:szCs w:val="20"/>
              </w:rPr>
              <w:t xml:space="preserve">—</w:t>
            </w:r>
          </w:p>
        </w:tc>
      </w:tr>
      <w:tr>
        <w:tc>
          <w:tcPr>
            <w:tcW w:type="dxa" w:w="32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Quarterly coverage reporting</w:t>
            </w:r>
          </w:p>
        </w:tc>
        <w:tc>
          <w:tcPr>
            <w:tcW w:type="dxa" w:w="154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vAlign w:val="center"/>
          </w:tcPr>
          <w:p>
            <w:pPr>
              <w:spacing w:after="0"/>
              <w:jc w:val="center"/>
            </w:pPr>
            <w:r>
              <w:rPr>
                <w:rFonts w:ascii="Arial" w:cs="Arial" w:eastAsia="Arial" w:hAnsi="Arial"/>
                <w:color w:val="5A5A5A"/>
                <w:sz w:val="20"/>
                <w:szCs w:val="20"/>
              </w:rPr>
              <w:t xml:space="preserve">I</w:t>
            </w:r>
          </w:p>
        </w:tc>
        <w:tc>
          <w:tcPr>
            <w:tcW w:type="dxa" w:w="154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vAlign w:val="center"/>
          </w:tcPr>
          <w:p>
            <w:pPr>
              <w:spacing w:after="0"/>
              <w:jc w:val="center"/>
            </w:pPr>
            <w:r>
              <w:rPr>
                <w:rFonts w:ascii="Arial" w:cs="Arial" w:eastAsia="Arial" w:hAnsi="Arial"/>
                <w:color w:val="5A5A5A"/>
                <w:sz w:val="20"/>
                <w:szCs w:val="20"/>
              </w:rPr>
              <w:t xml:space="preserve">C</w:t>
            </w:r>
          </w:p>
        </w:tc>
        <w:tc>
          <w:tcPr>
            <w:tcW w:type="dxa" w:w="154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vAlign w:val="center"/>
          </w:tcPr>
          <w:p>
            <w:pPr>
              <w:spacing w:after="0"/>
              <w:jc w:val="center"/>
            </w:pPr>
            <w:r>
              <w:rPr>
                <w:rFonts w:ascii="Arial" w:cs="Arial" w:eastAsia="Arial" w:hAnsi="Arial"/>
                <w:b/>
                <w:bCs/>
                <w:color w:val="1B6B3A"/>
                <w:sz w:val="20"/>
                <w:szCs w:val="20"/>
              </w:rPr>
              <w:t xml:space="preserve">R</w:t>
            </w:r>
          </w:p>
        </w:tc>
        <w:tc>
          <w:tcPr>
            <w:tcW w:type="dxa" w:w="1540"/>
            <w:tcBorders>
              <w:top w:val="single" w:color="E8E8E8" w:sz="4"/>
              <w:left w:val="single" w:color="E8E8E8" w:sz="4"/>
              <w:bottom w:val="single" w:color="E8E8E8" w:sz="4"/>
              <w:right w:val="single" w:color="E8E8E8" w:sz="4"/>
            </w:tcBorders>
            <w:shd w:fill="FFFFFF" w:val="clear"/>
            <w:tcMar>
              <w:top w:type="dxa" w:w="60"/>
              <w:left w:type="dxa" w:w="120"/>
              <w:bottom w:type="dxa" w:w="60"/>
              <w:right w:type="dxa" w:w="120"/>
            </w:tcMar>
            <w:vAlign w:val="center"/>
          </w:tcPr>
          <w:p>
            <w:pPr>
              <w:spacing w:after="0"/>
              <w:jc w:val="center"/>
            </w:pPr>
            <w:r>
              <w:rPr>
                <w:rFonts w:ascii="Arial" w:cs="Arial" w:eastAsia="Arial" w:hAnsi="Arial"/>
                <w:b/>
                <w:bCs/>
                <w:color w:val="1B2A4A"/>
                <w:sz w:val="20"/>
                <w:szCs w:val="20"/>
              </w:rPr>
              <w:t xml:space="preserve">A</w:t>
            </w:r>
          </w:p>
        </w:tc>
      </w:tr>
      <w:tr>
        <w:tc>
          <w:tcPr>
            <w:tcW w:type="dxa" w:w="3200"/>
            <w:tcBorders>
              <w:top w:val="single" w:color="E8E8E8" w:sz="4"/>
              <w:left w:val="single" w:color="E8E8E8" w:sz="4"/>
              <w:bottom w:val="single" w:color="E8E8E8" w:sz="4"/>
              <w:right w:val="single" w:color="E8E8E8"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Policy review and update</w:t>
            </w:r>
          </w:p>
        </w:tc>
        <w:tc>
          <w:tcPr>
            <w:tcW w:type="dxa" w:w="154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vAlign w:val="center"/>
          </w:tcPr>
          <w:p>
            <w:pPr>
              <w:spacing w:after="0"/>
              <w:jc w:val="center"/>
            </w:pPr>
            <w:r>
              <w:rPr>
                <w:rFonts w:ascii="Arial" w:cs="Arial" w:eastAsia="Arial" w:hAnsi="Arial"/>
                <w:b/>
                <w:bCs/>
                <w:color w:val="1B2A4A"/>
                <w:sz w:val="20"/>
                <w:szCs w:val="20"/>
              </w:rPr>
              <w:t xml:space="preserve">A</w:t>
            </w:r>
          </w:p>
        </w:tc>
        <w:tc>
          <w:tcPr>
            <w:tcW w:type="dxa" w:w="154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vAlign w:val="center"/>
          </w:tcPr>
          <w:p>
            <w:pPr>
              <w:spacing w:after="0"/>
              <w:jc w:val="center"/>
            </w:pPr>
            <w:r>
              <w:rPr>
                <w:rFonts w:ascii="Arial" w:cs="Arial" w:eastAsia="Arial" w:hAnsi="Arial"/>
                <w:color w:val="5A5A5A"/>
                <w:sz w:val="20"/>
                <w:szCs w:val="20"/>
              </w:rPr>
              <w:t xml:space="preserve">C</w:t>
            </w:r>
          </w:p>
        </w:tc>
        <w:tc>
          <w:tcPr>
            <w:tcW w:type="dxa" w:w="154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vAlign w:val="center"/>
          </w:tcPr>
          <w:p>
            <w:pPr>
              <w:spacing w:after="0"/>
              <w:jc w:val="center"/>
            </w:pPr>
            <w:r>
              <w:rPr>
                <w:rFonts w:ascii="Arial" w:cs="Arial" w:eastAsia="Arial" w:hAnsi="Arial"/>
                <w:b/>
                <w:bCs/>
                <w:color w:val="1B6B3A"/>
                <w:sz w:val="20"/>
                <w:szCs w:val="20"/>
              </w:rPr>
              <w:t xml:space="preserve">R</w:t>
            </w:r>
          </w:p>
        </w:tc>
        <w:tc>
          <w:tcPr>
            <w:tcW w:type="dxa" w:w="1540"/>
            <w:tcBorders>
              <w:top w:val="single" w:color="E8E8E8" w:sz="4"/>
              <w:left w:val="single" w:color="E8E8E8" w:sz="4"/>
              <w:bottom w:val="single" w:color="E8E8E8" w:sz="4"/>
              <w:right w:val="single" w:color="E8E8E8" w:sz="4"/>
            </w:tcBorders>
            <w:shd w:fill="EEF4FC" w:val="clear"/>
            <w:tcMar>
              <w:top w:type="dxa" w:w="60"/>
              <w:left w:type="dxa" w:w="120"/>
              <w:bottom w:type="dxa" w:w="60"/>
              <w:right w:type="dxa" w:w="120"/>
            </w:tcMar>
            <w:vAlign w:val="center"/>
          </w:tcPr>
          <w:p>
            <w:pPr>
              <w:spacing w:after="0"/>
              <w:jc w:val="center"/>
            </w:pPr>
            <w:r>
              <w:rPr>
                <w:rFonts w:ascii="Arial" w:cs="Arial" w:eastAsia="Arial" w:hAnsi="Arial"/>
                <w:color w:val="5A5A5A"/>
                <w:sz w:val="20"/>
                <w:szCs w:val="20"/>
              </w:rPr>
              <w:t xml:space="preserve">I</w:t>
            </w:r>
          </w:p>
        </w:tc>
      </w:tr>
    </w:tbl>
    <w:p>
      <w:pPr>
        <w:spacing w:after="160" w:before="0"/>
      </w:pPr>
      <w:r>
        <w:t xml:space="preserve"/>
      </w:r>
    </w:p>
    <w:p>
      <w:pPr>
        <w:pStyle w:val="Heading1"/>
        <w:spacing w:after="120" w:before="320"/>
      </w:pPr>
      <w:r>
        <w:rPr>
          <w:rFonts w:ascii="Arial" w:cs="Arial" w:eastAsia="Arial" w:hAnsi="Arial"/>
          <w:b/>
          <w:bCs/>
          <w:color w:val="1B2A4A"/>
          <w:sz w:val="28"/>
          <w:szCs w:val="28"/>
        </w:rPr>
        <w:t xml:space="preserve">13.  Policy Maintenance</w:t>
      </w:r>
    </w:p>
    <w:p>
      <w:pPr>
        <w:pBdr>
          <w:bottom w:val="single" w:color="2E4D8A" w:sz="6" w:space="1"/>
        </w:pBdr>
        <w:spacing w:after="160" w:before="0"/>
      </w:pPr>
    </w:p>
    <w:p>
      <w:pPr>
        <w:spacing w:after="140" w:before="0"/>
      </w:pPr>
      <w:r>
        <w:rPr>
          <w:rFonts w:ascii="Arial" w:cs="Arial" w:eastAsia="Arial" w:hAnsi="Arial"/>
          <w:color w:val="1A1A1A"/>
          <w:sz w:val="22"/>
          <w:szCs w:val="22"/>
        </w:rPr>
        <w:t xml:space="preserve">This Policy shall be reviewed annually by the Technical Documentation Function lead, or earlier if any of the following conditions arise:</w:t>
      </w:r>
    </w:p>
    <w:p>
      <w:pPr>
        <w:pStyle w:val="ListParagraph"/>
        <w:numPr>
          <w:ilvl w:val="0"/>
          <w:numId w:val="2"/>
        </w:numPr>
        <w:spacing w:after="100" w:before="0"/>
      </w:pPr>
      <w:r>
        <w:rPr>
          <w:rFonts w:ascii="Arial" w:cs="Arial" w:eastAsia="Arial" w:hAnsi="Arial"/>
          <w:color w:val="1A1A1A"/>
          <w:sz w:val="22"/>
          <w:szCs w:val="22"/>
        </w:rPr>
        <w:t xml:space="preserve">A material change in the firm's model risk management framework or applicable regulatory obligations.</w:t>
      </w:r>
    </w:p>
    <w:p>
      <w:pPr>
        <w:pStyle w:val="ListParagraph"/>
        <w:numPr>
          <w:ilvl w:val="0"/>
          <w:numId w:val="2"/>
        </w:numPr>
        <w:spacing w:after="100" w:before="0"/>
      </w:pPr>
      <w:r>
        <w:rPr>
          <w:rFonts w:ascii="Arial" w:cs="Arial" w:eastAsia="Arial" w:hAnsi="Arial"/>
          <w:color w:val="1A1A1A"/>
          <w:sz w:val="22"/>
          <w:szCs w:val="22"/>
        </w:rPr>
        <w:t xml:space="preserve">Introduction of new AI tool types or provisioning mechanisms within the Organization.</w:t>
      </w:r>
    </w:p>
    <w:p>
      <w:pPr>
        <w:pStyle w:val="ListParagraph"/>
        <w:numPr>
          <w:ilvl w:val="0"/>
          <w:numId w:val="2"/>
        </w:numPr>
        <w:spacing w:after="100" w:before="0"/>
      </w:pPr>
      <w:r>
        <w:rPr>
          <w:rFonts w:ascii="Arial" w:cs="Arial" w:eastAsia="Arial" w:hAnsi="Arial"/>
          <w:color w:val="1A1A1A"/>
          <w:sz w:val="22"/>
          <w:szCs w:val="22"/>
        </w:rPr>
        <w:t xml:space="preserve">A model documentation failure or audit finding that reveals a gap in this Policy's coverage.</w:t>
      </w:r>
    </w:p>
    <w:p>
      <w:pPr>
        <w:pStyle w:val="ListParagraph"/>
        <w:numPr>
          <w:ilvl w:val="0"/>
          <w:numId w:val="2"/>
        </w:numPr>
        <w:spacing w:after="100" w:before="0"/>
      </w:pPr>
      <w:r>
        <w:rPr>
          <w:rFonts w:ascii="Arial" w:cs="Arial" w:eastAsia="Arial" w:hAnsi="Arial"/>
          <w:color w:val="1A1A1A"/>
          <w:sz w:val="22"/>
          <w:szCs w:val="22"/>
        </w:rPr>
        <w:t xml:space="preserve">A change in the scope of the Technical Documentation Function's responsibilities.</w:t>
      </w:r>
    </w:p>
    <w:p>
      <w:pPr>
        <w:spacing w:after="80" w:before="0"/>
      </w:pPr>
      <w:r>
        <w:t xml:space="preserve"/>
      </w:r>
    </w:p>
    <w:p>
      <w:pPr>
        <w:spacing w:after="140" w:before="0"/>
      </w:pPr>
      <w:r>
        <w:rPr>
          <w:rFonts w:ascii="Arial" w:cs="Arial" w:eastAsia="Arial" w:hAnsi="Arial"/>
          <w:color w:val="1A1A1A"/>
          <w:sz w:val="22"/>
          <w:szCs w:val="22"/>
        </w:rPr>
        <w:t xml:space="preserve">Proposed amendments to this Policy must be reviewed by [COMPLIANCE CONTACT PLACEHOLDER] before adoption to confirm consistency with existing organizational policies and regulatory obligations. Approved amendments shall be versioned and the prior version retained in accordance with Section 9.</w:t>
      </w:r>
    </w:p>
    <w:p>
      <w:pPr>
        <w:spacing w:after="160" w:before="0"/>
      </w:pPr>
      <w:r>
        <w:t xml:space="preserve"/>
      </w:r>
    </w:p>
    <w:p>
      <w:pPr>
        <w:pStyle w:val="Heading1"/>
        <w:spacing w:after="120" w:before="320"/>
      </w:pPr>
      <w:r>
        <w:rPr>
          <w:rFonts w:ascii="Arial" w:cs="Arial" w:eastAsia="Arial" w:hAnsi="Arial"/>
          <w:b/>
          <w:bCs/>
          <w:color w:val="1B2A4A"/>
          <w:sz w:val="28"/>
          <w:szCs w:val="28"/>
        </w:rPr>
        <w:t xml:space="preserve">14.  Non-Compliance</w:t>
      </w:r>
    </w:p>
    <w:p>
      <w:pPr>
        <w:pBdr>
          <w:bottom w:val="single" w:color="2E4D8A" w:sz="6" w:space="1"/>
        </w:pBdr>
        <w:spacing w:after="160" w:before="0"/>
      </w:pPr>
    </w:p>
    <w:p>
      <w:pPr>
        <w:spacing w:after="140" w:before="0"/>
      </w:pPr>
      <w:r>
        <w:rPr>
          <w:rFonts w:ascii="Arial" w:cs="Arial" w:eastAsia="Arial" w:hAnsi="Arial"/>
          <w:color w:val="1A1A1A"/>
          <w:sz w:val="22"/>
          <w:szCs w:val="22"/>
        </w:rPr>
        <w:t xml:space="preserve">Failure to comply with this Policy constitutes a documentation control failure. The consequences of non-compliance are as follows:</w:t>
      </w:r>
    </w:p>
    <w:p>
      <w:pPr>
        <w:pStyle w:val="ListParagraph"/>
        <w:numPr>
          <w:ilvl w:val="0"/>
          <w:numId w:val="2"/>
        </w:numPr>
        <w:spacing w:after="100" w:before="0"/>
      </w:pPr>
      <w:r>
        <w:rPr>
          <w:rFonts w:ascii="Arial" w:cs="Arial" w:eastAsia="Arial" w:hAnsi="Arial"/>
          <w:color w:val="1A1A1A"/>
          <w:sz w:val="22"/>
          <w:szCs w:val="22"/>
        </w:rPr>
        <w:t xml:space="preserve">A model for which a completed Intake Form has not been submitted will not receive documentation services from the Technical Documentation Function and will not be eligible to proceed through the production approval process via the documentation pathway.</w:t>
      </w:r>
    </w:p>
    <w:p>
      <w:pPr>
        <w:pStyle w:val="ListParagraph"/>
        <w:numPr>
          <w:ilvl w:val="0"/>
          <w:numId w:val="2"/>
        </w:numPr>
        <w:spacing w:after="100" w:before="0"/>
      </w:pPr>
      <w:r>
        <w:rPr>
          <w:rFonts w:ascii="Arial" w:cs="Arial" w:eastAsia="Arial" w:hAnsi="Arial"/>
          <w:color w:val="1A1A1A"/>
          <w:sz w:val="22"/>
          <w:szCs w:val="22"/>
        </w:rPr>
        <w:t xml:space="preserve">A Model Card that does not satisfy the mandatory field requirements for its risk tier will not be published and will be returned to the Model Owner for remediation.</w:t>
      </w:r>
    </w:p>
    <w:p>
      <w:pPr>
        <w:pStyle w:val="ListParagraph"/>
        <w:numPr>
          <w:ilvl w:val="0"/>
          <w:numId w:val="2"/>
        </w:numPr>
        <w:spacing w:after="100" w:before="0"/>
      </w:pPr>
      <w:r>
        <w:rPr>
          <w:rFonts w:ascii="Arial" w:cs="Arial" w:eastAsia="Arial" w:hAnsi="Arial"/>
          <w:color w:val="1A1A1A"/>
          <w:sz w:val="22"/>
          <w:szCs w:val="22"/>
        </w:rPr>
        <w:t xml:space="preserve">Repeated or material non-compliance by a Model Owner will be escalated by the Technical Documentation Function lead to [MODEL RISK FUNCTION PLACEHOLDER] and relevant technology leadership.</w:t>
      </w:r>
    </w:p>
    <w:p>
      <w:pPr>
        <w:spacing w:after="80" w:before="0"/>
      </w:pPr>
      <w:r>
        <w:t xml:space="preserve"/>
      </w:r>
    </w:p>
    <w:p>
      <w:pPr>
        <w:spacing w:after="140" w:before="0"/>
      </w:pPr>
      <w:r>
        <w:rPr>
          <w:rFonts w:ascii="Arial" w:cs="Arial" w:eastAsia="Arial" w:hAnsi="Arial"/>
          <w:color w:val="1A1A1A"/>
          <w:sz w:val="22"/>
          <w:szCs w:val="22"/>
        </w:rPr>
        <w:t xml:space="preserve">This Policy does not limit the authority of the Compliance function or [MODEL RISK FUNCTION PLACEHOLDER] to impose additional consequences for non-compliance with model risk management obligations.</w:t>
      </w:r>
    </w:p>
    <w:p>
      <w:pPr>
        <w:spacing w:after="160" w:before="0"/>
      </w:pPr>
      <w:r>
        <w:t xml:space="preserve"/>
      </w:r>
    </w:p>
    <w:p>
      <w:pPr>
        <w:pStyle w:val="Heading1"/>
        <w:spacing w:after="120" w:before="320"/>
      </w:pPr>
      <w:r>
        <w:rPr>
          <w:rFonts w:ascii="Arial" w:cs="Arial" w:eastAsia="Arial" w:hAnsi="Arial"/>
          <w:b/>
          <w:bCs/>
          <w:color w:val="1B2A4A"/>
          <w:sz w:val="28"/>
          <w:szCs w:val="28"/>
        </w:rPr>
        <w:t xml:space="preserve">Version History</w:t>
      </w:r>
    </w:p>
    <w:p>
      <w:pPr>
        <w:pBdr>
          <w:bottom w:val="single" w:color="2E4D8A"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3760"/>
      </w:tblGrid>
      <w:tr>
        <w:tc>
          <w:tcPr>
            <w:tcW w:type="dxa" w:w="12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r>
              <w:rPr>
                <w:rFonts w:ascii="Arial" w:cs="Arial" w:eastAsia="Arial" w:hAnsi="Arial"/>
                <w:b/>
                <w:bCs/>
                <w:color w:val="1B2A4A"/>
                <w:sz w:val="20"/>
                <w:szCs w:val="20"/>
              </w:rPr>
              <w:t xml:space="preserve">Version</w:t>
            </w:r>
          </w:p>
        </w:tc>
        <w:tc>
          <w:tcPr>
            <w:tcW w:type="dxa" w:w="20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r>
              <w:rPr>
                <w:rFonts w:ascii="Arial" w:cs="Arial" w:eastAsia="Arial" w:hAnsi="Arial"/>
                <w:b/>
                <w:bCs/>
                <w:color w:val="1B2A4A"/>
                <w:sz w:val="20"/>
                <w:szCs w:val="20"/>
              </w:rPr>
              <w:t xml:space="preserve">Date</w:t>
            </w:r>
          </w:p>
        </w:tc>
        <w:tc>
          <w:tcPr>
            <w:tcW w:type="dxa" w:w="24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r>
              <w:rPr>
                <w:rFonts w:ascii="Arial" w:cs="Arial" w:eastAsia="Arial" w:hAnsi="Arial"/>
                <w:b/>
                <w:bCs/>
                <w:color w:val="1B2A4A"/>
                <w:sz w:val="20"/>
                <w:szCs w:val="20"/>
              </w:rPr>
              <w:t xml:space="preserve">Author</w:t>
            </w:r>
          </w:p>
        </w:tc>
        <w:tc>
          <w:tcPr>
            <w:tcW w:type="dxa" w:w="376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r>
              <w:rPr>
                <w:rFonts w:ascii="Arial" w:cs="Arial" w:eastAsia="Arial" w:hAnsi="Arial"/>
                <w:b/>
                <w:bCs/>
                <w:color w:val="1B2A4A"/>
                <w:sz w:val="20"/>
                <w:szCs w:val="20"/>
              </w:rPr>
              <w:t xml:space="preserve">Summary of Changes</w:t>
            </w:r>
          </w:p>
        </w:tc>
      </w:tr>
      <w:tr>
        <w:tc>
          <w:tcPr>
            <w:tcW w:type="dxa" w:w="120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1.0</w:t>
            </w:r>
          </w:p>
        </w:tc>
        <w:tc>
          <w:tcPr>
            <w:tcW w:type="dxa" w:w="2000"/>
            <w:tcBorders>
              <w:top w:val="single" w:color="F5A623" w:sz="4"/>
              <w:left w:val="single" w:color="F5A623" w:sz="4"/>
              <w:bottom w:val="single" w:color="F5A623" w:sz="4"/>
              <w:right w:val="single" w:color="F5A623" w:sz="4"/>
            </w:tcBorders>
            <w:shd w:fill="FEF3DC" w:val="clear"/>
            <w:tcMar>
              <w:top w:type="dxa" w:w="80"/>
              <w:left w:type="dxa" w:w="140"/>
              <w:bottom w:type="dxa" w:w="80"/>
              <w:right w:type="dxa" w:w="140"/>
            </w:tcMar>
          </w:tcPr>
          <w:p>
            <w:pPr>
              <w:spacing w:after="0"/>
            </w:pPr>
            <w:r>
              <w:rPr>
                <w:rFonts w:ascii="Arial" w:cs="Arial" w:eastAsia="Arial" w:hAnsi="Arial"/>
                <w:b/>
                <w:bCs/>
                <w:color w:val="F5A623"/>
                <w:sz w:val="22"/>
                <w:szCs w:val="22"/>
              </w:rPr>
              <w:t xml:space="preserve">[EFFECTIVE DATE]</w:t>
            </w:r>
          </w:p>
        </w:tc>
        <w:tc>
          <w:tcPr>
            <w:tcW w:type="dxa" w:w="2400"/>
            <w:tcBorders>
              <w:top w:val="single" w:color="F5A623" w:sz="4"/>
              <w:left w:val="single" w:color="F5A623" w:sz="4"/>
              <w:bottom w:val="single" w:color="F5A623" w:sz="4"/>
              <w:right w:val="single" w:color="F5A623" w:sz="4"/>
            </w:tcBorders>
            <w:shd w:fill="FEF3DC" w:val="clear"/>
            <w:tcMar>
              <w:top w:type="dxa" w:w="80"/>
              <w:left w:type="dxa" w:w="140"/>
              <w:bottom w:type="dxa" w:w="80"/>
              <w:right w:type="dxa" w:w="140"/>
            </w:tcMar>
          </w:tcPr>
          <w:p>
            <w:pPr>
              <w:spacing w:after="0"/>
            </w:pPr>
            <w:r>
              <w:rPr>
                <w:rFonts w:ascii="Arial" w:cs="Arial" w:eastAsia="Arial" w:hAnsi="Arial"/>
                <w:b/>
                <w:bCs/>
                <w:color w:val="F5A623"/>
                <w:sz w:val="22"/>
                <w:szCs w:val="22"/>
              </w:rPr>
              <w:t xml:space="preserve">[POLICY OWNER]</w:t>
            </w:r>
          </w:p>
        </w:tc>
        <w:tc>
          <w:tcPr>
            <w:tcW w:type="dxa" w:w="3760"/>
            <w:tcBorders>
              <w:top w:val="single" w:color="E8E8E8" w:sz="4"/>
              <w:left w:val="single" w:color="E8E8E8" w:sz="4"/>
              <w:bottom w:val="single" w:color="E8E8E8" w:sz="4"/>
              <w:right w:val="single" w:color="E8E8E8"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Initial policy issuance.</w:t>
            </w:r>
          </w:p>
        </w:tc>
      </w:tr>
    </w:tbl>
    <w:p>
      <w:pPr>
        <w:spacing w:after="3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8"/>
              <w:left w:val="single" w:color="4A6FA5" w:sz="8"/>
              <w:bottom w:val="single" w:color="4A6FA5" w:sz="8"/>
              <w:right w:val="single" w:color="4A6FA5" w:sz="8"/>
            </w:tcBorders>
            <w:shd w:fill="EEF4FC" w:val="clear"/>
            <w:tcMar>
              <w:top w:type="dxa" w:w="120"/>
              <w:left w:type="dxa" w:w="200"/>
              <w:bottom w:type="dxa" w:w="120"/>
              <w:right w:type="dxa" w:w="200"/>
            </w:tcMar>
          </w:tcPr>
          <w:p>
            <w:pPr>
              <w:spacing w:after="100"/>
            </w:pPr>
            <w:r>
              <w:rPr>
                <w:rFonts w:ascii="Arial" w:cs="Arial" w:eastAsia="Arial" w:hAnsi="Arial"/>
                <w:b/>
                <w:bCs/>
                <w:color w:val="1B2A4A"/>
                <w:sz w:val="20"/>
                <w:szCs w:val="20"/>
              </w:rPr>
              <w:t xml:space="preserve">Policy Approval</w:t>
            </w:r>
          </w:p>
          <w:p>
            <w:pPr>
              <w:spacing w:after="60"/>
            </w:pPr>
            <w:r>
              <w:rPr>
                <w:rFonts w:ascii="Arial" w:cs="Arial" w:eastAsia="Arial" w:hAnsi="Arial"/>
                <w:b/>
                <w:bCs/>
                <w:color w:val="1B2A4A"/>
                <w:sz w:val="20"/>
                <w:szCs w:val="20"/>
              </w:rPr>
              <w:t xml:space="preserve">Policy Owner:  </w:t>
            </w:r>
            <w:r>
              <w:rPr>
                <w:rFonts w:ascii="Arial" w:cs="Arial" w:eastAsia="Arial" w:hAnsi="Arial"/>
                <w:b/>
                <w:bCs/>
                <w:color w:val="F5A623"/>
                <w:sz w:val="22"/>
                <w:szCs w:val="22"/>
              </w:rPr>
              <w:t xml:space="preserve">[NAME / TITLE]</w:t>
            </w:r>
            <w:r>
              <w:rPr>
                <w:rFonts w:ascii="Arial" w:cs="Arial" w:eastAsia="Arial" w:hAnsi="Arial"/>
                <w:b/>
                <w:bCs/>
                <w:color w:val="1B2A4A"/>
                <w:sz w:val="20"/>
                <w:szCs w:val="20"/>
              </w:rPr>
              <w:t xml:space="preserve">          Date:  </w:t>
            </w:r>
            <w:r>
              <w:rPr>
                <w:rFonts w:ascii="Arial" w:cs="Arial" w:eastAsia="Arial" w:hAnsi="Arial"/>
                <w:b/>
                <w:bCs/>
                <w:color w:val="F5A623"/>
                <w:sz w:val="22"/>
                <w:szCs w:val="22"/>
              </w:rPr>
              <w:t xml:space="preserve">[DATE]</w:t>
            </w:r>
          </w:p>
          <w:p>
            <w:pPr>
              <w:spacing w:after="60"/>
            </w:pPr>
            <w:r>
              <w:rPr>
                <w:rFonts w:ascii="Arial" w:cs="Arial" w:eastAsia="Arial" w:hAnsi="Arial"/>
                <w:b/>
                <w:bCs/>
                <w:color w:val="1B2A4A"/>
                <w:sz w:val="20"/>
                <w:szCs w:val="20"/>
              </w:rPr>
              <w:t xml:space="preserve">Approved By:  </w:t>
            </w:r>
            <w:r>
              <w:rPr>
                <w:rFonts w:ascii="Arial" w:cs="Arial" w:eastAsia="Arial" w:hAnsi="Arial"/>
                <w:b/>
                <w:bCs/>
                <w:color w:val="F5A623"/>
                <w:sz w:val="22"/>
                <w:szCs w:val="22"/>
              </w:rPr>
              <w:t xml:space="preserve">[NAME / TITLE]</w:t>
            </w:r>
            <w:r>
              <w:rPr>
                <w:rFonts w:ascii="Arial" w:cs="Arial" w:eastAsia="Arial" w:hAnsi="Arial"/>
                <w:b/>
                <w:bCs/>
                <w:color w:val="1B2A4A"/>
                <w:sz w:val="20"/>
                <w:szCs w:val="20"/>
              </w:rPr>
              <w:t xml:space="preserve">          Date:  </w:t>
            </w:r>
            <w:r>
              <w:rPr>
                <w:rFonts w:ascii="Arial" w:cs="Arial" w:eastAsia="Arial" w:hAnsi="Arial"/>
                <w:b/>
                <w:bCs/>
                <w:color w:val="F5A623"/>
                <w:sz w:val="22"/>
                <w:szCs w:val="22"/>
              </w:rPr>
              <w:t xml:space="preserve">[DATE]</w:t>
            </w:r>
          </w:p>
          <w:p>
            <w:pPr>
              <w:spacing w:after="0"/>
            </w:pPr>
            <w:r>
              <w:rPr>
                <w:rFonts w:ascii="Arial" w:cs="Arial" w:eastAsia="Arial" w:hAnsi="Arial"/>
                <w:b/>
                <w:bCs/>
                <w:color w:val="1B2A4A"/>
                <w:sz w:val="20"/>
                <w:szCs w:val="20"/>
              </w:rPr>
              <w:t xml:space="preserve">Compliance Review:  </w:t>
            </w:r>
            <w:r>
              <w:rPr>
                <w:rFonts w:ascii="Arial" w:cs="Arial" w:eastAsia="Arial" w:hAnsi="Arial"/>
                <w:b/>
                <w:bCs/>
                <w:color w:val="F5A623"/>
                <w:sz w:val="22"/>
                <w:szCs w:val="22"/>
              </w:rPr>
              <w:t xml:space="preserve">[NAME / TITLE]</w:t>
            </w:r>
            <w:r>
              <w:rPr>
                <w:rFonts w:ascii="Arial" w:cs="Arial" w:eastAsia="Arial" w:hAnsi="Arial"/>
                <w:b/>
                <w:bCs/>
                <w:color w:val="1B2A4A"/>
                <w:sz w:val="20"/>
                <w:szCs w:val="20"/>
              </w:rPr>
              <w:t xml:space="preserve">          Date:  </w:t>
            </w:r>
            <w:r>
              <w:rPr>
                <w:rFonts w:ascii="Arial" w:cs="Arial" w:eastAsia="Arial" w:hAnsi="Arial"/>
                <w:b/>
                <w:bCs/>
                <w:color w:val="F5A623"/>
                <w:sz w:val="22"/>
                <w:szCs w:val="22"/>
              </w:rPr>
              <w:t xml:space="preserve">[DATE]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6FA5" w:sz="4" w:space="1"/>
      </w:pBdr>
      <w:tabs>
        <w:tab w:val="right" w:pos="9026"/>
      </w:tabs>
      <w:spacing w:before="120"/>
    </w:pPr>
    <w:r>
      <w:rPr>
        <w:rFonts w:ascii="Arial" w:cs="Arial" w:eastAsia="Arial" w:hAnsi="Arial"/>
        <w:b/>
        <w:bCs/>
        <w:color w:val="1B2A4A"/>
        <w:sz w:val="18"/>
        <w:szCs w:val="18"/>
      </w:rPr>
      <w:t xml:space="preserve">CONFIDENTIAL — INTERNAL USE ONLY</w:t>
    </w:r>
    <w:r>
      <w:rPr>
        <w:rFonts w:ascii="Arial" w:cs="Arial" w:eastAsia="Arial" w:hAnsi="Arial"/>
        <w:color w:val="5A5A5A"/>
        <w:sz w:val="18"/>
        <w:szCs w:val="18"/>
      </w:rPr>
      <w:t xml:space="preserve">	Do not distribute outside the Organization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6FA5" w:sz="4" w:space="1"/>
      </w:pBdr>
      <w:tabs>
        <w:tab w:val="right" w:pos="9026"/>
      </w:tabs>
      <w:spacing w:after="120"/>
    </w:pPr>
    <w:r>
      <w:rPr>
        <w:rFonts w:ascii="Arial" w:cs="Arial" w:eastAsia="Arial" w:hAnsi="Arial"/>
        <w:color w:val="5A5A5A"/>
        <w:sz w:val="18"/>
        <w:szCs w:val="18"/>
      </w:rPr>
      <w:t xml:space="preserve">Model Documentation Minimum Standards Policy  |  Internal</w:t>
    </w:r>
    <w:r>
      <w:rPr>
        <w:rFonts w:ascii="Arial" w:cs="Arial" w:eastAsia="Arial" w:hAnsi="Arial"/>
        <w:color w:val="5A5A5A"/>
        <w:sz w:val="18"/>
        <w:szCs w:val="18"/>
      </w:rPr>
      <w:t xml:space="preserve">	v1.0  ·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2A4A"/>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4D8A"/>
      <w:sz w:val="24"/>
      <w:szCs w:val="24"/>
    </w:rPr>
  </w:style>
  <w:style w:type="paragraph" w:styleId="Heading3">
    <w:name w:val="Heading 3"/>
    <w:basedOn w:val="Normal"/>
    <w:next w:val="Normal"/>
    <w:qFormat/>
    <w:pPr>
      <w:spacing w:after="80" w:before="180"/>
      <w:outlineLvl w:val="2"/>
    </w:pPr>
    <w:rPr>
      <w:rFonts w:ascii="Arial" w:cs="Arial" w:eastAsia="Arial" w:hAnsi="Arial"/>
      <w:b/>
      <w:bCs/>
      <w:color w:val="4A6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2026-06-01T05:06:00.692Z</dcterms:created>
  <dcterms:modified xsi:type="dcterms:W3CDTF">2026-06-01T05:06:00.693Z</dcterms:modified>
</cp:coreProperties>
</file>

<file path=docProps/custom.xml><?xml version="1.0" encoding="utf-8"?>
<Properties xmlns="http://schemas.openxmlformats.org/officeDocument/2006/custom-properties" xmlns:vt="http://schemas.openxmlformats.org/officeDocument/2006/docPropsVTypes"/>
</file>