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2A4A" w:sz="24"/>
              <w:left w:val="single" w:color="1B2A4A" w:sz="24"/>
              <w:bottom w:val="single" w:color="1A6B6B" w:sz="24"/>
              <w:right w:val="single" w:color="1B2A4A" w:sz="24"/>
            </w:tcBorders>
            <w:shd w:fill="1B2A4A" w:val="clear"/>
            <w:tcMar>
              <w:top w:type="dxa" w:w="520"/>
              <w:left w:type="dxa" w:w="560"/>
              <w:bottom w:type="dxa" w:w="520"/>
              <w:right w:type="dxa" w:w="560"/>
            </w:tcMar>
          </w:tcPr>
          <w:p>
            <w:pPr>
              <w:spacing w:after="60"/>
              <w:jc w:val="left"/>
            </w:pPr>
            <w:r>
              <w:rPr>
                <w:rFonts w:ascii="Arial" w:cs="Arial" w:eastAsia="Arial" w:hAnsi="Arial"/>
                <w:b/>
                <w:bCs/>
                <w:caps/>
                <w:color w:val="1A6B6B"/>
                <w:sz w:val="28"/>
                <w:szCs w:val="28"/>
              </w:rPr>
              <w:t xml:space="preserve">MODEL CARD</w:t>
            </w:r>
          </w:p>
          <w:p>
            <w:pPr>
              <w:spacing w:after="200"/>
              <w:jc w:val="left"/>
            </w:pPr>
            <w:r>
              <w:rPr>
                <w:rFonts w:ascii="Arial" w:cs="Arial" w:eastAsia="Arial" w:hAnsi="Arial"/>
                <w:b/>
                <w:bCs/>
                <w:color w:val="FFFFFF"/>
                <w:sz w:val="52"/>
                <w:szCs w:val="52"/>
              </w:rPr>
              <w:t xml:space="preserve">Intraday Volatility Forecast Model</w:t>
            </w:r>
          </w:p>
          <w:p>
            <w:pPr>
              <w:spacing w:after="80"/>
              <w:jc w:val="left"/>
            </w:pPr>
            <w:r>
              <w:rPr>
                <w:rFonts w:ascii="Arial" w:cs="Arial" w:eastAsia="Arial" w:hAnsi="Arial"/>
                <w:color w:val="D6E4F7"/>
                <w:sz w:val="22"/>
                <w:szCs w:val="22"/>
              </w:rPr>
              <w:t xml:space="preserve">IVFM-EQ-001  ·  Version 2.3  ·  Risk Classification: Tier 1 — High Risk</w:t>
            </w:r>
          </w:p>
          <w:p>
            <w:pPr>
              <w:spacing w:after="0"/>
              <w:jc w:val="left"/>
            </w:pPr>
            <w:r>
              <w:rPr>
                <w:rFonts w:ascii="Arial" w:cs="Arial" w:eastAsia="Arial" w:hAnsi="Arial"/>
                <w:color w:val="D6E4F7"/>
                <w:sz w:val="22"/>
                <w:szCs w:val="22"/>
              </w:rPr>
              <w:t xml:space="preserve">Quantitative Strategies Group  ·  Technology Division  ·  Internal Use Only</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000"/>
        <w:gridCol w:w="2680"/>
      </w:tblGrid>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Model ID</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IVFM-EQ-001</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Version</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2.3</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Model Name</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Intraday Volatility Forecast Model</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Status</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bCs/>
                <w:color w:val="1B6B3A"/>
                <w:sz w:val="20"/>
                <w:szCs w:val="20"/>
              </w:rPr>
              <w:t xml:space="preserve">Production — Active</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Risk Classification</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bCs/>
                <w:color w:val="8B1A1A"/>
                <w:sz w:val="20"/>
                <w:szCs w:val="20"/>
              </w:rPr>
              <w:t xml:space="preserve">Tier 1 — High Risk</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Trading Floor Surface</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bCs/>
                <w:color w:val="8B1A1A"/>
                <w:sz w:val="20"/>
                <w:szCs w:val="20"/>
              </w:rPr>
              <w:t xml:space="preserve">Yes</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Model Owner</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Head of Quantitative Strategies</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Team</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Quantitative Strategies Group</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Documentation Author</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Technical Documentation Function</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Last Updated</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15 May 2025</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Effective Date</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01 March 2024</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Next Review Date</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01 March 2026</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Approved By (Model Owner)</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Head of Quantitative Strategies</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Approval Date</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28 February 2024</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Approved By (Model Risk)</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Head of Model Risk</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Approval Date</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28 February 2024</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Storage Location</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Confluence: /model-docs/IVFM-EQ-001</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Document ID</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MC-2024-0031</w:t>
            </w:r>
          </w:p>
        </w:tc>
      </w:tr>
      <w:tr>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AI-Assisted Drafting</w:t>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Yes — draft sections produced using approved internal AI tooling. All content verified against source material by documentation author and model owner.</w:t>
            </w:r>
          </w:p>
        </w:tc>
        <w:tc>
          <w:tcPr>
            <w:tcW w:type="dxa" w:w="2000"/>
            <w:tcBorders>
              <w:top w:val="single" w:color="E0E0E0" w:sz="4"/>
              <w:left w:val="single" w:color="E0E0E0" w:sz="4"/>
              <w:bottom w:val="single" w:color="E0E0E0" w:sz="4"/>
              <w:right w:val="single" w:color="E0E0E0" w:sz="4"/>
            </w:tcBorders>
            <w:shd w:fill="D6E4F7" w:val="clear"/>
            <w:tcMar>
              <w:top w:type="dxa" w:w="60"/>
              <w:left w:type="dxa" w:w="120"/>
              <w:bottom w:type="dxa" w:w="60"/>
              <w:right w:type="dxa" w:w="120"/>
            </w:tcMar>
          </w:tcPr>
          <w:p>
            <w:pPr>
              <w:spacing w:after="0"/>
            </w:pPr>
            <w:r>
              <w:rPr>
                <w:rFonts w:ascii="Arial" w:cs="Arial" w:eastAsia="Arial" w:hAnsi="Arial"/>
                <w:b/>
                <w:bCs/>
                <w:color w:val="1B2A4A"/>
                <w:sz w:val="20"/>
                <w:szCs w:val="20"/>
              </w:rPr>
              <w:t xml:space="preserve"/>
            </w:r>
          </w:p>
        </w:tc>
        <w:tc>
          <w:tcPr>
            <w:tcW w:type="dxa" w:w="2680"/>
            <w:tcBorders>
              <w:top w:val="single" w:color="E0E0E0" w:sz="4"/>
              <w:left w:val="single" w:color="E0E0E0" w:sz="4"/>
              <w:bottom w:val="single" w:color="E0E0E0" w:sz="4"/>
              <w:right w:val="single" w:color="E0E0E0" w:sz="4"/>
            </w:tcBorders>
            <w:shd w:fill="FFFFFF" w:val="clear"/>
            <w:tcMar>
              <w:top w:type="dxa" w:w="60"/>
              <w:left w:type="dxa" w:w="120"/>
              <w:bottom w:type="dxa" w:w="60"/>
              <w:right w:type="dxa" w:w="120"/>
            </w:tcMar>
          </w:tcPr>
          <w:p>
            <w:pPr>
              <w:spacing w:after="0"/>
            </w:pPr>
            <w:r>
              <w:rPr>
                <w:rFonts w:ascii="Arial" w:cs="Arial" w:eastAsia="Arial" w:hAnsi="Arial"/>
                <w:b w:val="false"/>
                <w:bCs w:val="false"/>
                <w:color w:val="1A1A1A"/>
                <w:sz w:val="20"/>
                <w:szCs w:val="20"/>
              </w:rPr>
              <w:t xml:space="preserve"/>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8"/>
              <w:left w:val="single" w:color="8B1A1A" w:sz="8"/>
              <w:bottom w:val="single" w:color="8B1A1A" w:sz="8"/>
              <w:right w:val="single" w:color="8B1A1A" w:sz="8"/>
            </w:tcBorders>
            <w:shd w:fill="FDEAEA" w:val="clear"/>
            <w:tcMar>
              <w:top w:type="dxa" w:w="120"/>
              <w:left w:type="dxa" w:w="200"/>
              <w:bottom w:type="dxa" w:w="120"/>
              <w:right w:type="dxa" w:w="200"/>
            </w:tcMar>
          </w:tcPr>
          <w:p>
            <w:pPr>
              <w:spacing w:after="60"/>
            </w:pPr>
            <w:r>
              <w:rPr>
                <w:rFonts w:ascii="Arial" w:cs="Arial" w:eastAsia="Arial" w:hAnsi="Arial"/>
                <w:b/>
                <w:bCs/>
                <w:color w:val="8B1A1A"/>
                <w:sz w:val="20"/>
                <w:szCs w:val="20"/>
              </w:rPr>
              <w:t xml:space="preserve">TIER 1 — HIGH RISK MODEL</w:t>
            </w:r>
          </w:p>
          <w:p>
            <w:pPr>
              <w:spacing w:after="60"/>
            </w:pPr>
            <w:r>
              <w:rPr>
                <w:rFonts w:ascii="Arial" w:cs="Arial" w:eastAsia="Arial" w:hAnsi="Arial"/>
                <w:color w:val="1A1A1A"/>
                <w:sz w:val="20"/>
                <w:szCs w:val="20"/>
              </w:rPr>
              <w:t xml:space="preserve">This model's outputs have direct trading floor surface area. All outputs inform intraday position sizing and risk limit calibration. Human oversight is mandatory before any output is acted upon. See Section 7 for full oversight requirements.</w:t>
            </w:r>
          </w:p>
        </w:tc>
      </w:tr>
    </w:tbl>
    <w:p>
      <w:pPr>
        <w:spacing w:after="400" w:before="0"/>
      </w:pPr>
      <w:r>
        <w:t xml:space="preserve"/>
      </w:r>
    </w:p>
    <w:p>
      <w:pPr>
        <w:pStyle w:val="Heading1"/>
        <w:spacing w:after="120" w:before="320"/>
      </w:pPr>
      <w:r>
        <w:rPr>
          <w:rFonts w:ascii="Arial" w:cs="Arial" w:eastAsia="Arial" w:hAnsi="Arial"/>
          <w:b/>
          <w:bCs/>
          <w:color w:val="1B2A4A"/>
          <w:sz w:val="28"/>
          <w:szCs w:val="28"/>
        </w:rPr>
        <w:t xml:space="preserve">1.  Model Overview</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The Intraday Volatility Forecast Model (IVFM-EQ-001) is a supervised machine learning model that generates short-horizon forecasts of realized intraday volatility for the firm's equity universe. Forecasts are produced at 5-minute intervals across the trading session and are used by the trading desk to calibrate intraday risk limits, inform position sizing decisions, and trigger escalation protocols when volatility thresholds are breached.</w:t>
      </w:r>
    </w:p>
    <w:p>
      <w:pPr>
        <w:spacing w:after="80" w:before="0"/>
      </w:pPr>
      <w:r>
        <w:t xml:space="preserve"/>
      </w:r>
    </w:p>
    <w:p>
      <w:pPr>
        <w:spacing w:after="140" w:before="0"/>
      </w:pPr>
      <w:r>
        <w:rPr>
          <w:rFonts w:ascii="Arial" w:cs="Arial" w:eastAsia="Arial" w:hAnsi="Arial"/>
          <w:color w:val="1A1A1A"/>
          <w:sz w:val="22"/>
          <w:szCs w:val="22"/>
        </w:rPr>
        <w:t xml:space="preserve">The model was developed by the Quantitative Strategies Group and is maintained by the same team. Documentation is produced and maintained by the Technical Documentation Function in accordance with the Model Documentation Minimum Standards Policy v1.0.</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2.  Intended Use</w:t>
      </w:r>
    </w:p>
    <w:p>
      <w:pPr>
        <w:pBdr>
          <w:bottom w:val="single" w:color="4A6FA5" w:sz="6" w:space="1"/>
        </w:pBdr>
        <w:spacing w:after="160" w:before="0"/>
      </w:pPr>
    </w:p>
    <w:p>
      <w:pPr>
        <w:pStyle w:val="Heading2"/>
        <w:spacing w:after="80" w:before="200"/>
      </w:pPr>
      <w:r>
        <w:rPr>
          <w:rFonts w:ascii="Arial" w:cs="Arial" w:eastAsia="Arial" w:hAnsi="Arial"/>
          <w:b/>
          <w:bCs/>
          <w:color w:val="2E4D8A"/>
          <w:sz w:val="24"/>
          <w:szCs w:val="24"/>
        </w:rPr>
        <w:t xml:space="preserve">2.1  In-Scope Uses</w:t>
      </w:r>
    </w:p>
    <w:p>
      <w:pPr>
        <w:spacing w:after="140" w:before="0"/>
      </w:pPr>
      <w:r>
        <w:rPr>
          <w:rFonts w:ascii="Arial" w:cs="Arial" w:eastAsia="Arial" w:hAnsi="Arial"/>
          <w:color w:val="1A1A1A"/>
          <w:sz w:val="22"/>
          <w:szCs w:val="22"/>
        </w:rPr>
        <w:t xml:space="preserve">This model is designed and validated for the following uses only:</w:t>
      </w:r>
    </w:p>
    <w:p>
      <w:pPr>
        <w:pStyle w:val="ListParagraph"/>
        <w:numPr>
          <w:ilvl w:val="0"/>
          <w:numId w:val="2"/>
        </w:numPr>
        <w:spacing w:after="80" w:before="0"/>
      </w:pPr>
      <w:r>
        <w:rPr>
          <w:rFonts w:ascii="Arial" w:cs="Arial" w:eastAsia="Arial" w:hAnsi="Arial"/>
          <w:color w:val="1A1A1A"/>
          <w:sz w:val="22"/>
          <w:szCs w:val="22"/>
        </w:rPr>
        <w:t xml:space="preserve">Intraday risk limit calibration: outputs used as one input into the desk's dynamic risk limit framework. Not the sole input.</w:t>
      </w:r>
    </w:p>
    <w:p>
      <w:pPr>
        <w:pStyle w:val="ListParagraph"/>
        <w:numPr>
          <w:ilvl w:val="0"/>
          <w:numId w:val="2"/>
        </w:numPr>
        <w:spacing w:after="80" w:before="0"/>
      </w:pPr>
      <w:r>
        <w:rPr>
          <w:rFonts w:ascii="Arial" w:cs="Arial" w:eastAsia="Arial" w:hAnsi="Arial"/>
          <w:color w:val="1A1A1A"/>
          <w:sz w:val="22"/>
          <w:szCs w:val="22"/>
        </w:rPr>
        <w:t xml:space="preserve">Position sizing support: outputs used to inform, not determine, position size recommendations. Final sizing decisions rest with the desk risk manager.</w:t>
      </w:r>
    </w:p>
    <w:p>
      <w:pPr>
        <w:pStyle w:val="ListParagraph"/>
        <w:numPr>
          <w:ilvl w:val="0"/>
          <w:numId w:val="2"/>
        </w:numPr>
        <w:spacing w:after="80" w:before="0"/>
      </w:pPr>
      <w:r>
        <w:rPr>
          <w:rFonts w:ascii="Arial" w:cs="Arial" w:eastAsia="Arial" w:hAnsi="Arial"/>
          <w:color w:val="1A1A1A"/>
          <w:sz w:val="22"/>
          <w:szCs w:val="22"/>
        </w:rPr>
        <w:t xml:space="preserve">Volatility threshold monitoring: outputs used to trigger escalation alerts when forecast volatility exceeds pre-defined thresholds.</w:t>
      </w:r>
    </w:p>
    <w:p>
      <w:pPr>
        <w:pStyle w:val="ListParagraph"/>
        <w:numPr>
          <w:ilvl w:val="0"/>
          <w:numId w:val="2"/>
        </w:numPr>
        <w:spacing w:after="80" w:before="0"/>
      </w:pPr>
      <w:r>
        <w:rPr>
          <w:rFonts w:ascii="Arial" w:cs="Arial" w:eastAsia="Arial" w:hAnsi="Arial"/>
          <w:color w:val="1A1A1A"/>
          <w:sz w:val="22"/>
          <w:szCs w:val="22"/>
        </w:rPr>
        <w:t xml:space="preserve">Internal quantitative research: outputs used as a feature or benchmark in internal research pipelines, subject to the constraints in Section 2.2.</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2.2  Out-of-Scope Uses</w:t>
      </w:r>
    </w:p>
    <w:p>
      <w:pPr>
        <w:spacing w:after="140" w:before="0"/>
      </w:pPr>
      <w:r>
        <w:rPr>
          <w:rFonts w:ascii="Arial" w:cs="Arial" w:eastAsia="Arial" w:hAnsi="Arial"/>
          <w:color w:val="1A1A1A"/>
          <w:sz w:val="22"/>
          <w:szCs w:val="22"/>
        </w:rPr>
        <w:t xml:space="preserve">The following uses are explicitly outside the scope of this model's design and validation. Use of this model for any of the following purposes is prohibited without prior revalidation and updated sign-off:</w:t>
      </w:r>
    </w:p>
    <w:p>
      <w:pPr>
        <w:pStyle w:val="ListParagraph"/>
        <w:numPr>
          <w:ilvl w:val="0"/>
          <w:numId w:val="2"/>
        </w:numPr>
        <w:spacing w:after="80" w:before="0"/>
      </w:pPr>
      <w:r>
        <w:rPr>
          <w:rFonts w:ascii="Arial" w:cs="Arial" w:eastAsia="Arial" w:hAnsi="Arial"/>
          <w:color w:val="1A1A1A"/>
          <w:sz w:val="22"/>
          <w:szCs w:val="22"/>
        </w:rPr>
        <w:t xml:space="preserve">Forecasting volatility for instruments outside the equity asset class (fixed income, FX, commodities, derivatives).</w:t>
      </w:r>
    </w:p>
    <w:p>
      <w:pPr>
        <w:pStyle w:val="ListParagraph"/>
        <w:numPr>
          <w:ilvl w:val="0"/>
          <w:numId w:val="2"/>
        </w:numPr>
        <w:spacing w:after="80" w:before="0"/>
      </w:pPr>
      <w:r>
        <w:rPr>
          <w:rFonts w:ascii="Arial" w:cs="Arial" w:eastAsia="Arial" w:hAnsi="Arial"/>
          <w:color w:val="1A1A1A"/>
          <w:sz w:val="22"/>
          <w:szCs w:val="22"/>
        </w:rPr>
        <w:t xml:space="preserve">Overnight or multi-day volatility forecasting. The model is calibrated for intraday horizons only.</w:t>
      </w:r>
    </w:p>
    <w:p>
      <w:pPr>
        <w:pStyle w:val="ListParagraph"/>
        <w:numPr>
          <w:ilvl w:val="0"/>
          <w:numId w:val="2"/>
        </w:numPr>
        <w:spacing w:after="80" w:before="0"/>
      </w:pPr>
      <w:r>
        <w:rPr>
          <w:rFonts w:ascii="Arial" w:cs="Arial" w:eastAsia="Arial" w:hAnsi="Arial"/>
          <w:color w:val="1A1A1A"/>
          <w:sz w:val="22"/>
          <w:szCs w:val="22"/>
        </w:rPr>
        <w:t xml:space="preserve">Autonomous or automated trade execution without human review at each decision point.</w:t>
      </w:r>
    </w:p>
    <w:p>
      <w:pPr>
        <w:pStyle w:val="ListParagraph"/>
        <w:numPr>
          <w:ilvl w:val="0"/>
          <w:numId w:val="2"/>
        </w:numPr>
        <w:spacing w:after="80" w:before="0"/>
      </w:pPr>
      <w:r>
        <w:rPr>
          <w:rFonts w:ascii="Arial" w:cs="Arial" w:eastAsia="Arial" w:hAnsi="Arial"/>
          <w:color w:val="1A1A1A"/>
          <w:sz w:val="22"/>
          <w:szCs w:val="22"/>
        </w:rPr>
        <w:t xml:space="preserve">Client-facing reporting or external disclosure of any kind.</w:t>
      </w:r>
    </w:p>
    <w:p>
      <w:pPr>
        <w:pStyle w:val="ListParagraph"/>
        <w:numPr>
          <w:ilvl w:val="0"/>
          <w:numId w:val="2"/>
        </w:numPr>
        <w:spacing w:after="80" w:before="0"/>
      </w:pPr>
      <w:r>
        <w:rPr>
          <w:rFonts w:ascii="Arial" w:cs="Arial" w:eastAsia="Arial" w:hAnsi="Arial"/>
          <w:color w:val="1A1A1A"/>
          <w:sz w:val="22"/>
          <w:szCs w:val="22"/>
        </w:rPr>
        <w:t xml:space="preserve">Use as a standalone input for regulatory capital calculations.</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3.  Model Architecture and Methodology</w:t>
      </w:r>
    </w:p>
    <w:p>
      <w:pPr>
        <w:pBdr>
          <w:bottom w:val="single" w:color="4A6FA5" w:sz="6" w:space="1"/>
        </w:pBdr>
        <w:spacing w:after="160" w:before="0"/>
      </w:pPr>
    </w:p>
    <w:p>
      <w:pPr>
        <w:pStyle w:val="Heading2"/>
        <w:spacing w:after="80" w:before="200"/>
      </w:pPr>
      <w:r>
        <w:rPr>
          <w:rFonts w:ascii="Arial" w:cs="Arial" w:eastAsia="Arial" w:hAnsi="Arial"/>
          <w:b/>
          <w:bCs/>
          <w:color w:val="2E4D8A"/>
          <w:sz w:val="24"/>
          <w:szCs w:val="24"/>
        </w:rPr>
        <w:t xml:space="preserve">3.1  Architecture</w:t>
      </w:r>
    </w:p>
    <w:p>
      <w:pPr>
        <w:spacing w:after="140" w:before="0"/>
      </w:pPr>
      <w:r>
        <w:rPr>
          <w:rFonts w:ascii="Arial" w:cs="Arial" w:eastAsia="Arial" w:hAnsi="Arial"/>
          <w:color w:val="1A1A1A"/>
          <w:sz w:val="22"/>
          <w:szCs w:val="22"/>
        </w:rPr>
        <w:t xml:space="preserve">IVFM-EQ-001 is a Long Short-Term Memory (LSTM) recurrent neural network with the following configuration:</w:t>
      </w:r>
    </w:p>
    <w:p>
      <w:pPr>
        <w:pStyle w:val="ListParagraph"/>
        <w:numPr>
          <w:ilvl w:val="0"/>
          <w:numId w:val="2"/>
        </w:numPr>
        <w:spacing w:after="80" w:before="0"/>
      </w:pPr>
      <w:r>
        <w:rPr>
          <w:rFonts w:ascii="Arial" w:cs="Arial" w:eastAsia="Arial" w:hAnsi="Arial"/>
          <w:color w:val="1A1A1A"/>
          <w:sz w:val="22"/>
          <w:szCs w:val="22"/>
        </w:rPr>
        <w:t xml:space="preserve">Architecture: 3-layer LSTM with 128 hidden units per layer, followed by a fully connected output layer.</w:t>
      </w:r>
    </w:p>
    <w:p>
      <w:pPr>
        <w:pStyle w:val="ListParagraph"/>
        <w:numPr>
          <w:ilvl w:val="0"/>
          <w:numId w:val="2"/>
        </w:numPr>
        <w:spacing w:after="80" w:before="0"/>
      </w:pPr>
      <w:r>
        <w:rPr>
          <w:rFonts w:ascii="Arial" w:cs="Arial" w:eastAsia="Arial" w:hAnsi="Arial"/>
          <w:color w:val="1A1A1A"/>
          <w:sz w:val="22"/>
          <w:szCs w:val="22"/>
        </w:rPr>
        <w:t xml:space="preserve">Input sequence length: 60 time steps (5 hours of 5-minute observations).</w:t>
      </w:r>
    </w:p>
    <w:p>
      <w:pPr>
        <w:pStyle w:val="ListParagraph"/>
        <w:numPr>
          <w:ilvl w:val="0"/>
          <w:numId w:val="2"/>
        </w:numPr>
        <w:spacing w:after="80" w:before="0"/>
      </w:pPr>
      <w:r>
        <w:rPr>
          <w:rFonts w:ascii="Arial" w:cs="Arial" w:eastAsia="Arial" w:hAnsi="Arial"/>
          <w:color w:val="1A1A1A"/>
          <w:sz w:val="22"/>
          <w:szCs w:val="22"/>
        </w:rPr>
        <w:t xml:space="preserve">Output: scalar forecast of realized volatility (annualized) for the subsequent 5-minute window.</w:t>
      </w:r>
    </w:p>
    <w:p>
      <w:pPr>
        <w:pStyle w:val="ListParagraph"/>
        <w:numPr>
          <w:ilvl w:val="0"/>
          <w:numId w:val="2"/>
        </w:numPr>
        <w:spacing w:after="80" w:before="0"/>
      </w:pPr>
      <w:r>
        <w:rPr>
          <w:rFonts w:ascii="Arial" w:cs="Arial" w:eastAsia="Arial" w:hAnsi="Arial"/>
          <w:color w:val="1A1A1A"/>
          <w:sz w:val="22"/>
          <w:szCs w:val="22"/>
        </w:rPr>
        <w:t xml:space="preserve">Loss function: Mean Squared Error (MSE) with L2 regularization (λ = 0.001).</w:t>
      </w:r>
    </w:p>
    <w:p>
      <w:pPr>
        <w:pStyle w:val="ListParagraph"/>
        <w:numPr>
          <w:ilvl w:val="0"/>
          <w:numId w:val="2"/>
        </w:numPr>
        <w:spacing w:after="80" w:before="0"/>
      </w:pPr>
      <w:r>
        <w:rPr>
          <w:rFonts w:ascii="Arial" w:cs="Arial" w:eastAsia="Arial" w:hAnsi="Arial"/>
          <w:color w:val="1A1A1A"/>
          <w:sz w:val="22"/>
          <w:szCs w:val="22"/>
        </w:rPr>
        <w:t xml:space="preserve">Optimizer: Adam (learning rate = 0.0005, decay schedule applied).</w:t>
      </w:r>
    </w:p>
    <w:p>
      <w:pPr>
        <w:pStyle w:val="ListParagraph"/>
        <w:numPr>
          <w:ilvl w:val="0"/>
          <w:numId w:val="2"/>
        </w:numPr>
        <w:spacing w:after="80" w:before="0"/>
      </w:pPr>
      <w:r>
        <w:rPr>
          <w:rFonts w:ascii="Arial" w:cs="Arial" w:eastAsia="Arial" w:hAnsi="Arial"/>
          <w:color w:val="1A1A1A"/>
          <w:sz w:val="22"/>
          <w:szCs w:val="22"/>
        </w:rPr>
        <w:t xml:space="preserve">Training framework: PyTorch 2.0. Model artefacts stored in [MODEL ARTEFACT REPOSITORY PLACEHOLDER].</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3.2  Feature Engineering</w:t>
      </w:r>
    </w:p>
    <w:p>
      <w:pPr>
        <w:spacing w:after="140" w:before="0"/>
      </w:pPr>
      <w:r>
        <w:rPr>
          <w:rFonts w:ascii="Arial" w:cs="Arial" w:eastAsia="Arial" w:hAnsi="Arial"/>
          <w:color w:val="1A1A1A"/>
          <w:sz w:val="22"/>
          <w:szCs w:val="22"/>
        </w:rPr>
        <w:t xml:space="preserve">Input features are derived from the data sources described in Section 4. Feature construction includes:</w:t>
      </w:r>
    </w:p>
    <w:p>
      <w:pPr>
        <w:pStyle w:val="ListParagraph"/>
        <w:numPr>
          <w:ilvl w:val="0"/>
          <w:numId w:val="2"/>
        </w:numPr>
        <w:spacing w:after="80" w:before="0"/>
      </w:pPr>
      <w:r>
        <w:rPr>
          <w:rFonts w:ascii="Arial" w:cs="Arial" w:eastAsia="Arial" w:hAnsi="Arial"/>
          <w:color w:val="1A1A1A"/>
          <w:sz w:val="22"/>
          <w:szCs w:val="22"/>
        </w:rPr>
        <w:t xml:space="preserve">5-minute realized volatility (log-transformed): primary target-adjacent feature.</w:t>
      </w:r>
    </w:p>
    <w:p>
      <w:pPr>
        <w:pStyle w:val="ListParagraph"/>
        <w:numPr>
          <w:ilvl w:val="0"/>
          <w:numId w:val="2"/>
        </w:numPr>
        <w:spacing w:after="80" w:before="0"/>
      </w:pPr>
      <w:r>
        <w:rPr>
          <w:rFonts w:ascii="Arial" w:cs="Arial" w:eastAsia="Arial" w:hAnsi="Arial"/>
          <w:color w:val="1A1A1A"/>
          <w:sz w:val="22"/>
          <w:szCs w:val="22"/>
        </w:rPr>
        <w:t xml:space="preserve">Volume-weighted order imbalance: rolling 5-period and 20-period windows.</w:t>
      </w:r>
    </w:p>
    <w:p>
      <w:pPr>
        <w:pStyle w:val="ListParagraph"/>
        <w:numPr>
          <w:ilvl w:val="0"/>
          <w:numId w:val="2"/>
        </w:numPr>
        <w:spacing w:after="80" w:before="0"/>
      </w:pPr>
      <w:r>
        <w:rPr>
          <w:rFonts w:ascii="Arial" w:cs="Arial" w:eastAsia="Arial" w:hAnsi="Arial"/>
          <w:color w:val="1A1A1A"/>
          <w:sz w:val="22"/>
          <w:szCs w:val="22"/>
        </w:rPr>
        <w:t xml:space="preserve">Bid-ask spread percentile: normalized against 30-day distribution.</w:t>
      </w:r>
    </w:p>
    <w:p>
      <w:pPr>
        <w:pStyle w:val="ListParagraph"/>
        <w:numPr>
          <w:ilvl w:val="0"/>
          <w:numId w:val="2"/>
        </w:numPr>
        <w:spacing w:after="80" w:before="0"/>
      </w:pPr>
      <w:r>
        <w:rPr>
          <w:rFonts w:ascii="Arial" w:cs="Arial" w:eastAsia="Arial" w:hAnsi="Arial"/>
          <w:color w:val="1A1A1A"/>
          <w:sz w:val="22"/>
          <w:szCs w:val="22"/>
        </w:rPr>
        <w:t xml:space="preserve">Macro event proximity indicator: binary flag with a T-1 to T+1 window around scheduled events.</w:t>
      </w:r>
    </w:p>
    <w:p>
      <w:pPr>
        <w:pStyle w:val="ListParagraph"/>
        <w:numPr>
          <w:ilvl w:val="0"/>
          <w:numId w:val="2"/>
        </w:numPr>
        <w:spacing w:after="80" w:before="0"/>
      </w:pPr>
      <w:r>
        <w:rPr>
          <w:rFonts w:ascii="Arial" w:cs="Arial" w:eastAsia="Arial" w:hAnsi="Arial"/>
          <w:color w:val="1A1A1A"/>
          <w:sz w:val="22"/>
          <w:szCs w:val="22"/>
        </w:rPr>
        <w:t xml:space="preserve">Net desk exposure (lagged one session): normalized to USD notional.</w:t>
      </w:r>
    </w:p>
    <w:p>
      <w:pPr>
        <w:pStyle w:val="ListParagraph"/>
        <w:numPr>
          <w:ilvl w:val="0"/>
          <w:numId w:val="2"/>
        </w:numPr>
        <w:spacing w:after="80" w:before="0"/>
      </w:pPr>
      <w:r>
        <w:rPr>
          <w:rFonts w:ascii="Arial" w:cs="Arial" w:eastAsia="Arial" w:hAnsi="Arial"/>
          <w:color w:val="1A1A1A"/>
          <w:sz w:val="22"/>
          <w:szCs w:val="22"/>
        </w:rPr>
        <w:t xml:space="preserve">Time-of-day cyclical encoding: sine/cosine transformation of session minute.</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3.3  Training Methodology</w:t>
      </w:r>
    </w:p>
    <w:p>
      <w:pPr>
        <w:spacing w:after="140" w:before="0"/>
      </w:pPr>
      <w:r>
        <w:rPr>
          <w:rFonts w:ascii="Arial" w:cs="Arial" w:eastAsia="Arial" w:hAnsi="Arial"/>
          <w:color w:val="1A1A1A"/>
          <w:sz w:val="22"/>
          <w:szCs w:val="22"/>
        </w:rPr>
        <w:t xml:space="preserve">The model was trained on a walk-forward basis to prevent look-ahead bias. Training data spans January 2019 to December 2021. Validation data spans January 2022 to December 2022. Hold-out test data (used once, at final evaluation) spans January 2023 to December 2023. The model is retrained annually; interim recalibration may be triggered by monitoring alerts as described in Section 7.3.</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4.  Data Inputs</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The following data sources are used as inputs to this model. All sources are internal. No external data vendors or third-party data feeds are used. Data classification for all inputs is Internal Confidential.</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60"/>
        <w:gridCol w:w="3400"/>
      </w:tblGrid>
      <w:tr>
        <w:tc>
          <w:tcPr>
            <w:tcW w:type="dxa" w:w="22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Data Source</w:t>
            </w:r>
          </w:p>
        </w:tc>
        <w:tc>
          <w:tcPr>
            <w:tcW w:type="dxa" w:w="20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Data Type</w:t>
            </w:r>
          </w:p>
        </w:tc>
        <w:tc>
          <w:tcPr>
            <w:tcW w:type="dxa" w:w="17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Frequency</w:t>
            </w:r>
          </w:p>
        </w:tc>
        <w:tc>
          <w:tcPr>
            <w:tcW w:type="dxa" w:w="3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Preprocessing Applied</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Internal order book feed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L2 bid/ask depth, trade flow</w:t>
            </w:r>
          </w:p>
        </w:tc>
        <w:tc>
          <w:tcPr>
            <w:tcW w:type="dxa" w:w="1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Tick-level, aggregated to 5-min</w:t>
            </w:r>
          </w:p>
        </w:tc>
        <w:tc>
          <w:tcPr>
            <w:tcW w:type="dxa" w:w="3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Outlier removal (&gt;5σ); volume normalization; missing tick interpolation using LOCF.</w:t>
            </w:r>
          </w:p>
        </w:tc>
      </w:tr>
      <w:tr>
        <w:tc>
          <w:tcPr>
            <w:tcW w:type="dxa" w:w="22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Internal position data</w:t>
            </w:r>
          </w:p>
        </w:tc>
        <w:tc>
          <w:tcPr>
            <w:tcW w:type="dxa" w:w="20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Aggregated desk-level net exposure</w:t>
            </w:r>
          </w:p>
        </w:tc>
        <w:tc>
          <w:tcPr>
            <w:tcW w:type="dxa" w:w="17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End-of-day snapshot</w:t>
            </w:r>
          </w:p>
        </w:tc>
        <w:tc>
          <w:tcPr>
            <w:tcW w:type="dxa" w:w="34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Lagged by one session. Normalized to notional USD equivalent.</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Market microstructure feed</w:t>
            </w:r>
          </w:p>
        </w:tc>
        <w:tc>
          <w:tcPr>
            <w:tcW w:type="dxa" w:w="2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Spread, volume imbalance, trade direction</w:t>
            </w:r>
          </w:p>
        </w:tc>
        <w:tc>
          <w:tcPr>
            <w:tcW w:type="dxa" w:w="1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1-minute bars</w:t>
            </w:r>
          </w:p>
        </w:tc>
        <w:tc>
          <w:tcPr>
            <w:tcW w:type="dxa" w:w="3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Rolling z-score normalization over 20-day window.</w:t>
            </w:r>
          </w:p>
        </w:tc>
      </w:tr>
      <w:tr>
        <w:tc>
          <w:tcPr>
            <w:tcW w:type="dxa" w:w="22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Macro event calendar</w:t>
            </w:r>
          </w:p>
        </w:tc>
        <w:tc>
          <w:tcPr>
            <w:tcW w:type="dxa" w:w="20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Scheduled announcement flags (FOMC, NFP, CPI)</w:t>
            </w:r>
          </w:p>
        </w:tc>
        <w:tc>
          <w:tcPr>
            <w:tcW w:type="dxa" w:w="17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Daily</w:t>
            </w:r>
          </w:p>
        </w:tc>
        <w:tc>
          <w:tcPr>
            <w:tcW w:type="dxa" w:w="34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Binary indicator variable. Event window: T-1 to T+1.</w:t>
            </w:r>
          </w:p>
        </w:tc>
      </w:tr>
      <w:tr>
        <w:tc>
          <w:tcPr>
            <w:tcW w:type="dxa" w:w="22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Realized volatility index (internal)</w:t>
            </w:r>
          </w:p>
        </w:tc>
        <w:tc>
          <w:tcPr>
            <w:tcW w:type="dxa" w:w="2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Historical intraday volatility, 5-min RV</w:t>
            </w:r>
          </w:p>
        </w:tc>
        <w:tc>
          <w:tcPr>
            <w:tcW w:type="dxa" w:w="1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Daily</w:t>
            </w:r>
          </w:p>
        </w:tc>
        <w:tc>
          <w:tcPr>
            <w:tcW w:type="dxa" w:w="3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Log-transformed. 5-day and 21-day rolling mean and standard deviation computed as features.</w:t>
            </w:r>
          </w:p>
        </w:tc>
      </w:tr>
    </w:tbl>
    <w:p>
      <w:pPr>
        <w:spacing w:after="160" w:before="0"/>
      </w:pPr>
      <w:r>
        <w:t xml:space="preserve"/>
      </w:r>
    </w:p>
    <w:p>
      <w:pPr>
        <w:pStyle w:val="Heading2"/>
        <w:spacing w:after="80" w:before="200"/>
      </w:pPr>
      <w:r>
        <w:rPr>
          <w:rFonts w:ascii="Arial" w:cs="Arial" w:eastAsia="Arial" w:hAnsi="Arial"/>
          <w:b/>
          <w:bCs/>
          <w:color w:val="2E4D8A"/>
          <w:sz w:val="24"/>
          <w:szCs w:val="24"/>
        </w:rPr>
        <w:t xml:space="preserve">4.1  Training Data Summary</w:t>
      </w:r>
    </w:p>
    <w:p>
      <w:pPr>
        <w:spacing w:after="140" w:before="0"/>
      </w:pPr>
      <w:r>
        <w:rPr>
          <w:rFonts w:ascii="Arial" w:cs="Arial" w:eastAsia="Arial" w:hAnsi="Arial"/>
          <w:color w:val="1A1A1A"/>
          <w:sz w:val="22"/>
          <w:szCs w:val="22"/>
        </w:rPr>
        <w:t xml:space="preserve">Training data covers the period January 2019 to December 2021 across the firm's active equity universe at the time of training (approximately 380 instruments). The training set includes two significant stress periods: the COVID-19 volatility event (March–April 2020) and the technology sector correction (November 2021 – January 2022). Known characteristics and limitations of the training data:</w:t>
      </w:r>
    </w:p>
    <w:p>
      <w:pPr>
        <w:pStyle w:val="ListParagraph"/>
        <w:numPr>
          <w:ilvl w:val="0"/>
          <w:numId w:val="2"/>
        </w:numPr>
        <w:spacing w:after="80" w:before="0"/>
      </w:pPr>
      <w:r>
        <w:rPr>
          <w:rFonts w:ascii="Arial" w:cs="Arial" w:eastAsia="Arial" w:hAnsi="Arial"/>
          <w:color w:val="1A1A1A"/>
          <w:sz w:val="22"/>
          <w:szCs w:val="22"/>
        </w:rPr>
        <w:t xml:space="preserve">The training universe reflects the equity book composition as of December 2021. Instruments added to the book since that date are not represented in the training data.</w:t>
      </w:r>
    </w:p>
    <w:p>
      <w:pPr>
        <w:pStyle w:val="ListParagraph"/>
        <w:numPr>
          <w:ilvl w:val="0"/>
          <w:numId w:val="2"/>
        </w:numPr>
        <w:spacing w:after="80" w:before="0"/>
      </w:pPr>
      <w:r>
        <w:rPr>
          <w:rFonts w:ascii="Arial" w:cs="Arial" w:eastAsia="Arial" w:hAnsi="Arial"/>
          <w:color w:val="1A1A1A"/>
          <w:sz w:val="22"/>
          <w:szCs w:val="22"/>
        </w:rPr>
        <w:t xml:space="preserve">Thin-market sessions (holiday dates, early pre-open windows) are underrepresented in the training set. Model performance during these windows is reduced; see Section 6.</w:t>
      </w:r>
    </w:p>
    <w:p>
      <w:pPr>
        <w:pStyle w:val="ListParagraph"/>
        <w:numPr>
          <w:ilvl w:val="0"/>
          <w:numId w:val="2"/>
        </w:numPr>
        <w:spacing w:after="80" w:before="0"/>
      </w:pPr>
      <w:r>
        <w:rPr>
          <w:rFonts w:ascii="Arial" w:cs="Arial" w:eastAsia="Arial" w:hAnsi="Arial"/>
          <w:color w:val="1A1A1A"/>
          <w:sz w:val="22"/>
          <w:szCs w:val="22"/>
        </w:rPr>
        <w:t xml:space="preserve">Data quality flags were applied to remove sessions with more than 5% missing tick observations. Approximately 1.2% of trading sessions were excluded on this basis.</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5.  Performance Metrics</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Model performance is evaluated on three metrics: Mean Absolute Error (MAE), Root Mean Squared Error (RMSE), and Directional Accuracy (the proportion of 5-minute windows in which the model correctly forecast the direction of change in realized volatility relative to the prior window).</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40"/>
        <w:gridCol w:w="1640"/>
        <w:gridCol w:w="1640"/>
        <w:gridCol w:w="2040"/>
      </w:tblGrid>
      <w:tr>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Evaluation Set</w:t>
            </w:r>
          </w:p>
        </w:tc>
        <w:tc>
          <w:tcPr>
            <w:tcW w:type="dxa" w:w="16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MAE</w:t>
            </w:r>
          </w:p>
        </w:tc>
        <w:tc>
          <w:tcPr>
            <w:tcW w:type="dxa" w:w="16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RMSE</w:t>
            </w:r>
          </w:p>
        </w:tc>
        <w:tc>
          <w:tcPr>
            <w:tcW w:type="dxa" w:w="16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Directional Acc.</w:t>
            </w:r>
          </w:p>
        </w:tc>
        <w:tc>
          <w:tcPr>
            <w:tcW w:type="dxa" w:w="204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Evaluation Period</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In-sample (training)</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0.0031</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0.0048</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71.4%</w:t>
            </w:r>
          </w:p>
        </w:tc>
        <w:tc>
          <w:tcPr>
            <w:tcW w:type="dxa" w:w="20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Jan 2019 – Dec 2021</w:t>
            </w:r>
          </w:p>
        </w:tc>
      </w:tr>
      <w:tr>
        <w:tc>
          <w:tcPr>
            <w:tcW w:type="dxa" w:w="24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Out-of-sample (validation)</w:t>
            </w:r>
          </w:p>
        </w:tc>
        <w:tc>
          <w:tcPr>
            <w:tcW w:type="dxa" w:w="16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0.0039</w:t>
            </w:r>
          </w:p>
        </w:tc>
        <w:tc>
          <w:tcPr>
            <w:tcW w:type="dxa" w:w="16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0.0057</w:t>
            </w:r>
          </w:p>
        </w:tc>
        <w:tc>
          <w:tcPr>
            <w:tcW w:type="dxa" w:w="16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67.8%</w:t>
            </w:r>
          </w:p>
        </w:tc>
        <w:tc>
          <w:tcPr>
            <w:tcW w:type="dxa" w:w="20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Jan 2022 – Dec 2022</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Out-of-sample (hold-out)</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0.0042</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0.0061</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66.2%</w:t>
            </w:r>
          </w:p>
        </w:tc>
        <w:tc>
          <w:tcPr>
            <w:tcW w:type="dxa" w:w="20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Jan 2023 – Dec 2023</w:t>
            </w:r>
          </w:p>
        </w:tc>
      </w:tr>
      <w:tr>
        <w:tc>
          <w:tcPr>
            <w:tcW w:type="dxa" w:w="24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Stress period: Mar–Apr 2020</w:t>
            </w:r>
          </w:p>
        </w:tc>
        <w:tc>
          <w:tcPr>
            <w:tcW w:type="dxa" w:w="16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0.0091</w:t>
            </w:r>
          </w:p>
        </w:tc>
        <w:tc>
          <w:tcPr>
            <w:tcW w:type="dxa" w:w="16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0.0134</w:t>
            </w:r>
          </w:p>
        </w:tc>
        <w:tc>
          <w:tcPr>
            <w:tcW w:type="dxa" w:w="16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58.1%</w:t>
            </w:r>
          </w:p>
        </w:tc>
        <w:tc>
          <w:tcPr>
            <w:tcW w:type="dxa" w:w="204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COVID-19 volatility spike</w:t>
            </w:r>
          </w:p>
        </w:tc>
      </w:tr>
      <w:tr>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Stress period: Feb–Mar 2023</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val="false"/>
                <w:bCs w:val="false"/>
                <w:color w:val="1A1A1A"/>
                <w:sz w:val="20"/>
                <w:szCs w:val="20"/>
              </w:rPr>
              <w:t xml:space="preserve">0.0064</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0.0089</w:t>
            </w:r>
          </w:p>
        </w:tc>
        <w:tc>
          <w:tcPr>
            <w:tcW w:type="dxa" w:w="16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61.3%</w:t>
            </w:r>
          </w:p>
        </w:tc>
        <w:tc>
          <w:tcPr>
            <w:tcW w:type="dxa" w:w="204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Regional banking stress</w:t>
            </w:r>
          </w:p>
        </w:tc>
      </w:tr>
    </w:tbl>
    <w:p>
      <w:pPr>
        <w:spacing w:after="160" w:before="0"/>
      </w:pPr>
      <w:r>
        <w:t xml:space="preserve"/>
      </w:r>
    </w:p>
    <w:p>
      <w:pPr>
        <w:spacing w:after="120" w:before="40"/>
      </w:pPr>
      <w:r>
        <w:rPr>
          <w:rFonts w:ascii="Arial" w:cs="Arial" w:eastAsia="Arial" w:hAnsi="Arial"/>
          <w:i/>
          <w:iCs/>
          <w:color w:val="5A5A5A"/>
          <w:sz w:val="18"/>
          <w:szCs w:val="18"/>
        </w:rPr>
        <w:t xml:space="preserve">Table 5.1 — Evaluation results by dataset. Stress period results are subsets of the hold-out evaluation set. Lower MAE/RMSE and higher Directional Accuracy indicate better performance.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EF4FC" w:val="clear"/>
            <w:tcMar>
              <w:top w:type="dxa" w:w="120"/>
              <w:left w:type="dxa" w:w="200"/>
              <w:bottom w:type="dxa" w:w="120"/>
              <w:right w:type="dxa" w:w="200"/>
            </w:tcMar>
          </w:tcPr>
          <w:p>
            <w:pPr>
              <w:spacing w:after="60"/>
            </w:pPr>
            <w:r>
              <w:rPr>
                <w:rFonts w:ascii="Arial" w:cs="Arial" w:eastAsia="Arial" w:hAnsi="Arial"/>
                <w:b/>
                <w:bCs/>
                <w:color w:val="1B2A4A"/>
                <w:sz w:val="20"/>
                <w:szCs w:val="20"/>
              </w:rPr>
              <w:t xml:space="preserve">Performance Interpretation Note</w:t>
            </w:r>
          </w:p>
          <w:p>
            <w:pPr>
              <w:spacing w:after="60"/>
            </w:pPr>
            <w:r>
              <w:rPr>
                <w:rFonts w:ascii="Arial" w:cs="Arial" w:eastAsia="Arial" w:hAnsi="Arial"/>
                <w:color w:val="1A1A1A"/>
                <w:sz w:val="20"/>
                <w:szCs w:val="20"/>
              </w:rPr>
              <w:t xml:space="preserve">Performance degrades materially during stress periods, as expected for a model trained primarily on normal-regime data. The directional accuracy of 58–61% during stress periods indicates the model retains predictive signal above chance (50%) but with substantially reduced reliability. This degradation is the primary basis for the human override requirement documented in Section 7.2.</w:t>
            </w:r>
          </w:p>
        </w:tc>
      </w:tr>
    </w:tbl>
    <w:p>
      <w:pPr>
        <w:spacing w:after="320" w:before="0"/>
      </w:pPr>
      <w:r>
        <w:t xml:space="preserve"/>
      </w:r>
    </w:p>
    <w:p>
      <w:pPr>
        <w:pStyle w:val="Heading1"/>
        <w:spacing w:after="120" w:before="320"/>
      </w:pPr>
      <w:r>
        <w:rPr>
          <w:rFonts w:ascii="Arial" w:cs="Arial" w:eastAsia="Arial" w:hAnsi="Arial"/>
          <w:b/>
          <w:bCs/>
          <w:color w:val="1B2A4A"/>
          <w:sz w:val="28"/>
          <w:szCs w:val="28"/>
        </w:rPr>
        <w:t xml:space="preserve">6.  Known Limitations</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The following limitations are known and documented as of the date of this Model Card. Limitations are classified by severity: High (material impact on output reliability), Medium (meaningful impact under specific conditions), Low (minor or manageable impact).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Limitation</w:t>
            </w:r>
          </w:p>
        </w:tc>
        <w:tc>
          <w:tcPr>
            <w:tcW w:type="dxa" w:w="16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Severity</w:t>
            </w:r>
          </w:p>
        </w:tc>
        <w:tc>
          <w:tcPr>
            <w:tcW w:type="dxa" w:w="49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Mitigation / Oversight Requirement</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Regime change degradation</w:t>
            </w:r>
          </w:p>
        </w:tc>
        <w:tc>
          <w:tcPr>
            <w:tcW w:type="dxa" w:w="1600"/>
            <w:tcBorders>
              <w:top w:val="single" w:color="E0E0E0" w:sz="4"/>
              <w:left w:val="single" w:color="E0E0E0" w:sz="4"/>
              <w:bottom w:val="single" w:color="E0E0E0" w:sz="4"/>
              <w:right w:val="single" w:color="E0E0E0" w:sz="4"/>
            </w:tcBorders>
            <w:shd w:fill="FDEAEA" w:val="clear"/>
            <w:tcMar>
              <w:top w:type="dxa" w:w="80"/>
              <w:left w:type="dxa" w:w="140"/>
              <w:bottom w:type="dxa" w:w="80"/>
              <w:right w:type="dxa" w:w="140"/>
            </w:tcMar>
          </w:tcPr>
          <w:p>
            <w:pPr>
              <w:spacing w:after="0"/>
            </w:pPr>
            <w:r>
              <w:rPr>
                <w:rFonts w:ascii="Arial" w:cs="Arial" w:eastAsia="Arial" w:hAnsi="Arial"/>
                <w:b/>
                <w:bCs/>
                <w:color w:val="8B1A1A"/>
                <w:sz w:val="20"/>
                <w:szCs w:val="20"/>
              </w:rPr>
              <w:t xml:space="preserve">High</w:t>
            </w:r>
          </w:p>
        </w:tc>
        <w:tc>
          <w:tcPr>
            <w:tcW w:type="dxa" w:w="49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Performance degrades significantly during structural market regime changes (e.g., sustained low-volatility to crisis transition) not represented in training data. Human override required when VIX exceeds 35 or intraday moves exceed 2.5 standard deviations of the 30-day historical distribution.</w:t>
            </w:r>
          </w:p>
        </w:tc>
      </w:tr>
      <w:tr>
        <w:tc>
          <w:tcPr>
            <w:tcW w:type="dxa" w:w="28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Thin market conditions</w:t>
            </w:r>
          </w:p>
        </w:tc>
        <w:tc>
          <w:tcPr>
            <w:tcW w:type="dxa" w:w="1600"/>
            <w:tcBorders>
              <w:top w:val="single" w:color="E0E0E0" w:sz="4"/>
              <w:left w:val="single" w:color="E0E0E0" w:sz="4"/>
              <w:bottom w:val="single" w:color="E0E0E0" w:sz="4"/>
              <w:right w:val="single" w:color="E0E0E0" w:sz="4"/>
            </w:tcBorders>
            <w:shd w:fill="FEF3DC" w:val="clear"/>
            <w:tcMar>
              <w:top w:type="dxa" w:w="80"/>
              <w:left w:type="dxa" w:w="140"/>
              <w:bottom w:type="dxa" w:w="80"/>
              <w:right w:type="dxa" w:w="140"/>
            </w:tcMar>
          </w:tcPr>
          <w:p>
            <w:pPr>
              <w:spacing w:after="0"/>
            </w:pPr>
            <w:r>
              <w:rPr>
                <w:rFonts w:ascii="Arial" w:cs="Arial" w:eastAsia="Arial" w:hAnsi="Arial"/>
                <w:b/>
                <w:bCs/>
                <w:color w:val="B35C00"/>
                <w:sz w:val="20"/>
                <w:szCs w:val="20"/>
              </w:rPr>
              <w:t xml:space="preserve">Medium</w:t>
            </w:r>
          </w:p>
        </w:tc>
        <w:tc>
          <w:tcPr>
            <w:tcW w:type="dxa" w:w="49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accuracy reduces materially in thin or illiquid conditions (e.g., holiday sessions, early morning pre-open). Outputs should not be used as primary inputs for position sizing during these windows. Desk risk manager must be consulted.</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Macro event windows</w:t>
            </w:r>
          </w:p>
        </w:tc>
        <w:tc>
          <w:tcPr>
            <w:tcW w:type="dxa" w:w="1600"/>
            <w:tcBorders>
              <w:top w:val="single" w:color="E0E0E0" w:sz="4"/>
              <w:left w:val="single" w:color="E0E0E0" w:sz="4"/>
              <w:bottom w:val="single" w:color="E0E0E0" w:sz="4"/>
              <w:right w:val="single" w:color="E0E0E0" w:sz="4"/>
            </w:tcBorders>
            <w:shd w:fill="FEF3DC" w:val="clear"/>
            <w:tcMar>
              <w:top w:type="dxa" w:w="80"/>
              <w:left w:type="dxa" w:w="140"/>
              <w:bottom w:type="dxa" w:w="80"/>
              <w:right w:type="dxa" w:w="140"/>
            </w:tcMar>
          </w:tcPr>
          <w:p>
            <w:pPr>
              <w:spacing w:after="0"/>
            </w:pPr>
            <w:r>
              <w:rPr>
                <w:rFonts w:ascii="Arial" w:cs="Arial" w:eastAsia="Arial" w:hAnsi="Arial"/>
                <w:b/>
                <w:bCs/>
                <w:color w:val="B35C00"/>
                <w:sz w:val="20"/>
                <w:szCs w:val="20"/>
              </w:rPr>
              <w:t xml:space="preserve">Medium</w:t>
            </w:r>
          </w:p>
        </w:tc>
        <w:tc>
          <w:tcPr>
            <w:tcW w:type="dxa" w:w="49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is not designed to forecast volatility around unscheduled macro events (e.g., geopolitical shocks, emergency central bank actions). Event calendar flag mitigates for scheduled events only.</w:t>
            </w:r>
          </w:p>
        </w:tc>
      </w:tr>
      <w:tr>
        <w:tc>
          <w:tcPr>
            <w:tcW w:type="dxa" w:w="28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Input data latency</w:t>
            </w:r>
          </w:p>
        </w:tc>
        <w:tc>
          <w:tcPr>
            <w:tcW w:type="dxa" w:w="1600"/>
            <w:tcBorders>
              <w:top w:val="single" w:color="E0E0E0" w:sz="4"/>
              <w:left w:val="single" w:color="E0E0E0" w:sz="4"/>
              <w:bottom w:val="single" w:color="E0E0E0" w:sz="4"/>
              <w:right w:val="single" w:color="E0E0E0" w:sz="4"/>
            </w:tcBorders>
            <w:shd w:fill="E6F5EC" w:val="clear"/>
            <w:tcMar>
              <w:top w:type="dxa" w:w="80"/>
              <w:left w:type="dxa" w:w="140"/>
              <w:bottom w:type="dxa" w:w="80"/>
              <w:right w:type="dxa" w:w="140"/>
            </w:tcMar>
          </w:tcPr>
          <w:p>
            <w:pPr>
              <w:spacing w:after="0"/>
            </w:pPr>
            <w:r>
              <w:rPr>
                <w:rFonts w:ascii="Arial" w:cs="Arial" w:eastAsia="Arial" w:hAnsi="Arial"/>
                <w:b/>
                <w:bCs/>
                <w:color w:val="1B6B3A"/>
                <w:sz w:val="20"/>
                <w:szCs w:val="20"/>
              </w:rPr>
              <w:t xml:space="preserve">Low–Medium</w:t>
            </w:r>
          </w:p>
        </w:tc>
        <w:tc>
          <w:tcPr>
            <w:tcW w:type="dxa" w:w="49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assumes &lt;200ms data feed latency. Latency exceedances above this threshold must trigger a model output flag. Monitoring alert configured in [SYSTEM PLACEHOLDER].</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Distributional shift in order book</w:t>
            </w:r>
          </w:p>
        </w:tc>
        <w:tc>
          <w:tcPr>
            <w:tcW w:type="dxa" w:w="1600"/>
            <w:tcBorders>
              <w:top w:val="single" w:color="E0E0E0" w:sz="4"/>
              <w:left w:val="single" w:color="E0E0E0" w:sz="4"/>
              <w:bottom w:val="single" w:color="E0E0E0" w:sz="4"/>
              <w:right w:val="single" w:color="E0E0E0" w:sz="4"/>
            </w:tcBorders>
            <w:shd w:fill="FEF3DC" w:val="clear"/>
            <w:tcMar>
              <w:top w:type="dxa" w:w="80"/>
              <w:left w:type="dxa" w:w="140"/>
              <w:bottom w:type="dxa" w:w="80"/>
              <w:right w:type="dxa" w:w="140"/>
            </w:tcMar>
          </w:tcPr>
          <w:p>
            <w:pPr>
              <w:spacing w:after="0"/>
            </w:pPr>
            <w:r>
              <w:rPr>
                <w:rFonts w:ascii="Arial" w:cs="Arial" w:eastAsia="Arial" w:hAnsi="Arial"/>
                <w:b/>
                <w:bCs/>
                <w:color w:val="B35C00"/>
                <w:sz w:val="20"/>
                <w:szCs w:val="20"/>
              </w:rPr>
              <w:t xml:space="preserve">Medium</w:t>
            </w:r>
          </w:p>
        </w:tc>
        <w:tc>
          <w:tcPr>
            <w:tcW w:type="dxa" w:w="49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Sustained changes in market microstructure (e.g., new exchange venues, changes in HFT participation) may degrade feature relevance. Annual recalibration review required; earlier if microstructure metrics drift beyond control limits.</w:t>
            </w:r>
          </w:p>
        </w:tc>
      </w:tr>
      <w:tr>
        <w:tc>
          <w:tcPr>
            <w:tcW w:type="dxa" w:w="28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Concentration in equity asset class</w:t>
            </w:r>
          </w:p>
        </w:tc>
        <w:tc>
          <w:tcPr>
            <w:tcW w:type="dxa" w:w="1600"/>
            <w:tcBorders>
              <w:top w:val="single" w:color="E0E0E0" w:sz="4"/>
              <w:left w:val="single" w:color="E0E0E0" w:sz="4"/>
              <w:bottom w:val="single" w:color="E0E0E0" w:sz="4"/>
              <w:right w:val="single" w:color="E0E0E0" w:sz="4"/>
            </w:tcBorders>
            <w:shd w:fill="E6F5EC" w:val="clear"/>
            <w:tcMar>
              <w:top w:type="dxa" w:w="80"/>
              <w:left w:type="dxa" w:w="140"/>
              <w:bottom w:type="dxa" w:w="80"/>
              <w:right w:type="dxa" w:w="140"/>
            </w:tcMar>
          </w:tcPr>
          <w:p>
            <w:pPr>
              <w:spacing w:after="0"/>
            </w:pPr>
            <w:r>
              <w:rPr>
                <w:rFonts w:ascii="Arial" w:cs="Arial" w:eastAsia="Arial" w:hAnsi="Arial"/>
                <w:b/>
                <w:bCs/>
                <w:color w:val="1B6B3A"/>
                <w:sz w:val="20"/>
                <w:szCs w:val="20"/>
              </w:rPr>
              <w:t xml:space="preserve">Low</w:t>
            </w:r>
          </w:p>
        </w:tc>
        <w:tc>
          <w:tcPr>
            <w:tcW w:type="dxa" w:w="49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is trained and validated on equities only. Outputs must not be used for volatility forecasting in fixed income, FX, or commodity instruments without revalidation.</w:t>
            </w:r>
          </w:p>
        </w:tc>
      </w:tr>
    </w:tbl>
    <w:p>
      <w:pPr>
        <w:spacing w:after="160" w:before="0"/>
      </w:pPr>
      <w:r>
        <w:t xml:space="preserve"/>
      </w:r>
    </w:p>
    <w:p>
      <w:pPr>
        <w:spacing w:after="120" w:before="40"/>
      </w:pPr>
      <w:r>
        <w:rPr>
          <w:rFonts w:ascii="Arial" w:cs="Arial" w:eastAsia="Arial" w:hAnsi="Arial"/>
          <w:i/>
          <w:iCs/>
          <w:color w:val="5A5A5A"/>
          <w:sz w:val="18"/>
          <w:szCs w:val="18"/>
        </w:rPr>
        <w:t xml:space="preserve">Table 6.1 — Known limitations by severity. Human override requirements are operationalized in Section 7.</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7.  Human Oversight Requirements</w:t>
      </w:r>
    </w:p>
    <w:p>
      <w:pPr>
        <w:pBdr>
          <w:bottom w:val="single" w:color="4A6FA5" w:sz="6" w:space="1"/>
        </w:pBdr>
        <w:spacing w:after="160" w:before="0"/>
      </w:pPr>
    </w:p>
    <w:p>
      <w:pPr>
        <w:pStyle w:val="Heading2"/>
        <w:spacing w:after="80" w:before="200"/>
      </w:pPr>
      <w:r>
        <w:rPr>
          <w:rFonts w:ascii="Arial" w:cs="Arial" w:eastAsia="Arial" w:hAnsi="Arial"/>
          <w:b/>
          <w:bCs/>
          <w:color w:val="2E4D8A"/>
          <w:sz w:val="24"/>
          <w:szCs w:val="24"/>
        </w:rPr>
        <w:t xml:space="preserve">7.1  Oversight Principle</w:t>
      </w:r>
    </w:p>
    <w:p>
      <w:pPr>
        <w:spacing w:after="140" w:before="0"/>
      </w:pPr>
      <w:r>
        <w:rPr>
          <w:rFonts w:ascii="Arial" w:cs="Arial" w:eastAsia="Arial" w:hAnsi="Arial"/>
          <w:color w:val="1A1A1A"/>
          <w:sz w:val="22"/>
          <w:szCs w:val="22"/>
        </w:rPr>
        <w:t xml:space="preserve">This model is classified Tier 1 (High Risk) because its outputs directly inform trading decisions. No model output may be acted upon without human review at each decision point. The model is a decision-support tool, not a decision-making system. Accountability for all decisions informed by this model's outputs rests with the desk risk manager.</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7.2  Mandatory Override Conditions</w:t>
      </w:r>
    </w:p>
    <w:p>
      <w:pPr>
        <w:spacing w:after="140" w:before="0"/>
      </w:pPr>
      <w:r>
        <w:rPr>
          <w:rFonts w:ascii="Arial" w:cs="Arial" w:eastAsia="Arial" w:hAnsi="Arial"/>
          <w:color w:val="1A1A1A"/>
          <w:sz w:val="22"/>
          <w:szCs w:val="22"/>
        </w:rPr>
        <w:t xml:space="preserve">The desk risk manager must apply a mandatory human override — suspending use of model outputs and substituting human judgment — when any of the following conditions are observed:</w:t>
      </w:r>
    </w:p>
    <w:p>
      <w:pPr>
        <w:pStyle w:val="ListParagraph"/>
        <w:numPr>
          <w:ilvl w:val="0"/>
          <w:numId w:val="2"/>
        </w:numPr>
        <w:spacing w:after="80" w:before="0"/>
      </w:pPr>
      <w:r>
        <w:rPr>
          <w:rFonts w:ascii="Arial" w:cs="Arial" w:eastAsia="Arial" w:hAnsi="Arial"/>
          <w:color w:val="1A1A1A"/>
          <w:sz w:val="22"/>
          <w:szCs w:val="22"/>
        </w:rPr>
        <w:t xml:space="preserve">VIX index exceeds 35 at any point during the trading session.</w:t>
      </w:r>
    </w:p>
    <w:p>
      <w:pPr>
        <w:pStyle w:val="ListParagraph"/>
        <w:numPr>
          <w:ilvl w:val="0"/>
          <w:numId w:val="2"/>
        </w:numPr>
        <w:spacing w:after="80" w:before="0"/>
      </w:pPr>
      <w:r>
        <w:rPr>
          <w:rFonts w:ascii="Arial" w:cs="Arial" w:eastAsia="Arial" w:hAnsi="Arial"/>
          <w:color w:val="1A1A1A"/>
          <w:sz w:val="22"/>
          <w:szCs w:val="22"/>
        </w:rPr>
        <w:t xml:space="preserve">Realized intraday move in any instrument exceeds 2.5 standard deviations of its 30-day historical intraday distribution.</w:t>
      </w:r>
    </w:p>
    <w:p>
      <w:pPr>
        <w:pStyle w:val="ListParagraph"/>
        <w:numPr>
          <w:ilvl w:val="0"/>
          <w:numId w:val="2"/>
        </w:numPr>
        <w:spacing w:after="80" w:before="0"/>
      </w:pPr>
      <w:r>
        <w:rPr>
          <w:rFonts w:ascii="Arial" w:cs="Arial" w:eastAsia="Arial" w:hAnsi="Arial"/>
          <w:color w:val="1A1A1A"/>
          <w:sz w:val="22"/>
          <w:szCs w:val="22"/>
        </w:rPr>
        <w:t xml:space="preserve">Model output flag is triggered due to input data latency exceeding 200ms.</w:t>
      </w:r>
    </w:p>
    <w:p>
      <w:pPr>
        <w:pStyle w:val="ListParagraph"/>
        <w:numPr>
          <w:ilvl w:val="0"/>
          <w:numId w:val="2"/>
        </w:numPr>
        <w:spacing w:after="80" w:before="0"/>
      </w:pPr>
      <w:r>
        <w:rPr>
          <w:rFonts w:ascii="Arial" w:cs="Arial" w:eastAsia="Arial" w:hAnsi="Arial"/>
          <w:color w:val="1A1A1A"/>
          <w:sz w:val="22"/>
          <w:szCs w:val="22"/>
        </w:rPr>
        <w:t xml:space="preserve">Any unscheduled macro event with material market impact occurs (as determined by the desk risk manager).</w:t>
      </w:r>
    </w:p>
    <w:p>
      <w:pPr>
        <w:pStyle w:val="ListParagraph"/>
        <w:numPr>
          <w:ilvl w:val="0"/>
          <w:numId w:val="2"/>
        </w:numPr>
        <w:spacing w:after="80" w:before="0"/>
      </w:pPr>
      <w:r>
        <w:rPr>
          <w:rFonts w:ascii="Arial" w:cs="Arial" w:eastAsia="Arial" w:hAnsi="Arial"/>
          <w:color w:val="1A1A1A"/>
          <w:sz w:val="22"/>
          <w:szCs w:val="22"/>
        </w:rPr>
        <w:t xml:space="preserve">Model monitoring alert is active (see Section 7.3).</w:t>
      </w:r>
    </w:p>
    <w:p>
      <w:pPr>
        <w:spacing w:after="80" w:before="0"/>
      </w:pPr>
      <w:r>
        <w:t xml:space="preserve"/>
      </w:r>
    </w:p>
    <w:p>
      <w:pPr>
        <w:spacing w:after="140" w:before="0"/>
      </w:pPr>
      <w:r>
        <w:rPr>
          <w:rFonts w:ascii="Arial" w:cs="Arial" w:eastAsia="Arial" w:hAnsi="Arial"/>
          <w:color w:val="1A1A1A"/>
          <w:sz w:val="22"/>
          <w:szCs w:val="22"/>
        </w:rPr>
        <w:t xml:space="preserve">Override events must be logged in [OVERRIDE LOG SYSTEM PLACEHOLDER] within 30 minutes of occurrence. The log entry must record the condition triggering the override, the time of override activation and deactivation, and the name of the desk risk manager who authorized it.</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7.3  Ongoing Monitoring</w:t>
      </w:r>
    </w:p>
    <w:p>
      <w:pPr>
        <w:spacing w:after="140" w:before="0"/>
      </w:pPr>
      <w:r>
        <w:rPr>
          <w:rFonts w:ascii="Arial" w:cs="Arial" w:eastAsia="Arial" w:hAnsi="Arial"/>
          <w:color w:val="1A1A1A"/>
          <w:sz w:val="22"/>
          <w:szCs w:val="22"/>
        </w:rPr>
        <w:t xml:space="preserve">The model is subject to ongoing performance monitoring by the Quantitative Strategies Group. Monitoring covers:</w:t>
      </w:r>
    </w:p>
    <w:p>
      <w:pPr>
        <w:pStyle w:val="ListParagraph"/>
        <w:numPr>
          <w:ilvl w:val="0"/>
          <w:numId w:val="2"/>
        </w:numPr>
        <w:spacing w:after="80" w:before="0"/>
      </w:pPr>
      <w:r>
        <w:rPr>
          <w:rFonts w:ascii="Arial" w:cs="Arial" w:eastAsia="Arial" w:hAnsi="Arial"/>
          <w:color w:val="1A1A1A"/>
          <w:sz w:val="22"/>
          <w:szCs w:val="22"/>
        </w:rPr>
        <w:t xml:space="preserve">Daily: MAE and directional accuracy computed against realized outcomes. Alert triggered if 5-day rolling MAE exceeds 1.5× the hold-out benchmark.</w:t>
      </w:r>
    </w:p>
    <w:p>
      <w:pPr>
        <w:pStyle w:val="ListParagraph"/>
        <w:numPr>
          <w:ilvl w:val="0"/>
          <w:numId w:val="2"/>
        </w:numPr>
        <w:spacing w:after="80" w:before="0"/>
      </w:pPr>
      <w:r>
        <w:rPr>
          <w:rFonts w:ascii="Arial" w:cs="Arial" w:eastAsia="Arial" w:hAnsi="Arial"/>
          <w:color w:val="1A1A1A"/>
          <w:sz w:val="22"/>
          <w:szCs w:val="22"/>
        </w:rPr>
        <w:t xml:space="preserve">Weekly: Feature drift monitoring. Alert triggered if any input feature distribution deviates beyond 2 standard deviations of its training distribution for 3 consecutive days.</w:t>
      </w:r>
    </w:p>
    <w:p>
      <w:pPr>
        <w:pStyle w:val="ListParagraph"/>
        <w:numPr>
          <w:ilvl w:val="0"/>
          <w:numId w:val="2"/>
        </w:numPr>
        <w:spacing w:after="80" w:before="0"/>
      </w:pPr>
      <w:r>
        <w:rPr>
          <w:rFonts w:ascii="Arial" w:cs="Arial" w:eastAsia="Arial" w:hAnsi="Arial"/>
          <w:color w:val="1A1A1A"/>
          <w:sz w:val="22"/>
          <w:szCs w:val="22"/>
        </w:rPr>
        <w:t xml:space="preserve">Monthly: Model stability report reviewed by Head of Quantitative Strategies and Head of Model Risk.</w:t>
      </w:r>
    </w:p>
    <w:p>
      <w:pPr>
        <w:pStyle w:val="ListParagraph"/>
        <w:numPr>
          <w:ilvl w:val="0"/>
          <w:numId w:val="2"/>
        </w:numPr>
        <w:spacing w:after="80" w:before="0"/>
      </w:pPr>
      <w:r>
        <w:rPr>
          <w:rFonts w:ascii="Arial" w:cs="Arial" w:eastAsia="Arial" w:hAnsi="Arial"/>
          <w:color w:val="1A1A1A"/>
          <w:sz w:val="22"/>
          <w:szCs w:val="22"/>
        </w:rPr>
        <w:t xml:space="preserve">Annual: Full recalibration review. Earlier recalibration triggered by any monitoring alert that persists for more than 5 trading days.</w:t>
      </w:r>
    </w:p>
    <w:p>
      <w:pPr>
        <w:spacing w:after="80" w:before="0"/>
      </w:pPr>
      <w:r>
        <w:t xml:space="preserve"/>
      </w:r>
    </w:p>
    <w:p>
      <w:pPr>
        <w:spacing w:after="140" w:before="0"/>
      </w:pPr>
      <w:r>
        <w:rPr>
          <w:rFonts w:ascii="Arial" w:cs="Arial" w:eastAsia="Arial" w:hAnsi="Arial"/>
          <w:color w:val="1A1A1A"/>
          <w:sz w:val="22"/>
          <w:szCs w:val="22"/>
        </w:rPr>
        <w:t xml:space="preserve">Monitoring alerts are surfaced in [MONITORING DASHBOARD PLACEHOLDER]. All active alerts must be reviewed by the model owner within one business day. An active unresolved alert suspends the model's use as a primary input until the alert is resolved or an override is authorized.</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8.  Ethical Considerations and Responsible Use</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As an internal quantitative model used for equity volatility forecasting, IVFM-EQ-001 does not directly process personal data or make decisions affecting individuals. The following considerations are nonetheless documented in the interest of transparency and responsible governance:</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8.1  Bias and Fairness</w:t>
      </w:r>
    </w:p>
    <w:p>
      <w:pPr>
        <w:spacing w:after="140" w:before="0"/>
      </w:pPr>
      <w:r>
        <w:rPr>
          <w:rFonts w:ascii="Arial" w:cs="Arial" w:eastAsia="Arial" w:hAnsi="Arial"/>
          <w:color w:val="1A1A1A"/>
          <w:sz w:val="22"/>
          <w:szCs w:val="22"/>
        </w:rPr>
        <w:t xml:space="preserve">The model does not process demographic or personal data and is not subject to individual fairness considerations. The primary bias risk is distributional: the model may systematically underperform for instruments or market conditions underrepresented in the training data. This risk is documented in Section 6 and mitigated through the override requirements in Section 7.2.</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8.2  Transparency</w:t>
      </w:r>
    </w:p>
    <w:p>
      <w:pPr>
        <w:spacing w:after="140" w:before="0"/>
      </w:pPr>
      <w:r>
        <w:rPr>
          <w:rFonts w:ascii="Arial" w:cs="Arial" w:eastAsia="Arial" w:hAnsi="Arial"/>
          <w:color w:val="1A1A1A"/>
          <w:sz w:val="22"/>
          <w:szCs w:val="22"/>
        </w:rPr>
        <w:t xml:space="preserve">This Model Card constitutes the primary transparency artifact for IVFM-EQ-001. All material aspects of the model's design, training, validation, limitations, and oversight requirements are documented herein. The model's architecture is not a proprietary secret — it is documented in Section 3 at a level sufficient for a technically qualified reviewer to assess its conceptual soundness, consistent with SR 11-7 requirements as administered by the Compliance function.</w:t>
      </w:r>
    </w:p>
    <w:p>
      <w:pPr>
        <w:spacing w:after="160" w:before="0"/>
      </w:pPr>
      <w:r>
        <w:t xml:space="preserve"/>
      </w:r>
    </w:p>
    <w:p>
      <w:pPr>
        <w:pStyle w:val="Heading2"/>
        <w:spacing w:after="80" w:before="200"/>
      </w:pPr>
      <w:r>
        <w:rPr>
          <w:rFonts w:ascii="Arial" w:cs="Arial" w:eastAsia="Arial" w:hAnsi="Arial"/>
          <w:b/>
          <w:bCs/>
          <w:color w:val="2E4D8A"/>
          <w:sz w:val="24"/>
          <w:szCs w:val="24"/>
        </w:rPr>
        <w:t xml:space="preserve">8.3  Data Governance</w:t>
      </w:r>
    </w:p>
    <w:p>
      <w:pPr>
        <w:spacing w:after="140" w:before="0"/>
      </w:pPr>
      <w:r>
        <w:rPr>
          <w:rFonts w:ascii="Arial" w:cs="Arial" w:eastAsia="Arial" w:hAnsi="Arial"/>
          <w:color w:val="1A1A1A"/>
          <w:sz w:val="22"/>
          <w:szCs w:val="22"/>
        </w:rPr>
        <w:t xml:space="preserve">All data inputs are internal and classified as Internal Confidential. No personal data is processed. No model inputs or outputs are shared with external parties. Use of this Model Card or any model output in prompts submitted to external AI tools is prohibited under the firm's AI-Generated Content Policy.</w:t>
      </w:r>
    </w:p>
    <w:p>
      <w:pPr>
        <w:spacing w:after="320" w:before="0"/>
      </w:pPr>
      <w:r>
        <w:t xml:space="preserve"/>
      </w:r>
    </w:p>
    <w:p>
      <w:pPr>
        <w:pStyle w:val="Heading1"/>
        <w:spacing w:after="120" w:before="320"/>
      </w:pPr>
      <w:r>
        <w:rPr>
          <w:rFonts w:ascii="Arial" w:cs="Arial" w:eastAsia="Arial" w:hAnsi="Arial"/>
          <w:b/>
          <w:bCs/>
          <w:color w:val="1B2A4A"/>
          <w:sz w:val="28"/>
          <w:szCs w:val="28"/>
        </w:rPr>
        <w:t xml:space="preserve">9.  Regulatory and Policy Alignment</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This Model Card has been produced in alignment with the following frameworks. Compliance function responsibility for regulatory obligations is unaffected by this documentation.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Framework</w:t>
            </w:r>
          </w:p>
        </w:tc>
        <w:tc>
          <w:tcPr>
            <w:tcW w:type="dxa" w:w="65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Alignment Note</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SR 11-7 (Federal Reserve Model Risk Management)</w:t>
            </w:r>
          </w:p>
        </w:tc>
        <w:tc>
          <w:tcPr>
            <w:tcW w:type="dxa" w:w="65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documentation satisfies the conceptual soundness, ongoing monitoring, and outcomes analysis documentation requirements of SR 11-7. This documentation is produced under the authority of the Technical Documentation Function and does not constitute a regulatory filing.</w:t>
            </w:r>
          </w:p>
        </w:tc>
      </w:tr>
      <w:tr>
        <w:tc>
          <w:tcPr>
            <w:tcW w:type="dxa" w:w="28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NIST AI RMF — GOVERN, MAP, MEASURE, MANAGE</w:t>
            </w:r>
          </w:p>
        </w:tc>
        <w:tc>
          <w:tcPr>
            <w:tcW w:type="dxa" w:w="65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Documentation addresses: intended use (MAP), performance metrics (MEASURE), human oversight and monitoring (MANAGE), and accountability chain (GOVERN).</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Model Documentation Minimum Standards Policy v1.0</w:t>
            </w:r>
          </w:p>
        </w:tc>
        <w:tc>
          <w:tcPr>
            <w:tcW w:type="dxa" w:w="65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All Tier 1 mandatory fields are complete. Dual sign-off obtained. Intake Form on file at Confluence: /model-docs/IVFM-EQ-001/intake.</w:t>
            </w:r>
          </w:p>
        </w:tc>
      </w:tr>
      <w:tr>
        <w:tc>
          <w:tcPr>
            <w:tcW w:type="dxa" w:w="28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AI-Generated Content Policy</w:t>
            </w:r>
          </w:p>
        </w:tc>
        <w:tc>
          <w:tcPr>
            <w:tcW w:type="dxa" w:w="65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AI-assisted drafting disclosure completed in model metadata. All AI-assisted content verified against source material. No confidential trading strategy descriptions included in AI tool prompts.</w:t>
            </w:r>
          </w:p>
        </w:tc>
      </w:tr>
    </w:tbl>
    <w:p>
      <w:pPr>
        <w:spacing w:after="320" w:before="0"/>
      </w:pPr>
      <w:r>
        <w:t xml:space="preserve"/>
      </w:r>
    </w:p>
    <w:p>
      <w:pPr>
        <w:pStyle w:val="Heading1"/>
        <w:spacing w:after="120" w:before="320"/>
      </w:pPr>
      <w:r>
        <w:rPr>
          <w:rFonts w:ascii="Arial" w:cs="Arial" w:eastAsia="Arial" w:hAnsi="Arial"/>
          <w:b/>
          <w:bCs/>
          <w:color w:val="1B2A4A"/>
          <w:sz w:val="28"/>
          <w:szCs w:val="28"/>
        </w:rPr>
        <w:t xml:space="preserve">10.  Approval and Sign-Off</w:t>
      </w:r>
    </w:p>
    <w:p>
      <w:pPr>
        <w:pBdr>
          <w:bottom w:val="single" w:color="4A6FA5" w:sz="6" w:space="1"/>
        </w:pBdr>
        <w:spacing w:after="160" w:before="0"/>
      </w:pPr>
    </w:p>
    <w:p>
      <w:pPr>
        <w:spacing w:after="140" w:before="0"/>
      </w:pPr>
      <w:r>
        <w:rPr>
          <w:rFonts w:ascii="Arial" w:cs="Arial" w:eastAsia="Arial" w:hAnsi="Arial"/>
          <w:color w:val="1A1A1A"/>
          <w:sz w:val="22"/>
          <w:szCs w:val="22"/>
        </w:rPr>
        <w:t xml:space="preserve">This Model Card has been reviewed and approved by the following individuals. Their sign-off confirms the accuracy of all field content and the model's eligibility for continued production operation under the requirements of the Model Documentation Minimum Standards Policy v1.0.</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760"/>
        <w:gridCol w:w="2400"/>
      </w:tblGrid>
      <w:tr>
        <w:tc>
          <w:tcPr>
            <w:tcW w:type="dxa" w:w="28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Name / Role</w:t>
            </w:r>
          </w:p>
        </w:tc>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Function</w:t>
            </w:r>
          </w:p>
        </w:tc>
        <w:tc>
          <w:tcPr>
            <w:tcW w:type="dxa" w:w="17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Date</w:t>
            </w:r>
          </w:p>
        </w:tc>
        <w:tc>
          <w:tcPr>
            <w:tcW w:type="dxa" w:w="24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Confirmation</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Head of Quantitative Strategies</w:t>
            </w:r>
          </w:p>
        </w:tc>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Owner</w:t>
            </w:r>
          </w:p>
        </w:tc>
        <w:tc>
          <w:tcPr>
            <w:tcW w:type="dxa" w:w="1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28 Feb 2024</w:t>
            </w:r>
          </w:p>
        </w:tc>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Technical accuracy of all content confirmed.</w:t>
            </w:r>
          </w:p>
        </w:tc>
      </w:tr>
      <w:tr>
        <w:tc>
          <w:tcPr>
            <w:tcW w:type="dxa" w:w="28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Head of Model Risk</w:t>
            </w:r>
          </w:p>
        </w:tc>
        <w:tc>
          <w:tcPr>
            <w:tcW w:type="dxa" w:w="24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Model Risk Function</w:t>
            </w:r>
          </w:p>
        </w:tc>
        <w:tc>
          <w:tcPr>
            <w:tcW w:type="dxa" w:w="17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28 Feb 2024</w:t>
            </w:r>
          </w:p>
        </w:tc>
        <w:tc>
          <w:tcPr>
            <w:tcW w:type="dxa" w:w="24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Dual sign-off: Tier 1 production eligibility confirmed.</w:t>
            </w:r>
          </w:p>
        </w:tc>
      </w:tr>
      <w:tr>
        <w:tc>
          <w:tcPr>
            <w:tcW w:type="dxa" w:w="28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b/>
                <w:bCs/>
                <w:color w:val="1A1A1A"/>
                <w:sz w:val="20"/>
                <w:szCs w:val="20"/>
              </w:rPr>
              <w:t xml:space="preserve">Technical Documentation Lead</w:t>
            </w:r>
          </w:p>
        </w:tc>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Technical Documentation Function</w:t>
            </w:r>
          </w:p>
        </w:tc>
        <w:tc>
          <w:tcPr>
            <w:tcW w:type="dxa" w:w="1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01 Mar 2024</w:t>
            </w:r>
          </w:p>
        </w:tc>
        <w:tc>
          <w:tcPr>
            <w:tcW w:type="dxa" w:w="24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Documentation completeness and policy compliance confirmed.</w:t>
            </w:r>
          </w:p>
        </w:tc>
      </w:tr>
    </w:tbl>
    <w:p>
      <w:pPr>
        <w:spacing w:after="400" w:before="0"/>
      </w:pPr>
      <w:r>
        <w:t xml:space="preserve"/>
      </w:r>
    </w:p>
    <w:p>
      <w:pPr>
        <w:pStyle w:val="Heading1"/>
        <w:spacing w:after="120" w:before="320"/>
      </w:pPr>
      <w:r>
        <w:rPr>
          <w:rFonts w:ascii="Arial" w:cs="Arial" w:eastAsia="Arial" w:hAnsi="Arial"/>
          <w:b/>
          <w:bCs/>
          <w:color w:val="1B2A4A"/>
          <w:sz w:val="28"/>
          <w:szCs w:val="28"/>
        </w:rPr>
        <w:t xml:space="preserve">Version History</w:t>
      </w:r>
    </w:p>
    <w:p>
      <w:pPr>
        <w:pBdr>
          <w:bottom w:val="single" w:color="4A6FA5" w:sz="6" w:space="1"/>
        </w:pBd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c>
          <w:tcPr>
            <w:tcW w:type="dxa" w:w="10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Ver.</w:t>
            </w:r>
          </w:p>
        </w:tc>
        <w:tc>
          <w:tcPr>
            <w:tcW w:type="dxa" w:w="16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Date</w:t>
            </w:r>
          </w:p>
        </w:tc>
        <w:tc>
          <w:tcPr>
            <w:tcW w:type="dxa" w:w="200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Author</w:t>
            </w:r>
          </w:p>
        </w:tc>
        <w:tc>
          <w:tcPr>
            <w:tcW w:type="dxa" w:w="4760"/>
            <w:tcBorders>
              <w:top w:val="single" w:color="4A6FA5" w:sz="4"/>
              <w:left w:val="single" w:color="4A6FA5" w:sz="4"/>
              <w:bottom w:val="single" w:color="4A6FA5" w:sz="4"/>
              <w:right w:val="single" w:color="4A6FA5" w:sz="4"/>
            </w:tcBorders>
            <w:shd w:fill="D6E4F7" w:val="clear"/>
            <w:tcMar>
              <w:top w:type="dxa" w:w="80"/>
              <w:left w:type="dxa" w:w="140"/>
              <w:bottom w:type="dxa" w:w="80"/>
              <w:right w:type="dxa" w:w="140"/>
            </w:tcMar>
          </w:tcPr>
          <w:p>
            <w:pPr>
              <w:spacing w:after="0"/>
            </w:pPr>
            <w:r>
              <w:rPr>
                <w:rFonts w:ascii="Arial" w:cs="Arial" w:eastAsia="Arial" w:hAnsi="Arial"/>
                <w:b/>
                <w:bCs/>
                <w:color w:val="1B2A4A"/>
                <w:sz w:val="20"/>
                <w:szCs w:val="20"/>
              </w:rPr>
              <w:t xml:space="preserve">Summary of Changes</w:t>
            </w:r>
          </w:p>
        </w:tc>
      </w:tr>
      <w:tr>
        <w:tc>
          <w:tcPr>
            <w:tcW w:type="dxa" w:w="1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1.0</w:t>
            </w:r>
          </w:p>
        </w:tc>
        <w:tc>
          <w:tcPr>
            <w:tcW w:type="dxa" w:w="16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01 Mar 2023</w:t>
            </w:r>
          </w:p>
        </w:tc>
        <w:tc>
          <w:tcPr>
            <w:tcW w:type="dxa" w:w="2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Quant Strategies</w:t>
            </w:r>
          </w:p>
        </w:tc>
        <w:tc>
          <w:tcPr>
            <w:tcW w:type="dxa" w:w="4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Initial production release. LSTM architecture, equity universe, 5-minute forecast horizon.</w:t>
            </w:r>
          </w:p>
        </w:tc>
      </w:tr>
      <w:tr>
        <w:tc>
          <w:tcPr>
            <w:tcW w:type="dxa" w:w="10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2.0</w:t>
            </w:r>
          </w:p>
        </w:tc>
        <w:tc>
          <w:tcPr>
            <w:tcW w:type="dxa" w:w="16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15 Sep 2023</w:t>
            </w:r>
          </w:p>
        </w:tc>
        <w:tc>
          <w:tcPr>
            <w:tcW w:type="dxa" w:w="20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Quant Strategies</w:t>
            </w:r>
          </w:p>
        </w:tc>
        <w:tc>
          <w:tcPr>
            <w:tcW w:type="dxa" w:w="47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Expanded feature set to include macro event calendar flags. Retrained on extended dataset (2019–2022). Validation results updated.</w:t>
            </w:r>
          </w:p>
        </w:tc>
      </w:tr>
      <w:tr>
        <w:tc>
          <w:tcPr>
            <w:tcW w:type="dxa" w:w="1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2.1</w:t>
            </w:r>
          </w:p>
        </w:tc>
        <w:tc>
          <w:tcPr>
            <w:tcW w:type="dxa" w:w="16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12 Nov 2023</w:t>
            </w:r>
          </w:p>
        </w:tc>
        <w:tc>
          <w:tcPr>
            <w:tcW w:type="dxa" w:w="2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Quant Strategies</w:t>
            </w:r>
          </w:p>
        </w:tc>
        <w:tc>
          <w:tcPr>
            <w:tcW w:type="dxa" w:w="4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Bug fix: corrected LOCF interpolation applied to tick-level gaps &gt;30 seconds. No architectural change.</w:t>
            </w:r>
          </w:p>
        </w:tc>
      </w:tr>
      <w:tr>
        <w:tc>
          <w:tcPr>
            <w:tcW w:type="dxa" w:w="10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2.2</w:t>
            </w:r>
          </w:p>
        </w:tc>
        <w:tc>
          <w:tcPr>
            <w:tcW w:type="dxa" w:w="16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02 Feb 2024</w:t>
            </w:r>
          </w:p>
        </w:tc>
        <w:tc>
          <w:tcPr>
            <w:tcW w:type="dxa" w:w="200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Quant Strategies</w:t>
            </w:r>
          </w:p>
        </w:tc>
        <w:tc>
          <w:tcPr>
            <w:tcW w:type="dxa" w:w="4760"/>
            <w:tcBorders>
              <w:top w:val="single" w:color="E0E0E0" w:sz="4"/>
              <w:left w:val="single" w:color="E0E0E0" w:sz="4"/>
              <w:bottom w:val="single" w:color="E0E0E0" w:sz="4"/>
              <w:right w:val="single" w:color="E0E0E0" w:sz="4"/>
            </w:tcBorders>
            <w:shd w:fill="EEF4FC" w:val="clear"/>
            <w:tcMar>
              <w:top w:type="dxa" w:w="80"/>
              <w:left w:type="dxa" w:w="140"/>
              <w:bottom w:type="dxa" w:w="80"/>
              <w:right w:type="dxa" w:w="140"/>
            </w:tcMar>
          </w:tcPr>
          <w:p>
            <w:pPr>
              <w:spacing w:after="0"/>
            </w:pPr>
            <w:r>
              <w:rPr>
                <w:rFonts w:ascii="Arial" w:cs="Arial" w:eastAsia="Arial" w:hAnsi="Arial"/>
                <w:color w:val="1A1A1A"/>
                <w:sz w:val="20"/>
                <w:szCs w:val="20"/>
              </w:rPr>
              <w:t xml:space="preserve">Added stress period evaluation (COVID-19, Feb–Mar 2023). Human override thresholds formalized.</w:t>
            </w:r>
          </w:p>
        </w:tc>
      </w:tr>
      <w:tr>
        <w:tc>
          <w:tcPr>
            <w:tcW w:type="dxa" w:w="1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2.3</w:t>
            </w:r>
          </w:p>
        </w:tc>
        <w:tc>
          <w:tcPr>
            <w:tcW w:type="dxa" w:w="16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01 Mar 2024</w:t>
            </w:r>
          </w:p>
        </w:tc>
        <w:tc>
          <w:tcPr>
            <w:tcW w:type="dxa" w:w="200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Tech Doc Function</w:t>
            </w:r>
          </w:p>
        </w:tc>
        <w:tc>
          <w:tcPr>
            <w:tcW w:type="dxa" w:w="4760"/>
            <w:tcBorders>
              <w:top w:val="single" w:color="E0E0E0" w:sz="4"/>
              <w:left w:val="single" w:color="E0E0E0" w:sz="4"/>
              <w:bottom w:val="single" w:color="E0E0E0" w:sz="4"/>
              <w:right w:val="single" w:color="E0E0E0" w:sz="4"/>
            </w:tcBorders>
            <w:shd w:fill="FFFFFF" w:val="clear"/>
            <w:tcMar>
              <w:top w:type="dxa" w:w="80"/>
              <w:left w:type="dxa" w:w="140"/>
              <w:bottom w:type="dxa" w:w="80"/>
              <w:right w:type="dxa" w:w="140"/>
            </w:tcMar>
          </w:tcPr>
          <w:p>
            <w:pPr>
              <w:spacing w:after="0"/>
            </w:pPr>
            <w:r>
              <w:rPr>
                <w:rFonts w:ascii="Arial" w:cs="Arial" w:eastAsia="Arial" w:hAnsi="Arial"/>
                <w:color w:val="1A1A1A"/>
                <w:sz w:val="20"/>
                <w:szCs w:val="20"/>
              </w:rPr>
              <w:t xml:space="preserve">Documentation reformatted to Model Documentation Minimum Standards Policy v1.0. All mandatory fields completed. Dual sign-off obtained.</w:t>
            </w:r>
          </w:p>
        </w:tc>
      </w:tr>
    </w:tbl>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6FA5" w:sz="8"/>
              <w:left w:val="single" w:color="4A6FA5" w:sz="8"/>
              <w:bottom w:val="single" w:color="4A6FA5" w:sz="8"/>
              <w:right w:val="single" w:color="4A6FA5" w:sz="8"/>
            </w:tcBorders>
            <w:shd w:fill="EEF4FC" w:val="clear"/>
            <w:tcMar>
              <w:top w:type="dxa" w:w="120"/>
              <w:left w:type="dxa" w:w="200"/>
              <w:bottom w:type="dxa" w:w="120"/>
              <w:right w:type="dxa" w:w="200"/>
            </w:tcMar>
          </w:tcPr>
          <w:p>
            <w:pPr>
              <w:spacing w:after="60"/>
            </w:pPr>
            <w:r>
              <w:rPr>
                <w:rFonts w:ascii="Arial" w:cs="Arial" w:eastAsia="Arial" w:hAnsi="Arial"/>
                <w:b/>
                <w:bCs/>
                <w:color w:val="1B2A4A"/>
                <w:sz w:val="20"/>
                <w:szCs w:val="20"/>
              </w:rPr>
              <w:t xml:space="preserve">Document Classification and Handling</w:t>
            </w:r>
          </w:p>
          <w:p>
            <w:pPr>
              <w:spacing w:after="60"/>
            </w:pPr>
            <w:r>
              <w:rPr>
                <w:rFonts w:ascii="Arial" w:cs="Arial" w:eastAsia="Arial" w:hAnsi="Arial"/>
                <w:color w:val="1A1A1A"/>
                <w:sz w:val="20"/>
                <w:szCs w:val="20"/>
              </w:rPr>
              <w:t xml:space="preserve">This document is classified Internal Confidential. It must not be distributed outside the Organization, shared with external parties, or reproduced in whole or in part in any external communication. Content from this document must not be submitted as input to external AI tools or language models. Queries regarding access or handling should be directed to the Technical Documentation Function.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6FA5" w:sz="4" w:space="1"/>
      </w:pBdr>
      <w:tabs>
        <w:tab w:val="right" w:pos="9026"/>
      </w:tabs>
      <w:spacing w:before="100"/>
    </w:pPr>
    <w:r>
      <w:rPr>
        <w:rFonts w:ascii="Arial" w:cs="Arial" w:eastAsia="Arial" w:hAnsi="Arial"/>
        <w:b/>
        <w:bCs/>
        <w:color w:val="1B2A4A"/>
        <w:sz w:val="18"/>
        <w:szCs w:val="18"/>
      </w:rPr>
      <w:t xml:space="preserve">CONFIDENTIAL — INTERNAL USE ONLY</w:t>
    </w:r>
    <w:r>
      <w:rPr>
        <w:rFonts w:ascii="Arial" w:cs="Arial" w:eastAsia="Arial" w:hAnsi="Arial"/>
        <w:color w:val="5A5A5A"/>
        <w:sz w:val="18"/>
        <w:szCs w:val="18"/>
      </w:rPr>
      <w:t xml:space="preserve">	Intraday Volatility Forecast Model  ·  Tier 1  ·  Quantitative Strategies Group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6FA5" w:sz="4" w:space="1"/>
      </w:pBdr>
      <w:tabs>
        <w:tab w:val="right" w:pos="9026"/>
      </w:tabs>
      <w:spacing w:after="100"/>
    </w:pPr>
    <w:r>
      <w:rPr>
        <w:rFonts w:ascii="Arial" w:cs="Arial" w:eastAsia="Arial" w:hAnsi="Arial"/>
        <w:color w:val="5A5A5A"/>
        <w:sz w:val="18"/>
        <w:szCs w:val="18"/>
      </w:rPr>
      <w:t xml:space="preserve">Model Card  ·  IVFM-EQ-001  ·  v2.3  ·  INTERNAL USE ONLY</w:t>
    </w:r>
    <w:r>
      <w:rPr>
        <w:rFonts w:ascii="Arial" w:cs="Arial" w:eastAsia="Arial" w:hAnsi="Arial"/>
        <w:color w:val="5A5A5A"/>
        <w:sz w:val="18"/>
        <w:szCs w:val="18"/>
      </w:rPr>
      <w:t xml:space="preserve">	Page </w:t>
    </w:r>
    <w:fldSimple w:instr="PAG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2A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4D8A"/>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A6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2026-06-01T05:12:38.281Z</dcterms:created>
  <dcterms:modified xsi:type="dcterms:W3CDTF">2026-06-01T05:12:38.282Z</dcterms:modified>
</cp:coreProperties>
</file>

<file path=docProps/custom.xml><?xml version="1.0" encoding="utf-8"?>
<Properties xmlns="http://schemas.openxmlformats.org/officeDocument/2006/custom-properties" xmlns:vt="http://schemas.openxmlformats.org/officeDocument/2006/docPropsVTypes"/>
</file>