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3864" w:val="clear"/>
            <w:tcMar>
              <w:top w:type="dxa" w:w="200"/>
              <w:left w:type="dxa" w:w="240"/>
              <w:bottom w:type="dxa" w:w="200"/>
              <w:right w:type="dxa" w:w="240"/>
            </w:tcMar>
          </w:tcPr>
          <w:p>
            <w:pPr>
              <w:spacing w:after="80" w:before="0"/>
              <w:jc w:val="left"/>
            </w:pPr>
            <w:r>
              <w:rPr>
                <w:rFonts w:ascii="Arial" w:cs="Arial" w:eastAsia="Arial" w:hAnsi="Arial"/>
                <w:b/>
                <w:bCs/>
                <w:color w:val="FFFFFF"/>
                <w:sz w:val="32"/>
                <w:szCs w:val="32"/>
              </w:rPr>
              <w:t xml:space="preserve">HUMAN OVERSIGHT DOCUMENTATION STANDARD</w:t>
            </w:r>
          </w:p>
          <w:p>
            <w:pPr>
              <w:spacing w:after="120" w:before="0"/>
            </w:pPr>
            <w:r>
              <w:rPr>
                <w:rFonts w:ascii="Arial" w:cs="Arial" w:eastAsia="Arial" w:hAnsi="Arial"/>
                <w:i/>
                <w:iCs/>
                <w:color w:val="B8C8E0"/>
                <w:sz w:val="26"/>
                <w:szCs w:val="26"/>
              </w:rPr>
              <w:t xml:space="preserve">for AI/ML-Assisted Content and Model Outputs</w:t>
            </w:r>
          </w:p>
          <w:p>
            <w:pPr>
              <w:spacing w:after="0" w:before="0"/>
            </w:pPr>
            <w:r>
              <w:rPr>
                <w:rFonts w:ascii="Arial" w:cs="Arial" w:eastAsia="Arial" w:hAnsi="Arial"/>
                <w:color w:val="8FA8CC"/>
                <w:sz w:val="19"/>
                <w:szCs w:val="19"/>
              </w:rPr>
              <w:t xml:space="preserve">Technical Documentation Function  ·  Technology Division  ·  Internal Use Only</w:t>
            </w:r>
          </w:p>
        </w:tc>
      </w:tr>
    </w:tbl>
    <w:p>
      <w:pPr>
        <w:spacing w:after="4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30" w:before="0"/>
            </w:pPr>
            <w:r>
              <w:rPr>
                <w:rFonts w:ascii="Arial" w:cs="Arial" w:eastAsia="Arial" w:hAnsi="Arial"/>
                <w:b/>
                <w:bCs/>
                <w:color w:val="595959"/>
                <w:sz w:val="17"/>
                <w:szCs w:val="17"/>
              </w:rPr>
              <w:t xml:space="preserve">Policy Owner</w:t>
            </w:r>
          </w:p>
          <w:p>
            <w:pPr>
              <w:spacing w:after="0" w:before="0"/>
            </w:pPr>
            <w:r>
              <w:rPr>
                <w:rFonts w:ascii="Arial" w:cs="Arial" w:eastAsia="Arial" w:hAnsi="Arial"/>
                <w:color w:val="404040"/>
                <w:sz w:val="19"/>
                <w:szCs w:val="19"/>
              </w:rPr>
              <w:t xml:space="preserve">[POLICY OWNER NAME / TITLE]</w:t>
            </w:r>
          </w:p>
        </w:tc>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30" w:before="0"/>
            </w:pPr>
            <w:r>
              <w:rPr>
                <w:rFonts w:ascii="Arial" w:cs="Arial" w:eastAsia="Arial" w:hAnsi="Arial"/>
                <w:b/>
                <w:bCs/>
                <w:color w:val="595959"/>
                <w:sz w:val="17"/>
                <w:szCs w:val="17"/>
              </w:rPr>
              <w:t xml:space="preserve">Document ID</w:t>
            </w:r>
          </w:p>
          <w:p>
            <w:pPr>
              <w:spacing w:after="0" w:before="0"/>
            </w:pPr>
            <w:r>
              <w:rPr>
                <w:rFonts w:ascii="Arial" w:cs="Arial" w:eastAsia="Arial" w:hAnsi="Arial"/>
                <w:color w:val="404040"/>
                <w:sz w:val="19"/>
                <w:szCs w:val="19"/>
              </w:rPr>
              <w:t xml:space="preserve">[ORG-DOC-POLICY-001]</w:t>
            </w:r>
          </w:p>
        </w:tc>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30" w:before="0"/>
            </w:pPr>
            <w:r>
              <w:rPr>
                <w:rFonts w:ascii="Arial" w:cs="Arial" w:eastAsia="Arial" w:hAnsi="Arial"/>
                <w:b/>
                <w:bCs/>
                <w:color w:val="595959"/>
                <w:sz w:val="17"/>
                <w:szCs w:val="17"/>
              </w:rPr>
              <w:t xml:space="preserve">Version</w:t>
            </w:r>
          </w:p>
          <w:p>
            <w:pPr>
              <w:spacing w:after="0" w:before="0"/>
            </w:pPr>
            <w:r>
              <w:rPr>
                <w:rFonts w:ascii="Arial" w:cs="Arial" w:eastAsia="Arial" w:hAnsi="Arial"/>
                <w:color w:val="404040"/>
                <w:sz w:val="19"/>
                <w:szCs w:val="19"/>
              </w:rPr>
              <w:t xml:space="preserve">0.1 — Draft for Review</w:t>
            </w:r>
          </w:p>
        </w:tc>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30" w:before="0"/>
            </w:pPr>
            <w:r>
              <w:rPr>
                <w:rFonts w:ascii="Arial" w:cs="Arial" w:eastAsia="Arial" w:hAnsi="Arial"/>
                <w:b/>
                <w:bCs/>
                <w:color w:val="595959"/>
                <w:sz w:val="17"/>
                <w:szCs w:val="17"/>
              </w:rPr>
              <w:t xml:space="preserve">Status</w:t>
            </w:r>
          </w:p>
          <w:p>
            <w:pPr>
              <w:spacing w:after="0" w:before="0"/>
            </w:pPr>
            <w:r>
              <w:rPr>
                <w:rFonts w:ascii="Arial" w:cs="Arial" w:eastAsia="Arial" w:hAnsi="Arial"/>
                <w:color w:val="404040"/>
                <w:sz w:val="19"/>
                <w:szCs w:val="19"/>
              </w:rPr>
              <w:t xml:space="preserve">DRAFT — Pending Sign-Off</w:t>
            </w:r>
          </w:p>
        </w:tc>
      </w:tr>
      <w:tr>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30" w:before="0"/>
            </w:pPr>
            <w:r>
              <w:rPr>
                <w:rFonts w:ascii="Arial" w:cs="Arial" w:eastAsia="Arial" w:hAnsi="Arial"/>
                <w:b/>
                <w:bCs/>
                <w:color w:val="595959"/>
                <w:sz w:val="17"/>
                <w:szCs w:val="17"/>
              </w:rPr>
              <w:t xml:space="preserve">Effective Date</w:t>
            </w:r>
          </w:p>
          <w:p>
            <w:pPr>
              <w:spacing w:after="0" w:before="0"/>
            </w:pPr>
            <w:r>
              <w:rPr>
                <w:rFonts w:ascii="Arial" w:cs="Arial" w:eastAsia="Arial" w:hAnsi="Arial"/>
                <w:color w:val="404040"/>
                <w:sz w:val="19"/>
                <w:szCs w:val="19"/>
              </w:rPr>
              <w:t xml:space="preserve">[DATE]</w:t>
            </w:r>
          </w:p>
        </w:tc>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30" w:before="0"/>
            </w:pPr>
            <w:r>
              <w:rPr>
                <w:rFonts w:ascii="Arial" w:cs="Arial" w:eastAsia="Arial" w:hAnsi="Arial"/>
                <w:b/>
                <w:bCs/>
                <w:color w:val="595959"/>
                <w:sz w:val="17"/>
                <w:szCs w:val="17"/>
              </w:rPr>
              <w:t xml:space="preserve">Next Review Date</w:t>
            </w:r>
          </w:p>
          <w:p>
            <w:pPr>
              <w:spacing w:after="0" w:before="0"/>
            </w:pPr>
            <w:r>
              <w:rPr>
                <w:rFonts w:ascii="Arial" w:cs="Arial" w:eastAsia="Arial" w:hAnsi="Arial"/>
                <w:color w:val="404040"/>
                <w:sz w:val="19"/>
                <w:szCs w:val="19"/>
              </w:rPr>
              <w:t xml:space="preserve">[DATE + 90 days]</w:t>
            </w:r>
          </w:p>
        </w:tc>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30" w:before="0"/>
            </w:pPr>
            <w:r>
              <w:rPr>
                <w:rFonts w:ascii="Arial" w:cs="Arial" w:eastAsia="Arial" w:hAnsi="Arial"/>
                <w:b/>
                <w:bCs/>
                <w:color w:val="595959"/>
                <w:sz w:val="17"/>
                <w:szCs w:val="17"/>
              </w:rPr>
              <w:t xml:space="preserve">Tier 1 Sign-Off</w:t>
            </w:r>
          </w:p>
          <w:p>
            <w:pPr>
              <w:spacing w:after="0" w:before="0"/>
            </w:pPr>
            <w:r>
              <w:rPr>
                <w:rFonts w:ascii="Arial" w:cs="Arial" w:eastAsia="Arial" w:hAnsi="Arial"/>
                <w:color w:val="404040"/>
                <w:sz w:val="19"/>
                <w:szCs w:val="19"/>
              </w:rPr>
              <w:t xml:space="preserve">[Manager Name / Title]</w:t>
            </w:r>
          </w:p>
        </w:tc>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30" w:before="0"/>
            </w:pPr>
            <w:r>
              <w:rPr>
                <w:rFonts w:ascii="Arial" w:cs="Arial" w:eastAsia="Arial" w:hAnsi="Arial"/>
                <w:b/>
                <w:bCs/>
                <w:color w:val="595959"/>
                <w:sz w:val="17"/>
                <w:szCs w:val="17"/>
              </w:rPr>
              <w:t xml:space="preserve">Tier 2 Sign-Off</w:t>
            </w:r>
          </w:p>
          <w:p>
            <w:pPr>
              <w:spacing w:after="0" w:before="0"/>
            </w:pPr>
            <w:r>
              <w:rPr>
                <w:rFonts w:ascii="Arial" w:cs="Arial" w:eastAsia="Arial" w:hAnsi="Arial"/>
                <w:color w:val="404040"/>
                <w:sz w:val="19"/>
                <w:szCs w:val="19"/>
              </w:rPr>
              <w:t xml:space="preserve">[Model Risk Owner / Title]</w:t>
            </w:r>
          </w:p>
        </w:tc>
      </w:tr>
      <w:tr>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30" w:before="0"/>
            </w:pPr>
            <w:r>
              <w:rPr>
                <w:rFonts w:ascii="Arial" w:cs="Arial" w:eastAsia="Arial" w:hAnsi="Arial"/>
                <w:b/>
                <w:bCs/>
                <w:color w:val="595959"/>
                <w:sz w:val="17"/>
                <w:szCs w:val="17"/>
              </w:rPr>
              <w:t xml:space="preserve">Classification</w:t>
            </w:r>
          </w:p>
          <w:p>
            <w:pPr>
              <w:spacing w:after="0" w:before="0"/>
            </w:pPr>
            <w:r>
              <w:rPr>
                <w:rFonts w:ascii="Arial" w:cs="Arial" w:eastAsia="Arial" w:hAnsi="Arial"/>
                <w:color w:val="404040"/>
                <w:sz w:val="19"/>
                <w:szCs w:val="19"/>
              </w:rPr>
              <w:t xml:space="preserve">Internal</w:t>
            </w:r>
          </w:p>
        </w:tc>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30" w:before="0"/>
            </w:pPr>
            <w:r>
              <w:rPr>
                <w:rFonts w:ascii="Arial" w:cs="Arial" w:eastAsia="Arial" w:hAnsi="Arial"/>
                <w:b/>
                <w:bCs/>
                <w:color w:val="595959"/>
                <w:sz w:val="17"/>
                <w:szCs w:val="17"/>
              </w:rPr>
              <w:t xml:space="preserve">Confluence Space</w:t>
            </w:r>
          </w:p>
          <w:p>
            <w:pPr>
              <w:spacing w:after="0" w:before="0"/>
            </w:pPr>
            <w:r>
              <w:rPr>
                <w:rFonts w:ascii="Arial" w:cs="Arial" w:eastAsia="Arial" w:hAnsi="Arial"/>
                <w:color w:val="404040"/>
                <w:sz w:val="19"/>
                <w:szCs w:val="19"/>
              </w:rPr>
              <w:t xml:space="preserve">[Space Name / URL]</w:t>
            </w:r>
          </w:p>
        </w:tc>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30" w:before="0"/>
            </w:pPr>
            <w:r>
              <w:rPr>
                <w:rFonts w:ascii="Arial" w:cs="Arial" w:eastAsia="Arial" w:hAnsi="Arial"/>
                <w:b/>
                <w:bCs/>
                <w:color w:val="595959"/>
                <w:sz w:val="17"/>
                <w:szCs w:val="17"/>
              </w:rPr>
              <w:t xml:space="preserve">Supersedes</w:t>
            </w:r>
          </w:p>
          <w:p>
            <w:pPr>
              <w:spacing w:after="0" w:before="0"/>
            </w:pPr>
            <w:r>
              <w:rPr>
                <w:rFonts w:ascii="Arial" w:cs="Arial" w:eastAsia="Arial" w:hAnsi="Arial"/>
                <w:color w:val="404040"/>
                <w:sz w:val="19"/>
                <w:szCs w:val="19"/>
              </w:rPr>
              <w:t xml:space="preserve">None — First Issue</w:t>
            </w:r>
          </w:p>
        </w:tc>
        <w:tc>
          <w:tcPr>
            <w:tcW w:type="dxa" w:w="234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30" w:before="0"/>
            </w:pPr>
            <w:r>
              <w:rPr>
                <w:rFonts w:ascii="Arial" w:cs="Arial" w:eastAsia="Arial" w:hAnsi="Arial"/>
                <w:b/>
                <w:bCs/>
                <w:color w:val="595959"/>
                <w:sz w:val="17"/>
                <w:szCs w:val="17"/>
              </w:rPr>
              <w:t xml:space="preserve">Review Cycle</w:t>
            </w:r>
          </w:p>
          <w:p>
            <w:pPr>
              <w:spacing w:after="0" w:before="0"/>
            </w:pPr>
            <w:r>
              <w:rPr>
                <w:rFonts w:ascii="Arial" w:cs="Arial" w:eastAsia="Arial" w:hAnsi="Arial"/>
                <w:color w:val="404040"/>
                <w:sz w:val="19"/>
                <w:szCs w:val="19"/>
              </w:rPr>
              <w:t xml:space="preserve">Quarterly</w:t>
            </w:r>
          </w:p>
        </w:tc>
      </w:tr>
    </w:tbl>
    <w:p>
      <w:pPr>
        <w:spacing w:after="1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D87" w:sz="6"/>
              <w:left w:val="single" w:color="2E4D87" w:sz="10"/>
              <w:bottom w:val="single" w:color="2E4D87" w:sz="6"/>
              <w:right w:val="nil" w:color="FFFFFF" w:sz="0"/>
            </w:tcBorders>
            <w:shd w:fill="EBF0F8" w:val="clear"/>
            <w:tcMar>
              <w:top w:type="dxa" w:w="100"/>
              <w:left w:type="dxa" w:w="160"/>
              <w:bottom w:type="dxa" w:w="100"/>
              <w:right w:type="dxa" w:w="120"/>
            </w:tcMar>
          </w:tcPr>
          <w:p>
            <w:pPr>
              <w:spacing w:after="60" w:before="0"/>
            </w:pPr>
            <w:r>
              <w:rPr>
                <w:rFonts w:ascii="Arial" w:cs="Arial" w:eastAsia="Arial" w:hAnsi="Arial"/>
                <w:b/>
                <w:bCs/>
                <w:color w:val="1F3864"/>
                <w:sz w:val="18"/>
                <w:szCs w:val="18"/>
              </w:rPr>
              <w:t xml:space="preserve">POLICY SUBSERVIENCE AND SCOPE DISCLAIMER</w:t>
            </w:r>
          </w:p>
          <w:p>
            <w:pPr>
              <w:spacing w:after="60" w:before="0"/>
            </w:pPr>
            <w:r>
              <w:rPr>
                <w:rFonts w:ascii="Arial" w:cs="Arial" w:eastAsia="Arial" w:hAnsi="Arial"/>
                <w:color w:val="404040"/>
                <w:sz w:val="19"/>
                <w:szCs w:val="19"/>
              </w:rPr>
              <w:t xml:space="preserve">This Policy operates as an addendum to, and is wholly subservient to, all existing organisational policies, including but not limited to the firm's Information Security Policy, Acceptable Use Policy, Data Classification Policy, and any policies enforced by the Compliance function. In the event of any conflict between this Policy and an existing organisational policy or regulatory obligation, the existing policy or regulatory obligation shall prevail.</w:t>
            </w:r>
          </w:p>
          <w:p>
            <w:pPr>
              <w:spacing w:after="60" w:before="0"/>
            </w:pPr>
            <w:r>
              <w:rPr>
                <w:rFonts w:ascii="Arial" w:cs="Arial" w:eastAsia="Arial" w:hAnsi="Arial"/>
                <w:color w:val="404040"/>
                <w:sz w:val="19"/>
                <w:szCs w:val="19"/>
              </w:rPr>
              <w:t xml:space="preserve"/>
            </w:r>
          </w:p>
          <w:p>
            <w:pPr>
              <w:spacing w:after="60" w:before="0"/>
            </w:pPr>
            <w:r>
              <w:rPr>
                <w:rFonts w:ascii="Arial" w:cs="Arial" w:eastAsia="Arial" w:hAnsi="Arial"/>
                <w:color w:val="404040"/>
                <w:sz w:val="19"/>
                <w:szCs w:val="19"/>
              </w:rPr>
              <w:t xml:space="preserve">This Policy does not govern, encroach upon, or supersede the responsibilities of the Compliance function. It governs only the documentation standards and processes within the Technical Documentation Function as they relate to AI/ML-assisted content and model output documentation.</w:t>
            </w:r>
          </w:p>
          <w:p>
            <w:pPr>
              <w:spacing w:after="60" w:before="0"/>
            </w:pPr>
            <w:r>
              <w:rPr>
                <w:rFonts w:ascii="Arial" w:cs="Arial" w:eastAsia="Arial" w:hAnsi="Arial"/>
                <w:color w:val="404040"/>
                <w:sz w:val="19"/>
                <w:szCs w:val="19"/>
              </w:rPr>
              <w:t xml:space="preserve"/>
            </w:r>
          </w:p>
          <w:p>
            <w:pPr>
              <w:spacing w:after="60" w:before="0"/>
            </w:pPr>
            <w:r>
              <w:rPr>
                <w:rFonts w:ascii="Arial" w:cs="Arial" w:eastAsia="Arial" w:hAnsi="Arial"/>
                <w:color w:val="404040"/>
                <w:sz w:val="19"/>
                <w:szCs w:val="19"/>
              </w:rPr>
              <w:t xml:space="preserve">Queries regarding the relationship between this Policy and existing compliance obligations should be directed to [COMPLIANCE CONTACT PLACEHOLDER] prior to escalation.</w:t>
            </w:r>
          </w:p>
        </w:tc>
      </w:tr>
    </w:tbl>
    <w:p>
      <w:pPr>
        <w:spacing w:after="12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D87" w:sz="6"/>
              <w:left w:val="single" w:color="2E4D87" w:sz="10"/>
              <w:bottom w:val="single" w:color="2E4D87" w:sz="6"/>
              <w:right w:val="nil" w:color="FFFFFF" w:sz="0"/>
            </w:tcBorders>
            <w:shd w:fill="EBF0F8" w:val="clear"/>
            <w:tcMar>
              <w:top w:type="dxa" w:w="100"/>
              <w:left w:type="dxa" w:w="160"/>
              <w:bottom w:type="dxa" w:w="100"/>
              <w:right w:type="dxa" w:w="120"/>
            </w:tcMar>
          </w:tcPr>
          <w:p>
            <w:pPr>
              <w:spacing w:after="60" w:before="0"/>
            </w:pPr>
            <w:r>
              <w:rPr>
                <w:rFonts w:ascii="Arial" w:cs="Arial" w:eastAsia="Arial" w:hAnsi="Arial"/>
                <w:b/>
                <w:bCs/>
                <w:color w:val="1F3864"/>
                <w:sz w:val="18"/>
                <w:szCs w:val="18"/>
              </w:rPr>
              <w:t xml:space="preserve">GOVERNING PRINCIPLES</w:t>
            </w:r>
          </w:p>
          <w:p>
            <w:pPr>
              <w:spacing w:after="60" w:before="0"/>
            </w:pPr>
            <w:r>
              <w:rPr>
                <w:rFonts w:ascii="Arial" w:cs="Arial" w:eastAsia="Arial" w:hAnsi="Arial"/>
                <w:b/>
                <w:bCs/>
                <w:color w:val="2E4D87"/>
                <w:sz w:val="19"/>
                <w:szCs w:val="19"/>
              </w:rPr>
              <w:t xml:space="preserve">Human accountability  </w:t>
            </w:r>
            <w:r>
              <w:rPr>
                <w:rFonts w:ascii="Arial" w:cs="Arial" w:eastAsia="Arial" w:hAnsi="Arial"/>
                <w:color w:val="404040"/>
                <w:sz w:val="19"/>
                <w:szCs w:val="19"/>
              </w:rPr>
              <w:t xml:space="preserve">Every AI-assisted documentation output has a named human owner who is responsible for its accuracy. AI tools assist; humans are accountable.</w:t>
            </w:r>
          </w:p>
          <w:p>
            <w:pPr>
              <w:spacing w:after="60" w:before="0"/>
            </w:pPr>
            <w:r>
              <w:rPr>
                <w:rFonts w:ascii="Arial" w:cs="Arial" w:eastAsia="Arial" w:hAnsi="Arial"/>
                <w:b/>
                <w:bCs/>
                <w:color w:val="2E4D87"/>
                <w:sz w:val="19"/>
                <w:szCs w:val="19"/>
              </w:rPr>
              <w:t xml:space="preserve">Transparency  </w:t>
            </w:r>
            <w:r>
              <w:rPr>
                <w:rFonts w:ascii="Arial" w:cs="Arial" w:eastAsia="Arial" w:hAnsi="Arial"/>
                <w:color w:val="404040"/>
                <w:sz w:val="19"/>
                <w:szCs w:val="19"/>
              </w:rPr>
              <w:t xml:space="preserve">The use of AI tools in producing documentation is recorded, traceable, and visible to authorised reviewers. There are no undisclosed AI contributions to published documents.</w:t>
            </w:r>
          </w:p>
          <w:p>
            <w:pPr>
              <w:spacing w:after="0" w:before="0"/>
            </w:pPr>
            <w:r>
              <w:rPr>
                <w:rFonts w:ascii="Arial" w:cs="Arial" w:eastAsia="Arial" w:hAnsi="Arial"/>
                <w:b/>
                <w:bCs/>
                <w:color w:val="2E4D87"/>
                <w:sz w:val="19"/>
                <w:szCs w:val="19"/>
              </w:rPr>
              <w:t xml:space="preserve">Proportionality  </w:t>
            </w:r>
            <w:r>
              <w:rPr>
                <w:rFonts w:ascii="Arial" w:cs="Arial" w:eastAsia="Arial" w:hAnsi="Arial"/>
                <w:color w:val="404040"/>
                <w:sz w:val="19"/>
                <w:szCs w:val="19"/>
              </w:rPr>
              <w:t xml:space="preserve">Review requirements are calibrated to the risk level of the content. Documentation reaching trading-floor audiences carries a higher review obligation than developer-facing content.</w:t>
            </w:r>
          </w:p>
        </w:tc>
      </w:tr>
    </w:tbl>
    <w:p>
      <w:pPr>
        <w:pBdr>
          <w:bottom w:val="single" w:color="2E4D87" w:sz="8"/>
        </w:pBdr>
        <w:spacing w:after="100" w:before="280"/>
      </w:pPr>
      <w:r>
        <w:rPr>
          <w:rFonts w:ascii="Arial" w:cs="Arial" w:eastAsia="Arial" w:hAnsi="Arial"/>
          <w:b/>
          <w:bCs/>
          <w:color w:val="1F3864"/>
          <w:sz w:val="24"/>
          <w:szCs w:val="24"/>
        </w:rPr>
        <w:t xml:space="preserve">1.  Purpose</w:t>
      </w:r>
    </w:p>
    <w:p>
      <w:pPr>
        <w:spacing w:after="120" w:before="0"/>
        <w:jc w:val="left"/>
      </w:pPr>
      <w:r>
        <w:rPr>
          <w:rFonts w:ascii="Arial" w:cs="Arial" w:eastAsia="Arial" w:hAnsi="Arial"/>
          <w:b w:val="false"/>
          <w:bCs w:val="false"/>
          <w:i w:val="false"/>
          <w:iCs w:val="false"/>
          <w:color w:val="404040"/>
          <w:sz w:val="20"/>
          <w:szCs w:val="20"/>
        </w:rPr>
        <w:t xml:space="preserve">This Policy establishes the human oversight documentation obligations of the Technical Documentation Function with respect to two operational surfaces:</w:t>
      </w:r>
    </w:p>
    <w:p>
      <w:pPr>
        <w:spacing w:after="120" w:before="60"/>
        <w:jc w:val="left"/>
      </w:pPr>
      <w:r>
        <w:rPr>
          <w:rFonts w:ascii="Arial" w:cs="Arial" w:eastAsia="Arial" w:hAnsi="Arial"/>
          <w:b w:val="false"/>
          <w:bCs w:val="false"/>
          <w:i w:val="false"/>
          <w:iCs w:val="false"/>
          <w:color w:val="404040"/>
          <w:sz w:val="20"/>
          <w:szCs w:val="20"/>
        </w:rPr>
        <w:t xml:space="preserve">(a)  the use of AI tools to produce documentation (</w:t>
      </w:r>
      <w:r>
        <w:rPr>
          <w:rFonts w:ascii="Arial" w:cs="Arial" w:eastAsia="Arial" w:hAnsi="Arial"/>
          <w:b/>
          <w:bCs/>
          <w:i w:val="false"/>
          <w:iCs w:val="false"/>
          <w:color w:val="404040"/>
          <w:sz w:val="20"/>
          <w:szCs w:val="20"/>
        </w:rPr>
        <w:t xml:space="preserve">Tier 1 — Documentation Production</w:t>
      </w:r>
      <w:r>
        <w:rPr>
          <w:rFonts w:ascii="Arial" w:cs="Arial" w:eastAsia="Arial" w:hAnsi="Arial"/>
          <w:b w:val="false"/>
          <w:bCs w:val="false"/>
          <w:i w:val="false"/>
          <w:iCs w:val="false"/>
          <w:color w:val="404040"/>
          <w:sz w:val="20"/>
          <w:szCs w:val="20"/>
        </w:rPr>
        <w:t xml:space="preserve">); and</w:t>
      </w:r>
    </w:p>
    <w:p>
      <w:pPr>
        <w:spacing w:after="120" w:before="40"/>
        <w:jc w:val="left"/>
      </w:pPr>
      <w:r>
        <w:rPr>
          <w:rFonts w:ascii="Arial" w:cs="Arial" w:eastAsia="Arial" w:hAnsi="Arial"/>
          <w:b w:val="false"/>
          <w:bCs w:val="false"/>
          <w:i w:val="false"/>
          <w:iCs w:val="false"/>
          <w:color w:val="404040"/>
          <w:sz w:val="20"/>
          <w:szCs w:val="20"/>
        </w:rPr>
        <w:t xml:space="preserve">(b)  the documentation of human oversight requirements within model cards and AI/ML system documentation produced by the Technical Documentation Function on behalf of the Organisation (</w:t>
      </w:r>
      <w:r>
        <w:rPr>
          <w:rFonts w:ascii="Arial" w:cs="Arial" w:eastAsia="Arial" w:hAnsi="Arial"/>
          <w:b/>
          <w:bCs/>
          <w:i w:val="false"/>
          <w:iCs w:val="false"/>
          <w:color w:val="404040"/>
          <w:sz w:val="20"/>
          <w:szCs w:val="20"/>
        </w:rPr>
        <w:t xml:space="preserve">Tier 2 — Model Output Documentation</w:t>
      </w:r>
      <w:r>
        <w:rPr>
          <w:rFonts w:ascii="Arial" w:cs="Arial" w:eastAsia="Arial" w:hAnsi="Arial"/>
          <w:b w:val="false"/>
          <w:bCs w:val="false"/>
          <w:i w:val="false"/>
          <w:iCs w:val="false"/>
          <w:color w:val="404040"/>
          <w:sz w:val="20"/>
          <w:szCs w:val="20"/>
        </w:rPr>
        <w:t xml:space="preserve">).</w:t>
      </w:r>
    </w:p>
    <w:p>
      <w:pPr>
        <w:spacing w:after="80" w:before="0"/>
      </w:pPr>
      <w:r>
        <w:rPr>
          <w:rFonts w:ascii="Arial" w:cs="Arial" w:eastAsia="Arial" w:hAnsi="Arial"/>
          <w:sz w:val="20"/>
          <w:szCs w:val="20"/>
        </w:rPr>
        <w:t xml:space="preserve"/>
      </w:r>
    </w:p>
    <w:p>
      <w:pPr>
        <w:spacing w:after="120" w:before="0"/>
        <w:jc w:val="left"/>
      </w:pPr>
      <w:r>
        <w:rPr>
          <w:rFonts w:ascii="Arial" w:cs="Arial" w:eastAsia="Arial" w:hAnsi="Arial"/>
          <w:b w:val="false"/>
          <w:bCs w:val="false"/>
          <w:i w:val="false"/>
          <w:iCs w:val="false"/>
          <w:color w:val="404040"/>
          <w:sz w:val="20"/>
          <w:szCs w:val="20"/>
        </w:rPr>
        <w:t xml:space="preserve">This Policy is intended to ensure that human oversight is exercised, recorded, and auditable across both surfaces, and that documentation produced by the Technical Documentation Function constitutes credible evidence of due diligence in the event of regulatory review or internal audit.</w:t>
      </w:r>
    </w:p>
    <w:p>
      <w:pPr>
        <w:spacing w:after="80" w:before="0"/>
      </w:pPr>
      <w:r>
        <w:rPr>
          <w:rFonts w:ascii="Arial" w:cs="Arial" w:eastAsia="Arial" w:hAnsi="Arial"/>
          <w:sz w:val="20"/>
          <w:szCs w:val="20"/>
        </w:rPr>
        <w:t xml:space="preserve"/>
      </w:r>
    </w:p>
    <w:p>
      <w:pPr>
        <w:spacing w:after="120" w:before="0"/>
        <w:jc w:val="left"/>
      </w:pPr>
      <w:r>
        <w:rPr>
          <w:rFonts w:ascii="Arial" w:cs="Arial" w:eastAsia="Arial" w:hAnsi="Arial"/>
          <w:b w:val="false"/>
          <w:bCs w:val="false"/>
          <w:i w:val="false"/>
          <w:iCs w:val="false"/>
          <w:color w:val="404040"/>
          <w:sz w:val="20"/>
          <w:szCs w:val="20"/>
        </w:rPr>
        <w:t xml:space="preserve">This Policy is aligned with the Federal Reserve's </w:t>
      </w:r>
      <w:r>
        <w:rPr>
          <w:rFonts w:ascii="Arial" w:cs="Arial" w:eastAsia="Arial" w:hAnsi="Arial"/>
          <w:b/>
          <w:bCs/>
          <w:i w:val="false"/>
          <w:iCs w:val="false"/>
          <w:color w:val="404040"/>
          <w:sz w:val="20"/>
          <w:szCs w:val="20"/>
        </w:rPr>
        <w:t xml:space="preserve">SR 11-7 Guidance on Model Risk Management</w:t>
      </w:r>
      <w:r>
        <w:rPr>
          <w:rFonts w:ascii="Arial" w:cs="Arial" w:eastAsia="Arial" w:hAnsi="Arial"/>
          <w:b w:val="false"/>
          <w:bCs w:val="false"/>
          <w:i w:val="false"/>
          <w:iCs w:val="false"/>
          <w:color w:val="404040"/>
          <w:sz w:val="20"/>
          <w:szCs w:val="20"/>
        </w:rPr>
        <w:t xml:space="preserve">, the </w:t>
      </w:r>
      <w:r>
        <w:rPr>
          <w:rFonts w:ascii="Arial" w:cs="Arial" w:eastAsia="Arial" w:hAnsi="Arial"/>
          <w:b/>
          <w:bCs/>
          <w:i w:val="false"/>
          <w:iCs w:val="false"/>
          <w:color w:val="404040"/>
          <w:sz w:val="20"/>
          <w:szCs w:val="20"/>
        </w:rPr>
        <w:t xml:space="preserve">NIST AI RMF Govern 1.2 and Manage 2.2</w:t>
      </w:r>
      <w:r>
        <w:rPr>
          <w:rFonts w:ascii="Arial" w:cs="Arial" w:eastAsia="Arial" w:hAnsi="Arial"/>
          <w:b w:val="false"/>
          <w:bCs w:val="false"/>
          <w:i w:val="false"/>
          <w:iCs w:val="false"/>
          <w:color w:val="404040"/>
          <w:sz w:val="20"/>
          <w:szCs w:val="20"/>
        </w:rPr>
        <w:t xml:space="preserve">, and </w:t>
      </w:r>
      <w:r>
        <w:rPr>
          <w:rFonts w:ascii="Arial" w:cs="Arial" w:eastAsia="Arial" w:hAnsi="Arial"/>
          <w:b/>
          <w:bCs/>
          <w:i w:val="false"/>
          <w:iCs w:val="false"/>
          <w:color w:val="404040"/>
          <w:sz w:val="20"/>
          <w:szCs w:val="20"/>
        </w:rPr>
        <w:t xml:space="preserve">Article 14 of the EU Artificial Intelligence Act</w:t>
      </w:r>
      <w:r>
        <w:rPr>
          <w:rFonts w:ascii="Arial" w:cs="Arial" w:eastAsia="Arial" w:hAnsi="Arial"/>
          <w:b w:val="false"/>
          <w:bCs w:val="false"/>
          <w:i w:val="false"/>
          <w:iCs w:val="false"/>
          <w:color w:val="404040"/>
          <w:sz w:val="20"/>
          <w:szCs w:val="20"/>
        </w:rPr>
        <w:t xml:space="preserve">.</w:t>
      </w:r>
    </w:p>
    <w:p>
      <w:pPr>
        <w:pBdr>
          <w:bottom w:val="single" w:color="2E4D87" w:sz="8"/>
        </w:pBdr>
        <w:spacing w:after="100" w:before="280"/>
      </w:pPr>
      <w:r>
        <w:rPr>
          <w:rFonts w:ascii="Arial" w:cs="Arial" w:eastAsia="Arial" w:hAnsi="Arial"/>
          <w:b/>
          <w:bCs/>
          <w:color w:val="1F3864"/>
          <w:sz w:val="24"/>
          <w:szCs w:val="24"/>
        </w:rPr>
        <w:t xml:space="preserve">2.  Scope</w:t>
      </w:r>
    </w:p>
    <w:p>
      <w:pPr>
        <w:spacing w:after="80" w:before="200"/>
      </w:pPr>
      <w:r>
        <w:rPr>
          <w:rFonts w:ascii="Arial" w:cs="Arial" w:eastAsia="Arial" w:hAnsi="Arial"/>
          <w:b/>
          <w:bCs/>
          <w:color w:val="2E4D87"/>
          <w:sz w:val="22"/>
          <w:szCs w:val="22"/>
        </w:rPr>
        <w:t xml:space="preserve">2.1  In Scope</w:t>
      </w:r>
    </w:p>
    <w:p>
      <w:pPr>
        <w:spacing w:after="120" w:before="0"/>
        <w:jc w:val="left"/>
      </w:pPr>
      <w:r>
        <w:rPr>
          <w:rFonts w:ascii="Arial" w:cs="Arial" w:eastAsia="Arial" w:hAnsi="Arial"/>
          <w:b w:val="false"/>
          <w:bCs w:val="false"/>
          <w:i w:val="false"/>
          <w:iCs w:val="false"/>
          <w:color w:val="404040"/>
          <w:sz w:val="20"/>
          <w:szCs w:val="20"/>
        </w:rPr>
        <w:t xml:space="preserve">This Policy applies to all members of the Technical Documentation Function, all documentation produced using AI-assisted tools regardless of audience or distribution channel, all model cards and AI/ML system documentation produced for AI/ML systems operated by the Organisation, and all documentation published to or consumed by trading-adjacent personnel.</w:t>
      </w:r>
    </w:p>
    <w:p>
      <w:pPr>
        <w:spacing w:after="80" w:before="200"/>
      </w:pPr>
      <w:r>
        <w:rPr>
          <w:rFonts w:ascii="Arial" w:cs="Arial" w:eastAsia="Arial" w:hAnsi="Arial"/>
          <w:b/>
          <w:bCs/>
          <w:color w:val="2E4D87"/>
          <w:sz w:val="22"/>
          <w:szCs w:val="22"/>
        </w:rPr>
        <w:t xml:space="preserve">2.2  Out of Scope</w:t>
      </w:r>
    </w:p>
    <w:p>
      <w:pPr>
        <w:spacing w:after="120" w:before="0"/>
        <w:jc w:val="left"/>
      </w:pPr>
      <w:r>
        <w:rPr>
          <w:rFonts w:ascii="Arial" w:cs="Arial" w:eastAsia="Arial" w:hAnsi="Arial"/>
          <w:b w:val="false"/>
          <w:bCs w:val="false"/>
          <w:i w:val="false"/>
          <w:iCs w:val="false"/>
          <w:color w:val="404040"/>
          <w:sz w:val="20"/>
          <w:szCs w:val="20"/>
        </w:rPr>
        <w:t xml:space="preserve">This Policy does not apply to model approval or deployment decisions (owned by [Model Risk Owner]), trading system controls and risk limits (owned by [Compliance/Technology Risk Owner]), or the enforcement of oversight obligations on model consumers (owned by the Compliance function).</w:t>
      </w:r>
    </w:p>
    <w:p>
      <w:pPr>
        <w:spacing w:after="80" w:before="200"/>
      </w:pPr>
      <w:r>
        <w:rPr>
          <w:rFonts w:ascii="Arial" w:cs="Arial" w:eastAsia="Arial" w:hAnsi="Arial"/>
          <w:b/>
          <w:bCs/>
          <w:color w:val="2E4D87"/>
          <w:sz w:val="22"/>
          <w:szCs w:val="22"/>
        </w:rPr>
        <w:t xml:space="preserve">2.3  Conflict Resolution</w:t>
      </w:r>
    </w:p>
    <w:p>
      <w:pPr>
        <w:spacing w:after="120" w:before="0"/>
        <w:jc w:val="left"/>
      </w:pPr>
      <w:r>
        <w:rPr>
          <w:rFonts w:ascii="Arial" w:cs="Arial" w:eastAsia="Arial" w:hAnsi="Arial"/>
          <w:b w:val="false"/>
          <w:bCs w:val="false"/>
          <w:i w:val="false"/>
          <w:iCs w:val="false"/>
          <w:color w:val="404040"/>
          <w:sz w:val="20"/>
          <w:szCs w:val="20"/>
        </w:rPr>
        <w:t xml:space="preserve">Where a provision of this Policy conflicts with an existing firm-wide policy, the more restrictive obligation applies. Where ambiguity exists, the Technical Documentation Function Lead must escalate to [Manager Name] for resolution prior to publication.</w:t>
      </w:r>
    </w:p>
    <w:p>
      <w:pPr>
        <w:pBdr>
          <w:bottom w:val="single" w:color="2E4D87" w:sz="8"/>
        </w:pBdr>
        <w:spacing w:after="100" w:before="280"/>
      </w:pPr>
      <w:r>
        <w:rPr>
          <w:rFonts w:ascii="Arial" w:cs="Arial" w:eastAsia="Arial" w:hAnsi="Arial"/>
          <w:b/>
          <w:bCs/>
          <w:color w:val="1F3864"/>
          <w:sz w:val="24"/>
          <w:szCs w:val="24"/>
        </w:rPr>
        <w:t xml:space="preserve">3.  Definitions</w:t>
      </w:r>
    </w:p>
    <w:p>
      <w:pPr>
        <w:spacing w:after="120" w:before="0"/>
        <w:jc w:val="left"/>
      </w:pPr>
      <w:r>
        <w:rPr>
          <w:rFonts w:ascii="Arial" w:cs="Arial" w:eastAsia="Arial" w:hAnsi="Arial"/>
          <w:b w:val="false"/>
          <w:bCs w:val="false"/>
          <w:i w:val="false"/>
          <w:iCs w:val="false"/>
          <w:color w:val="404040"/>
          <w:sz w:val="20"/>
          <w:szCs w:val="20"/>
        </w:rPr>
        <w:t xml:space="preserve">The following terms are used with the meanings assigned below. Definitions are consistent with IAPP guidance on responsible AI governance and with SR 11-7 and NIST AI RMF terminology where applicable.</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6739"/>
      </w:tblGrid>
      <w:tr>
        <w:tc>
          <w:tcPr>
            <w:tcW w:type="dxa" w:w="2620"/>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Term</w:t>
            </w:r>
          </w:p>
        </w:tc>
        <w:tc>
          <w:tcPr>
            <w:tcW w:type="dxa" w:w="6739"/>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Definition</w:t>
            </w:r>
          </w:p>
        </w:tc>
      </w:tr>
      <w:tr>
        <w:tc>
          <w:tcPr>
            <w:tcW w:type="dxa" w:w="262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AI-Assisted Content</w:t>
            </w:r>
          </w:p>
        </w:tc>
        <w:tc>
          <w:tcPr>
            <w:tcW w:type="dxa" w:w="673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Any documentation, in whole or in part, drafted, revised, summarised, or otherwise produced with the use of an AI tool, including but not limited to [TOOL NAME 1], [TOOL NAME 2], and [TOOL NAME 3].</w:t>
            </w:r>
          </w:p>
        </w:tc>
      </w:tr>
      <w:tr>
        <w:tc>
          <w:tcPr>
            <w:tcW w:type="dxa" w:w="2620"/>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Anomalous Output</w:t>
            </w:r>
          </w:p>
        </w:tc>
        <w:tc>
          <w:tcPr>
            <w:tcW w:type="dxa" w:w="6739"/>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Any model output that falls outside expected parameters, contradicts established performance benchmarks, or cannot be explained by reference to the model's documented operating assumptions.</w:t>
            </w:r>
          </w:p>
        </w:tc>
      </w:tr>
      <w:tr>
        <w:tc>
          <w:tcPr>
            <w:tcW w:type="dxa" w:w="262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Confluence Page Approval</w:t>
            </w:r>
          </w:p>
        </w:tc>
        <w:tc>
          <w:tcPr>
            <w:tcW w:type="dxa" w:w="673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The formal approval action recorded within the Organisation's Confluence instance, constituting the auditable record of SME sign-off for a given document or document version.</w:t>
            </w:r>
          </w:p>
        </w:tc>
      </w:tr>
      <w:tr>
        <w:tc>
          <w:tcPr>
            <w:tcW w:type="dxa" w:w="2620"/>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Human Review</w:t>
            </w:r>
          </w:p>
        </w:tc>
        <w:tc>
          <w:tcPr>
            <w:tcW w:type="dxa" w:w="6739"/>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The deliberate evaluation of a model output or AI-assisted content by a named, accountable human prior to the output or content being acted upon or published.</w:t>
            </w:r>
          </w:p>
        </w:tc>
      </w:tr>
      <w:tr>
        <w:tc>
          <w:tcPr>
            <w:tcW w:type="dxa" w:w="262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Model Card</w:t>
            </w:r>
          </w:p>
        </w:tc>
        <w:tc>
          <w:tcPr>
            <w:tcW w:type="dxa" w:w="673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A structured document describing an AI/ML model's intended use, inputs, outputs, performance characteristics, known limitations, and human oversight requirements.</w:t>
            </w:r>
          </w:p>
        </w:tc>
      </w:tr>
      <w:tr>
        <w:tc>
          <w:tcPr>
            <w:tcW w:type="dxa" w:w="2620"/>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Model Output</w:t>
            </w:r>
          </w:p>
        </w:tc>
        <w:tc>
          <w:tcPr>
            <w:tcW w:type="dxa" w:w="6739"/>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Any result, recommendation, signal, score, prediction, or classification generated by an AI/ML model operated by the Organisation.</w:t>
            </w:r>
          </w:p>
        </w:tc>
      </w:tr>
      <w:tr>
        <w:tc>
          <w:tcPr>
            <w:tcW w:type="dxa" w:w="262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SME (Subject Matter Expert)</w:t>
            </w:r>
          </w:p>
        </w:tc>
        <w:tc>
          <w:tcPr>
            <w:tcW w:type="dxa" w:w="673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A designated human reviewer from the product or engineering team who holds accountability for the technical accuracy of documentation within their domain.</w:t>
            </w:r>
          </w:p>
        </w:tc>
      </w:tr>
      <w:tr>
        <w:tc>
          <w:tcPr>
            <w:tcW w:type="dxa" w:w="2620"/>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Trading-Adjacent Documentation</w:t>
            </w:r>
          </w:p>
        </w:tc>
        <w:tc>
          <w:tcPr>
            <w:tcW w:type="dxa" w:w="6739"/>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Any documentation consumed by, or describing systems whose outputs directly inform decisions made by, personnel operating on or adjacent to the trading floor, including but not limited to [PRODUCT NAME 1] and [PRODUCT NAME 2].</w:t>
            </w:r>
          </w:p>
        </w:tc>
      </w:tr>
    </w:tbl>
    <w:p>
      <w:pPr>
        <w:pBdr>
          <w:bottom w:val="single" w:color="2E4D87" w:sz="8"/>
        </w:pBdr>
        <w:spacing w:after="100" w:before="280"/>
      </w:pPr>
      <w:r>
        <w:rPr>
          <w:rFonts w:ascii="Arial" w:cs="Arial" w:eastAsia="Arial" w:hAnsi="Arial"/>
          <w:b/>
          <w:bCs/>
          <w:color w:val="1F3864"/>
          <w:sz w:val="24"/>
          <w:szCs w:val="24"/>
        </w:rPr>
        <w:t xml:space="preserve">4.  Tier 1 — Documentation Production Obligations</w:t>
      </w:r>
    </w:p>
    <w:p>
      <w:pPr>
        <w:spacing w:after="80" w:before="200"/>
      </w:pPr>
      <w:r>
        <w:rPr>
          <w:rFonts w:ascii="Arial" w:cs="Arial" w:eastAsia="Arial" w:hAnsi="Arial"/>
          <w:b/>
          <w:bCs/>
          <w:color w:val="2E4D87"/>
          <w:sz w:val="22"/>
          <w:szCs w:val="22"/>
        </w:rPr>
        <w:t xml:space="preserve">4.1  Use of AI Tools</w:t>
      </w:r>
    </w:p>
    <w:p>
      <w:pPr>
        <w:spacing w:after="120" w:before="0"/>
        <w:jc w:val="left"/>
      </w:pPr>
      <w:r>
        <w:rPr>
          <w:rFonts w:ascii="Arial" w:cs="Arial" w:eastAsia="Arial" w:hAnsi="Arial"/>
          <w:b w:val="false"/>
          <w:bCs w:val="false"/>
          <w:i w:val="false"/>
          <w:iCs w:val="false"/>
          <w:color w:val="404040"/>
          <w:sz w:val="20"/>
          <w:szCs w:val="20"/>
        </w:rPr>
        <w:t xml:space="preserve">4.1.1  A writer may use approved AI tools to draft, revise, or supplement documentation. Use of unapproved tools is prohibited. The current list of approved tools is maintained by the Technical Documentation Function Lead and reviewed quarterly.</w:t>
      </w:r>
    </w:p>
    <w:p>
      <w:pPr>
        <w:spacing w:after="120" w:before="0"/>
        <w:jc w:val="left"/>
      </w:pPr>
      <w:r>
        <w:rPr>
          <w:rFonts w:ascii="Arial" w:cs="Arial" w:eastAsia="Arial" w:hAnsi="Arial"/>
          <w:b w:val="false"/>
          <w:bCs w:val="false"/>
          <w:i w:val="false"/>
          <w:iCs w:val="false"/>
          <w:color w:val="404040"/>
          <w:sz w:val="20"/>
          <w:szCs w:val="20"/>
        </w:rPr>
        <w:t xml:space="preserve">4.1.2  A writer must not submit confidential information to an AI tool, including trading strategies, model parameters, position data, client-identifying information, or any data classified above [CLASSIFICATION LEVEL] in the Organisation's data classification framework.</w:t>
      </w:r>
    </w:p>
    <w:p>
      <w:pPr>
        <w:spacing w:after="120" w:before="0"/>
        <w:jc w:val="left"/>
      </w:pPr>
      <w:r>
        <w:rPr>
          <w:rFonts w:ascii="Arial" w:cs="Arial" w:eastAsia="Arial" w:hAnsi="Arial"/>
          <w:b w:val="false"/>
          <w:bCs w:val="false"/>
          <w:i w:val="false"/>
          <w:iCs w:val="false"/>
          <w:color w:val="404040"/>
          <w:sz w:val="20"/>
          <w:szCs w:val="20"/>
        </w:rPr>
        <w:t xml:space="preserve">4.1.3  The writer who used an AI tool to produce content bears full accountability for the accuracy of that content. AI-assisted origin does not reduce or transfer that accountability.</w:t>
      </w:r>
    </w:p>
    <w:p>
      <w:pPr>
        <w:spacing w:after="80" w:before="200"/>
      </w:pPr>
      <w:r>
        <w:rPr>
          <w:rFonts w:ascii="Arial" w:cs="Arial" w:eastAsia="Arial" w:hAnsi="Arial"/>
          <w:b/>
          <w:bCs/>
          <w:color w:val="2E4D87"/>
          <w:sz w:val="22"/>
          <w:szCs w:val="22"/>
        </w:rPr>
        <w:t xml:space="preserve">4.2  Mandatory Two-Tier Human Review</w:t>
      </w:r>
    </w:p>
    <w:p>
      <w:pPr>
        <w:spacing w:after="120" w:before="0"/>
        <w:jc w:val="left"/>
      </w:pPr>
      <w:r>
        <w:rPr>
          <w:rFonts w:ascii="Arial" w:cs="Arial" w:eastAsia="Arial" w:hAnsi="Arial"/>
          <w:b w:val="false"/>
          <w:bCs w:val="false"/>
          <w:i w:val="false"/>
          <w:iCs w:val="false"/>
          <w:color w:val="404040"/>
          <w:sz w:val="20"/>
          <w:szCs w:val="20"/>
        </w:rPr>
        <w:t xml:space="preserve">4.2.1  All documentation produced using AI-assisted tools must undergo two-tier human review prior to publication:</w:t>
      </w:r>
    </w:p>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0"/>
      </w:tblGrid>
      <w:tr>
        <w:tc>
          <w:tcPr>
            <w:tcW w:type="dxa" w:w="2059"/>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Review Tier</w:t>
            </w:r>
          </w:p>
        </w:tc>
        <w:tc>
          <w:tcPr>
            <w:tcW w:type="dxa" w:w="7300"/>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Requirement</w:t>
            </w:r>
          </w:p>
        </w:tc>
      </w:tr>
      <w:tr>
        <w:tc>
          <w:tcPr>
            <w:tcW w:type="dxa" w:w="205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Tier A — Writer Self-Review</w:t>
            </w:r>
          </w:p>
        </w:tc>
        <w:tc>
          <w:tcPr>
            <w:tcW w:type="dxa" w:w="730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The writer must verify the content against authoritative source material before submitting for SME review. Verification must confirm factual accuracy, correct representation of system behaviour, and absence of hallucinated or unsupported claims.</w:t>
            </w:r>
          </w:p>
        </w:tc>
      </w:tr>
      <w:tr>
        <w:tc>
          <w:tcPr>
            <w:tcW w:type="dxa" w:w="2059"/>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Tier B — SME Review</w:t>
            </w:r>
          </w:p>
        </w:tc>
        <w:tc>
          <w:tcPr>
            <w:tcW w:type="dxa" w:w="7300"/>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A designated SME from the relevant product or engineering team must review and approve the content for technical accuracy. SME review is not optional and may not be substituted by peer review from another writer.</w:t>
            </w:r>
          </w:p>
        </w:tc>
      </w:tr>
    </w:tbl>
    <w:p>
      <w:pPr>
        <w:spacing w:after="100" w:before="0"/>
      </w:pPr>
      <w:r>
        <w:rPr>
          <w:rFonts w:ascii="Arial" w:cs="Arial" w:eastAsia="Arial" w:hAnsi="Arial"/>
          <w:sz w:val="20"/>
          <w:szCs w:val="20"/>
        </w:rPr>
        <w:t xml:space="preserve"/>
      </w:r>
    </w:p>
    <w:p>
      <w:pPr>
        <w:spacing w:after="120" w:before="0"/>
        <w:jc w:val="left"/>
      </w:pPr>
      <w:r>
        <w:rPr>
          <w:rFonts w:ascii="Arial" w:cs="Arial" w:eastAsia="Arial" w:hAnsi="Arial"/>
          <w:b w:val="false"/>
          <w:bCs w:val="false"/>
          <w:i w:val="false"/>
          <w:iCs w:val="false"/>
          <w:color w:val="404040"/>
          <w:sz w:val="20"/>
          <w:szCs w:val="20"/>
        </w:rPr>
        <w:t xml:space="preserve">4.2.2  For trading-adjacent documentation, the SME must be a person with direct operational knowledge of the system or model described. The Technical Documentation Function Lead must confirm SME designation prior to review initiation.</w:t>
      </w:r>
    </w:p>
    <w:p>
      <w:pPr>
        <w:spacing w:after="80" w:before="200"/>
      </w:pPr>
      <w:r>
        <w:rPr>
          <w:rFonts w:ascii="Arial" w:cs="Arial" w:eastAsia="Arial" w:hAnsi="Arial"/>
          <w:b/>
          <w:bCs/>
          <w:color w:val="2E4D87"/>
          <w:sz w:val="22"/>
          <w:szCs w:val="22"/>
        </w:rPr>
        <w:t xml:space="preserve">4.3  Confluence Page Approval Requirement</w:t>
      </w:r>
    </w:p>
    <w:p>
      <w:pPr>
        <w:spacing w:after="120" w:before="0"/>
        <w:jc w:val="left"/>
      </w:pPr>
      <w:r>
        <w:rPr>
          <w:rFonts w:ascii="Arial" w:cs="Arial" w:eastAsia="Arial" w:hAnsi="Arial"/>
          <w:b w:val="false"/>
          <w:bCs w:val="false"/>
          <w:i w:val="false"/>
          <w:iCs w:val="false"/>
          <w:color w:val="404040"/>
          <w:sz w:val="20"/>
          <w:szCs w:val="20"/>
        </w:rPr>
        <w:t xml:space="preserve">4.3.1  SME sign-off must be recorded as a Confluence Page Approval on the published or staged Confluence page for the document. Email confirmation, verbal confirmation, or comment-thread acknowledgment does not constitute valid sign-off under this Policy.</w:t>
      </w:r>
    </w:p>
    <w:p>
      <w:pPr>
        <w:spacing w:after="120" w:before="0"/>
        <w:jc w:val="left"/>
      </w:pPr>
      <w:r>
        <w:rPr>
          <w:rFonts w:ascii="Arial" w:cs="Arial" w:eastAsia="Arial" w:hAnsi="Arial"/>
          <w:b w:val="false"/>
          <w:bCs w:val="false"/>
          <w:i w:val="false"/>
          <w:iCs w:val="false"/>
          <w:color w:val="404040"/>
          <w:sz w:val="20"/>
          <w:szCs w:val="20"/>
        </w:rPr>
        <w:t xml:space="preserve">4.3.2  A document may not be published or distributed until a Confluence Page Approval from the designated SME is recorded. The Technical Documentation Function Lead is responsible for enforcing this gate.</w:t>
      </w:r>
    </w:p>
    <w:p>
      <w:pPr>
        <w:spacing w:after="120" w:before="0"/>
        <w:jc w:val="left"/>
      </w:pPr>
      <w:r>
        <w:rPr>
          <w:rFonts w:ascii="Arial" w:cs="Arial" w:eastAsia="Arial" w:hAnsi="Arial"/>
          <w:b w:val="false"/>
          <w:bCs w:val="false"/>
          <w:i w:val="false"/>
          <w:iCs w:val="false"/>
          <w:color w:val="404040"/>
          <w:sz w:val="20"/>
          <w:szCs w:val="20"/>
        </w:rPr>
        <w:t xml:space="preserve">4.3.3  The Confluence Page Approval record constitutes the Organisation's auditable evidence of human oversight for that document version. Page Approval records must not be deleted or altered after sign-off is granted.</w:t>
      </w:r>
    </w:p>
    <w:p>
      <w:pPr>
        <w:spacing w:after="80" w:before="200"/>
      </w:pPr>
      <w:r>
        <w:rPr>
          <w:rFonts w:ascii="Arial" w:cs="Arial" w:eastAsia="Arial" w:hAnsi="Arial"/>
          <w:b/>
          <w:bCs/>
          <w:color w:val="2E4D87"/>
          <w:sz w:val="22"/>
          <w:szCs w:val="22"/>
        </w:rPr>
        <w:t xml:space="preserve">4.4  AI Tool Disclosure</w:t>
      </w:r>
    </w:p>
    <w:p>
      <w:pPr>
        <w:spacing w:after="120" w:before="0"/>
        <w:jc w:val="left"/>
      </w:pPr>
      <w:r>
        <w:rPr>
          <w:rFonts w:ascii="Arial" w:cs="Arial" w:eastAsia="Arial" w:hAnsi="Arial"/>
          <w:b w:val="false"/>
          <w:bCs w:val="false"/>
          <w:i w:val="false"/>
          <w:iCs w:val="false"/>
          <w:color w:val="404040"/>
          <w:sz w:val="20"/>
          <w:szCs w:val="20"/>
        </w:rPr>
        <w:t xml:space="preserve">All documentation produced with AI-assisted tools must include a metadata field in the Confluence page properties indicating (a) that AI assistance was used and (b) the tool or tools used. This field is for internal governance purposes and need not appear in the published document body.</w:t>
      </w:r>
    </w:p>
    <w:p>
      <w:pPr>
        <w:pBdr>
          <w:bottom w:val="single" w:color="2E4D87" w:sz="8"/>
        </w:pBdr>
        <w:spacing w:after="100" w:before="280"/>
      </w:pPr>
      <w:r>
        <w:rPr>
          <w:rFonts w:ascii="Arial" w:cs="Arial" w:eastAsia="Arial" w:hAnsi="Arial"/>
          <w:b/>
          <w:bCs/>
          <w:color w:val="1F3864"/>
          <w:sz w:val="24"/>
          <w:szCs w:val="24"/>
        </w:rPr>
        <w:t xml:space="preserve">5.  Tier 2 — Model Output Documentation Obligations</w:t>
      </w:r>
    </w:p>
    <w:p>
      <w:pPr>
        <w:spacing w:after="80" w:before="200"/>
      </w:pPr>
      <w:r>
        <w:rPr>
          <w:rFonts w:ascii="Arial" w:cs="Arial" w:eastAsia="Arial" w:hAnsi="Arial"/>
          <w:b/>
          <w:bCs/>
          <w:color w:val="2E4D87"/>
          <w:sz w:val="22"/>
          <w:szCs w:val="22"/>
        </w:rPr>
        <w:t xml:space="preserve">5.1  Mandatory Human Oversight Fields</w:t>
      </w:r>
    </w:p>
    <w:p>
      <w:pPr>
        <w:spacing w:after="120" w:before="0"/>
        <w:jc w:val="left"/>
      </w:pPr>
      <w:r>
        <w:rPr>
          <w:rFonts w:ascii="Arial" w:cs="Arial" w:eastAsia="Arial" w:hAnsi="Arial"/>
          <w:b w:val="false"/>
          <w:bCs w:val="false"/>
          <w:i w:val="false"/>
          <w:iCs w:val="false"/>
          <w:color w:val="404040"/>
          <w:sz w:val="20"/>
          <w:szCs w:val="20"/>
        </w:rPr>
        <w:t xml:space="preserve">5.1.1  All model cards and AI/ML system documentation produced by the Technical Documentation Function must include the following nine mandatory human oversight fields, derived from SR 11-7 Sections III, IV, and V.</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
        <w:gridCol w:w="2620"/>
        <w:gridCol w:w="4680"/>
        <w:gridCol w:w="1684"/>
      </w:tblGrid>
      <w:tr>
        <w:tc>
          <w:tcPr>
            <w:tcW w:type="dxa" w:w="374"/>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w:t>
            </w:r>
          </w:p>
        </w:tc>
        <w:tc>
          <w:tcPr>
            <w:tcW w:type="dxa" w:w="2620"/>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Field</w:t>
            </w:r>
          </w:p>
        </w:tc>
        <w:tc>
          <w:tcPr>
            <w:tcW w:type="dxa" w:w="4680"/>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Required Content</w:t>
            </w:r>
          </w:p>
        </w:tc>
        <w:tc>
          <w:tcPr>
            <w:tcW w:type="dxa" w:w="1684"/>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SR 11-7 Source</w:t>
            </w:r>
          </w:p>
        </w:tc>
      </w:tr>
      <w:tr>
        <w:tc>
          <w:tcPr>
            <w:tcW w:type="dxa" w:w="374"/>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19"/>
                <w:szCs w:val="19"/>
              </w:rPr>
              <w:t xml:space="preserve">1</w:t>
            </w:r>
          </w:p>
        </w:tc>
        <w:tc>
          <w:tcPr>
            <w:tcW w:type="dxa" w:w="262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Intended use and decision context</w:t>
            </w:r>
          </w:p>
        </w:tc>
        <w:tc>
          <w:tcPr>
            <w:tcW w:type="dxa" w:w="468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Plain-language description of what decision or action this model's output is intended to inform, and the organisational context in which that decision is made.</w:t>
            </w:r>
          </w:p>
        </w:tc>
        <w:tc>
          <w:tcPr>
            <w:tcW w:type="dxa" w:w="1684"/>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Section III</w:t>
            </w:r>
          </w:p>
        </w:tc>
      </w:tr>
      <w:tr>
        <w:tc>
          <w:tcPr>
            <w:tcW w:type="dxa" w:w="374"/>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595959"/>
                <w:sz w:val="19"/>
                <w:szCs w:val="19"/>
              </w:rPr>
              <w:t xml:space="preserve">2</w:t>
            </w:r>
          </w:p>
        </w:tc>
        <w:tc>
          <w:tcPr>
            <w:tcW w:type="dxa" w:w="2620"/>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Operating assumptions</w:t>
            </w:r>
          </w:p>
        </w:tc>
        <w:tc>
          <w:tcPr>
            <w:tcW w:type="dxa" w:w="4680"/>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The conditions under which the model's output is considered reliable, including data quality requirements, market conditions, and scope limitations.</w:t>
            </w:r>
          </w:p>
        </w:tc>
        <w:tc>
          <w:tcPr>
            <w:tcW w:type="dxa" w:w="1684"/>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Section III</w:t>
            </w:r>
          </w:p>
        </w:tc>
      </w:tr>
      <w:tr>
        <w:tc>
          <w:tcPr>
            <w:tcW w:type="dxa" w:w="374"/>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19"/>
                <w:szCs w:val="19"/>
              </w:rPr>
              <w:t xml:space="preserve">3</w:t>
            </w:r>
          </w:p>
        </w:tc>
        <w:tc>
          <w:tcPr>
            <w:tcW w:type="dxa" w:w="262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Known performance boundaries</w:t>
            </w:r>
          </w:p>
        </w:tc>
        <w:tc>
          <w:tcPr>
            <w:tcW w:type="dxa" w:w="468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Conditions under which the model's output reliability is known to degrade, including out-of-sample conditions, data distribution shifts, or operational edge cases.</w:t>
            </w:r>
          </w:p>
        </w:tc>
        <w:tc>
          <w:tcPr>
            <w:tcW w:type="dxa" w:w="1684"/>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Section III</w:t>
            </w:r>
          </w:p>
        </w:tc>
      </w:tr>
      <w:tr>
        <w:tc>
          <w:tcPr>
            <w:tcW w:type="dxa" w:w="374"/>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595959"/>
                <w:sz w:val="19"/>
                <w:szCs w:val="19"/>
              </w:rPr>
              <w:t xml:space="preserve">4</w:t>
            </w:r>
          </w:p>
        </w:tc>
        <w:tc>
          <w:tcPr>
            <w:tcW w:type="dxa" w:w="2620"/>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Validation owner</w:t>
            </w:r>
          </w:p>
        </w:tc>
        <w:tc>
          <w:tcPr>
            <w:tcW w:type="dxa" w:w="4680"/>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Named role accountable for model validation. Format: [Role Title], [Team or Function].</w:t>
            </w:r>
          </w:p>
        </w:tc>
        <w:tc>
          <w:tcPr>
            <w:tcW w:type="dxa" w:w="1684"/>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Section IV</w:t>
            </w:r>
          </w:p>
        </w:tc>
      </w:tr>
      <w:tr>
        <w:tc>
          <w:tcPr>
            <w:tcW w:type="dxa" w:w="374"/>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19"/>
                <w:szCs w:val="19"/>
              </w:rPr>
              <w:t xml:space="preserve">5</w:t>
            </w:r>
          </w:p>
        </w:tc>
        <w:tc>
          <w:tcPr>
            <w:tcW w:type="dxa" w:w="262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Validation date and version</w:t>
            </w:r>
          </w:p>
        </w:tc>
        <w:tc>
          <w:tcPr>
            <w:tcW w:type="dxa" w:w="468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Date of most recent validation and the model version to which it applies. Format: [DD Month YYYY] — Model version [X.X].</w:t>
            </w:r>
          </w:p>
        </w:tc>
        <w:tc>
          <w:tcPr>
            <w:tcW w:type="dxa" w:w="1684"/>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Section IV</w:t>
            </w:r>
          </w:p>
        </w:tc>
      </w:tr>
      <w:tr>
        <w:tc>
          <w:tcPr>
            <w:tcW w:type="dxa" w:w="374"/>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595959"/>
                <w:sz w:val="19"/>
                <w:szCs w:val="19"/>
              </w:rPr>
              <w:t xml:space="preserve">6</w:t>
            </w:r>
          </w:p>
        </w:tc>
        <w:tc>
          <w:tcPr>
            <w:tcW w:type="dxa" w:w="2620"/>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Identified limitations</w:t>
            </w:r>
          </w:p>
        </w:tc>
        <w:tc>
          <w:tcPr>
            <w:tcW w:type="dxa" w:w="4680"/>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Limitations surfaced during validation that affect how outputs should be interpreted or acted upon by human reviewers.</w:t>
            </w:r>
          </w:p>
        </w:tc>
        <w:tc>
          <w:tcPr>
            <w:tcW w:type="dxa" w:w="1684"/>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Section IV</w:t>
            </w:r>
          </w:p>
        </w:tc>
      </w:tr>
      <w:tr>
        <w:tc>
          <w:tcPr>
            <w:tcW w:type="dxa" w:w="374"/>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19"/>
                <w:szCs w:val="19"/>
              </w:rPr>
              <w:t xml:space="preserve">7</w:t>
            </w:r>
          </w:p>
        </w:tc>
        <w:tc>
          <w:tcPr>
            <w:tcW w:type="dxa" w:w="262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Human review requirement</w:t>
            </w:r>
          </w:p>
        </w:tc>
        <w:tc>
          <w:tcPr>
            <w:tcW w:type="dxa" w:w="468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Every output must be reviewed by a named human reviewer before any action is taken. Accountable reviewing role must be named. Format: [Role Title], [Team or Function].</w:t>
            </w:r>
          </w:p>
        </w:tc>
        <w:tc>
          <w:tcPr>
            <w:tcW w:type="dxa" w:w="1684"/>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Section V</w:t>
            </w:r>
          </w:p>
        </w:tc>
      </w:tr>
      <w:tr>
        <w:tc>
          <w:tcPr>
            <w:tcW w:type="dxa" w:w="374"/>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595959"/>
                <w:sz w:val="19"/>
                <w:szCs w:val="19"/>
              </w:rPr>
              <w:t xml:space="preserve">8</w:t>
            </w:r>
          </w:p>
        </w:tc>
        <w:tc>
          <w:tcPr>
            <w:tcW w:type="dxa" w:w="2620"/>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Override conditions</w:t>
            </w:r>
          </w:p>
        </w:tc>
        <w:tc>
          <w:tcPr>
            <w:tcW w:type="dxa" w:w="4680"/>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Conditions under which a human reviewer may or must override the model's output, including the authority level required to invoke an override.</w:t>
            </w:r>
          </w:p>
        </w:tc>
        <w:tc>
          <w:tcPr>
            <w:tcW w:type="dxa" w:w="1684"/>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Section V</w:t>
            </w:r>
          </w:p>
        </w:tc>
      </w:tr>
      <w:tr>
        <w:tc>
          <w:tcPr>
            <w:tcW w:type="dxa" w:w="374"/>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19"/>
                <w:szCs w:val="19"/>
              </w:rPr>
              <w:t xml:space="preserve">9</w:t>
            </w:r>
          </w:p>
        </w:tc>
        <w:tc>
          <w:tcPr>
            <w:tcW w:type="dxa" w:w="262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Escalation path</w:t>
            </w:r>
          </w:p>
        </w:tc>
        <w:tc>
          <w:tcPr>
            <w:tcW w:type="dxa" w:w="468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The role to whom anomalous output must be escalated and the maximum response timeframe. Format: [Role Title] notified within [X] business hours of identification.</w:t>
            </w:r>
          </w:p>
        </w:tc>
        <w:tc>
          <w:tcPr>
            <w:tcW w:type="dxa" w:w="1684"/>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19"/>
                <w:szCs w:val="19"/>
              </w:rPr>
              <w:t xml:space="preserve">Section V</w:t>
            </w:r>
          </w:p>
        </w:tc>
      </w:tr>
    </w:tbl>
    <w:p>
      <w:pPr>
        <w:spacing w:after="10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D87" w:sz="6"/>
              <w:left w:val="single" w:color="2E4D87" w:sz="10"/>
              <w:bottom w:val="single" w:color="2E4D87" w:sz="6"/>
              <w:right w:val="nil" w:color="FFFFFF" w:sz="0"/>
            </w:tcBorders>
            <w:shd w:fill="FFF2CC" w:val="clear"/>
            <w:tcMar>
              <w:top w:type="dxa" w:w="100"/>
              <w:left w:type="dxa" w:w="160"/>
              <w:bottom w:type="dxa" w:w="100"/>
              <w:right w:type="dxa" w:w="120"/>
            </w:tcMar>
          </w:tcPr>
          <w:p>
            <w:pPr>
              <w:spacing w:after="60" w:before="0"/>
            </w:pPr>
            <w:r>
              <w:rPr>
                <w:rFonts w:ascii="Arial" w:cs="Arial" w:eastAsia="Arial" w:hAnsi="Arial"/>
                <w:b/>
                <w:bCs/>
                <w:color w:val="8B6000"/>
                <w:sz w:val="18"/>
                <w:szCs w:val="18"/>
              </w:rPr>
              <w:t xml:space="preserve">MANDATORY FIELD REQUIREMENT</w:t>
            </w:r>
          </w:p>
          <w:p>
            <w:pPr>
              <w:spacing w:after="60" w:before="0"/>
            </w:pPr>
            <w:r>
              <w:rPr>
                <w:rFonts w:ascii="Arial" w:cs="Arial" w:eastAsia="Arial" w:hAnsi="Arial"/>
                <w:color w:val="404040"/>
                <w:sz w:val="19"/>
                <w:szCs w:val="19"/>
              </w:rPr>
              <w:t xml:space="preserve">All nine fields are mandatory. A model card is not considered complete under this Policy unless all nine fields are substantively populated. A document with unpopulated mandatory fields must not be published. Where a model owner is unable to supply information for one or more mandatory fields, the Technical Documentation Function Lead must escalate to [Model Risk Owner] before the document proceeds.</w:t>
            </w:r>
          </w:p>
        </w:tc>
      </w:tr>
    </w:tbl>
    <w:p>
      <w:pPr>
        <w:spacing w:after="100" w:before="0"/>
      </w:pPr>
      <w:r>
        <w:rPr>
          <w:rFonts w:ascii="Arial" w:cs="Arial" w:eastAsia="Arial" w:hAnsi="Arial"/>
          <w:sz w:val="20"/>
          <w:szCs w:val="20"/>
        </w:rPr>
        <w:t xml:space="preserve"/>
      </w:r>
    </w:p>
    <w:p>
      <w:pPr>
        <w:spacing w:after="80" w:before="200"/>
      </w:pPr>
      <w:r>
        <w:rPr>
          <w:rFonts w:ascii="Arial" w:cs="Arial" w:eastAsia="Arial" w:hAnsi="Arial"/>
          <w:b/>
          <w:bCs/>
          <w:color w:val="2E4D87"/>
          <w:sz w:val="22"/>
          <w:szCs w:val="22"/>
        </w:rPr>
        <w:t xml:space="preserve">5.2  Source and Accuracy Requirements</w:t>
      </w:r>
    </w:p>
    <w:p>
      <w:pPr>
        <w:spacing w:after="120" w:before="0"/>
        <w:jc w:val="left"/>
      </w:pPr>
      <w:r>
        <w:rPr>
          <w:rFonts w:ascii="Arial" w:cs="Arial" w:eastAsia="Arial" w:hAnsi="Arial"/>
          <w:b w:val="false"/>
          <w:bCs w:val="false"/>
          <w:i w:val="false"/>
          <w:iCs w:val="false"/>
          <w:color w:val="404040"/>
          <w:sz w:val="20"/>
          <w:szCs w:val="20"/>
        </w:rPr>
        <w:t xml:space="preserve">5.2.1  Mandatory Tier 2 fields must be populated from authoritative sources only: the model owner, the model risk team, validated model documentation, or the model card intake form. AI-generated content must not be used to populate mandatory Tier 2 fields without explicit written confirmation from the model owner that the content is accurate.</w:t>
      </w:r>
    </w:p>
    <w:p>
      <w:pPr>
        <w:spacing w:after="120" w:before="0"/>
        <w:jc w:val="left"/>
      </w:pPr>
      <w:r>
        <w:rPr>
          <w:rFonts w:ascii="Arial" w:cs="Arial" w:eastAsia="Arial" w:hAnsi="Arial"/>
          <w:b w:val="false"/>
          <w:bCs w:val="false"/>
          <w:i w:val="false"/>
          <w:iCs w:val="false"/>
          <w:color w:val="404040"/>
          <w:sz w:val="20"/>
          <w:szCs w:val="20"/>
        </w:rPr>
        <w:t xml:space="preserve">5.2.2  The SME designated for Tier 1 review of a model card must be the model owner or a person explicitly delegated by the model owner in writing. The SME must confirm the accuracy of all nine mandatory fields as part of the Confluence Page Approval.</w:t>
      </w:r>
    </w:p>
    <w:p>
      <w:pPr>
        <w:spacing w:after="80" w:before="200"/>
      </w:pPr>
      <w:r>
        <w:rPr>
          <w:rFonts w:ascii="Arial" w:cs="Arial" w:eastAsia="Arial" w:hAnsi="Arial"/>
          <w:b/>
          <w:bCs/>
          <w:color w:val="2E4D87"/>
          <w:sz w:val="22"/>
          <w:szCs w:val="22"/>
        </w:rPr>
        <w:t xml:space="preserve">5.3  Version Control and Re-Review Triggers</w:t>
      </w:r>
    </w:p>
    <w:p>
      <w:pPr>
        <w:spacing w:after="120" w:before="0"/>
        <w:jc w:val="left"/>
      </w:pPr>
      <w:r>
        <w:rPr>
          <w:rFonts w:ascii="Arial" w:cs="Arial" w:eastAsia="Arial" w:hAnsi="Arial"/>
          <w:b w:val="false"/>
          <w:bCs w:val="false"/>
          <w:i w:val="false"/>
          <w:iCs w:val="false"/>
          <w:color w:val="404040"/>
          <w:sz w:val="20"/>
          <w:szCs w:val="20"/>
        </w:rPr>
        <w:t xml:space="preserve">A model card must be re-reviewed and re-approved under this Policy when any of the following conditions occur: (a) the model is retrained or its parameters are materially updated; (b) the model's intended use or deployment context changes; (c) a new limitation is identified through ongoing monitoring; (d) an escalation under Field 9 results in a documented finding; or (e) twelve months have elapsed since the most recent approval, whichever occurs first.</w:t>
      </w:r>
    </w:p>
    <w:p>
      <w:pPr>
        <w:pBdr>
          <w:bottom w:val="single" w:color="2E4D87" w:sz="8"/>
        </w:pBdr>
        <w:spacing w:after="100" w:before="280"/>
      </w:pPr>
      <w:r>
        <w:rPr>
          <w:rFonts w:ascii="Arial" w:cs="Arial" w:eastAsia="Arial" w:hAnsi="Arial"/>
          <w:b/>
          <w:bCs/>
          <w:color w:val="1F3864"/>
          <w:sz w:val="24"/>
          <w:szCs w:val="24"/>
        </w:rPr>
        <w:t xml:space="preserve">6.  Review, Approval, and Version Control</w:t>
      </w:r>
    </w:p>
    <w:p>
      <w:pPr>
        <w:spacing w:after="120" w:before="0"/>
        <w:jc w:val="left"/>
      </w:pPr>
      <w:r>
        <w:rPr>
          <w:rFonts w:ascii="Arial" w:cs="Arial" w:eastAsia="Arial" w:hAnsi="Arial"/>
          <w:b w:val="false"/>
          <w:bCs w:val="false"/>
          <w:i w:val="false"/>
          <w:iCs w:val="false"/>
          <w:color w:val="404040"/>
          <w:sz w:val="20"/>
          <w:szCs w:val="20"/>
        </w:rPr>
        <w:t xml:space="preserve">This Policy is owned by the Technical Documentation Function Lead, who is responsible for its maintenance, distribution, and quarterly review. Material amendments require sign-off from [Manager Name and Title] (Tier 1) and [Model Risk Owner Name and Title] (Tier 2) before taking effect. Minor amendments may be made by the Technical Documentation Function Lead without re-sign-off, provided the change is recorded in the version history and communicated to the Documentation Team within five business days. All prior versions must be retained.</w:t>
      </w:r>
    </w:p>
    <w:p>
      <w:pPr>
        <w:pBdr>
          <w:bottom w:val="single" w:color="2E4D87" w:sz="8"/>
        </w:pBdr>
        <w:spacing w:after="100" w:before="280"/>
      </w:pPr>
      <w:r>
        <w:rPr>
          <w:rFonts w:ascii="Arial" w:cs="Arial" w:eastAsia="Arial" w:hAnsi="Arial"/>
          <w:b/>
          <w:bCs/>
          <w:color w:val="1F3864"/>
          <w:sz w:val="24"/>
          <w:szCs w:val="24"/>
        </w:rPr>
        <w:t xml:space="preserve">7.  Non-Compliance</w:t>
      </w:r>
    </w:p>
    <w:p>
      <w:pPr>
        <w:spacing w:after="120" w:before="0"/>
        <w:jc w:val="left"/>
      </w:pPr>
      <w:r>
        <w:rPr>
          <w:rFonts w:ascii="Arial" w:cs="Arial" w:eastAsia="Arial" w:hAnsi="Arial"/>
          <w:b w:val="false"/>
          <w:bCs w:val="false"/>
          <w:i w:val="false"/>
          <w:iCs w:val="false"/>
          <w:color w:val="404040"/>
          <w:sz w:val="20"/>
          <w:szCs w:val="20"/>
        </w:rPr>
        <w:t xml:space="preserve">A writer who publishes AI-assisted content without a recorded Confluence Page Approval is in breach of this Policy. The Technical Documentation Function Lead must be notified immediately upon discovery. A model card published without all nine mandatory Tier 2 fields populated is in breach of this Policy and must be unpublished or restricted pending remediation. Repeated or material breaches must be escalated to [Manager Name] and, where Tier 2 obligations are involved, to [Model Risk Owner]. Nothing in this Policy limits the authority of the Compliance function to take independent action in response to a breach.</w:t>
      </w:r>
    </w:p>
    <w:p>
      <w:pPr>
        <w:pBdr>
          <w:bottom w:val="single" w:color="2E4D87" w:sz="8"/>
        </w:pBdr>
        <w:spacing w:after="100" w:before="280"/>
      </w:pPr>
      <w:r>
        <w:rPr>
          <w:rFonts w:ascii="Arial" w:cs="Arial" w:eastAsia="Arial" w:hAnsi="Arial"/>
          <w:b/>
          <w:bCs/>
          <w:color w:val="1F3864"/>
          <w:sz w:val="24"/>
          <w:szCs w:val="24"/>
        </w:rPr>
        <w:t xml:space="preserve">8.  Measurable Outcomes and Audit Metrics</w:t>
      </w:r>
    </w:p>
    <w:p>
      <w:pPr>
        <w:spacing w:after="120" w:before="0"/>
        <w:jc w:val="left"/>
      </w:pPr>
      <w:r>
        <w:rPr>
          <w:rFonts w:ascii="Arial" w:cs="Arial" w:eastAsia="Arial" w:hAnsi="Arial"/>
          <w:b w:val="false"/>
          <w:bCs w:val="false"/>
          <w:i w:val="false"/>
          <w:iCs w:val="false"/>
          <w:color w:val="404040"/>
          <w:sz w:val="20"/>
          <w:szCs w:val="20"/>
        </w:rPr>
        <w:t xml:space="preserve">The following metrics constitute the measurable outcomes of this Policy and must be reported to [Manager Name] on a quarterly basis.</w:t>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3556"/>
        <w:gridCol w:w="1123"/>
        <w:gridCol w:w="1123"/>
      </w:tblGrid>
      <w:tr>
        <w:tc>
          <w:tcPr>
            <w:tcW w:type="dxa" w:w="3556"/>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Metric</w:t>
            </w:r>
          </w:p>
        </w:tc>
        <w:tc>
          <w:tcPr>
            <w:tcW w:type="dxa" w:w="3556"/>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Definition</w:t>
            </w:r>
          </w:p>
        </w:tc>
        <w:tc>
          <w:tcPr>
            <w:tcW w:type="dxa" w:w="1123"/>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Target</w:t>
            </w:r>
          </w:p>
        </w:tc>
        <w:tc>
          <w:tcPr>
            <w:tcW w:type="dxa" w:w="1123"/>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Cadence</w:t>
            </w:r>
          </w:p>
        </w:tc>
      </w:tr>
      <w:tr>
        <w:tc>
          <w:tcPr>
            <w:tcW w:type="dxa" w:w="355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 of AI-assisted documents published with a recorded Confluence Page Approval</w:t>
            </w:r>
          </w:p>
        </w:tc>
        <w:tc>
          <w:tcPr>
            <w:tcW w:type="dxa" w:w="355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Count of pages with Page Approval recorded ÷ total AI-assisted pages published.</w:t>
            </w:r>
          </w:p>
        </w:tc>
        <w:tc>
          <w:tcPr>
            <w:tcW w:type="dxa" w:w="112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100%</w:t>
            </w:r>
          </w:p>
        </w:tc>
        <w:tc>
          <w:tcPr>
            <w:tcW w:type="dxa" w:w="112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Quarterly</w:t>
            </w:r>
          </w:p>
        </w:tc>
      </w:tr>
      <w:tr>
        <w:tc>
          <w:tcPr>
            <w:tcW w:type="dxa" w:w="3556"/>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 of model cards containing all nine mandatory Tier 2 fields</w:t>
            </w:r>
          </w:p>
        </w:tc>
        <w:tc>
          <w:tcPr>
            <w:tcW w:type="dxa" w:w="3556"/>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Count of model cards with all fields substantively completed ÷ total model cards published under this Policy.</w:t>
            </w:r>
          </w:p>
        </w:tc>
        <w:tc>
          <w:tcPr>
            <w:tcW w:type="dxa" w:w="1123"/>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100%</w:t>
            </w:r>
          </w:p>
        </w:tc>
        <w:tc>
          <w:tcPr>
            <w:tcW w:type="dxa" w:w="1123"/>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Quarterly</w:t>
            </w:r>
          </w:p>
        </w:tc>
      </w:tr>
      <w:tr>
        <w:tc>
          <w:tcPr>
            <w:tcW w:type="dxa" w:w="355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 of trading-adjacent documents where the designated SME held direct operational knowledge</w:t>
            </w:r>
          </w:p>
        </w:tc>
        <w:tc>
          <w:tcPr>
            <w:tcW w:type="dxa" w:w="355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Count of trading-adjacent documents with confirmed qualified SME ÷ total trading-adjacent documents published.</w:t>
            </w:r>
          </w:p>
        </w:tc>
        <w:tc>
          <w:tcPr>
            <w:tcW w:type="dxa" w:w="112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100%</w:t>
            </w:r>
          </w:p>
        </w:tc>
        <w:tc>
          <w:tcPr>
            <w:tcW w:type="dxa" w:w="112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Quarterly</w:t>
            </w:r>
          </w:p>
        </w:tc>
      </w:tr>
      <w:tr>
        <w:tc>
          <w:tcPr>
            <w:tcW w:type="dxa" w:w="3556"/>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Time from identification of anomalous output to escalation acknowledgment by [Model Risk Owner]</w:t>
            </w:r>
          </w:p>
        </w:tc>
        <w:tc>
          <w:tcPr>
            <w:tcW w:type="dxa" w:w="3556"/>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Elapsed time from logging of anomalous output to written acknowledgment from [Model Risk Owner]. Measured per Field 9 escalation event.</w:t>
            </w:r>
          </w:p>
        </w:tc>
        <w:tc>
          <w:tcPr>
            <w:tcW w:type="dxa" w:w="1123"/>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As defined in Field 9 of relevant model card</w:t>
            </w:r>
          </w:p>
        </w:tc>
        <w:tc>
          <w:tcPr>
            <w:tcW w:type="dxa" w:w="1123"/>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Per event</w:t>
            </w:r>
          </w:p>
        </w:tc>
      </w:tr>
      <w:tr>
        <w:tc>
          <w:tcPr>
            <w:tcW w:type="dxa" w:w="355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 of model cards re-reviewed within the required timeframe following a re-review trigger event</w:t>
            </w:r>
          </w:p>
        </w:tc>
        <w:tc>
          <w:tcPr>
            <w:tcW w:type="dxa" w:w="355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Count of model cards re-reviewed on time following a trigger ÷ total trigger events in period.</w:t>
            </w:r>
          </w:p>
        </w:tc>
        <w:tc>
          <w:tcPr>
            <w:tcW w:type="dxa" w:w="112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100%</w:t>
            </w:r>
          </w:p>
        </w:tc>
        <w:tc>
          <w:tcPr>
            <w:tcW w:type="dxa" w:w="112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Quarterly</w:t>
            </w:r>
          </w:p>
        </w:tc>
      </w:tr>
    </w:tbl>
    <w:p>
      <w:pPr>
        <w:pBdr>
          <w:bottom w:val="single" w:color="2E4D87" w:sz="8"/>
        </w:pBdr>
        <w:spacing w:after="100" w:before="280"/>
      </w:pPr>
      <w:r>
        <w:rPr>
          <w:rFonts w:ascii="Arial" w:cs="Arial" w:eastAsia="Arial" w:hAnsi="Arial"/>
          <w:b/>
          <w:bCs/>
          <w:color w:val="1F3864"/>
          <w:sz w:val="24"/>
          <w:szCs w:val="24"/>
        </w:rPr>
        <w:t xml:space="preserve">9.  Regulatory Alignment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6739"/>
      </w:tblGrid>
      <w:tr>
        <w:tc>
          <w:tcPr>
            <w:tcW w:type="dxa" w:w="2620"/>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Framework</w:t>
            </w:r>
          </w:p>
        </w:tc>
        <w:tc>
          <w:tcPr>
            <w:tcW w:type="dxa" w:w="6739"/>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Alignment Note</w:t>
            </w:r>
          </w:p>
        </w:tc>
      </w:tr>
      <w:tr>
        <w:tc>
          <w:tcPr>
            <w:tcW w:type="dxa" w:w="262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40" w:before="0"/>
            </w:pPr>
            <w:r>
              <w:rPr>
                <w:rFonts w:ascii="Arial" w:cs="Arial" w:eastAsia="Arial" w:hAnsi="Arial"/>
                <w:b/>
                <w:bCs/>
                <w:color w:val="2E4D87"/>
                <w:sz w:val="19"/>
                <w:szCs w:val="19"/>
              </w:rPr>
              <w:t xml:space="preserve">SR 11-7 (Federal Reserve, 2011)</w:t>
            </w:r>
          </w:p>
          <w:p>
            <w:pPr>
              <w:spacing w:after="0" w:before="0"/>
            </w:pPr>
            <w:r>
              <w:rPr>
                <w:rFonts w:ascii="Arial" w:cs="Arial" w:eastAsia="Arial" w:hAnsi="Arial"/>
                <w:b w:val="false"/>
                <w:bCs w:val="false"/>
                <w:color w:val="2E4D87"/>
                <w:sz w:val="19"/>
                <w:szCs w:val="19"/>
              </w:rPr>
              <w:t xml:space="preserve">Guidance on Model Risk Management</w:t>
            </w:r>
          </w:p>
        </w:tc>
        <w:tc>
          <w:tcPr>
            <w:tcW w:type="dxa" w:w="673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Sections III, IV, and V inform the nine mandatory Tier 2 fields in Section 5.1. This Policy operationalises SR 11-7's documentation requirements within the Technical Documentation Function's scope.</w:t>
            </w:r>
          </w:p>
        </w:tc>
      </w:tr>
      <w:tr>
        <w:tc>
          <w:tcPr>
            <w:tcW w:type="dxa" w:w="2620"/>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NIST AI RMF — Govern 1.2</w:t>
            </w:r>
          </w:p>
        </w:tc>
        <w:tc>
          <w:tcPr>
            <w:tcW w:type="dxa" w:w="6739"/>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Requires that roles and responsibilities for AI risk management be defined, communicated, and understood across the organisation. This Policy operationalises that requirement within the Documentation Team's scope.</w:t>
            </w:r>
          </w:p>
        </w:tc>
      </w:tr>
      <w:tr>
        <w:tc>
          <w:tcPr>
            <w:tcW w:type="dxa" w:w="2620"/>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b/>
                <w:bCs/>
                <w:color w:val="2E4D87"/>
                <w:sz w:val="19"/>
                <w:szCs w:val="19"/>
              </w:rPr>
              <w:t xml:space="preserve">NIST AI RMF — Manage 2.2</w:t>
            </w:r>
          </w:p>
        </w:tc>
        <w:tc>
          <w:tcPr>
            <w:tcW w:type="dxa" w:w="6739"/>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Requires that human oversight mechanisms be identified and maintained. The mandatory Tier 2 fields and the Tier 1 Confluence Page Approval mechanism together constitute the organisation's documentation-layer human oversight controls.</w:t>
            </w:r>
          </w:p>
        </w:tc>
      </w:tr>
      <w:tr>
        <w:tc>
          <w:tcPr>
            <w:tcW w:type="dxa" w:w="2620"/>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40" w:before="0"/>
            </w:pPr>
            <w:r>
              <w:rPr>
                <w:rFonts w:ascii="Arial" w:cs="Arial" w:eastAsia="Arial" w:hAnsi="Arial"/>
                <w:b/>
                <w:bCs/>
                <w:color w:val="2E4D87"/>
                <w:sz w:val="19"/>
                <w:szCs w:val="19"/>
              </w:rPr>
              <w:t xml:space="preserve">EU AI Act, Article 14</w:t>
            </w:r>
          </w:p>
          <w:p>
            <w:pPr>
              <w:spacing w:after="0" w:before="0"/>
            </w:pPr>
            <w:r>
              <w:rPr>
                <w:rFonts w:ascii="Arial" w:cs="Arial" w:eastAsia="Arial" w:hAnsi="Arial"/>
                <w:b w:val="false"/>
                <w:bCs w:val="false"/>
                <w:color w:val="2E4D87"/>
                <w:sz w:val="19"/>
                <w:szCs w:val="19"/>
              </w:rPr>
              <w:t xml:space="preserve">(Human Oversight)</w:t>
            </w:r>
          </w:p>
        </w:tc>
        <w:tc>
          <w:tcPr>
            <w:tcW w:type="dxa" w:w="6739"/>
            <w:tcBorders>
              <w:top w:val="single" w:color="BEC7D4" w:sz="4"/>
              <w:left w:val="single" w:color="BEC7D4" w:sz="4"/>
              <w:bottom w:val="single" w:color="BEC7D4" w:sz="4"/>
              <w:right w:val="single" w:color="BEC7D4" w:sz="4"/>
            </w:tcBorders>
            <w:shd w:fill="F5F7FA"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Requires that high-risk AI systems be designed and deployed in ways that allow natural persons to effectively oversee and intervene. This Policy ensures oversight measures are documented, named, and auditable for all AI/ML systems within its scope.</w:t>
            </w:r>
          </w:p>
        </w:tc>
      </w:tr>
    </w:tbl>
    <w:p>
      <w:pPr>
        <w:pBdr>
          <w:bottom w:val="single" w:color="2E4D87" w:sz="8"/>
        </w:pBdr>
        <w:spacing w:after="100" w:before="280"/>
      </w:pPr>
      <w:r>
        <w:rPr>
          <w:rFonts w:ascii="Arial" w:cs="Arial" w:eastAsia="Arial" w:hAnsi="Arial"/>
          <w:b/>
          <w:bCs/>
          <w:color w:val="1F3864"/>
          <w:sz w:val="24"/>
          <w:szCs w:val="24"/>
        </w:rPr>
        <w:t xml:space="preserve">Version History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497"/>
        <w:gridCol w:w="2246"/>
        <w:gridCol w:w="4492"/>
      </w:tblGrid>
      <w:tr>
        <w:tc>
          <w:tcPr>
            <w:tcW w:type="dxa" w:w="1123"/>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Version</w:t>
            </w:r>
          </w:p>
        </w:tc>
        <w:tc>
          <w:tcPr>
            <w:tcW w:type="dxa" w:w="1497"/>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Date</w:t>
            </w:r>
          </w:p>
        </w:tc>
        <w:tc>
          <w:tcPr>
            <w:tcW w:type="dxa" w:w="2246"/>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Author</w:t>
            </w:r>
          </w:p>
        </w:tc>
        <w:tc>
          <w:tcPr>
            <w:tcW w:type="dxa" w:w="4492"/>
            <w:tcBorders>
              <w:top w:val="single" w:color="BEC7D4" w:sz="4"/>
              <w:left w:val="single" w:color="BEC7D4" w:sz="4"/>
              <w:bottom w:val="single" w:color="BEC7D4" w:sz="4"/>
              <w:right w:val="single" w:color="BEC7D4" w:sz="4"/>
            </w:tcBorders>
            <w:shd w:fill="D6DCE4" w:val="clear"/>
            <w:tcMar>
              <w:top w:type="dxa" w:w="80"/>
              <w:left w:type="dxa" w:w="120"/>
              <w:bottom w:type="dxa" w:w="80"/>
              <w:right w:type="dxa" w:w="120"/>
            </w:tcMar>
          </w:tcPr>
          <w:p>
            <w:pPr>
              <w:spacing w:after="0" w:before="0"/>
            </w:pPr>
            <w:r>
              <w:rPr>
                <w:rFonts w:ascii="Arial" w:cs="Arial" w:eastAsia="Arial" w:hAnsi="Arial"/>
                <w:b/>
                <w:bCs/>
                <w:color w:val="1F3864"/>
                <w:sz w:val="18"/>
                <w:szCs w:val="18"/>
              </w:rPr>
              <w:t xml:space="preserve">Summary of Changes</w:t>
            </w:r>
          </w:p>
        </w:tc>
      </w:tr>
      <w:tr>
        <w:tc>
          <w:tcPr>
            <w:tcW w:type="dxa" w:w="1123"/>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0.1</w:t>
            </w:r>
          </w:p>
        </w:tc>
        <w:tc>
          <w:tcPr>
            <w:tcW w:type="dxa" w:w="1497"/>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[DATE]</w:t>
            </w:r>
          </w:p>
        </w:tc>
        <w:tc>
          <w:tcPr>
            <w:tcW w:type="dxa" w:w="2246"/>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[Technical Documentation Function Lead]</w:t>
            </w:r>
          </w:p>
        </w:tc>
        <w:tc>
          <w:tcPr>
            <w:tcW w:type="dxa" w:w="4492"/>
            <w:tcBorders>
              <w:top w:val="single" w:color="BEC7D4" w:sz="4"/>
              <w:left w:val="single" w:color="BEC7D4" w:sz="4"/>
              <w:bottom w:val="single" w:color="BEC7D4" w:sz="4"/>
              <w:right w:val="single" w:color="BEC7D4" w:sz="4"/>
            </w:tcBorders>
            <w:shd w:fill="FFFFFF" w:val="clear"/>
            <w:tcMar>
              <w:top w:type="dxa" w:w="80"/>
              <w:left w:type="dxa" w:w="120"/>
              <w:bottom w:type="dxa" w:w="80"/>
              <w:right w:type="dxa" w:w="120"/>
            </w:tcMar>
          </w:tcPr>
          <w:p>
            <w:pPr>
              <w:spacing w:after="0" w:before="0"/>
            </w:pPr>
            <w:r>
              <w:rPr>
                <w:rFonts w:ascii="Arial" w:cs="Arial" w:eastAsia="Arial" w:hAnsi="Arial"/>
                <w:color w:val="404040"/>
                <w:sz w:val="19"/>
                <w:szCs w:val="19"/>
              </w:rPr>
              <w:t xml:space="preserve">Initial draft for review</w:t>
            </w:r>
          </w:p>
        </w:tc>
      </w:tr>
    </w:tbl>
    <w:p>
      <w:pPr>
        <w:spacing w:after="1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3864" w:val="clear"/>
            <w:tcMar>
              <w:top w:type="dxa" w:w="140"/>
              <w:left w:type="dxa" w:w="200"/>
              <w:bottom w:type="dxa" w:w="140"/>
              <w:right w:type="dxa" w:w="200"/>
            </w:tcMar>
          </w:tcPr>
          <w:p>
            <w:pPr>
              <w:spacing w:after="100" w:before="0"/>
            </w:pPr>
            <w:r>
              <w:rPr>
                <w:rFonts w:ascii="Arial" w:cs="Arial" w:eastAsia="Arial" w:hAnsi="Arial"/>
                <w:b/>
                <w:bCs/>
                <w:color w:val="FFFFFF"/>
                <w:sz w:val="22"/>
                <w:szCs w:val="22"/>
              </w:rPr>
              <w:t xml:space="preserve">Policy Approval</w:t>
            </w:r>
          </w:p>
          <w:p>
            <w:pPr>
              <w:spacing w:after="60" w:before="0"/>
            </w:pPr>
            <w:r>
              <w:rPr>
                <w:rFonts w:ascii="Arial" w:cs="Arial" w:eastAsia="Arial" w:hAnsi="Arial"/>
                <w:b/>
                <w:bCs/>
                <w:color w:val="B8C8E0"/>
                <w:sz w:val="19"/>
                <w:szCs w:val="19"/>
              </w:rPr>
              <w:t xml:space="preserve">Policy Owner:  </w:t>
            </w:r>
            <w:r>
              <w:rPr>
                <w:rFonts w:ascii="Arial" w:cs="Arial" w:eastAsia="Arial" w:hAnsi="Arial"/>
                <w:color w:val="FFFFFF"/>
                <w:sz w:val="19"/>
                <w:szCs w:val="19"/>
              </w:rPr>
              <w:t xml:space="preserve">[NAME / TITLE]</w:t>
            </w:r>
            <w:r>
              <w:rPr>
                <w:rFonts w:ascii="Arial" w:cs="Arial" w:eastAsia="Arial" w:hAnsi="Arial"/>
                <w:b/>
                <w:bCs/>
                <w:color w:val="B8C8E0"/>
                <w:sz w:val="19"/>
                <w:szCs w:val="19"/>
              </w:rPr>
              <w:t xml:space="preserve">          Date:  </w:t>
            </w:r>
            <w:r>
              <w:rPr>
                <w:rFonts w:ascii="Arial" w:cs="Arial" w:eastAsia="Arial" w:hAnsi="Arial"/>
                <w:color w:val="FFFFFF"/>
                <w:sz w:val="19"/>
                <w:szCs w:val="19"/>
              </w:rPr>
              <w:t xml:space="preserve">[DATE]</w:t>
            </w:r>
          </w:p>
          <w:p>
            <w:pPr>
              <w:spacing w:after="60" w:before="0"/>
            </w:pPr>
            <w:r>
              <w:rPr>
                <w:rFonts w:ascii="Arial" w:cs="Arial" w:eastAsia="Arial" w:hAnsi="Arial"/>
                <w:b/>
                <w:bCs/>
                <w:color w:val="B8C8E0"/>
                <w:sz w:val="19"/>
                <w:szCs w:val="19"/>
              </w:rPr>
              <w:t xml:space="preserve">Approved By:  </w:t>
            </w:r>
            <w:r>
              <w:rPr>
                <w:rFonts w:ascii="Arial" w:cs="Arial" w:eastAsia="Arial" w:hAnsi="Arial"/>
                <w:color w:val="FFFFFF"/>
                <w:sz w:val="19"/>
                <w:szCs w:val="19"/>
              </w:rPr>
              <w:t xml:space="preserve">[MANAGER NAME / TITLE]</w:t>
            </w:r>
            <w:r>
              <w:rPr>
                <w:rFonts w:ascii="Arial" w:cs="Arial" w:eastAsia="Arial" w:hAnsi="Arial"/>
                <w:b/>
                <w:bCs/>
                <w:color w:val="B8C8E0"/>
                <w:sz w:val="19"/>
                <w:szCs w:val="19"/>
              </w:rPr>
              <w:t xml:space="preserve">          Date:  </w:t>
            </w:r>
            <w:r>
              <w:rPr>
                <w:rFonts w:ascii="Arial" w:cs="Arial" w:eastAsia="Arial" w:hAnsi="Arial"/>
                <w:color w:val="FFFFFF"/>
                <w:sz w:val="19"/>
                <w:szCs w:val="19"/>
              </w:rPr>
              <w:t xml:space="preserve">[DATE]</w:t>
            </w:r>
          </w:p>
          <w:p>
            <w:pPr>
              <w:spacing w:after="0" w:before="0"/>
            </w:pPr>
            <w:r>
              <w:rPr>
                <w:rFonts w:ascii="Arial" w:cs="Arial" w:eastAsia="Arial" w:hAnsi="Arial"/>
                <w:b/>
                <w:bCs/>
                <w:color w:val="B8C8E0"/>
                <w:sz w:val="19"/>
                <w:szCs w:val="19"/>
              </w:rPr>
              <w:t xml:space="preserve">Tier 2 Sign-Off:  </w:t>
            </w:r>
            <w:r>
              <w:rPr>
                <w:rFonts w:ascii="Arial" w:cs="Arial" w:eastAsia="Arial" w:hAnsi="Arial"/>
                <w:color w:val="FFFFFF"/>
                <w:sz w:val="19"/>
                <w:szCs w:val="19"/>
              </w:rPr>
              <w:t xml:space="preserve">[MODEL RISK OWNER / TITLE]</w:t>
            </w:r>
            <w:r>
              <w:rPr>
                <w:rFonts w:ascii="Arial" w:cs="Arial" w:eastAsia="Arial" w:hAnsi="Arial"/>
                <w:b/>
                <w:bCs/>
                <w:color w:val="B8C8E0"/>
                <w:sz w:val="19"/>
                <w:szCs w:val="19"/>
              </w:rPr>
              <w:t xml:space="preserve">          Date:  </w:t>
            </w:r>
            <w:r>
              <w:rPr>
                <w:rFonts w:ascii="Arial" w:cs="Arial" w:eastAsia="Arial" w:hAnsi="Arial"/>
                <w:color w:val="FFFFFF"/>
                <w:sz w:val="19"/>
                <w:szCs w:val="19"/>
              </w:rPr>
              <w:t xml:space="preserve">[DATE]</w:t>
            </w:r>
          </w:p>
        </w:tc>
      </w:tr>
    </w:tbl>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EC7D4" w:sz="4"/>
      </w:pBdr>
      <w:tabs>
        <w:tab w:val="right" w:pos="9360"/>
      </w:tabs>
      <w:spacing w:after="0" w:before="80"/>
    </w:pPr>
    <w:r>
      <w:rPr>
        <w:rFonts w:ascii="Arial" w:cs="Arial" w:eastAsia="Arial" w:hAnsi="Arial"/>
        <w:color w:val="888888"/>
        <w:sz w:val="17"/>
        <w:szCs w:val="17"/>
      </w:rPr>
      <w:t xml:space="preserve">CONFIDENTIAL — INTERNAL USE ONLY</w:t>
    </w:r>
    <w:r>
      <w:rPr>
        <w:rFonts w:ascii="Arial" w:cs="Arial" w:eastAsia="Arial" w:hAnsi="Arial"/>
        <w:color w:val="888888"/>
        <w:sz w:val="17"/>
        <w:szCs w:val="17"/>
      </w:rPr>
      <w:t xml:space="preserve">	Human Oversight Documentation Standard  ·  Policy  ·  [ORG-DOC-POLICY-001]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84"/>
      <w:gridCol w:w="3276"/>
    </w:tblGrid>
    <w:tr>
      <w:tc>
        <w:tcPr>
          <w:tcW w:type="dxa" w:w="6084"/>
          <w:tcBorders>
            <w:top w:val="nil" w:color="FFFFFF" w:sz="0"/>
            <w:left w:val="nil" w:color="FFFFFF" w:sz="0"/>
            <w:bottom w:val="nil" w:color="FFFFFF" w:sz="0"/>
            <w:right w:val="nil" w:color="FFFFFF" w:sz="0"/>
          </w:tcBorders>
          <w:shd w:fill="1F3864" w:val="clear"/>
          <w:tcMar>
            <w:top w:type="dxa" w:w="80"/>
            <w:left w:type="dxa" w:w="160"/>
            <w:bottom w:type="dxa" w:w="80"/>
            <w:right w:type="dxa" w:w="80"/>
          </w:tcMar>
        </w:tcPr>
        <w:p>
          <w:pPr>
            <w:spacing w:after="0" w:before="0"/>
          </w:pPr>
          <w:r>
            <w:rPr>
              <w:rFonts w:ascii="Arial" w:cs="Arial" w:eastAsia="Arial" w:hAnsi="Arial"/>
              <w:b/>
              <w:bCs/>
              <w:color w:val="FFFFFF"/>
              <w:sz w:val="18"/>
              <w:szCs w:val="18"/>
            </w:rPr>
            <w:t xml:space="preserve">HUMAN OVERSIGHT DOCUMENTATION STANDARD</w:t>
          </w:r>
        </w:p>
      </w:tc>
      <w:tc>
        <w:tcPr>
          <w:tcW w:type="dxa" w:w="3276"/>
          <w:tcBorders>
            <w:top w:val="nil" w:color="FFFFFF" w:sz="0"/>
            <w:left w:val="nil" w:color="FFFFFF" w:sz="0"/>
            <w:bottom w:val="nil" w:color="FFFFFF" w:sz="0"/>
            <w:right w:val="nil" w:color="FFFFFF" w:sz="0"/>
          </w:tcBorders>
          <w:shd w:fill="1F3864" w:val="clear"/>
          <w:tcMar>
            <w:top w:type="dxa" w:w="80"/>
            <w:left w:type="dxa" w:w="80"/>
            <w:bottom w:type="dxa" w:w="80"/>
            <w:right w:type="dxa" w:w="160"/>
          </w:tcMar>
          <w:vAlign w:val="center"/>
        </w:tcPr>
        <w:p>
          <w:pPr>
            <w:spacing w:after="0" w:before="0"/>
            <w:jc w:val="right"/>
          </w:pPr>
          <w:r>
            <w:rPr>
              <w:rFonts w:ascii="Arial" w:cs="Arial" w:eastAsia="Arial" w:hAnsi="Arial"/>
              <w:color w:val="BDC8D8"/>
              <w:sz w:val="17"/>
              <w:szCs w:val="17"/>
            </w:rPr>
            <w:t xml:space="preserve">INTERNAL USE ONLY  ·  Page </w:t>
          </w:r>
          <w:r>
            <w:rPr>
              <w:rFonts w:ascii="Arial" w:cs="Arial" w:eastAsia="Arial" w:hAnsi="Arial"/>
              <w:color w:val="BDC8D8"/>
              <w:sz w:val="17"/>
              <w:szCs w:val="17"/>
            </w:rPr>
            <w:pgNum/>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2026-06-01T06:11:33.105Z</dcterms:created>
  <dcterms:modified xsi:type="dcterms:W3CDTF">2026-06-01T06:11:33.105Z</dcterms:modified>
</cp:coreProperties>
</file>

<file path=docProps/custom.xml><?xml version="1.0" encoding="utf-8"?>
<Properties xmlns="http://schemas.openxmlformats.org/officeDocument/2006/custom-properties" xmlns:vt="http://schemas.openxmlformats.org/officeDocument/2006/docPropsVTypes"/>
</file>