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为什么要使用消息中间件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松耦合架构的优势: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1，解耦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异步处理能力()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缓冲能力(高并发，延时处理)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伸缩性(集群)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扩展性(扩展服务)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和RPC(远程的过程调用，不同服务器之间的接口调用)有什么区别: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RPC:同步性，依赖性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异步处理:(优化串行方式和并行方式(多线程)，只管消息是否发送成功)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应用解耦: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日志处理: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消息通信: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流量销峰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如何选择消息中间件: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ActiveMq ,RabbitMq(Erlang):12000+ ;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RocketMq(java):十万级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kafka(jvm调优,操作系统调优):百万级，大数据流操作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AMQP和RabbitMq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AMQP:提供统一消息服务的应用层标准高级消息队列协议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客户端与RabbitMQ连接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信道:数据不会混乱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RabbitMq使用AMQP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包括的要素: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生产者，消费者，消息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交换器，队列，绑定(队列)，路由器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消息的确认(Ack机制，保证消息的可靠):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消费者收到的每一条消息都必须进行确认(自动确认和自行确认)，保证消息消费和不重复消费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RabbitMq的概念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虚拟主机: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C7DB"/>
    <w:multiLevelType w:val="singleLevel"/>
    <w:tmpl w:val="4D26C7DB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84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2020-10-09T15:26:23Z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