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0599F7" wp14:paraId="75F5A69C" wp14:textId="4E6A0A2A">
      <w:pPr>
        <w:pStyle w:val="Heading2"/>
        <w:spacing w:before="240" w:beforeAutospacing="off" w:after="120" w:afterAutospacing="off"/>
        <w:jc w:val="center"/>
        <w:rPr>
          <w:rFonts w:ascii="Times New Roman" w:hAnsi="Times New Roman" w:eastAsia="Times New Roman" w:cs="Times New Roman"/>
          <w:b w:val="1"/>
          <w:bCs w:val="1"/>
          <w:i w:val="0"/>
          <w:iCs w:val="0"/>
          <w:caps w:val="0"/>
          <w:smallCaps w:val="0"/>
          <w:noProof w:val="0"/>
          <w:color w:val="27251E"/>
          <w:sz w:val="30"/>
          <w:szCs w:val="30"/>
          <w:lang w:val="en-US"/>
        </w:rPr>
      </w:pPr>
      <w:r w:rsidRPr="0A0599F7" w:rsidR="45D20CB5">
        <w:rPr>
          <w:rFonts w:ascii="Times New Roman" w:hAnsi="Times New Roman" w:eastAsia="Times New Roman" w:cs="Times New Roman"/>
          <w:b w:val="1"/>
          <w:bCs w:val="1"/>
          <w:i w:val="0"/>
          <w:iCs w:val="0"/>
          <w:caps w:val="0"/>
          <w:smallCaps w:val="0"/>
          <w:noProof w:val="0"/>
          <w:color w:val="27251E"/>
          <w:sz w:val="30"/>
          <w:szCs w:val="30"/>
          <w:lang w:val="en-US"/>
        </w:rPr>
        <w:t>ABSTRACT</w:t>
      </w:r>
    </w:p>
    <w:p xmlns:wp14="http://schemas.microsoft.com/office/word/2010/wordml" w:rsidP="0A0599F7" wp14:paraId="413CD50A" wp14:textId="07524EE5">
      <w:pPr>
        <w:spacing w:before="120" w:beforeAutospacing="off" w:after="120" w:afterAutospacing="off"/>
      </w:pPr>
      <w:r w:rsidRPr="0A0599F7" w:rsidR="45D20CB5">
        <w:rPr>
          <w:rFonts w:ascii="Georgia" w:hAnsi="Georgia" w:eastAsia="Georgia" w:cs="Georgia"/>
          <w:b w:val="0"/>
          <w:bCs w:val="0"/>
          <w:i w:val="0"/>
          <w:iCs w:val="0"/>
          <w:caps w:val="0"/>
          <w:smallCaps w:val="0"/>
          <w:noProof w:val="0"/>
          <w:color w:val="27251E"/>
          <w:sz w:val="24"/>
          <w:szCs w:val="24"/>
          <w:lang w:val="en-US"/>
        </w:rPr>
        <w:t>The Digital Operational Resilience Act (Regulation EU 2022/2554, DORA), which became mandatory on 17 January 2025, requires all in-scope financial entities in the European Union to maintain and submit a structured Register of Information (RoI) to their national competent authority, documenting ICT third-party dependencies across nine mandatory EBA Implementing Technical Standards template formats (RT.01–RT.09). The severity of the compliance challenge was empirically confirmed by the Joint ESA 2024 Dry Run exercise, in which 93.5% of participating entities produced at least one data quality failure — with the dominant failure category being mandatory information missing, accounting for 86% of all errors. The existing literature on RegTech and regulatory information systems identifies a persistent compliance tooling gap for small and medium enterprise (SME) financial entities, who typically lack both the technical infrastructure to maintain a relational, validation-integrated register and the specialist expertise to operationalise the EBA's machine-readable 300-rule validation specification. This dissertation addresses that gap through a Design Science Research (DSR) approach, designing, building, and evaluating a purpose-built multi-tenant DORA RoI compliance platform tailored to the operational and resource constraints of Irish SME financial entities. The artefact — a three-tier SaaS web application built with NestJS 11, PostgreSQL 16, React 19, and Prisma 7.5.0 — implements three integrated subsystems: a living relational register across 30 database tables covering the full DORA Articles 28–30 data model; a declarative rule-based validation engine seeding 220 EBA validation rules across ten rule types with a five-state issue lifecycle and a pre-flight export gate that structurally prevents the generation of a non-compliant submission file; and a dual-format export subsystem producing both an Excel workbook and an XBRL OIM-CSV ZIP archive across 13 EBA sub-templates for Central Bank of Ireland submission. Evaluation against the three research questions established in Chapter 1 demonstrates that: (RQ1) the ESA Dry Run failure categories arise directly from the structural inadequacy of manual spreadsheet-based register maintenance and the absence of pre-submission validation tooling; (RQ2) the 10-type rule-based validation engine correctly detects all five ESA failure categories and achieved zero false positives on clean records in controlled testing; and (RQ3) a fully functional DORA compliance platform proportionate to SME constraints is achievable using standard open-architecture technologies within the scope of a single-investigator master's research project. The research makes three contributions: a domain-complete functional artefact that is the first documented implementation of the DORA RoI requirements in a validation-integrated compliance platform; a generalisable three-component design pattern for declarative, pre-flight-gated regulatory compliance automation applicable beyond DORA to any regime with a published machine-readable validation specification; and an evidence-grounded mapping from empirically observed regulatory submission failure categories to specific technical solution mechanisms. The artefact is evaluated at demonstration maturity; a structured user study with Irish SME compliance professionals, live CBI sandbox submission testing, and completion of the remaining 80 EBA validation rules are identified as the priority future research steps.</w:t>
      </w:r>
    </w:p>
    <w:p xmlns:wp14="http://schemas.microsoft.com/office/word/2010/wordml" wp14:paraId="2C078E63" wp14:textId="5B0769B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D1C66D"/>
    <w:rsid w:val="0A0599F7"/>
    <w:rsid w:val="23D1C66D"/>
    <w:rsid w:val="45D20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AA899"/>
  <w15:chartTrackingRefBased/>
  <w15:docId w15:val="{74E0DCF5-76C7-4634-B350-6CCBCFF04A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A0599F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2026-04-21T13:53:38.6858409Z</dcterms:created>
  <dcterms:modified xsi:type="dcterms:W3CDTF">2026-04-21T13:54:19.1594317Z</dcterms:modified>
  <dc:creator>Raouf Amir Boussouf</dc:creator>
  <lastModifiedBy>Raouf Amir Boussouf</lastModifiedBy>
</coreProperties>
</file>