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1201AA" wp14:paraId="112A537E" wp14:textId="603CFEB0">
      <w:pPr>
        <w:pStyle w:val="Heading1"/>
        <w:spacing w:before="322" w:beforeAutospacing="off" w:after="322" w:afterAutospacing="off" w:line="360" w:lineRule="auto"/>
      </w:pPr>
      <w:r w:rsidRPr="201201AA" w:rsidR="393C72B4">
        <w:rPr>
          <w:rFonts w:ascii="Aptos" w:hAnsi="Aptos" w:eastAsia="Aptos" w:cs="Aptos"/>
          <w:b w:val="1"/>
          <w:bCs w:val="1"/>
          <w:noProof w:val="0"/>
          <w:sz w:val="48"/>
          <w:szCs w:val="48"/>
          <w:lang w:val="en-US"/>
        </w:rPr>
        <w:t>CHAPTER 3: RESEARCH METHODOLOGY</w:t>
      </w:r>
    </w:p>
    <w:p xmlns:wp14="http://schemas.microsoft.com/office/word/2010/wordml" w:rsidP="201201AA" wp14:paraId="3CCA3F46" wp14:textId="51BA59B0">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Chapter Overview</w:t>
      </w:r>
    </w:p>
    <w:p xmlns:wp14="http://schemas.microsoft.com/office/word/2010/wordml" w:rsidP="201201AA" wp14:paraId="6F80876F" wp14:textId="5AC6CFCC">
      <w:pPr>
        <w:spacing w:before="240" w:beforeAutospacing="off" w:after="240" w:afterAutospacing="off" w:line="360" w:lineRule="auto"/>
      </w:pPr>
      <w:r w:rsidRPr="201201AA" w:rsidR="393C72B4">
        <w:rPr>
          <w:rFonts w:ascii="Aptos" w:hAnsi="Aptos" w:eastAsia="Aptos" w:cs="Aptos"/>
          <w:noProof w:val="0"/>
          <w:sz w:val="24"/>
          <w:szCs w:val="24"/>
          <w:lang w:val="en-US"/>
        </w:rPr>
        <w:t>This chapter sets out the methodological foundations for the dissertation. It positions the research within Network and Information Security (NIS), justifies the use of Design Science Research (DSR), and maps the three DSR cycles — rigour, relevance, and design — to the specific activities performed. It defines the artefact requirements, describes the synthetic evaluation datasets, and addresses ethical and confidentiality considerations. The chapter closes with an account of methodological limitations that readers should bear in mind when interpreting results in Chapters 4–6.</w:t>
      </w:r>
    </w:p>
    <w:p xmlns:wp14="http://schemas.microsoft.com/office/word/2010/wordml" w:rsidP="201201AA" wp14:paraId="1EFC75B8" wp14:textId="18DAE7AB">
      <w:pPr>
        <w:spacing w:before="0" w:beforeAutospacing="off" w:after="0" w:afterAutospacing="off" w:line="360" w:lineRule="auto"/>
      </w:pPr>
    </w:p>
    <w:p xmlns:wp14="http://schemas.microsoft.com/office/word/2010/wordml" w:rsidP="201201AA" wp14:paraId="08E5D2A0" wp14:textId="30EA2705">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3.1 Methodological Positioning</w:t>
      </w:r>
    </w:p>
    <w:p xmlns:wp14="http://schemas.microsoft.com/office/word/2010/wordml" w:rsidP="201201AA" wp14:paraId="35DD917B" wp14:textId="46EE7E25">
      <w:pPr>
        <w:spacing w:before="240" w:beforeAutospacing="off" w:after="240" w:afterAutospacing="off" w:line="360" w:lineRule="auto"/>
      </w:pPr>
      <w:r w:rsidRPr="201201AA" w:rsidR="393C72B4">
        <w:rPr>
          <w:rFonts w:ascii="Aptos" w:hAnsi="Aptos" w:eastAsia="Aptos" w:cs="Aptos"/>
          <w:noProof w:val="0"/>
          <w:sz w:val="24"/>
          <w:szCs w:val="24"/>
          <w:lang w:val="en-US"/>
        </w:rPr>
        <w:t>This dissertation sits at the intersection of Network and Information Security, RegTech, and financial regulation. Its central contribution is a purposeful artefact — a multi-tenant SaaS platform that operationalises DORA's Register of Information (RoI) requirements and ESA data-quality rules in executable software. Rather than testing a pre-defined hypothesis, the research focuses on designing, implementing, and evaluating a system that addresses a concrete and well-evidenced problem: the difficulty SME financial entities face in meeting DORA RoI data-quality expectations in a transparent and resource-efficient manner (Hevner et al., 2004; Peffers et al., 2007).</w:t>
      </w:r>
    </w:p>
    <w:p xmlns:wp14="http://schemas.microsoft.com/office/word/2010/wordml" w:rsidP="201201AA" wp14:paraId="1D8402A6" wp14:textId="230EA19B">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From a NIS perspective, DORA is treated not only as a legal text but as a security governance framework that mandates structured, machine-verifiable data on ICT third-party arrangements. Translating this into software requires bridging the regulatory-technical gap identified in Chapter 1 — moving from legal articles and ESA template columns to database schemas, validation rules, and access-control policies (European Commission, 2022; European Supervisory Authorities, 2024). This framing positions the artefact as a contribution to the growing body of regulation-to-code work in NIS and RegTech, where regulatory obligations are encoded as inspectable </w:t>
      </w:r>
      <w:r w:rsidRPr="201201AA" w:rsidR="393C72B4">
        <w:rPr>
          <w:rFonts w:ascii="Aptos" w:hAnsi="Aptos" w:eastAsia="Aptos" w:cs="Aptos"/>
          <w:b w:val="1"/>
          <w:bCs w:val="1"/>
          <w:noProof w:val="0"/>
          <w:sz w:val="24"/>
          <w:szCs w:val="24"/>
          <w:lang w:val="en-US"/>
        </w:rPr>
        <w:t>rules</w:t>
      </w:r>
      <w:r w:rsidRPr="201201AA" w:rsidR="393C72B4">
        <w:rPr>
          <w:rFonts w:ascii="Aptos" w:hAnsi="Aptos" w:eastAsia="Aptos" w:cs="Aptos"/>
          <w:noProof w:val="0"/>
          <w:sz w:val="24"/>
          <w:szCs w:val="24"/>
          <w:lang w:val="en-US"/>
        </w:rPr>
        <w:t xml:space="preserve"> rather than narrative guidance (Arner et al., 2017; Hevner et al., 2004).</w:t>
      </w:r>
    </w:p>
    <w:p xmlns:wp14="http://schemas.microsoft.com/office/word/2010/wordml" w:rsidP="201201AA" wp14:paraId="28707BD9" wp14:textId="23A5ED86">
      <w:pPr>
        <w:spacing w:before="240" w:beforeAutospacing="off" w:after="240" w:afterAutospacing="off" w:line="360" w:lineRule="auto"/>
      </w:pPr>
      <w:r w:rsidRPr="201201AA" w:rsidR="393C72B4">
        <w:rPr>
          <w:rFonts w:ascii="Aptos" w:hAnsi="Aptos" w:eastAsia="Aptos" w:cs="Aptos"/>
          <w:noProof w:val="0"/>
          <w:sz w:val="24"/>
          <w:szCs w:val="24"/>
          <w:lang w:val="en-US"/>
        </w:rPr>
        <w:t>A key design principle running through the platform is the contrast between black-box and white-box compliance tools. Many existing GRC platforms ingest data and return pass/fail results without exposing the underlying rule logic — making it difficult for smaller entities to understand failures, challenge misconfigurations, or reuse logic in internal controls (Arner et al., 2017; Butler and O'Brien, 2019). The DORA SaaS platform is deliberately designed as a white-box system: all validation rules, code lists, and mappings to DORA Articles 28–30 and EBA RoI templates are stored as inspectable database records, and no hidden heuristics are applied (Governatori et al., 2016).</w:t>
      </w:r>
    </w:p>
    <w:p xmlns:wp14="http://schemas.microsoft.com/office/word/2010/wordml" w:rsidP="201201AA" wp14:paraId="5817E4FA" wp14:textId="2B3D23F3">
      <w:pPr>
        <w:spacing w:before="0" w:beforeAutospacing="off" w:after="0" w:afterAutospacing="off" w:line="360" w:lineRule="auto"/>
      </w:pPr>
    </w:p>
    <w:p xmlns:wp14="http://schemas.microsoft.com/office/word/2010/wordml" w:rsidP="201201AA" wp14:paraId="744A7827" wp14:textId="50DA6114">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3.2 Design Science Research</w:t>
      </w:r>
    </w:p>
    <w:p xmlns:wp14="http://schemas.microsoft.com/office/word/2010/wordml" w:rsidP="201201AA" wp14:paraId="14CCB999" wp14:textId="2F9EE9EC">
      <w:pPr>
        <w:spacing w:before="240" w:beforeAutospacing="off" w:after="240" w:afterAutospacing="off" w:line="360" w:lineRule="auto"/>
      </w:pPr>
      <w:r w:rsidRPr="201201AA" w:rsidR="393C72B4">
        <w:rPr>
          <w:rFonts w:ascii="Aptos" w:hAnsi="Aptos" w:eastAsia="Aptos" w:cs="Aptos"/>
          <w:noProof w:val="0"/>
          <w:sz w:val="24"/>
          <w:szCs w:val="24"/>
          <w:lang w:val="en-US"/>
        </w:rPr>
        <w:t>Design Science Research (DSR), as articulated by Hevner et al. (2004) and operationalised by Peffers et al. (2007), provides a structured approach to artefact-centric inquiry in information systems. It requires that the artefact addresses a meaningful problem, is rigorously evaluated, is grounded in an existing knowledge base, and is communicated to both technical and practice audiences. These criteria fit the present work closely: the problem is formalised in Chapter 1 using quantitative evidence from the ESA's 2024 Dry Run; the knowledge base is surveyed in Chapter 2; the artefact is described in Chapters 4 and 5; and evaluation is carried out in Chapter 6 (Hevner et al., 2004; Peffers et al., 2007).</w:t>
      </w:r>
    </w:p>
    <w:p xmlns:wp14="http://schemas.microsoft.com/office/word/2010/wordml" w:rsidP="201201AA" wp14:paraId="68C254C2" wp14:textId="4EF4A55C">
      <w:pPr>
        <w:spacing w:before="240" w:beforeAutospacing="off" w:after="240" w:afterAutospacing="off" w:line="360" w:lineRule="auto"/>
      </w:pPr>
      <w:r w:rsidRPr="201201AA" w:rsidR="393C72B4">
        <w:rPr>
          <w:rFonts w:ascii="Aptos" w:hAnsi="Aptos" w:eastAsia="Aptos" w:cs="Aptos"/>
          <w:noProof w:val="0"/>
          <w:sz w:val="24"/>
          <w:szCs w:val="24"/>
          <w:lang w:val="en-US"/>
        </w:rPr>
        <w:t>The problem-centred DSR entry point (Peffers et al., 2007) is appropriate here because the starting point is a clearly defined regulatory and operational problem, rather than an objective-centred or solution-centred motivation. The platform was developed iteratively — each design cycle refining the data model, validation rules, and security controls in light of emerging understanding of both the DORA templates and the constraints of an SME deployment context. Evaluation then closes the loop by testing whether the implemented artefact satisfies the functional and security requirements derived in Chapters 1 and 3 (Hevner et al., 2004; Wieringa, 2014).</w:t>
      </w:r>
    </w:p>
    <w:p xmlns:wp14="http://schemas.microsoft.com/office/word/2010/wordml" w:rsidP="201201AA" wp14:paraId="5ABCE57C" wp14:textId="22A7282F">
      <w:pPr>
        <w:spacing w:before="240" w:beforeAutospacing="off" w:after="240" w:afterAutospacing="off" w:line="360" w:lineRule="auto"/>
      </w:pPr>
      <w:r w:rsidRPr="201201AA" w:rsidR="393C72B4">
        <w:rPr>
          <w:rFonts w:ascii="Aptos" w:hAnsi="Aptos" w:eastAsia="Aptos" w:cs="Aptos"/>
          <w:noProof w:val="0"/>
          <w:sz w:val="24"/>
          <w:szCs w:val="24"/>
          <w:lang w:val="en-US"/>
        </w:rPr>
        <w:t>It is important to note that the platform is assessed as a working instantiation of DORA RoI requirements — a novel implementation artefact in DSR terms. Gregor and Hevner (2013) confirm that a novel instantiation (working software) is a valid and significant DSR contribution even without a formal user study, provided the artefact is rigorously evaluated against clearly stated design objectives. This position underpins the evaluation strategy in Chapter 6.</w:t>
      </w:r>
    </w:p>
    <w:p xmlns:wp14="http://schemas.microsoft.com/office/word/2010/wordml" w:rsidP="201201AA" wp14:paraId="10215DD6" wp14:textId="5CA699E2">
      <w:pPr>
        <w:spacing w:before="0" w:beforeAutospacing="off" w:after="0" w:afterAutospacing="off" w:line="360" w:lineRule="auto"/>
      </w:pPr>
    </w:p>
    <w:p xmlns:wp14="http://schemas.microsoft.com/office/word/2010/wordml" w:rsidP="201201AA" wp14:paraId="3DE4CB87" wp14:textId="517B0058">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3.3 The Three DSR Cycles</w:t>
      </w:r>
    </w:p>
    <w:p xmlns:wp14="http://schemas.microsoft.com/office/word/2010/wordml" w:rsidP="201201AA" wp14:paraId="575FB1CF" wp14:textId="0A7FF1B6">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3.3.1 Rigour Cycle</w:t>
      </w:r>
    </w:p>
    <w:p xmlns:wp14="http://schemas.microsoft.com/office/word/2010/wordml" w:rsidP="201201AA" wp14:paraId="778DCB1F" wp14:textId="11C8A2D9">
      <w:pPr>
        <w:spacing w:before="240" w:beforeAutospacing="off" w:after="240" w:afterAutospacing="off" w:line="360" w:lineRule="auto"/>
      </w:pPr>
      <w:r w:rsidRPr="201201AA" w:rsidR="393C72B4">
        <w:rPr>
          <w:rFonts w:ascii="Aptos" w:hAnsi="Aptos" w:eastAsia="Aptos" w:cs="Aptos"/>
          <w:noProof w:val="0"/>
          <w:sz w:val="24"/>
          <w:szCs w:val="24"/>
          <w:lang w:val="en-US"/>
        </w:rPr>
        <w:t>The rigour cycle connects the artefact to the existing knowledge base, ensuring that design decisions are grounded in established regulatory texts, standards, and academic research (Hevner, 2007). Four main knowledge sources anchor this cycle.</w:t>
      </w:r>
    </w:p>
    <w:p xmlns:wp14="http://schemas.microsoft.com/office/word/2010/wordml" w:rsidP="201201AA" wp14:paraId="59B398FF" wp14:textId="14ADE140">
      <w:pPr>
        <w:spacing w:before="240" w:beforeAutospacing="off" w:after="240" w:afterAutospacing="off" w:line="360" w:lineRule="auto"/>
      </w:pPr>
      <w:r w:rsidRPr="201201AA" w:rsidR="393C72B4">
        <w:rPr>
          <w:rFonts w:ascii="Aptos" w:hAnsi="Aptos" w:eastAsia="Aptos" w:cs="Aptos"/>
          <w:noProof w:val="0"/>
          <w:sz w:val="24"/>
          <w:szCs w:val="24"/>
          <w:lang w:val="en-US"/>
        </w:rPr>
        <w:t>First, the DORA legal text and the ESA Implementing Technical Standards (ITS) on the Register of Information define the exact data points, template structure, code lists, and validation expectations the platform must satisfy (European Commission, 2022; European Supervisory Authorities, 2024). Second, the ESA's 2024 Dry Run results provide an empirically grounded taxonomy of data-quality failure patterns — missing mandatory fields (86% of failures), invalid LEIs, and DPM code errors — that directly inform the rule taxonomy encoded in the validation engine (European Supervisory Authorities, 2024).</w:t>
      </w:r>
    </w:p>
    <w:p xmlns:wp14="http://schemas.microsoft.com/office/word/2010/wordml" w:rsidP="201201AA" wp14:paraId="0783662C" wp14:textId="70B66743">
      <w:pPr>
        <w:spacing w:before="240" w:beforeAutospacing="off" w:after="240" w:afterAutospacing="off" w:line="360" w:lineRule="auto"/>
      </w:pPr>
      <w:r w:rsidRPr="201201AA" w:rsidR="393C72B4">
        <w:rPr>
          <w:rFonts w:ascii="Aptos" w:hAnsi="Aptos" w:eastAsia="Aptos" w:cs="Aptos"/>
          <w:noProof w:val="0"/>
          <w:sz w:val="24"/>
          <w:szCs w:val="24"/>
          <w:lang w:val="en-US"/>
        </w:rPr>
        <w:t>Third, established NIS frameworks — ISO/IEC 27001, the NIST Cybersecurity Framework, and ENISA guidance — provide reference control objectives for multi-tenancy, access control, and auditability that are operationalised in the platform's security architecture (ISO, 2022; NIST, 2018; ENISA, 2021). Fourth, the RegTech and DSR literature supplies the conceptual vocabulary for regulation-to-code artefacts and the evaluation criteria applied in Chapter 6 (Arner et al., 2017; Hevner et al., 2004; Governatori et al., 2016).</w:t>
      </w:r>
    </w:p>
    <w:p xmlns:wp14="http://schemas.microsoft.com/office/word/2010/wordml" w:rsidP="201201AA" wp14:paraId="62FDC106" wp14:textId="5D36DD0C">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3.3.2 Relevance Cycle</w:t>
      </w:r>
    </w:p>
    <w:p xmlns:wp14="http://schemas.microsoft.com/office/word/2010/wordml" w:rsidP="201201AA" wp14:paraId="78B62F7E" wp14:textId="1A009F48">
      <w:pPr>
        <w:spacing w:before="240" w:beforeAutospacing="off" w:after="240" w:afterAutospacing="off" w:line="360" w:lineRule="auto"/>
      </w:pPr>
      <w:r w:rsidRPr="201201AA" w:rsidR="393C72B4">
        <w:rPr>
          <w:rFonts w:ascii="Aptos" w:hAnsi="Aptos" w:eastAsia="Aptos" w:cs="Aptos"/>
          <w:noProof w:val="0"/>
          <w:sz w:val="24"/>
          <w:szCs w:val="24"/>
          <w:lang w:val="en-US"/>
        </w:rPr>
        <w:t>The relevance cycle grounds the artefact in its real-world problem context: Irish SME financial entities obliged to maintain and report DORA RoI data under CBI supervision (Central Bank of Ireland, 2023). Several constraints shape this context. SMEs typically operate without large internal GRC teams, have limited budgets for commercial tools, and depend on manual or spreadsheet-based processes that are insufficient to meet the 116 ESA data-quality checks systematically (Galati et al., 2022; European Supervisory Authorities, 2024; Mucha et al., 2022).</w:t>
      </w:r>
    </w:p>
    <w:p xmlns:wp14="http://schemas.microsoft.com/office/word/2010/wordml" w:rsidP="201201AA" wp14:paraId="51450622" wp14:textId="58593140">
      <w:pPr>
        <w:spacing w:before="240" w:beforeAutospacing="off" w:after="240" w:afterAutospacing="off" w:line="360" w:lineRule="auto"/>
      </w:pPr>
      <w:r w:rsidRPr="201201AA" w:rsidR="393C72B4">
        <w:rPr>
          <w:rFonts w:ascii="Aptos" w:hAnsi="Aptos" w:eastAsia="Aptos" w:cs="Aptos"/>
          <w:noProof w:val="0"/>
          <w:sz w:val="24"/>
          <w:szCs w:val="24"/>
          <w:lang w:val="en-US"/>
        </w:rPr>
        <w:t>The relevance cycle also identifies what a useful artefact must provide: proportionate tooling that guides data entry, flags errors clearly, and generates submission-ready export packages without requiring specialist knowledge of ESA template structures. This informed the decision to support interactive CRUD workflows, to display validation results in plain language with traceable rule references, and to target a role model — Admin, Analyst, Editor — that reflects realistic staffing in smaller regulated entities (Central Bank of Ireland, 2023; European Banking Authority, 2019).</w:t>
      </w:r>
    </w:p>
    <w:p xmlns:wp14="http://schemas.microsoft.com/office/word/2010/wordml" w:rsidP="201201AA" wp14:paraId="3A8232A5" wp14:textId="78C7D91E">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3.3.3 Design Cycle</w:t>
      </w:r>
    </w:p>
    <w:p xmlns:wp14="http://schemas.microsoft.com/office/word/2010/wordml" w:rsidP="201201AA" wp14:paraId="18E0C596" wp14:textId="4792EF20">
      <w:pPr>
        <w:spacing w:before="240" w:beforeAutospacing="off" w:after="240" w:afterAutospacing="off" w:line="360" w:lineRule="auto"/>
      </w:pPr>
      <w:r w:rsidRPr="201201AA" w:rsidR="393C72B4">
        <w:rPr>
          <w:rFonts w:ascii="Aptos" w:hAnsi="Aptos" w:eastAsia="Aptos" w:cs="Aptos"/>
          <w:noProof w:val="0"/>
          <w:sz w:val="24"/>
          <w:szCs w:val="24"/>
          <w:lang w:val="en-US"/>
        </w:rPr>
        <w:t>The design cycle covers the iterative construction and refinement of the artefact. Four phases can be identified.</w:t>
      </w:r>
    </w:p>
    <w:p xmlns:wp14="http://schemas.microsoft.com/office/word/2010/wordml" w:rsidP="201201AA" wp14:paraId="284AE765" wp14:textId="3294CCD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In the first phase, a baseline multi-tenant architecture was established using NestJS, Prisma, and PostgreSQL, with a React frontend and core entities modelling financial entities, ICT providers, contracts, and services according to the ITS templates (European Supervisory Authorities, 2024; Bezemer et al., 2010). In the second phase, the rule-based validation engine was implemented, with rule definitions stored as structured database records in the </w:t>
      </w:r>
      <w:r w:rsidRPr="201201AA" w:rsidR="393C72B4">
        <w:rPr>
          <w:rFonts w:ascii="Consolas" w:hAnsi="Consolas" w:eastAsia="Consolas" w:cs="Consolas"/>
          <w:noProof w:val="0"/>
          <w:sz w:val="24"/>
          <w:szCs w:val="24"/>
          <w:lang w:val="en-US"/>
        </w:rPr>
        <w:t>validation_rules</w:t>
      </w:r>
      <w:r w:rsidRPr="201201AA" w:rsidR="393C72B4">
        <w:rPr>
          <w:rFonts w:ascii="Aptos" w:hAnsi="Aptos" w:eastAsia="Aptos" w:cs="Aptos"/>
          <w:noProof w:val="0"/>
          <w:sz w:val="24"/>
          <w:szCs w:val="24"/>
          <w:lang w:val="en-US"/>
        </w:rPr>
        <w:t xml:space="preserve"> table and applied uniformly across all CRUD operations. Synthetic datasets containing known Dry Run error patterns were used to iteratively calibrate the rule logic and feedback messages (European Supervisory Authorities, 2024; Sadiq et al., 2007).</w:t>
      </w:r>
    </w:p>
    <w:p xmlns:wp14="http://schemas.microsoft.com/office/word/2010/wordml" w:rsidP="201201AA" wp14:paraId="26E373C2" wp14:textId="265AAB6A">
      <w:pPr>
        <w:spacing w:before="240" w:beforeAutospacing="off" w:after="240" w:afterAutospacing="off" w:line="360" w:lineRule="auto"/>
      </w:pPr>
      <w:r w:rsidRPr="201201AA" w:rsidR="393C72B4">
        <w:rPr>
          <w:rFonts w:ascii="Aptos" w:hAnsi="Aptos" w:eastAsia="Aptos" w:cs="Aptos"/>
          <w:noProof w:val="0"/>
          <w:sz w:val="24"/>
          <w:szCs w:val="24"/>
          <w:lang w:val="en-US"/>
        </w:rPr>
        <w:t>In the third phase, security was hardened: PostgreSQL Row-Level Security (RLS) policies and tenant identifiers enforce database-level isolation; JWT-based authentication with rotating refresh tokens manages session security; and RBAC controls access at the API and frontend levels (ISO, 2022; NIST, 2018; OWASP, 2021). In the fourth and final phase, the artefact was prepared for evaluation by packaging synthetic test suites, refining logging and metrics capture, and reviewing UI clarity for SME users. The outcome of this cycle — the evaluation-ready platform — is described in detail in Chapters 4 and 5.</w:t>
      </w:r>
    </w:p>
    <w:p xmlns:wp14="http://schemas.microsoft.com/office/word/2010/wordml" w:rsidP="201201AA" wp14:paraId="429037A7" wp14:textId="49AE2FD8">
      <w:pPr>
        <w:spacing w:before="240" w:beforeAutospacing="off" w:after="240" w:afterAutospacing="off" w:line="360" w:lineRule="auto"/>
      </w:pPr>
      <w:r w:rsidRPr="201201AA" w:rsidR="393C72B4">
        <w:rPr>
          <w:rFonts w:ascii="Aptos" w:hAnsi="Aptos" w:eastAsia="Aptos" w:cs="Aptos"/>
          <w:noProof w:val="0"/>
          <w:sz w:val="24"/>
          <w:szCs w:val="24"/>
          <w:lang w:val="en-US"/>
        </w:rPr>
        <w:t>ILLUSTRATION 3.1 — Diagram of the three DSR cycles (Rigour, Relevance, Design) mapped to specific activities in this dissertation — to be inserted here.</w:t>
      </w:r>
    </w:p>
    <w:p xmlns:wp14="http://schemas.microsoft.com/office/word/2010/wordml" w:rsidP="201201AA" wp14:paraId="6526EEA3" wp14:textId="0E8B1A0E">
      <w:pPr>
        <w:spacing w:before="0" w:beforeAutospacing="off" w:after="0" w:afterAutospacing="off" w:line="360" w:lineRule="auto"/>
      </w:pPr>
    </w:p>
    <w:p xmlns:wp14="http://schemas.microsoft.com/office/word/2010/wordml" w:rsidP="201201AA" wp14:paraId="61F2E270" wp14:textId="70FBA0E8">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3.4 Artefact Requirements</w:t>
      </w:r>
    </w:p>
    <w:p xmlns:wp14="http://schemas.microsoft.com/office/word/2010/wordml" w:rsidP="201201AA" wp14:paraId="7067C27E" wp14:textId="62AF22E9">
      <w:pPr>
        <w:spacing w:before="240" w:beforeAutospacing="off" w:after="240" w:afterAutospacing="off" w:line="360" w:lineRule="auto"/>
      </w:pPr>
      <w:r w:rsidRPr="201201AA" w:rsidR="393C72B4">
        <w:rPr>
          <w:rFonts w:ascii="Aptos" w:hAnsi="Aptos" w:eastAsia="Aptos" w:cs="Aptos"/>
          <w:noProof w:val="0"/>
          <w:sz w:val="24"/>
          <w:szCs w:val="24"/>
          <w:lang w:val="en-US"/>
        </w:rPr>
        <w:t>Synthesising the problem statement and literature review, the following functional (F) and non-functional (N) requirements were defined to guide the platform's design:</w:t>
      </w:r>
    </w:p>
    <w:p xmlns:wp14="http://schemas.microsoft.com/office/word/2010/wordml" w:rsidP="201201AA" wp14:paraId="0C53E0B0" wp14:textId="34B6FE61">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Functional requirements:</w:t>
      </w:r>
    </w:p>
    <w:p xmlns:wp14="http://schemas.microsoft.com/office/word/2010/wordml" w:rsidP="201201AA" wp14:paraId="50DF13BC" wp14:textId="030F5C9E">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F1 — RoI Data Model Alignment:</w:t>
      </w:r>
      <w:r w:rsidRPr="201201AA" w:rsidR="393C72B4">
        <w:rPr>
          <w:rFonts w:ascii="Aptos" w:hAnsi="Aptos" w:eastAsia="Aptos" w:cs="Aptos"/>
          <w:noProof w:val="0"/>
          <w:sz w:val="24"/>
          <w:szCs w:val="24"/>
          <w:lang w:val="en-US"/>
        </w:rPr>
        <w:t xml:space="preserve"> The schema must accurately represent DORA RoI templates RT.01–RT.09 and their relationships, preserving the semantics of ITS data points (European Supervisory Authorities, 2024).</w:t>
      </w:r>
    </w:p>
    <w:p xmlns:wp14="http://schemas.microsoft.com/office/word/2010/wordml" w:rsidP="201201AA" wp14:paraId="7A25A78B" wp14:textId="6E2ACF6F">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F2 — Validation Rule Coverage:</w:t>
      </w:r>
      <w:r w:rsidRPr="201201AA" w:rsidR="393C72B4">
        <w:rPr>
          <w:rFonts w:ascii="Aptos" w:hAnsi="Aptos" w:eastAsia="Aptos" w:cs="Aptos"/>
          <w:noProof w:val="0"/>
          <w:sz w:val="24"/>
          <w:szCs w:val="24"/>
          <w:lang w:val="en-US"/>
        </w:rPr>
        <w:t xml:space="preserve"> The engine must support required-field, format, foreign-key, code-list, cross-field, and conditional rule types derived from ESA Dry Run validation rules (European Supervisory Authorities, 2024; Governatori et al., 2016).</w:t>
      </w:r>
    </w:p>
    <w:p xmlns:wp14="http://schemas.microsoft.com/office/word/2010/wordml" w:rsidP="201201AA" wp14:paraId="7839F55A" wp14:textId="2334B9AE">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F3 — Interactive Data Entry:</w:t>
      </w:r>
      <w:r w:rsidRPr="201201AA" w:rsidR="393C72B4">
        <w:rPr>
          <w:rFonts w:ascii="Aptos" w:hAnsi="Aptos" w:eastAsia="Aptos" w:cs="Aptos"/>
          <w:noProof w:val="0"/>
          <w:sz w:val="24"/>
          <w:szCs w:val="24"/>
          <w:lang w:val="en-US"/>
        </w:rPr>
        <w:t xml:space="preserve"> CRUD operations for all RoI domain entities must pass through the same rule-based validation engine, ensuring consistent data quality enforcement regardless of how data is entered (Hevner et al., 2004).</w:t>
      </w:r>
    </w:p>
    <w:p xmlns:wp14="http://schemas.microsoft.com/office/word/2010/wordml" w:rsidP="201201AA" wp14:paraId="09C84940" wp14:textId="6131FD52">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F4 — Explainable Feedback:</w:t>
      </w:r>
      <w:r w:rsidRPr="201201AA" w:rsidR="393C72B4">
        <w:rPr>
          <w:rFonts w:ascii="Aptos" w:hAnsi="Aptos" w:eastAsia="Aptos" w:cs="Aptos"/>
          <w:noProof w:val="0"/>
          <w:sz w:val="24"/>
          <w:szCs w:val="24"/>
          <w:lang w:val="en-US"/>
        </w:rPr>
        <w:t xml:space="preserve"> Validation messages must be human-readable, identify failing rules by EBA rule identifier, and indicate the specific field and DORA article involved (Arner et al., 2017; Butler and O'Brien, 2019).</w:t>
      </w:r>
    </w:p>
    <w:p xmlns:wp14="http://schemas.microsoft.com/office/word/2010/wordml" w:rsidP="201201AA" wp14:paraId="10977C23" wp14:textId="26CF5EB0">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F5 — Regulatory Output:</w:t>
      </w:r>
      <w:r w:rsidRPr="201201AA" w:rsidR="393C72B4">
        <w:rPr>
          <w:rFonts w:ascii="Aptos" w:hAnsi="Aptos" w:eastAsia="Aptos" w:cs="Aptos"/>
          <w:noProof w:val="0"/>
          <w:sz w:val="24"/>
          <w:szCs w:val="24"/>
          <w:lang w:val="en-US"/>
        </w:rPr>
        <w:t xml:space="preserve"> Export packages must be compatible with competent-authority submission formats, including EBA-aligned Excel workbooks and OIM-CSV ZIP archives (European Supervisory Authorities, 2024).</w:t>
      </w:r>
    </w:p>
    <w:p xmlns:wp14="http://schemas.microsoft.com/office/word/2010/wordml" w:rsidP="201201AA" wp14:paraId="26EA9E64" wp14:textId="6CEDA940">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Non-functional requirements:</w:t>
      </w:r>
    </w:p>
    <w:p xmlns:wp14="http://schemas.microsoft.com/office/word/2010/wordml" w:rsidP="201201AA" wp14:paraId="203A75D2" wp14:textId="5F9EED56">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N1 — Tenant Isolation:</w:t>
      </w:r>
      <w:r w:rsidRPr="201201AA" w:rsidR="393C72B4">
        <w:rPr>
          <w:rFonts w:ascii="Aptos" w:hAnsi="Aptos" w:eastAsia="Aptos" w:cs="Aptos"/>
          <w:noProof w:val="0"/>
          <w:sz w:val="24"/>
          <w:szCs w:val="24"/>
          <w:lang w:val="en-US"/>
        </w:rPr>
        <w:t xml:space="preserve"> Cross-entity data access must be prevented at both application and database levels, implemented through mandatory </w:t>
      </w:r>
      <w:r w:rsidRPr="201201AA" w:rsidR="393C72B4">
        <w:rPr>
          <w:rFonts w:ascii="Consolas" w:hAnsi="Consolas" w:eastAsia="Consolas" w:cs="Consolas"/>
          <w:noProof w:val="0"/>
          <w:sz w:val="24"/>
          <w:szCs w:val="24"/>
          <w:lang w:val="en-US"/>
        </w:rPr>
        <w:t>tenant_id</w:t>
      </w:r>
      <w:r w:rsidRPr="201201AA" w:rsidR="393C72B4">
        <w:rPr>
          <w:rFonts w:ascii="Aptos" w:hAnsi="Aptos" w:eastAsia="Aptos" w:cs="Aptos"/>
          <w:noProof w:val="0"/>
          <w:sz w:val="24"/>
          <w:szCs w:val="24"/>
          <w:lang w:val="en-US"/>
        </w:rPr>
        <w:t xml:space="preserve"> filtering and PostgreSQL Row-Level Security (ISO, 2022; NIST, 2018; Walraven et al., 2014).</w:t>
      </w:r>
    </w:p>
    <w:p xmlns:wp14="http://schemas.microsoft.com/office/word/2010/wordml" w:rsidP="201201AA" wp14:paraId="4249A542" wp14:textId="6BAA5250">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N2 — Security Controls:</w:t>
      </w:r>
      <w:r w:rsidRPr="201201AA" w:rsidR="393C72B4">
        <w:rPr>
          <w:rFonts w:ascii="Aptos" w:hAnsi="Aptos" w:eastAsia="Aptos" w:cs="Aptos"/>
          <w:noProof w:val="0"/>
          <w:sz w:val="24"/>
          <w:szCs w:val="24"/>
          <w:lang w:val="en-US"/>
        </w:rPr>
        <w:t xml:space="preserve"> Authentication via short-lived JWT access tokens with rotating refresh tokens, role-based access control enforced at the API layer, rate limiting, security headers, and an immutable audit trail must align with ISO/IEC 27001, NIST CSF, and OWASP guidance (ISO, 2022; NIST, 2018; OWASP, 2021).</w:t>
      </w:r>
    </w:p>
    <w:p xmlns:wp14="http://schemas.microsoft.com/office/word/2010/wordml" w:rsidP="201201AA" wp14:paraId="13424F6C" wp14:textId="5219F932">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N3 — Proportionality:</w:t>
      </w:r>
      <w:r w:rsidRPr="201201AA" w:rsidR="393C72B4">
        <w:rPr>
          <w:rFonts w:ascii="Aptos" w:hAnsi="Aptos" w:eastAsia="Aptos" w:cs="Aptos"/>
          <w:noProof w:val="0"/>
          <w:sz w:val="24"/>
          <w:szCs w:val="24"/>
          <w:lang w:val="en-US"/>
        </w:rPr>
        <w:t xml:space="preserve"> The platform must be usable and maintainable by SMEs without large internal GRC teams, favouring clarity over feature breadth (Galati et al., 2022; Mucha et al., 2022).</w:t>
      </w:r>
    </w:p>
    <w:p xmlns:wp14="http://schemas.microsoft.com/office/word/2010/wordml" w:rsidP="201201AA" wp14:paraId="0B8D0CA2" wp14:textId="31F8C551">
      <w:pPr>
        <w:spacing w:before="0" w:beforeAutospacing="off" w:after="0" w:afterAutospacing="off" w:line="360" w:lineRule="auto"/>
      </w:pPr>
    </w:p>
    <w:p xmlns:wp14="http://schemas.microsoft.com/office/word/2010/wordml" w:rsidP="201201AA" wp14:paraId="408DB0F1" wp14:textId="6FBE899F">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3.5 Evaluation Data and Scenarios</w:t>
      </w:r>
    </w:p>
    <w:p xmlns:wp14="http://schemas.microsoft.com/office/word/2010/wordml" w:rsidP="201201AA" wp14:paraId="29866453" wp14:textId="1E58A2AC">
      <w:pPr>
        <w:spacing w:before="240" w:beforeAutospacing="off" w:after="240" w:afterAutospacing="off" w:line="360" w:lineRule="auto"/>
      </w:pPr>
      <w:r w:rsidRPr="201201AA" w:rsidR="393C72B4">
        <w:rPr>
          <w:rFonts w:ascii="Aptos" w:hAnsi="Aptos" w:eastAsia="Aptos" w:cs="Aptos"/>
          <w:noProof w:val="0"/>
          <w:sz w:val="24"/>
          <w:szCs w:val="24"/>
          <w:lang w:val="en-US"/>
        </w:rPr>
        <w:t>Because the platform does not process real financial data, evaluation relies on synthetic RoI datasets generated to emulate the structure and code lists of the official EBA templates (European Supervisory Authorities, 2024). These datasets are constructed from PostgreSQL seed scripts that populate reference data and representative RoI records, supplemented by additional records crafted to exercise specific validation and security conditions (Vom Brocke et al., 2020).</w:t>
      </w:r>
    </w:p>
    <w:p xmlns:wp14="http://schemas.microsoft.com/office/word/2010/wordml" w:rsidP="201201AA" wp14:paraId="558317F6" wp14:textId="4E73127D">
      <w:pPr>
        <w:spacing w:before="240" w:beforeAutospacing="off" w:after="240" w:afterAutospacing="off" w:line="360" w:lineRule="auto"/>
      </w:pPr>
      <w:r w:rsidRPr="201201AA" w:rsidR="393C72B4">
        <w:rPr>
          <w:rFonts w:ascii="Aptos" w:hAnsi="Aptos" w:eastAsia="Aptos" w:cs="Aptos"/>
          <w:noProof w:val="0"/>
          <w:sz w:val="24"/>
          <w:szCs w:val="24"/>
          <w:lang w:val="en-US"/>
        </w:rPr>
        <w:t>Test scenarios are organised into three groups. Functional scenarios inject representative error types identified in the ESA Dry Run — missing mandatory fields, invalid LEI codes, out-of-range dates, invalid dropdown codes, cross-template inconsistencies — and verify that the validation engine detects and classifies them correctly (European Supervisory Authorities, 2024; Sadiq et al., 2007). Security scenarios probe tenant isolation by simulating cross-tenant access attempts and verifying that RLS policies reject unauthorised queries (ISO, 2022; NIST, 2018). Export scenarios verify that generated Excel and OIM-CSV packages conform to EBA template column specifications and that the pre-flight gate blocks export when unresolved high-severity issues remain (European Banking Authority, 2019). All testing is conducted on a local Docker-based deployment — no live institutional data is involved at any point.</w:t>
      </w:r>
    </w:p>
    <w:p xmlns:wp14="http://schemas.microsoft.com/office/word/2010/wordml" w:rsidP="201201AA" wp14:paraId="0D39AB48" wp14:textId="5DD46ABE">
      <w:pPr>
        <w:spacing w:before="0" w:beforeAutospacing="off" w:after="0" w:afterAutospacing="off" w:line="360" w:lineRule="auto"/>
      </w:pPr>
    </w:p>
    <w:p xmlns:wp14="http://schemas.microsoft.com/office/word/2010/wordml" w:rsidP="201201AA" wp14:paraId="1685BFED" wp14:textId="1B1EC0DE">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3.6 Ethics and Confidentiality</w:t>
      </w:r>
    </w:p>
    <w:p xmlns:wp14="http://schemas.microsoft.com/office/word/2010/wordml" w:rsidP="201201AA" wp14:paraId="59259F4C" wp14:textId="102C166D">
      <w:pPr>
        <w:spacing w:before="240" w:beforeAutospacing="off" w:after="240" w:afterAutospacing="off" w:line="360" w:lineRule="auto"/>
      </w:pPr>
      <w:r w:rsidRPr="201201AA" w:rsidR="393C72B4">
        <w:rPr>
          <w:rFonts w:ascii="Aptos" w:hAnsi="Aptos" w:eastAsia="Aptos" w:cs="Aptos"/>
          <w:noProof w:val="0"/>
          <w:sz w:val="24"/>
          <w:szCs w:val="24"/>
          <w:lang w:val="en-US"/>
        </w:rPr>
        <w:t>Several ethical and legal considerations apply to this work. All data used in design, testing, and screenshots is synthetic, constructed to match ESA template structures but containing only fictional entity names, identifiers, and contractual values (European Supervisory Authorities, 2024). This ensures no confidential financial or personal information is introduced into the codebase or dissertation, consistent with GDPR obligations governing personal data processing (Hoofnagle et al., 2019).</w:t>
      </w:r>
    </w:p>
    <w:p xmlns:wp14="http://schemas.microsoft.com/office/word/2010/wordml" w:rsidP="201201AA" wp14:paraId="6A2059A4" wp14:textId="64DD16CF">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The platform is presented as an academic prototype illustrating one possible implementation of DORA RoI requirements — not as a commercially or regulatorily certified compliance product (Central Bank of Ireland, 2023; European Commission, 2022). A further consideration concerns the risk of misrepresenting regulatory logic. To mitigate this, every encoded rule is traced directly to the EBA validation spreadsheet or ITS, and all simplifications and design assumptions are documented in the data dictionary and article-mapping files (European Supervisory Authorities, 2024; Palmirani et al., 2018). Any deviation from official specifications is flagged explicitly. Academic integrity requirements are observed throughout: all regulatory and technical sources are cited in </w:t>
      </w:r>
      <w:r w:rsidRPr="201201AA" w:rsidR="393C72B4">
        <w:rPr>
          <w:rFonts w:ascii="Aptos" w:hAnsi="Aptos" w:eastAsia="Aptos" w:cs="Aptos"/>
          <w:b w:val="1"/>
          <w:bCs w:val="1"/>
          <w:noProof w:val="0"/>
          <w:sz w:val="24"/>
          <w:szCs w:val="24"/>
          <w:lang w:val="en-US"/>
        </w:rPr>
        <w:t>Harvard style</w:t>
      </w:r>
      <w:r w:rsidRPr="201201AA" w:rsidR="393C72B4">
        <w:rPr>
          <w:rFonts w:ascii="Aptos" w:hAnsi="Aptos" w:eastAsia="Aptos" w:cs="Aptos"/>
          <w:noProof w:val="0"/>
          <w:sz w:val="24"/>
          <w:szCs w:val="24"/>
          <w:lang w:val="en-US"/>
        </w:rPr>
        <w:t>, and clear distinctions are maintained between official requirements and the researcher's own design choices.</w:t>
      </w:r>
    </w:p>
    <w:p xmlns:wp14="http://schemas.microsoft.com/office/word/2010/wordml" w:rsidP="201201AA" wp14:paraId="56A536B3" wp14:textId="28EB046E">
      <w:pPr>
        <w:spacing w:before="0" w:beforeAutospacing="off" w:after="0" w:afterAutospacing="off" w:line="360" w:lineRule="auto"/>
      </w:pPr>
    </w:p>
    <w:p xmlns:wp14="http://schemas.microsoft.com/office/word/2010/wordml" w:rsidP="201201AA" wp14:paraId="759DE8D5" wp14:textId="517D2508">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3.7 Methodological Limitations</w:t>
      </w:r>
    </w:p>
    <w:p xmlns:wp14="http://schemas.microsoft.com/office/word/2010/wordml" w:rsidP="201201AA" wp14:paraId="5AA64574" wp14:textId="1977DEC9">
      <w:pPr>
        <w:spacing w:before="240" w:beforeAutospacing="off" w:after="240" w:afterAutospacing="off" w:line="360" w:lineRule="auto"/>
      </w:pPr>
      <w:r w:rsidRPr="201201AA" w:rsidR="393C72B4">
        <w:rPr>
          <w:rFonts w:ascii="Aptos" w:hAnsi="Aptos" w:eastAsia="Aptos" w:cs="Aptos"/>
          <w:noProof w:val="0"/>
          <w:sz w:val="24"/>
          <w:szCs w:val="24"/>
          <w:lang w:val="en-US"/>
        </w:rPr>
        <w:t>The chosen design science approach, combined with an evaluation limited to synthetic data and local deployments, entails several limitations. There is no evidence of adoption, usability, or performance in live financial institutions — findings therefore speak to technical and logical correctness rather than to real-world operational impact (Hevner et al., 2004; Gregor and Hevner, 2013).</w:t>
      </w:r>
    </w:p>
    <w:p xmlns:wp14="http://schemas.microsoft.com/office/word/2010/wordml" w:rsidP="201201AA" wp14:paraId="04FF9E68" wp14:textId="63451585">
      <w:pPr>
        <w:spacing w:before="240" w:beforeAutospacing="off" w:after="240" w:afterAutospacing="off" w:line="360" w:lineRule="auto"/>
      </w:pPr>
      <w:r w:rsidRPr="201201AA" w:rsidR="393C72B4">
        <w:rPr>
          <w:rFonts w:ascii="Aptos" w:hAnsi="Aptos" w:eastAsia="Aptos" w:cs="Aptos"/>
          <w:noProof w:val="0"/>
          <w:sz w:val="24"/>
          <w:szCs w:val="24"/>
          <w:lang w:val="en-US"/>
        </w:rPr>
        <w:t>The focus on RoI also means that other important DORA pillars — incident reporting, resilience testing, and information-sharing arrangements — remain out of scope, even though they are relevant to overall digital operational resilience (European Commission, 2022). The artefact was developed and maintained by a single researcher under significant time constraints, which limits the depth of testing, the completeness of migration tooling, and the maturity of non-functional aspects such as scalability and resilience under concurrent load (Wieringa, 2014). Automation of database migrations, formal verification of all exports against national competent authority tooling, and extensive penetration testing are acknowledged as incomplete and are treated as technical debt rather than as achieved contributions (OWASP, 2021). Finally, the artefact targets Irish SME financial entities and the specific EBA RoI templates — adapting the approach to other jurisdictions, sectors, or regulations would require further work beyond the scope of this thesis (European Commission, 2022; Central Bank of Ireland, 2023).</w:t>
      </w:r>
    </w:p>
    <w:p xmlns:wp14="http://schemas.microsoft.com/office/word/2010/wordml" w:rsidP="201201AA" wp14:paraId="5C8FCAFA" wp14:textId="1CD0DE9E">
      <w:pPr>
        <w:spacing w:before="240" w:beforeAutospacing="off" w:after="240" w:afterAutospacing="off" w:line="360" w:lineRule="auto"/>
      </w:pPr>
      <w:r w:rsidRPr="201201AA" w:rsidR="393C72B4">
        <w:rPr>
          <w:rFonts w:ascii="Aptos" w:hAnsi="Aptos" w:eastAsia="Aptos" w:cs="Aptos"/>
          <w:noProof w:val="0"/>
          <w:sz w:val="24"/>
          <w:szCs w:val="24"/>
          <w:lang w:val="en-US"/>
        </w:rPr>
        <w:t>Despite these limitations, DSR remains the appropriate methodology because it foregrounds the artefact as the primary research vehicle and provides a traceable link between problem context, regulatory sources, technical design, and evaluation (Hevner et al., 2004; Peffers et al., 2007). Chapters 4 and 5 now build on this foundation.</w:t>
      </w:r>
    </w:p>
    <w:p xmlns:wp14="http://schemas.microsoft.com/office/word/2010/wordml" w:rsidP="201201AA" wp14:paraId="1F3B67C9" wp14:textId="3155749E">
      <w:pPr>
        <w:spacing w:before="0" w:beforeAutospacing="off" w:after="0" w:afterAutospacing="off" w:line="360" w:lineRule="auto"/>
      </w:pPr>
    </w:p>
    <w:p xmlns:wp14="http://schemas.microsoft.com/office/word/2010/wordml" w:rsidP="201201AA" wp14:paraId="103E7C27" wp14:textId="5BA9DD79">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3.8 Chapter Summary</w:t>
      </w:r>
    </w:p>
    <w:p xmlns:wp14="http://schemas.microsoft.com/office/word/2010/wordml" w:rsidP="201201AA" wp14:paraId="7C89EA0A" wp14:textId="3F6C1F2D">
      <w:pPr>
        <w:spacing w:before="240" w:beforeAutospacing="off" w:after="240" w:afterAutospacing="off" w:line="360" w:lineRule="auto"/>
      </w:pPr>
      <w:r w:rsidRPr="201201AA" w:rsidR="393C72B4">
        <w:rPr>
          <w:rFonts w:ascii="Aptos" w:hAnsi="Aptos" w:eastAsia="Aptos" w:cs="Aptos"/>
          <w:noProof w:val="0"/>
          <w:sz w:val="24"/>
          <w:szCs w:val="24"/>
          <w:lang w:val="en-US"/>
        </w:rPr>
        <w:t>This chapter established the methodological foundation for the dissertation. Design Science Research was justified as the appropriate paradigm, given that the central contribution is a working artefact rather than a descriptive or explanatory study. The three DSR cycles — rigour, relevance, and design — were mapped explicitly to the regulatory knowledge base, the Irish SME problem context, and the iterative construction of the DORA SaaS platform. Functional and non-functional requirements were derived from that mapping and will govern the architectural and implementation decisions presented in Chapters 4 and 5. The synthetic evaluation strategy, ethical safeguards, and methodological limitations were also set out, providing readers with a clear basis for interpreting the results and discussion that follow in Chapter 6.</w:t>
      </w:r>
    </w:p>
    <w:p xmlns:wp14="http://schemas.microsoft.com/office/word/2010/wordml" w:rsidP="201201AA" wp14:paraId="0AC11BF1" wp14:textId="42FEF1BE">
      <w:pPr>
        <w:spacing w:before="0" w:beforeAutospacing="off" w:after="0" w:afterAutospacing="off" w:line="360" w:lineRule="auto"/>
      </w:pPr>
    </w:p>
    <w:p xmlns:wp14="http://schemas.microsoft.com/office/word/2010/wordml" w:rsidP="201201AA" wp14:paraId="67C8A480" wp14:textId="427199CD">
      <w:pPr>
        <w:pStyle w:val="Heading2"/>
        <w:spacing w:before="299" w:beforeAutospacing="off" w:after="299" w:afterAutospacing="off" w:line="360" w:lineRule="auto"/>
      </w:pPr>
      <w:r w:rsidRPr="201201AA" w:rsidR="393C72B4">
        <w:rPr>
          <w:rFonts w:ascii="Aptos" w:hAnsi="Aptos" w:eastAsia="Aptos" w:cs="Aptos"/>
          <w:b w:val="1"/>
          <w:bCs w:val="1"/>
          <w:noProof w:val="0"/>
          <w:sz w:val="36"/>
          <w:szCs w:val="36"/>
          <w:lang w:val="en-US"/>
        </w:rPr>
        <w:t>Chapter 3 — Reference List</w:t>
      </w:r>
    </w:p>
    <w:p xmlns:wp14="http://schemas.microsoft.com/office/word/2010/wordml" w:rsidP="201201AA" wp14:paraId="1388E120" wp14:textId="38D1521E">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Category B — DSR Methodology</w:t>
      </w:r>
    </w:p>
    <w:p xmlns:wp14="http://schemas.microsoft.com/office/word/2010/wordml" w:rsidP="201201AA" wp14:paraId="4E931F2C" wp14:textId="5BEF0EC5">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Gregor, S. and Hevner, A. R. (2013) 'Positioning and presenting design science research for maximum impact', </w:t>
      </w:r>
      <w:r w:rsidRPr="201201AA" w:rsidR="393C72B4">
        <w:rPr>
          <w:rFonts w:ascii="Aptos" w:hAnsi="Aptos" w:eastAsia="Aptos" w:cs="Aptos"/>
          <w:i w:val="1"/>
          <w:iCs w:val="1"/>
          <w:noProof w:val="0"/>
          <w:sz w:val="24"/>
          <w:szCs w:val="24"/>
          <w:lang w:val="en-US"/>
        </w:rPr>
        <w:t>MIS Quarterly</w:t>
      </w:r>
      <w:r w:rsidRPr="201201AA" w:rsidR="393C72B4">
        <w:rPr>
          <w:rFonts w:ascii="Aptos" w:hAnsi="Aptos" w:eastAsia="Aptos" w:cs="Aptos"/>
          <w:noProof w:val="0"/>
          <w:sz w:val="24"/>
          <w:szCs w:val="24"/>
          <w:lang w:val="en-US"/>
        </w:rPr>
        <w:t>, 37(2), pp. 337–356.</w:t>
      </w:r>
    </w:p>
    <w:p xmlns:wp14="http://schemas.microsoft.com/office/word/2010/wordml" w:rsidP="201201AA" wp14:paraId="3CBCD83F" wp14:textId="07C69FB9">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Hevner, A. R. (2007) 'A three cycle view of design science research', </w:t>
      </w:r>
      <w:r w:rsidRPr="201201AA" w:rsidR="393C72B4">
        <w:rPr>
          <w:rFonts w:ascii="Aptos" w:hAnsi="Aptos" w:eastAsia="Aptos" w:cs="Aptos"/>
          <w:i w:val="1"/>
          <w:iCs w:val="1"/>
          <w:noProof w:val="0"/>
          <w:sz w:val="24"/>
          <w:szCs w:val="24"/>
          <w:lang w:val="en-US"/>
        </w:rPr>
        <w:t>Scandinavian Journal of Information Systems</w:t>
      </w:r>
      <w:r w:rsidRPr="201201AA" w:rsidR="393C72B4">
        <w:rPr>
          <w:rFonts w:ascii="Aptos" w:hAnsi="Aptos" w:eastAsia="Aptos" w:cs="Aptos"/>
          <w:noProof w:val="0"/>
          <w:sz w:val="24"/>
          <w:szCs w:val="24"/>
          <w:lang w:val="en-US"/>
        </w:rPr>
        <w:t>, 19(2), pp. 87–92.</w:t>
      </w:r>
    </w:p>
    <w:p xmlns:wp14="http://schemas.microsoft.com/office/word/2010/wordml" w:rsidP="201201AA" wp14:paraId="6716EDA7" wp14:textId="3CD1F54B">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Hevner, A. R., March, S. T., Park, J. and Ram, S. (2004) 'Design science in information systems research', </w:t>
      </w:r>
      <w:r w:rsidRPr="201201AA" w:rsidR="393C72B4">
        <w:rPr>
          <w:rFonts w:ascii="Aptos" w:hAnsi="Aptos" w:eastAsia="Aptos" w:cs="Aptos"/>
          <w:i w:val="1"/>
          <w:iCs w:val="1"/>
          <w:noProof w:val="0"/>
          <w:sz w:val="24"/>
          <w:szCs w:val="24"/>
          <w:lang w:val="en-US"/>
        </w:rPr>
        <w:t>MIS Quarterly</w:t>
      </w:r>
      <w:r w:rsidRPr="201201AA" w:rsidR="393C72B4">
        <w:rPr>
          <w:rFonts w:ascii="Aptos" w:hAnsi="Aptos" w:eastAsia="Aptos" w:cs="Aptos"/>
          <w:noProof w:val="0"/>
          <w:sz w:val="24"/>
          <w:szCs w:val="24"/>
          <w:lang w:val="en-US"/>
        </w:rPr>
        <w:t>, 28(1), pp. 75–105.</w:t>
      </w:r>
    </w:p>
    <w:p xmlns:wp14="http://schemas.microsoft.com/office/word/2010/wordml" w:rsidP="201201AA" wp14:paraId="574B1555" wp14:textId="3EDA53A1">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March, S. T. and Smith, G. F. (1995) 'Design and natural science research on information technology', </w:t>
      </w:r>
      <w:r w:rsidRPr="201201AA" w:rsidR="393C72B4">
        <w:rPr>
          <w:rFonts w:ascii="Aptos" w:hAnsi="Aptos" w:eastAsia="Aptos" w:cs="Aptos"/>
          <w:i w:val="1"/>
          <w:iCs w:val="1"/>
          <w:noProof w:val="0"/>
          <w:sz w:val="24"/>
          <w:szCs w:val="24"/>
          <w:lang w:val="en-US"/>
        </w:rPr>
        <w:t>Decision Support Systems</w:t>
      </w:r>
      <w:r w:rsidRPr="201201AA" w:rsidR="393C72B4">
        <w:rPr>
          <w:rFonts w:ascii="Aptos" w:hAnsi="Aptos" w:eastAsia="Aptos" w:cs="Aptos"/>
          <w:noProof w:val="0"/>
          <w:sz w:val="24"/>
          <w:szCs w:val="24"/>
          <w:lang w:val="en-US"/>
        </w:rPr>
        <w:t>, 15(4), pp. 251–266.</w:t>
      </w:r>
    </w:p>
    <w:p xmlns:wp14="http://schemas.microsoft.com/office/word/2010/wordml" w:rsidP="201201AA" wp14:paraId="149FC13A" wp14:textId="356C5EAD">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Peffers, K., Tuunanen, T., Rothenberger, M. A. and Chatterjee, S. (2007) 'A design science research methodology for information systems research', </w:t>
      </w:r>
      <w:r w:rsidRPr="201201AA" w:rsidR="393C72B4">
        <w:rPr>
          <w:rFonts w:ascii="Aptos" w:hAnsi="Aptos" w:eastAsia="Aptos" w:cs="Aptos"/>
          <w:i w:val="1"/>
          <w:iCs w:val="1"/>
          <w:noProof w:val="0"/>
          <w:sz w:val="24"/>
          <w:szCs w:val="24"/>
          <w:lang w:val="en-US"/>
        </w:rPr>
        <w:t>Journal of Management Information Systems</w:t>
      </w:r>
      <w:r w:rsidRPr="201201AA" w:rsidR="393C72B4">
        <w:rPr>
          <w:rFonts w:ascii="Aptos" w:hAnsi="Aptos" w:eastAsia="Aptos" w:cs="Aptos"/>
          <w:noProof w:val="0"/>
          <w:sz w:val="24"/>
          <w:szCs w:val="24"/>
          <w:lang w:val="en-US"/>
        </w:rPr>
        <w:t>, 24(3), pp. 45–77.</w:t>
      </w:r>
    </w:p>
    <w:p xmlns:wp14="http://schemas.microsoft.com/office/word/2010/wordml" w:rsidP="201201AA" wp14:paraId="1B710D72" wp14:textId="5889C46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Vom Brocke, J., Hevner, A. R. and Maedche, A. (2020) 'Introduction to design science research', in J. Vom Brocke, A. R. Hevner and A. Maedche (eds.), </w:t>
      </w:r>
      <w:r w:rsidRPr="201201AA" w:rsidR="393C72B4">
        <w:rPr>
          <w:rFonts w:ascii="Aptos" w:hAnsi="Aptos" w:eastAsia="Aptos" w:cs="Aptos"/>
          <w:i w:val="1"/>
          <w:iCs w:val="1"/>
          <w:noProof w:val="0"/>
          <w:sz w:val="24"/>
          <w:szCs w:val="24"/>
          <w:lang w:val="en-US"/>
        </w:rPr>
        <w:t>Design science research: Cases</w:t>
      </w:r>
      <w:r w:rsidRPr="201201AA" w:rsidR="393C72B4">
        <w:rPr>
          <w:rFonts w:ascii="Aptos" w:hAnsi="Aptos" w:eastAsia="Aptos" w:cs="Aptos"/>
          <w:noProof w:val="0"/>
          <w:sz w:val="24"/>
          <w:szCs w:val="24"/>
          <w:lang w:val="en-US"/>
        </w:rPr>
        <w:t>. Springer, pp. 1–14.</w:t>
      </w:r>
    </w:p>
    <w:p xmlns:wp14="http://schemas.microsoft.com/office/word/2010/wordml" w:rsidP="201201AA" wp14:paraId="7BB8672F" wp14:textId="1D04F86B">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Wieringa, R. (2014) </w:t>
      </w:r>
      <w:r w:rsidRPr="201201AA" w:rsidR="393C72B4">
        <w:rPr>
          <w:rFonts w:ascii="Aptos" w:hAnsi="Aptos" w:eastAsia="Aptos" w:cs="Aptos"/>
          <w:i w:val="1"/>
          <w:iCs w:val="1"/>
          <w:noProof w:val="0"/>
          <w:sz w:val="24"/>
          <w:szCs w:val="24"/>
          <w:lang w:val="en-US"/>
        </w:rPr>
        <w:t>Design science methodology for information systems and software engineering</w:t>
      </w:r>
      <w:r w:rsidRPr="201201AA" w:rsidR="393C72B4">
        <w:rPr>
          <w:rFonts w:ascii="Aptos" w:hAnsi="Aptos" w:eastAsia="Aptos" w:cs="Aptos"/>
          <w:noProof w:val="0"/>
          <w:sz w:val="24"/>
          <w:szCs w:val="24"/>
          <w:lang w:val="en-US"/>
        </w:rPr>
        <w:t>. Springer.</w:t>
      </w:r>
    </w:p>
    <w:p xmlns:wp14="http://schemas.microsoft.com/office/word/2010/wordml" w:rsidP="201201AA" wp14:paraId="7F292942" wp14:textId="463BADCB">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Category A — Primary Regulatory and Official Documents</w:t>
      </w:r>
    </w:p>
    <w:p xmlns:wp14="http://schemas.microsoft.com/office/word/2010/wordml" w:rsidP="201201AA" wp14:paraId="4AB56FAD" wp14:textId="01A13341">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Central Bank of Ireland (2023) </w:t>
      </w:r>
      <w:r w:rsidRPr="201201AA" w:rsidR="393C72B4">
        <w:rPr>
          <w:rFonts w:ascii="Aptos" w:hAnsi="Aptos" w:eastAsia="Aptos" w:cs="Aptos"/>
          <w:i w:val="1"/>
          <w:iCs w:val="1"/>
          <w:noProof w:val="0"/>
          <w:sz w:val="24"/>
          <w:szCs w:val="24"/>
          <w:lang w:val="en-US"/>
        </w:rPr>
        <w:t>DORA implementation guidance for Irish financial entities</w:t>
      </w:r>
      <w:r w:rsidRPr="201201AA" w:rsidR="393C72B4">
        <w:rPr>
          <w:rFonts w:ascii="Aptos" w:hAnsi="Aptos" w:eastAsia="Aptos" w:cs="Aptos"/>
          <w:noProof w:val="0"/>
          <w:sz w:val="24"/>
          <w:szCs w:val="24"/>
          <w:lang w:val="en-US"/>
        </w:rPr>
        <w:t>. Dublin: CBI.</w:t>
      </w:r>
    </w:p>
    <w:p xmlns:wp14="http://schemas.microsoft.com/office/word/2010/wordml" w:rsidP="201201AA" wp14:paraId="605FC2B9" wp14:textId="1F78D124">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European Banking Authority (2019) </w:t>
      </w:r>
      <w:r w:rsidRPr="201201AA" w:rsidR="393C72B4">
        <w:rPr>
          <w:rFonts w:ascii="Aptos" w:hAnsi="Aptos" w:eastAsia="Aptos" w:cs="Aptos"/>
          <w:i w:val="1"/>
          <w:iCs w:val="1"/>
          <w:noProof w:val="0"/>
          <w:sz w:val="24"/>
          <w:szCs w:val="24"/>
          <w:lang w:val="en-US"/>
        </w:rPr>
        <w:t>EBA guidelines on outsourcing arrangements (EBA/GL/2019/02)</w:t>
      </w:r>
      <w:r w:rsidRPr="201201AA" w:rsidR="393C72B4">
        <w:rPr>
          <w:rFonts w:ascii="Aptos" w:hAnsi="Aptos" w:eastAsia="Aptos" w:cs="Aptos"/>
          <w:noProof w:val="0"/>
          <w:sz w:val="24"/>
          <w:szCs w:val="24"/>
          <w:lang w:val="en-US"/>
        </w:rPr>
        <w:t>. EBA.</w:t>
      </w:r>
    </w:p>
    <w:p xmlns:wp14="http://schemas.microsoft.com/office/word/2010/wordml" w:rsidP="201201AA" wp14:paraId="379F76EE" wp14:textId="3B682463">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European Commission (2022) </w:t>
      </w:r>
      <w:r w:rsidRPr="201201AA" w:rsidR="393C72B4">
        <w:rPr>
          <w:rFonts w:ascii="Aptos" w:hAnsi="Aptos" w:eastAsia="Aptos" w:cs="Aptos"/>
          <w:i w:val="1"/>
          <w:iCs w:val="1"/>
          <w:noProof w:val="0"/>
          <w:sz w:val="24"/>
          <w:szCs w:val="24"/>
          <w:lang w:val="en-US"/>
        </w:rPr>
        <w:t>Regulation (EU) 2022/2554 of the European Parliament and of the Council on digital operational resilience for the financial sector (DORA)</w:t>
      </w:r>
      <w:r w:rsidRPr="201201AA" w:rsidR="393C72B4">
        <w:rPr>
          <w:rFonts w:ascii="Aptos" w:hAnsi="Aptos" w:eastAsia="Aptos" w:cs="Aptos"/>
          <w:noProof w:val="0"/>
          <w:sz w:val="24"/>
          <w:szCs w:val="24"/>
          <w:lang w:val="en-US"/>
        </w:rPr>
        <w:t>. Official Journal of the European Union, L 333, pp. 1–79.</w:t>
      </w:r>
    </w:p>
    <w:p xmlns:wp14="http://schemas.microsoft.com/office/word/2010/wordml" w:rsidP="201201AA" wp14:paraId="099F9FB8" wp14:textId="20930867">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European Supervisory Authorities (2024) </w:t>
      </w:r>
      <w:r w:rsidRPr="201201AA" w:rsidR="393C72B4">
        <w:rPr>
          <w:rFonts w:ascii="Aptos" w:hAnsi="Aptos" w:eastAsia="Aptos" w:cs="Aptos"/>
          <w:i w:val="1"/>
          <w:iCs w:val="1"/>
          <w:noProof w:val="0"/>
          <w:sz w:val="24"/>
          <w:szCs w:val="24"/>
          <w:lang w:val="en-US"/>
        </w:rPr>
        <w:t>Dry run exercise on the Register of Information — results and findings</w:t>
      </w:r>
      <w:r w:rsidRPr="201201AA" w:rsidR="393C72B4">
        <w:rPr>
          <w:rFonts w:ascii="Aptos" w:hAnsi="Aptos" w:eastAsia="Aptos" w:cs="Aptos"/>
          <w:noProof w:val="0"/>
          <w:sz w:val="24"/>
          <w:szCs w:val="24"/>
          <w:lang w:val="en-US"/>
        </w:rPr>
        <w:t>. Joint ESA Report (ESA 2024/35).</w:t>
      </w:r>
    </w:p>
    <w:p xmlns:wp14="http://schemas.microsoft.com/office/word/2010/wordml" w:rsidP="201201AA" wp14:paraId="3CB180CB" wp14:textId="605B2BE3">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Category C — RegTech and Compliance Automation</w:t>
      </w:r>
    </w:p>
    <w:p xmlns:wp14="http://schemas.microsoft.com/office/word/2010/wordml" w:rsidP="201201AA" wp14:paraId="75D47288" wp14:textId="41A21B98">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Arner, D. W., Barberis, J. and Buckley, R. P. (2017) 'FinTech, RegTech, and the reconceptualisation of financial regulation', </w:t>
      </w:r>
      <w:r w:rsidRPr="201201AA" w:rsidR="393C72B4">
        <w:rPr>
          <w:rFonts w:ascii="Aptos" w:hAnsi="Aptos" w:eastAsia="Aptos" w:cs="Aptos"/>
          <w:i w:val="1"/>
          <w:iCs w:val="1"/>
          <w:noProof w:val="0"/>
          <w:sz w:val="24"/>
          <w:szCs w:val="24"/>
          <w:lang w:val="en-US"/>
        </w:rPr>
        <w:t>Northwestern Journal of International Law and Business</w:t>
      </w:r>
      <w:r w:rsidRPr="201201AA" w:rsidR="393C72B4">
        <w:rPr>
          <w:rFonts w:ascii="Aptos" w:hAnsi="Aptos" w:eastAsia="Aptos" w:cs="Aptos"/>
          <w:noProof w:val="0"/>
          <w:sz w:val="24"/>
          <w:szCs w:val="24"/>
          <w:lang w:val="en-US"/>
        </w:rPr>
        <w:t>, 37(3), pp. 371–413.</w:t>
      </w:r>
    </w:p>
    <w:p xmlns:wp14="http://schemas.microsoft.com/office/word/2010/wordml" w:rsidP="201201AA" wp14:paraId="704CC6F6" wp14:textId="1281229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Butler, T. and O'Brien, L. (2019) 'Understanding RegTech for digital regulatory compliance', in T. Lynn, J. G. Mooney, P. Rosati and M. Cummins (eds.), </w:t>
      </w:r>
      <w:r w:rsidRPr="201201AA" w:rsidR="393C72B4">
        <w:rPr>
          <w:rFonts w:ascii="Aptos" w:hAnsi="Aptos" w:eastAsia="Aptos" w:cs="Aptos"/>
          <w:i w:val="1"/>
          <w:iCs w:val="1"/>
          <w:noProof w:val="0"/>
          <w:sz w:val="24"/>
          <w:szCs w:val="24"/>
          <w:lang w:val="en-US"/>
        </w:rPr>
        <w:t>Disrupting finance: FinTech and strategy in the 21st century</w:t>
      </w:r>
      <w:r w:rsidRPr="201201AA" w:rsidR="393C72B4">
        <w:rPr>
          <w:rFonts w:ascii="Aptos" w:hAnsi="Aptos" w:eastAsia="Aptos" w:cs="Aptos"/>
          <w:noProof w:val="0"/>
          <w:sz w:val="24"/>
          <w:szCs w:val="24"/>
          <w:lang w:val="en-US"/>
        </w:rPr>
        <w:t>. Palgrave Macmillan, pp. 85–102.</w:t>
      </w:r>
    </w:p>
    <w:p xmlns:wp14="http://schemas.microsoft.com/office/word/2010/wordml" w:rsidP="201201AA" wp14:paraId="44A02F79" wp14:textId="5B9E9E3C">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Galati, F., Ruggieri, R. and Galati, R. (2022) 'Digital transformation of SMEs: the impact of RegTech adoption', </w:t>
      </w:r>
      <w:r w:rsidRPr="201201AA" w:rsidR="393C72B4">
        <w:rPr>
          <w:rFonts w:ascii="Aptos" w:hAnsi="Aptos" w:eastAsia="Aptos" w:cs="Aptos"/>
          <w:i w:val="1"/>
          <w:iCs w:val="1"/>
          <w:noProof w:val="0"/>
          <w:sz w:val="24"/>
          <w:szCs w:val="24"/>
          <w:lang w:val="en-US"/>
        </w:rPr>
        <w:t>Journal of Small Business Management</w:t>
      </w:r>
      <w:r w:rsidRPr="201201AA" w:rsidR="393C72B4">
        <w:rPr>
          <w:rFonts w:ascii="Aptos" w:hAnsi="Aptos" w:eastAsia="Aptos" w:cs="Aptos"/>
          <w:noProof w:val="0"/>
          <w:sz w:val="24"/>
          <w:szCs w:val="24"/>
          <w:lang w:val="en-US"/>
        </w:rPr>
        <w:t>, 60(4), pp. 990–1012.</w:t>
      </w:r>
    </w:p>
    <w:p xmlns:wp14="http://schemas.microsoft.com/office/word/2010/wordml" w:rsidP="201201AA" wp14:paraId="5484CD8E" wp14:textId="68A2BAC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Governatori, G., Hoffmann, J., Sadiq, S. and Weber, I. (2016) 'Detecting regulatory compliance for business process models through semantic annotations', in F. Daniel and F. M. Facchini (eds.), </w:t>
      </w:r>
      <w:r w:rsidRPr="201201AA" w:rsidR="393C72B4">
        <w:rPr>
          <w:rFonts w:ascii="Aptos" w:hAnsi="Aptos" w:eastAsia="Aptos" w:cs="Aptos"/>
          <w:i w:val="1"/>
          <w:iCs w:val="1"/>
          <w:noProof w:val="0"/>
          <w:sz w:val="24"/>
          <w:szCs w:val="24"/>
          <w:lang w:val="en-US"/>
        </w:rPr>
        <w:t>Business process management workshops</w:t>
      </w:r>
      <w:r w:rsidRPr="201201AA" w:rsidR="393C72B4">
        <w:rPr>
          <w:rFonts w:ascii="Aptos" w:hAnsi="Aptos" w:eastAsia="Aptos" w:cs="Aptos"/>
          <w:noProof w:val="0"/>
          <w:sz w:val="24"/>
          <w:szCs w:val="24"/>
          <w:lang w:val="en-US"/>
        </w:rPr>
        <w:t>. Springer, pp. 5–17.</w:t>
      </w:r>
    </w:p>
    <w:p xmlns:wp14="http://schemas.microsoft.com/office/word/2010/wordml" w:rsidP="201201AA" wp14:paraId="6E28DD89" wp14:textId="551AC5D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Mucha, H., Laumer, S. and Maier, C. (2022) 'RegTech as a response to regulatory uncertainty in the financial sector', </w:t>
      </w:r>
      <w:r w:rsidRPr="201201AA" w:rsidR="393C72B4">
        <w:rPr>
          <w:rFonts w:ascii="Aptos" w:hAnsi="Aptos" w:eastAsia="Aptos" w:cs="Aptos"/>
          <w:i w:val="1"/>
          <w:iCs w:val="1"/>
          <w:noProof w:val="0"/>
          <w:sz w:val="24"/>
          <w:szCs w:val="24"/>
          <w:lang w:val="en-US"/>
        </w:rPr>
        <w:t>Journal of Financial Regulation</w:t>
      </w:r>
      <w:r w:rsidRPr="201201AA" w:rsidR="393C72B4">
        <w:rPr>
          <w:rFonts w:ascii="Aptos" w:hAnsi="Aptos" w:eastAsia="Aptos" w:cs="Aptos"/>
          <w:noProof w:val="0"/>
          <w:sz w:val="24"/>
          <w:szCs w:val="24"/>
          <w:lang w:val="en-US"/>
        </w:rPr>
        <w:t>, 8(2), pp. 151–185.</w:t>
      </w:r>
    </w:p>
    <w:p xmlns:wp14="http://schemas.microsoft.com/office/word/2010/wordml" w:rsidP="201201AA" wp14:paraId="262732E0" wp14:textId="61AF6E06">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Palmirani, M., Governatori, G., Rotolo, A., Tabet, S., Boley, H. and Paschke, A. (2018) 'LegalRuleML: XML-based logic formalism for legal rules', in T. Sack and M. Sack (eds.), </w:t>
      </w:r>
      <w:r w:rsidRPr="201201AA" w:rsidR="393C72B4">
        <w:rPr>
          <w:rFonts w:ascii="Aptos" w:hAnsi="Aptos" w:eastAsia="Aptos" w:cs="Aptos"/>
          <w:i w:val="1"/>
          <w:iCs w:val="1"/>
          <w:noProof w:val="0"/>
          <w:sz w:val="24"/>
          <w:szCs w:val="24"/>
          <w:lang w:val="en-US"/>
        </w:rPr>
        <w:t>Legal knowledge and information systems</w:t>
      </w:r>
      <w:r w:rsidRPr="201201AA" w:rsidR="393C72B4">
        <w:rPr>
          <w:rFonts w:ascii="Aptos" w:hAnsi="Aptos" w:eastAsia="Aptos" w:cs="Aptos"/>
          <w:noProof w:val="0"/>
          <w:sz w:val="24"/>
          <w:szCs w:val="24"/>
          <w:lang w:val="en-US"/>
        </w:rPr>
        <w:t>. IOS Press, pp. 110–120.</w:t>
      </w:r>
    </w:p>
    <w:p xmlns:wp14="http://schemas.microsoft.com/office/word/2010/wordml" w:rsidP="201201AA" wp14:paraId="3E5FC4B4" wp14:textId="3ED4922E">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Sadiq, S., Governatori, G. and Naimiri, K. (2007) 'Modelling control objectives for business process compliance', in G. Alonso, P. Dadam and M. Rosemann (eds.), </w:t>
      </w:r>
      <w:r w:rsidRPr="201201AA" w:rsidR="393C72B4">
        <w:rPr>
          <w:rFonts w:ascii="Aptos" w:hAnsi="Aptos" w:eastAsia="Aptos" w:cs="Aptos"/>
          <w:i w:val="1"/>
          <w:iCs w:val="1"/>
          <w:noProof w:val="0"/>
          <w:sz w:val="24"/>
          <w:szCs w:val="24"/>
          <w:lang w:val="en-US"/>
        </w:rPr>
        <w:t>Business process management</w:t>
      </w:r>
      <w:r w:rsidRPr="201201AA" w:rsidR="393C72B4">
        <w:rPr>
          <w:rFonts w:ascii="Aptos" w:hAnsi="Aptos" w:eastAsia="Aptos" w:cs="Aptos"/>
          <w:noProof w:val="0"/>
          <w:sz w:val="24"/>
          <w:szCs w:val="24"/>
          <w:lang w:val="en-US"/>
        </w:rPr>
        <w:t>. Springer, pp. 149–164.</w:t>
      </w:r>
    </w:p>
    <w:p xmlns:wp14="http://schemas.microsoft.com/office/word/2010/wordml" w:rsidP="201201AA" wp14:paraId="7806512D" wp14:textId="17755776">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Category E — Multi-Tenant SaaS Architecture</w:t>
      </w:r>
    </w:p>
    <w:p xmlns:wp14="http://schemas.microsoft.com/office/word/2010/wordml" w:rsidP="201201AA" wp14:paraId="55819627" wp14:textId="63B373C5">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Bezemer, C. P., Zaidman, A., Platzbeecker, B., Hurkmans, T. and Hart, A. (2010) 'Enabling multi-tenancy: an industrial experience report', </w:t>
      </w:r>
      <w:r w:rsidRPr="201201AA" w:rsidR="393C72B4">
        <w:rPr>
          <w:rFonts w:ascii="Aptos" w:hAnsi="Aptos" w:eastAsia="Aptos" w:cs="Aptos"/>
          <w:i w:val="1"/>
          <w:iCs w:val="1"/>
          <w:noProof w:val="0"/>
          <w:sz w:val="24"/>
          <w:szCs w:val="24"/>
          <w:lang w:val="en-US"/>
        </w:rPr>
        <w:t>Proceedings of the 2010 IEEE International Conference on Software Maintenance</w:t>
      </w:r>
      <w:r w:rsidRPr="201201AA" w:rsidR="393C72B4">
        <w:rPr>
          <w:rFonts w:ascii="Aptos" w:hAnsi="Aptos" w:eastAsia="Aptos" w:cs="Aptos"/>
          <w:noProof w:val="0"/>
          <w:sz w:val="24"/>
          <w:szCs w:val="24"/>
          <w:lang w:val="en-US"/>
        </w:rPr>
        <w:t>, pp. 1–8.</w:t>
      </w:r>
    </w:p>
    <w:p xmlns:wp14="http://schemas.microsoft.com/office/word/2010/wordml" w:rsidP="201201AA" wp14:paraId="08C392FF" wp14:textId="67047C1D">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Walraven, S., Truyen, E. and Joosen, W. (2014) 'Comparing PaaS offerings in light of SaaS development', </w:t>
      </w:r>
      <w:r w:rsidRPr="201201AA" w:rsidR="393C72B4">
        <w:rPr>
          <w:rFonts w:ascii="Aptos" w:hAnsi="Aptos" w:eastAsia="Aptos" w:cs="Aptos"/>
          <w:i w:val="1"/>
          <w:iCs w:val="1"/>
          <w:noProof w:val="0"/>
          <w:sz w:val="24"/>
          <w:szCs w:val="24"/>
          <w:lang w:val="en-US"/>
        </w:rPr>
        <w:t>Computing</w:t>
      </w:r>
      <w:r w:rsidRPr="201201AA" w:rsidR="393C72B4">
        <w:rPr>
          <w:rFonts w:ascii="Aptos" w:hAnsi="Aptos" w:eastAsia="Aptos" w:cs="Aptos"/>
          <w:noProof w:val="0"/>
          <w:sz w:val="24"/>
          <w:szCs w:val="24"/>
          <w:lang w:val="en-US"/>
        </w:rPr>
        <w:t>, 96(8), pp. 669–724.</w:t>
      </w:r>
    </w:p>
    <w:p xmlns:wp14="http://schemas.microsoft.com/office/word/2010/wordml" w:rsidP="201201AA" wp14:paraId="6D132562" wp14:textId="2D9B2199">
      <w:pPr>
        <w:spacing w:before="240" w:beforeAutospacing="off" w:after="240" w:afterAutospacing="off" w:line="360" w:lineRule="auto"/>
      </w:pPr>
      <w:r w:rsidRPr="201201AA" w:rsidR="393C72B4">
        <w:rPr>
          <w:rFonts w:ascii="Aptos" w:hAnsi="Aptos" w:eastAsia="Aptos" w:cs="Aptos"/>
          <w:b w:val="1"/>
          <w:bCs w:val="1"/>
          <w:noProof w:val="0"/>
          <w:sz w:val="24"/>
          <w:szCs w:val="24"/>
          <w:lang w:val="en-US"/>
        </w:rPr>
        <w:t>Category F — Information Security and Authentication</w:t>
      </w:r>
    </w:p>
    <w:p xmlns:wp14="http://schemas.microsoft.com/office/word/2010/wordml" w:rsidP="201201AA" wp14:paraId="6F2E414F" wp14:textId="1409D342">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ENISA (2021) </w:t>
      </w:r>
      <w:r w:rsidRPr="201201AA" w:rsidR="393C72B4">
        <w:rPr>
          <w:rFonts w:ascii="Aptos" w:hAnsi="Aptos" w:eastAsia="Aptos" w:cs="Aptos"/>
          <w:i w:val="1"/>
          <w:iCs w:val="1"/>
          <w:noProof w:val="0"/>
          <w:sz w:val="24"/>
          <w:szCs w:val="24"/>
          <w:lang w:val="en-US"/>
        </w:rPr>
        <w:t>Cloud security for the financial sector</w:t>
      </w:r>
      <w:r w:rsidRPr="201201AA" w:rsidR="393C72B4">
        <w:rPr>
          <w:rFonts w:ascii="Aptos" w:hAnsi="Aptos" w:eastAsia="Aptos" w:cs="Aptos"/>
          <w:noProof w:val="0"/>
          <w:sz w:val="24"/>
          <w:szCs w:val="24"/>
          <w:lang w:val="en-US"/>
        </w:rPr>
        <w:t>. European Union Agency for Cybersecurity.</w:t>
      </w:r>
    </w:p>
    <w:p xmlns:wp14="http://schemas.microsoft.com/office/word/2010/wordml" w:rsidP="201201AA" wp14:paraId="0B28C89E" wp14:textId="3475F984">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Hoofnagle, C. J., van der Sloot, B. and Borgesius, F. Z. (2019) 'The European Union General Data Protection Regulation: what it is and what it means', </w:t>
      </w:r>
      <w:r w:rsidRPr="201201AA" w:rsidR="393C72B4">
        <w:rPr>
          <w:rFonts w:ascii="Aptos" w:hAnsi="Aptos" w:eastAsia="Aptos" w:cs="Aptos"/>
          <w:i w:val="1"/>
          <w:iCs w:val="1"/>
          <w:noProof w:val="0"/>
          <w:sz w:val="24"/>
          <w:szCs w:val="24"/>
          <w:lang w:val="en-US"/>
        </w:rPr>
        <w:t>Information and Communications Technology Law</w:t>
      </w:r>
      <w:r w:rsidRPr="201201AA" w:rsidR="393C72B4">
        <w:rPr>
          <w:rFonts w:ascii="Aptos" w:hAnsi="Aptos" w:eastAsia="Aptos" w:cs="Aptos"/>
          <w:noProof w:val="0"/>
          <w:sz w:val="24"/>
          <w:szCs w:val="24"/>
          <w:lang w:val="en-US"/>
        </w:rPr>
        <w:t>, 28(1), pp. 65–98.</w:t>
      </w:r>
    </w:p>
    <w:p xmlns:wp14="http://schemas.microsoft.com/office/word/2010/wordml" w:rsidP="201201AA" wp14:paraId="551F9236" wp14:textId="0F26990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ISO (2022) </w:t>
      </w:r>
      <w:r w:rsidRPr="201201AA" w:rsidR="393C72B4">
        <w:rPr>
          <w:rFonts w:ascii="Aptos" w:hAnsi="Aptos" w:eastAsia="Aptos" w:cs="Aptos"/>
          <w:i w:val="1"/>
          <w:iCs w:val="1"/>
          <w:noProof w:val="0"/>
          <w:sz w:val="24"/>
          <w:szCs w:val="24"/>
          <w:lang w:val="en-US"/>
        </w:rPr>
        <w:t>ISO/IEC 27001:2022 — Information security, cybersecurity and privacy protection: information security management systems — requirements</w:t>
      </w:r>
      <w:r w:rsidRPr="201201AA" w:rsidR="393C72B4">
        <w:rPr>
          <w:rFonts w:ascii="Aptos" w:hAnsi="Aptos" w:eastAsia="Aptos" w:cs="Aptos"/>
          <w:noProof w:val="0"/>
          <w:sz w:val="24"/>
          <w:szCs w:val="24"/>
          <w:lang w:val="en-US"/>
        </w:rPr>
        <w:t>. International Organization for Standardization.</w:t>
      </w:r>
    </w:p>
    <w:p xmlns:wp14="http://schemas.microsoft.com/office/word/2010/wordml" w:rsidP="201201AA" wp14:paraId="05C8E83D" wp14:textId="0954983D">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NIST (2018) </w:t>
      </w:r>
      <w:r w:rsidRPr="201201AA" w:rsidR="393C72B4">
        <w:rPr>
          <w:rFonts w:ascii="Aptos" w:hAnsi="Aptos" w:eastAsia="Aptos" w:cs="Aptos"/>
          <w:i w:val="1"/>
          <w:iCs w:val="1"/>
          <w:noProof w:val="0"/>
          <w:sz w:val="24"/>
          <w:szCs w:val="24"/>
          <w:lang w:val="en-US"/>
        </w:rPr>
        <w:t>Framework for improving critical infrastructure cybersecurity (CSF) v1.1</w:t>
      </w:r>
      <w:r w:rsidRPr="201201AA" w:rsidR="393C72B4">
        <w:rPr>
          <w:rFonts w:ascii="Aptos" w:hAnsi="Aptos" w:eastAsia="Aptos" w:cs="Aptos"/>
          <w:noProof w:val="0"/>
          <w:sz w:val="24"/>
          <w:szCs w:val="24"/>
          <w:lang w:val="en-US"/>
        </w:rPr>
        <w:t>. National Institute of Standards and Technology.</w:t>
      </w:r>
    </w:p>
    <w:p xmlns:wp14="http://schemas.microsoft.com/office/word/2010/wordml" w:rsidP="201201AA" wp14:paraId="1C69D448" wp14:textId="78D6772A">
      <w:pPr>
        <w:spacing w:before="240" w:beforeAutospacing="off" w:after="240" w:afterAutospacing="off" w:line="360" w:lineRule="auto"/>
      </w:pPr>
      <w:r w:rsidRPr="201201AA" w:rsidR="393C72B4">
        <w:rPr>
          <w:rFonts w:ascii="Aptos" w:hAnsi="Aptos" w:eastAsia="Aptos" w:cs="Aptos"/>
          <w:noProof w:val="0"/>
          <w:sz w:val="24"/>
          <w:szCs w:val="24"/>
          <w:lang w:val="en-US"/>
        </w:rPr>
        <w:t xml:space="preserve">OWASP (2021) </w:t>
      </w:r>
      <w:r w:rsidRPr="201201AA" w:rsidR="393C72B4">
        <w:rPr>
          <w:rFonts w:ascii="Aptos" w:hAnsi="Aptos" w:eastAsia="Aptos" w:cs="Aptos"/>
          <w:i w:val="1"/>
          <w:iCs w:val="1"/>
          <w:noProof w:val="0"/>
          <w:sz w:val="24"/>
          <w:szCs w:val="24"/>
          <w:lang w:val="en-US"/>
        </w:rPr>
        <w:t>OWASP application security verification standard (ASVS) v4.0.3</w:t>
      </w:r>
      <w:r w:rsidRPr="201201AA" w:rsidR="393C72B4">
        <w:rPr>
          <w:rFonts w:ascii="Aptos" w:hAnsi="Aptos" w:eastAsia="Aptos" w:cs="Aptos"/>
          <w:noProof w:val="0"/>
          <w:sz w:val="24"/>
          <w:szCs w:val="24"/>
          <w:lang w:val="en-US"/>
        </w:rPr>
        <w:t xml:space="preserve">. OWASP Foundation. Available at: </w:t>
      </w:r>
      <w:hyperlink r:id="R0ba21cbf05d34146">
        <w:r w:rsidRPr="201201AA" w:rsidR="393C72B4">
          <w:rPr>
            <w:rStyle w:val="Hyperlink"/>
            <w:rFonts w:ascii="Aptos" w:hAnsi="Aptos" w:eastAsia="Aptos" w:cs="Aptos"/>
            <w:noProof w:val="0"/>
            <w:sz w:val="24"/>
            <w:szCs w:val="24"/>
            <w:lang w:val="en-US"/>
          </w:rPr>
          <w:t>https://owasp.org/www-project-application-security-verification-standard/</w:t>
        </w:r>
      </w:hyperlink>
      <w:r w:rsidRPr="201201AA" w:rsidR="393C72B4">
        <w:rPr>
          <w:rFonts w:ascii="Aptos" w:hAnsi="Aptos" w:eastAsia="Aptos" w:cs="Aptos"/>
          <w:noProof w:val="0"/>
          <w:sz w:val="24"/>
          <w:szCs w:val="24"/>
          <w:lang w:val="en-US"/>
        </w:rPr>
        <w:t xml:space="preserve"> (Accessed: April 2026).</w:t>
      </w:r>
    </w:p>
    <w:p xmlns:wp14="http://schemas.microsoft.com/office/word/2010/wordml" w:rsidP="201201AA" wp14:paraId="4C458626" wp14:textId="4BE6BCF1">
      <w:pPr>
        <w:spacing w:before="0" w:beforeAutospacing="off" w:after="0" w:afterAutospacing="off" w:line="360" w:lineRule="auto"/>
      </w:pPr>
    </w:p>
    <w:p xmlns:wp14="http://schemas.microsoft.com/office/word/2010/wordml" w:rsidP="201201AA" wp14:paraId="5C223DD5" wp14:textId="26140655">
      <w:pPr>
        <w:spacing w:before="0" w:beforeAutospacing="off" w:after="0" w:afterAutospacing="off" w:line="360" w:lineRule="auto"/>
      </w:pPr>
    </w:p>
    <w:p xmlns:wp14="http://schemas.microsoft.com/office/word/2010/wordml" w:rsidP="67D4F751" wp14:paraId="2C078E63" wp14:textId="156FF622">
      <w:pPr>
        <w:spacing w:line="36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2d3e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9f0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61b2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300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d2ff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f12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c4b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83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494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d14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fc0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d86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3e6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ca0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BEFDC6"/>
    <w:rsid w:val="00CFF817"/>
    <w:rsid w:val="02631362"/>
    <w:rsid w:val="0D63FBEA"/>
    <w:rsid w:val="138918C3"/>
    <w:rsid w:val="19AA2B1C"/>
    <w:rsid w:val="1D243A88"/>
    <w:rsid w:val="1FBEFDC6"/>
    <w:rsid w:val="201201AA"/>
    <w:rsid w:val="25FA2D90"/>
    <w:rsid w:val="31A8E0C0"/>
    <w:rsid w:val="368DB49A"/>
    <w:rsid w:val="38FEF375"/>
    <w:rsid w:val="393C72B4"/>
    <w:rsid w:val="3B42076D"/>
    <w:rsid w:val="573DBD03"/>
    <w:rsid w:val="5937DC9E"/>
    <w:rsid w:val="5A3B50E5"/>
    <w:rsid w:val="661959A1"/>
    <w:rsid w:val="67D4F751"/>
    <w:rsid w:val="72D8E267"/>
    <w:rsid w:val="7A0DE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7B53"/>
  <w15:chartTrackingRefBased/>
  <w15:docId w15:val="{18EEB5FF-2037-415D-A1CB-EF22407B18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D4F7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D4F7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7D4F751"/>
    <w:rPr>
      <w:color w:val="467886"/>
      <w:u w:val="single"/>
    </w:rPr>
  </w:style>
  <w:style w:type="paragraph" w:styleId="ListParagraph">
    <w:uiPriority w:val="34"/>
    <w:name w:val="List Paragraph"/>
    <w:basedOn w:val="Normal"/>
    <w:qFormat/>
    <w:rsid w:val="67D4F7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5e3c70d946449d1" /><Relationship Type="http://schemas.openxmlformats.org/officeDocument/2006/relationships/hyperlink" Target="https://owasp.org/www-project-application-security-verification-standard/" TargetMode="External" Id="R0ba21cbf05d341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2026-04-20T16:33:10.4949086Z</dcterms:created>
  <dcterms:modified xsi:type="dcterms:W3CDTF">2026-04-21T12:34:34.7825289Z</dcterms:modified>
  <dc:creator>Raouf Amir Boussouf</dc:creator>
  <lastModifiedBy>Raouf Amir Boussouf</lastModifiedBy>
</coreProperties>
</file>