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2851" w:rsidP="3516E18C" w:rsidRDefault="00BD2851" w14:paraId="36B98A34" w14:textId="2225B19B">
      <w:pPr>
        <w:pStyle w:val="Normal"/>
        <w:jc w:val="center"/>
        <w:rPr>
          <w:rFonts w:ascii="Calibri" w:hAnsi="Calibri" w:eastAsia="Calibri"/>
          <w:b w:val="1"/>
          <w:bCs w:val="1"/>
          <w:noProof w:val="0"/>
          <w:sz w:val="32"/>
          <w:szCs w:val="32"/>
          <w:lang w:val="en-IE"/>
        </w:rPr>
      </w:pPr>
      <w:r w:rsidRPr="3516E18C" w:rsidR="7FCCF12C">
        <w:rPr>
          <w:rFonts w:ascii="Calibri" w:hAnsi="Calibri" w:eastAsia="Calibri"/>
          <w:b w:val="1"/>
          <w:bCs w:val="1"/>
          <w:noProof w:val="0"/>
          <w:sz w:val="32"/>
          <w:szCs w:val="32"/>
          <w:lang w:val="en-IE"/>
        </w:rPr>
        <w:t>TECHNICAL GLOSSARY</w:t>
      </w:r>
    </w:p>
    <w:p w:rsidR="00BD2851" w:rsidP="3516E18C" w:rsidRDefault="00BD2851" w14:paraId="29AAC86E" w14:textId="75AB429C">
      <w:pPr>
        <w:rPr>
          <w:rFonts w:ascii="Calibri" w:hAnsi="Calibri" w:eastAsia="Calibri"/>
          <w:sz w:val="22"/>
          <w:szCs w:val="22"/>
        </w:rPr>
      </w:pPr>
    </w:p>
    <w:p w:rsidR="00BD2851" w:rsidP="3516E18C" w:rsidRDefault="00BD2851" w14:paraId="44D1A25F" w14:textId="0FC38605">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Part 1: Acronyms &amp; Abbreviations</w:t>
      </w:r>
    </w:p>
    <w:p w:rsidR="00BD2851" w:rsidP="3516E18C" w:rsidRDefault="00BD2851" w14:paraId="79A2152E" w14:textId="14F13F0B">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Section A — Regulatory &amp; Governance</w:t>
      </w:r>
    </w:p>
    <w:tbl>
      <w:tblPr>
        <w:tblStyle w:val="TableGrid"/>
        <w:bidiVisual w:val="0"/>
        <w:tblW w:w="0" w:type="auto"/>
        <w:tblLook w:val="06A0" w:firstRow="1" w:lastRow="0" w:firstColumn="1" w:lastColumn="0" w:noHBand="1" w:noVBand="1"/>
      </w:tblPr>
      <w:tblGrid>
        <w:gridCol w:w="1095"/>
        <w:gridCol w:w="2205"/>
        <w:gridCol w:w="5829"/>
      </w:tblGrid>
      <w:tr w:rsidR="3516E18C" w:rsidTr="3516E18C" w14:paraId="3BF731E4">
        <w:trPr>
          <w:trHeight w:val="300"/>
        </w:trPr>
        <w:tc>
          <w:tcPr>
            <w:tcW w:w="1095" w:type="dxa"/>
            <w:tcMar/>
          </w:tcPr>
          <w:p w:rsidR="3516E18C" w:rsidP="3516E18C" w:rsidRDefault="3516E18C" w14:paraId="2EE2C839" w14:textId="7510471A">
            <w:pPr>
              <w:rPr>
                <w:rFonts w:ascii="Calibri" w:hAnsi="Calibri" w:eastAsia="Calibri"/>
                <w:b w:val="1"/>
                <w:bCs w:val="1"/>
                <w:sz w:val="22"/>
                <w:szCs w:val="22"/>
              </w:rPr>
            </w:pPr>
            <w:r w:rsidRPr="3516E18C" w:rsidR="3516E18C">
              <w:rPr>
                <w:rFonts w:ascii="Calibri" w:hAnsi="Calibri" w:eastAsia="Calibri"/>
                <w:b w:val="1"/>
                <w:bCs w:val="1"/>
                <w:sz w:val="22"/>
                <w:szCs w:val="22"/>
              </w:rPr>
              <w:t>Acronym</w:t>
            </w:r>
          </w:p>
        </w:tc>
        <w:tc>
          <w:tcPr>
            <w:tcW w:w="2205" w:type="dxa"/>
            <w:tcMar/>
          </w:tcPr>
          <w:p w:rsidR="3516E18C" w:rsidP="3516E18C" w:rsidRDefault="3516E18C" w14:paraId="39E8D6B8" w14:textId="682F0BBF">
            <w:pPr>
              <w:rPr>
                <w:rFonts w:ascii="Calibri" w:hAnsi="Calibri" w:eastAsia="Calibri"/>
                <w:b w:val="1"/>
                <w:bCs w:val="1"/>
                <w:sz w:val="22"/>
                <w:szCs w:val="22"/>
              </w:rPr>
            </w:pPr>
            <w:r w:rsidRPr="3516E18C" w:rsidR="3516E18C">
              <w:rPr>
                <w:rFonts w:ascii="Calibri" w:hAnsi="Calibri" w:eastAsia="Calibri"/>
                <w:b w:val="1"/>
                <w:bCs w:val="1"/>
                <w:sz w:val="22"/>
                <w:szCs w:val="22"/>
              </w:rPr>
              <w:t>Full Term</w:t>
            </w:r>
          </w:p>
        </w:tc>
        <w:tc>
          <w:tcPr>
            <w:tcW w:w="5829" w:type="dxa"/>
            <w:tcMar/>
          </w:tcPr>
          <w:p w:rsidR="3516E18C" w:rsidP="3516E18C" w:rsidRDefault="3516E18C" w14:paraId="284854B8" w14:textId="77FE2660">
            <w:pPr>
              <w:rPr>
                <w:rFonts w:ascii="Calibri" w:hAnsi="Calibri" w:eastAsia="Calibri"/>
                <w:b w:val="1"/>
                <w:bCs w:val="1"/>
                <w:sz w:val="22"/>
                <w:szCs w:val="22"/>
              </w:rPr>
            </w:pPr>
            <w:r w:rsidRPr="3516E18C" w:rsidR="3516E18C">
              <w:rPr>
                <w:rFonts w:ascii="Calibri" w:hAnsi="Calibri" w:eastAsia="Calibri"/>
                <w:b w:val="1"/>
                <w:bCs w:val="1"/>
                <w:sz w:val="22"/>
                <w:szCs w:val="22"/>
              </w:rPr>
              <w:t>Definition</w:t>
            </w:r>
          </w:p>
        </w:tc>
      </w:tr>
      <w:tr w:rsidR="3516E18C" w:rsidTr="3516E18C" w14:paraId="79A8FA1A">
        <w:trPr>
          <w:trHeight w:val="300"/>
        </w:trPr>
        <w:tc>
          <w:tcPr>
            <w:tcW w:w="1095" w:type="dxa"/>
            <w:tcMar/>
          </w:tcPr>
          <w:p w:rsidR="3516E18C" w:rsidP="3516E18C" w:rsidRDefault="3516E18C" w14:paraId="670C08AB" w14:textId="444984E1">
            <w:pPr>
              <w:rPr>
                <w:rFonts w:ascii="Calibri" w:hAnsi="Calibri" w:eastAsia="Calibri"/>
                <w:b w:val="1"/>
                <w:bCs w:val="1"/>
                <w:sz w:val="22"/>
                <w:szCs w:val="22"/>
              </w:rPr>
            </w:pPr>
            <w:r w:rsidRPr="3516E18C" w:rsidR="3516E18C">
              <w:rPr>
                <w:rFonts w:ascii="Calibri" w:hAnsi="Calibri" w:eastAsia="Calibri"/>
                <w:b w:val="1"/>
                <w:bCs w:val="1"/>
                <w:sz w:val="22"/>
                <w:szCs w:val="22"/>
              </w:rPr>
              <w:t>DORA</w:t>
            </w:r>
          </w:p>
        </w:tc>
        <w:tc>
          <w:tcPr>
            <w:tcW w:w="2205" w:type="dxa"/>
            <w:tcMar/>
          </w:tcPr>
          <w:p w:rsidR="3516E18C" w:rsidP="3516E18C" w:rsidRDefault="3516E18C" w14:paraId="7AFAF6D4" w14:textId="43979711">
            <w:pPr>
              <w:rPr>
                <w:rFonts w:ascii="Calibri" w:hAnsi="Calibri" w:eastAsia="Calibri"/>
                <w:sz w:val="22"/>
                <w:szCs w:val="22"/>
              </w:rPr>
            </w:pPr>
            <w:r w:rsidRPr="3516E18C" w:rsidR="3516E18C">
              <w:rPr>
                <w:rFonts w:ascii="Calibri" w:hAnsi="Calibri" w:eastAsia="Calibri"/>
                <w:sz w:val="22"/>
                <w:szCs w:val="22"/>
              </w:rPr>
              <w:t>Digital Operational Resilience Act</w:t>
            </w:r>
          </w:p>
        </w:tc>
        <w:tc>
          <w:tcPr>
            <w:tcW w:w="5829" w:type="dxa"/>
            <w:tcMar/>
          </w:tcPr>
          <w:p w:rsidR="3516E18C" w:rsidP="3516E18C" w:rsidRDefault="3516E18C" w14:paraId="696B2C97" w14:textId="73C5B5CF">
            <w:pPr>
              <w:rPr>
                <w:rFonts w:ascii="Calibri" w:hAnsi="Calibri" w:eastAsia="Calibri"/>
                <w:sz w:val="22"/>
                <w:szCs w:val="22"/>
              </w:rPr>
            </w:pPr>
            <w:r w:rsidRPr="3516E18C" w:rsidR="3516E18C">
              <w:rPr>
                <w:rFonts w:ascii="Calibri" w:hAnsi="Calibri" w:eastAsia="Calibri"/>
                <w:sz w:val="22"/>
                <w:szCs w:val="22"/>
              </w:rPr>
              <w:t>Regulation (EU) 2022/2554, effective 17 January 2025. The primary regulatory driver of this dissertation. Mandates all in-scope EU financial entities to maintain and submit a Register of Information covering ICT third-party dependencies.</w:t>
            </w:r>
          </w:p>
        </w:tc>
      </w:tr>
      <w:tr w:rsidR="3516E18C" w:rsidTr="3516E18C" w14:paraId="665702CA">
        <w:trPr>
          <w:trHeight w:val="300"/>
        </w:trPr>
        <w:tc>
          <w:tcPr>
            <w:tcW w:w="1095" w:type="dxa"/>
            <w:tcMar/>
          </w:tcPr>
          <w:p w:rsidR="3516E18C" w:rsidP="3516E18C" w:rsidRDefault="3516E18C" w14:paraId="121AA07D" w14:textId="20EFECEF">
            <w:pPr>
              <w:rPr>
                <w:rFonts w:ascii="Calibri" w:hAnsi="Calibri" w:eastAsia="Calibri"/>
                <w:b w:val="1"/>
                <w:bCs w:val="1"/>
                <w:sz w:val="22"/>
                <w:szCs w:val="22"/>
              </w:rPr>
            </w:pPr>
            <w:r w:rsidRPr="3516E18C" w:rsidR="3516E18C">
              <w:rPr>
                <w:rFonts w:ascii="Calibri" w:hAnsi="Calibri" w:eastAsia="Calibri"/>
                <w:b w:val="1"/>
                <w:bCs w:val="1"/>
                <w:sz w:val="22"/>
                <w:szCs w:val="22"/>
              </w:rPr>
              <w:t>RTS</w:t>
            </w:r>
          </w:p>
        </w:tc>
        <w:tc>
          <w:tcPr>
            <w:tcW w:w="2205" w:type="dxa"/>
            <w:tcMar/>
          </w:tcPr>
          <w:p w:rsidR="3516E18C" w:rsidP="3516E18C" w:rsidRDefault="3516E18C" w14:paraId="1E4C3ABF" w14:textId="3F91D88F">
            <w:pPr>
              <w:rPr>
                <w:rFonts w:ascii="Calibri" w:hAnsi="Calibri" w:eastAsia="Calibri"/>
                <w:sz w:val="22"/>
                <w:szCs w:val="22"/>
              </w:rPr>
            </w:pPr>
            <w:r w:rsidRPr="3516E18C" w:rsidR="3516E18C">
              <w:rPr>
                <w:rFonts w:ascii="Calibri" w:hAnsi="Calibri" w:eastAsia="Calibri"/>
                <w:sz w:val="22"/>
                <w:szCs w:val="22"/>
              </w:rPr>
              <w:t>Regulatory Technical Standards</w:t>
            </w:r>
          </w:p>
        </w:tc>
        <w:tc>
          <w:tcPr>
            <w:tcW w:w="5829" w:type="dxa"/>
            <w:tcMar/>
          </w:tcPr>
          <w:p w:rsidR="3516E18C" w:rsidP="3516E18C" w:rsidRDefault="3516E18C" w14:paraId="6705672F" w14:textId="305C218C">
            <w:pPr>
              <w:rPr>
                <w:rFonts w:ascii="Calibri" w:hAnsi="Calibri" w:eastAsia="Calibri"/>
                <w:sz w:val="22"/>
                <w:szCs w:val="22"/>
              </w:rPr>
            </w:pPr>
            <w:r w:rsidRPr="3516E18C" w:rsidR="3516E18C">
              <w:rPr>
                <w:rFonts w:ascii="Calibri" w:hAnsi="Calibri" w:eastAsia="Calibri"/>
                <w:sz w:val="22"/>
                <w:szCs w:val="22"/>
              </w:rPr>
              <w:t>Binding "how-to" standards issued by the ESAs under DORA, specifying the technical details of ICT risk management, incident classification, and resilience testing obligations. Distinguished from ITS in Chapter 2.</w:t>
            </w:r>
          </w:p>
        </w:tc>
      </w:tr>
      <w:tr w:rsidR="3516E18C" w:rsidTr="3516E18C" w14:paraId="58F601D8">
        <w:trPr>
          <w:trHeight w:val="300"/>
        </w:trPr>
        <w:tc>
          <w:tcPr>
            <w:tcW w:w="1095" w:type="dxa"/>
            <w:tcMar/>
          </w:tcPr>
          <w:p w:rsidR="3516E18C" w:rsidP="3516E18C" w:rsidRDefault="3516E18C" w14:paraId="40577284" w14:textId="324F66E1">
            <w:pPr>
              <w:rPr>
                <w:rFonts w:ascii="Calibri" w:hAnsi="Calibri" w:eastAsia="Calibri"/>
                <w:b w:val="1"/>
                <w:bCs w:val="1"/>
                <w:sz w:val="22"/>
                <w:szCs w:val="22"/>
              </w:rPr>
            </w:pPr>
            <w:r w:rsidRPr="3516E18C" w:rsidR="3516E18C">
              <w:rPr>
                <w:rFonts w:ascii="Calibri" w:hAnsi="Calibri" w:eastAsia="Calibri"/>
                <w:b w:val="1"/>
                <w:bCs w:val="1"/>
                <w:sz w:val="22"/>
                <w:szCs w:val="22"/>
              </w:rPr>
              <w:t>ITS</w:t>
            </w:r>
          </w:p>
        </w:tc>
        <w:tc>
          <w:tcPr>
            <w:tcW w:w="2205" w:type="dxa"/>
            <w:tcMar/>
          </w:tcPr>
          <w:p w:rsidR="3516E18C" w:rsidP="3516E18C" w:rsidRDefault="3516E18C" w14:paraId="27A222EA" w14:textId="00A07F90">
            <w:pPr>
              <w:rPr>
                <w:rFonts w:ascii="Calibri" w:hAnsi="Calibri" w:eastAsia="Calibri"/>
                <w:sz w:val="22"/>
                <w:szCs w:val="22"/>
              </w:rPr>
            </w:pPr>
            <w:r w:rsidRPr="3516E18C" w:rsidR="3516E18C">
              <w:rPr>
                <w:rFonts w:ascii="Calibri" w:hAnsi="Calibri" w:eastAsia="Calibri"/>
                <w:sz w:val="22"/>
                <w:szCs w:val="22"/>
              </w:rPr>
              <w:t>Implementing Technical Standards</w:t>
            </w:r>
          </w:p>
        </w:tc>
        <w:tc>
          <w:tcPr>
            <w:tcW w:w="5829" w:type="dxa"/>
            <w:tcMar/>
          </w:tcPr>
          <w:p w:rsidR="3516E18C" w:rsidP="3516E18C" w:rsidRDefault="3516E18C" w14:paraId="374A2F88" w14:textId="28DFF25C">
            <w:pPr>
              <w:rPr>
                <w:rFonts w:ascii="Calibri" w:hAnsi="Calibri" w:eastAsia="Calibri"/>
                <w:sz w:val="22"/>
                <w:szCs w:val="22"/>
              </w:rPr>
            </w:pPr>
            <w:r w:rsidRPr="3516E18C" w:rsidR="3516E18C">
              <w:rPr>
                <w:rFonts w:ascii="Calibri" w:hAnsi="Calibri" w:eastAsia="Calibri"/>
                <w:sz w:val="22"/>
                <w:szCs w:val="22"/>
              </w:rPr>
              <w:t xml:space="preserve">EBA-issued standards that define the </w:t>
            </w:r>
            <w:r w:rsidRPr="3516E18C" w:rsidR="3516E18C">
              <w:rPr>
                <w:rFonts w:ascii="Calibri" w:hAnsi="Calibri" w:eastAsia="Calibri"/>
                <w:i w:val="1"/>
                <w:iCs w:val="1"/>
                <w:sz w:val="22"/>
                <w:szCs w:val="22"/>
              </w:rPr>
              <w:t>structure</w:t>
            </w:r>
            <w:r w:rsidRPr="3516E18C" w:rsidR="3516E18C">
              <w:rPr>
                <w:rFonts w:ascii="Calibri" w:hAnsi="Calibri" w:eastAsia="Calibri"/>
                <w:sz w:val="22"/>
                <w:szCs w:val="22"/>
              </w:rPr>
              <w:t xml:space="preserve"> and </w:t>
            </w:r>
            <w:r w:rsidRPr="3516E18C" w:rsidR="3516E18C">
              <w:rPr>
                <w:rFonts w:ascii="Calibri" w:hAnsi="Calibri" w:eastAsia="Calibri"/>
                <w:i w:val="1"/>
                <w:iCs w:val="1"/>
                <w:sz w:val="22"/>
                <w:szCs w:val="22"/>
              </w:rPr>
              <w:t>format</w:t>
            </w:r>
            <w:r w:rsidRPr="3516E18C" w:rsidR="3516E18C">
              <w:rPr>
                <w:rFonts w:ascii="Calibri" w:hAnsi="Calibri" w:eastAsia="Calibri"/>
                <w:sz w:val="22"/>
                <w:szCs w:val="22"/>
              </w:rPr>
              <w:t xml:space="preserve"> of DORA outputs. Specifically EBA/ITS/2023/02, which defines the nine RoI template formats (RT.01–RT.09) implemented in the platform.</w:t>
            </w:r>
          </w:p>
        </w:tc>
      </w:tr>
      <w:tr w:rsidR="3516E18C" w:rsidTr="3516E18C" w14:paraId="0F7E54CB">
        <w:trPr>
          <w:trHeight w:val="300"/>
        </w:trPr>
        <w:tc>
          <w:tcPr>
            <w:tcW w:w="1095" w:type="dxa"/>
            <w:tcMar/>
          </w:tcPr>
          <w:p w:rsidR="3516E18C" w:rsidP="3516E18C" w:rsidRDefault="3516E18C" w14:paraId="58067EB8" w14:textId="56E28851">
            <w:pPr>
              <w:rPr>
                <w:rFonts w:ascii="Calibri" w:hAnsi="Calibri" w:eastAsia="Calibri"/>
                <w:b w:val="1"/>
                <w:bCs w:val="1"/>
                <w:sz w:val="22"/>
                <w:szCs w:val="22"/>
              </w:rPr>
            </w:pPr>
            <w:r w:rsidRPr="3516E18C" w:rsidR="3516E18C">
              <w:rPr>
                <w:rFonts w:ascii="Calibri" w:hAnsi="Calibri" w:eastAsia="Calibri"/>
                <w:b w:val="1"/>
                <w:bCs w:val="1"/>
                <w:sz w:val="22"/>
                <w:szCs w:val="22"/>
              </w:rPr>
              <w:t>RoI</w:t>
            </w:r>
          </w:p>
        </w:tc>
        <w:tc>
          <w:tcPr>
            <w:tcW w:w="2205" w:type="dxa"/>
            <w:tcMar/>
          </w:tcPr>
          <w:p w:rsidR="3516E18C" w:rsidP="3516E18C" w:rsidRDefault="3516E18C" w14:paraId="250F98F4" w14:textId="63805FC8">
            <w:pPr>
              <w:rPr>
                <w:rFonts w:ascii="Calibri" w:hAnsi="Calibri" w:eastAsia="Calibri"/>
                <w:sz w:val="22"/>
                <w:szCs w:val="22"/>
              </w:rPr>
            </w:pPr>
            <w:r w:rsidRPr="3516E18C" w:rsidR="3516E18C">
              <w:rPr>
                <w:rFonts w:ascii="Calibri" w:hAnsi="Calibri" w:eastAsia="Calibri"/>
                <w:sz w:val="22"/>
                <w:szCs w:val="22"/>
              </w:rPr>
              <w:t>Register of Information</w:t>
            </w:r>
          </w:p>
        </w:tc>
        <w:tc>
          <w:tcPr>
            <w:tcW w:w="5829" w:type="dxa"/>
            <w:tcMar/>
          </w:tcPr>
          <w:p w:rsidR="3516E18C" w:rsidP="3516E18C" w:rsidRDefault="3516E18C" w14:paraId="1A94E075" w14:textId="20D14848">
            <w:pPr>
              <w:rPr>
                <w:rFonts w:ascii="Calibri" w:hAnsi="Calibri" w:eastAsia="Calibri"/>
                <w:sz w:val="22"/>
                <w:szCs w:val="22"/>
              </w:rPr>
            </w:pPr>
            <w:r w:rsidRPr="3516E18C" w:rsidR="3516E18C">
              <w:rPr>
                <w:rFonts w:ascii="Calibri" w:hAnsi="Calibri" w:eastAsia="Calibri"/>
                <w:sz w:val="22"/>
                <w:szCs w:val="22"/>
              </w:rPr>
              <w:t>The nine-template structured ICT dependency register that all in-scope financial entities must maintain and submit under DORA Chapter V (Arts. 28–30). The platform manages 13 EBA sub-templates (RT.01.01–RT.09.01).</w:t>
            </w:r>
          </w:p>
        </w:tc>
      </w:tr>
      <w:tr w:rsidR="3516E18C" w:rsidTr="3516E18C" w14:paraId="04607BA5">
        <w:trPr>
          <w:trHeight w:val="300"/>
        </w:trPr>
        <w:tc>
          <w:tcPr>
            <w:tcW w:w="1095" w:type="dxa"/>
            <w:tcMar/>
          </w:tcPr>
          <w:p w:rsidR="3516E18C" w:rsidP="3516E18C" w:rsidRDefault="3516E18C" w14:paraId="0F6E6DE0" w14:textId="4A919E4D">
            <w:pPr>
              <w:rPr>
                <w:rFonts w:ascii="Calibri" w:hAnsi="Calibri" w:eastAsia="Calibri"/>
                <w:b w:val="1"/>
                <w:bCs w:val="1"/>
                <w:sz w:val="22"/>
                <w:szCs w:val="22"/>
              </w:rPr>
            </w:pPr>
            <w:r w:rsidRPr="3516E18C" w:rsidR="3516E18C">
              <w:rPr>
                <w:rFonts w:ascii="Calibri" w:hAnsi="Calibri" w:eastAsia="Calibri"/>
                <w:b w:val="1"/>
                <w:bCs w:val="1"/>
                <w:sz w:val="22"/>
                <w:szCs w:val="22"/>
              </w:rPr>
              <w:t>ESA</w:t>
            </w:r>
          </w:p>
        </w:tc>
        <w:tc>
          <w:tcPr>
            <w:tcW w:w="2205" w:type="dxa"/>
            <w:tcMar/>
          </w:tcPr>
          <w:p w:rsidR="3516E18C" w:rsidP="3516E18C" w:rsidRDefault="3516E18C" w14:paraId="69D5216D" w14:textId="373FB64E">
            <w:pPr>
              <w:rPr>
                <w:rFonts w:ascii="Calibri" w:hAnsi="Calibri" w:eastAsia="Calibri"/>
                <w:sz w:val="22"/>
                <w:szCs w:val="22"/>
              </w:rPr>
            </w:pPr>
            <w:r w:rsidRPr="3516E18C" w:rsidR="3516E18C">
              <w:rPr>
                <w:rFonts w:ascii="Calibri" w:hAnsi="Calibri" w:eastAsia="Calibri"/>
                <w:sz w:val="22"/>
                <w:szCs w:val="22"/>
              </w:rPr>
              <w:t>European Supervisory Authority</w:t>
            </w:r>
          </w:p>
        </w:tc>
        <w:tc>
          <w:tcPr>
            <w:tcW w:w="5829" w:type="dxa"/>
            <w:tcMar/>
          </w:tcPr>
          <w:p w:rsidR="3516E18C" w:rsidP="3516E18C" w:rsidRDefault="3516E18C" w14:paraId="5F403D6E" w14:textId="38C90244">
            <w:pPr>
              <w:rPr>
                <w:rFonts w:ascii="Calibri" w:hAnsi="Calibri" w:eastAsia="Calibri"/>
                <w:sz w:val="22"/>
                <w:szCs w:val="22"/>
              </w:rPr>
            </w:pPr>
            <w:r w:rsidRPr="3516E18C" w:rsidR="3516E18C">
              <w:rPr>
                <w:rFonts w:ascii="Calibri" w:hAnsi="Calibri" w:eastAsia="Calibri"/>
                <w:sz w:val="22"/>
                <w:szCs w:val="22"/>
              </w:rPr>
              <w:t>The three EU financial regulators jointly responsible for DORA implementation: EBA, EIOPA, and ESMA. Jointly authored the 2024 Dry Run exercise report central to Chapter 2.</w:t>
            </w:r>
          </w:p>
        </w:tc>
      </w:tr>
      <w:tr w:rsidR="3516E18C" w:rsidTr="3516E18C" w14:paraId="69BB6A61">
        <w:trPr>
          <w:trHeight w:val="300"/>
        </w:trPr>
        <w:tc>
          <w:tcPr>
            <w:tcW w:w="1095" w:type="dxa"/>
            <w:tcMar/>
          </w:tcPr>
          <w:p w:rsidR="3516E18C" w:rsidP="3516E18C" w:rsidRDefault="3516E18C" w14:paraId="4CD26F65" w14:textId="740F58CF">
            <w:pPr>
              <w:rPr>
                <w:rFonts w:ascii="Calibri" w:hAnsi="Calibri" w:eastAsia="Calibri"/>
                <w:b w:val="1"/>
                <w:bCs w:val="1"/>
                <w:sz w:val="22"/>
                <w:szCs w:val="22"/>
              </w:rPr>
            </w:pPr>
            <w:r w:rsidRPr="3516E18C" w:rsidR="3516E18C">
              <w:rPr>
                <w:rFonts w:ascii="Calibri" w:hAnsi="Calibri" w:eastAsia="Calibri"/>
                <w:b w:val="1"/>
                <w:bCs w:val="1"/>
                <w:sz w:val="22"/>
                <w:szCs w:val="22"/>
              </w:rPr>
              <w:t>EBA</w:t>
            </w:r>
          </w:p>
        </w:tc>
        <w:tc>
          <w:tcPr>
            <w:tcW w:w="2205" w:type="dxa"/>
            <w:tcMar/>
          </w:tcPr>
          <w:p w:rsidR="3516E18C" w:rsidP="3516E18C" w:rsidRDefault="3516E18C" w14:paraId="05D3E5DD" w14:textId="2A6CE616">
            <w:pPr>
              <w:rPr>
                <w:rFonts w:ascii="Calibri" w:hAnsi="Calibri" w:eastAsia="Calibri"/>
                <w:sz w:val="22"/>
                <w:szCs w:val="22"/>
              </w:rPr>
            </w:pPr>
            <w:r w:rsidRPr="3516E18C" w:rsidR="3516E18C">
              <w:rPr>
                <w:rFonts w:ascii="Calibri" w:hAnsi="Calibri" w:eastAsia="Calibri"/>
                <w:sz w:val="22"/>
                <w:szCs w:val="22"/>
              </w:rPr>
              <w:t>European Banking Authority</w:t>
            </w:r>
          </w:p>
        </w:tc>
        <w:tc>
          <w:tcPr>
            <w:tcW w:w="5829" w:type="dxa"/>
            <w:tcMar/>
          </w:tcPr>
          <w:p w:rsidR="3516E18C" w:rsidP="3516E18C" w:rsidRDefault="3516E18C" w14:paraId="32BBA7BC" w14:textId="2A9AC78D">
            <w:pPr>
              <w:rPr>
                <w:rFonts w:ascii="Calibri" w:hAnsi="Calibri" w:eastAsia="Calibri"/>
                <w:sz w:val="22"/>
                <w:szCs w:val="22"/>
              </w:rPr>
            </w:pPr>
            <w:r w:rsidRPr="3516E18C" w:rsidR="3516E18C">
              <w:rPr>
                <w:rFonts w:ascii="Calibri" w:hAnsi="Calibri" w:eastAsia="Calibri"/>
                <w:sz w:val="22"/>
                <w:szCs w:val="22"/>
              </w:rPr>
              <w:t>The ESA responsible for issuing the ITS and draft validation rules governing RoI templates. The EBA's 300-rule draft validation rule spreadsheet is the direct source for the 220 rules seeded in the platform's validation engine.</w:t>
            </w:r>
          </w:p>
        </w:tc>
      </w:tr>
      <w:tr w:rsidR="3516E18C" w:rsidTr="3516E18C" w14:paraId="39B141B6">
        <w:trPr>
          <w:trHeight w:val="300"/>
        </w:trPr>
        <w:tc>
          <w:tcPr>
            <w:tcW w:w="1095" w:type="dxa"/>
            <w:tcMar/>
          </w:tcPr>
          <w:p w:rsidR="3516E18C" w:rsidP="3516E18C" w:rsidRDefault="3516E18C" w14:paraId="046C08FA" w14:textId="298F04A1">
            <w:pPr>
              <w:rPr>
                <w:rFonts w:ascii="Calibri" w:hAnsi="Calibri" w:eastAsia="Calibri"/>
                <w:b w:val="1"/>
                <w:bCs w:val="1"/>
                <w:sz w:val="22"/>
                <w:szCs w:val="22"/>
              </w:rPr>
            </w:pPr>
            <w:r w:rsidRPr="3516E18C" w:rsidR="3516E18C">
              <w:rPr>
                <w:rFonts w:ascii="Calibri" w:hAnsi="Calibri" w:eastAsia="Calibri"/>
                <w:b w:val="1"/>
                <w:bCs w:val="1"/>
                <w:sz w:val="22"/>
                <w:szCs w:val="22"/>
              </w:rPr>
              <w:t>CBI</w:t>
            </w:r>
          </w:p>
        </w:tc>
        <w:tc>
          <w:tcPr>
            <w:tcW w:w="2205" w:type="dxa"/>
            <w:tcMar/>
          </w:tcPr>
          <w:p w:rsidR="3516E18C" w:rsidP="3516E18C" w:rsidRDefault="3516E18C" w14:paraId="4373DE16" w14:textId="761A4916">
            <w:pPr>
              <w:rPr>
                <w:rFonts w:ascii="Calibri" w:hAnsi="Calibri" w:eastAsia="Calibri"/>
                <w:sz w:val="22"/>
                <w:szCs w:val="22"/>
              </w:rPr>
            </w:pPr>
            <w:r w:rsidRPr="3516E18C" w:rsidR="3516E18C">
              <w:rPr>
                <w:rFonts w:ascii="Calibri" w:hAnsi="Calibri" w:eastAsia="Calibri"/>
                <w:sz w:val="22"/>
                <w:szCs w:val="22"/>
              </w:rPr>
              <w:t>Central Bank of Ireland</w:t>
            </w:r>
          </w:p>
        </w:tc>
        <w:tc>
          <w:tcPr>
            <w:tcW w:w="5829" w:type="dxa"/>
            <w:tcMar/>
          </w:tcPr>
          <w:p w:rsidR="3516E18C" w:rsidP="3516E18C" w:rsidRDefault="3516E18C" w14:paraId="68B75EE0" w14:textId="51FF66A0">
            <w:pPr>
              <w:rPr>
                <w:rFonts w:ascii="Calibri" w:hAnsi="Calibri" w:eastAsia="Calibri"/>
                <w:sz w:val="22"/>
                <w:szCs w:val="22"/>
              </w:rPr>
            </w:pPr>
            <w:r w:rsidRPr="3516E18C" w:rsidR="3516E18C">
              <w:rPr>
                <w:rFonts w:ascii="Calibri" w:hAnsi="Calibri" w:eastAsia="Calibri"/>
                <w:sz w:val="22"/>
                <w:szCs w:val="22"/>
              </w:rPr>
              <w:t>The national competent authority for DORA in Ireland. The platform's RoI export subsystem generates files formatted for CBI submission in both Excel and XBRL OIM-CSV format.</w:t>
            </w:r>
          </w:p>
        </w:tc>
      </w:tr>
      <w:tr w:rsidR="3516E18C" w:rsidTr="3516E18C" w14:paraId="3226E044">
        <w:trPr>
          <w:trHeight w:val="300"/>
        </w:trPr>
        <w:tc>
          <w:tcPr>
            <w:tcW w:w="1095" w:type="dxa"/>
            <w:tcMar/>
          </w:tcPr>
          <w:p w:rsidR="3516E18C" w:rsidP="3516E18C" w:rsidRDefault="3516E18C" w14:paraId="78F4EEFD" w14:textId="4F01232A">
            <w:pPr>
              <w:rPr>
                <w:rFonts w:ascii="Calibri" w:hAnsi="Calibri" w:eastAsia="Calibri"/>
                <w:b w:val="1"/>
                <w:bCs w:val="1"/>
                <w:sz w:val="22"/>
                <w:szCs w:val="22"/>
              </w:rPr>
            </w:pPr>
            <w:r w:rsidRPr="3516E18C" w:rsidR="3516E18C">
              <w:rPr>
                <w:rFonts w:ascii="Calibri" w:hAnsi="Calibri" w:eastAsia="Calibri"/>
                <w:b w:val="1"/>
                <w:bCs w:val="1"/>
                <w:sz w:val="22"/>
                <w:szCs w:val="22"/>
              </w:rPr>
              <w:t>ICT</w:t>
            </w:r>
          </w:p>
        </w:tc>
        <w:tc>
          <w:tcPr>
            <w:tcW w:w="2205" w:type="dxa"/>
            <w:tcMar/>
          </w:tcPr>
          <w:p w:rsidR="3516E18C" w:rsidP="3516E18C" w:rsidRDefault="3516E18C" w14:paraId="196C63A3" w14:textId="1A500953">
            <w:pPr>
              <w:rPr>
                <w:rFonts w:ascii="Calibri" w:hAnsi="Calibri" w:eastAsia="Calibri"/>
                <w:sz w:val="22"/>
                <w:szCs w:val="22"/>
              </w:rPr>
            </w:pPr>
            <w:r w:rsidRPr="3516E18C" w:rsidR="3516E18C">
              <w:rPr>
                <w:rFonts w:ascii="Calibri" w:hAnsi="Calibri" w:eastAsia="Calibri"/>
                <w:sz w:val="22"/>
                <w:szCs w:val="22"/>
              </w:rPr>
              <w:t>Information and Communication Technology</w:t>
            </w:r>
          </w:p>
        </w:tc>
        <w:tc>
          <w:tcPr>
            <w:tcW w:w="5829" w:type="dxa"/>
            <w:tcMar/>
          </w:tcPr>
          <w:p w:rsidR="3516E18C" w:rsidP="3516E18C" w:rsidRDefault="3516E18C" w14:paraId="6C547790" w14:textId="7B8BF6D4">
            <w:pPr>
              <w:rPr>
                <w:rFonts w:ascii="Calibri" w:hAnsi="Calibri" w:eastAsia="Calibri"/>
                <w:sz w:val="22"/>
                <w:szCs w:val="22"/>
              </w:rPr>
            </w:pPr>
            <w:r w:rsidRPr="3516E18C" w:rsidR="3516E18C">
              <w:rPr>
                <w:rFonts w:ascii="Calibri" w:hAnsi="Calibri" w:eastAsia="Calibri"/>
                <w:sz w:val="22"/>
                <w:szCs w:val="22"/>
              </w:rPr>
              <w:t xml:space="preserve">Any hardware, software, or data services provided to a financial entity under a formal contractual arrangement. Modelled across the platform's </w:t>
            </w:r>
            <w:r w:rsidRPr="3516E18C" w:rsidR="3516E18C">
              <w:rPr>
                <w:rFonts w:ascii="Calibri" w:hAnsi="Calibri" w:eastAsia="Calibri"/>
                <w:sz w:val="22"/>
                <w:szCs w:val="22"/>
              </w:rPr>
              <w:t>ictproviders</w:t>
            </w:r>
            <w:r w:rsidRPr="3516E18C" w:rsidR="3516E18C">
              <w:rPr>
                <w:rFonts w:ascii="Calibri" w:hAnsi="Calibri" w:eastAsia="Calibri"/>
                <w:sz w:val="22"/>
                <w:szCs w:val="22"/>
              </w:rPr>
              <w:t xml:space="preserve">, </w:t>
            </w:r>
            <w:r w:rsidRPr="3516E18C" w:rsidR="3516E18C">
              <w:rPr>
                <w:rFonts w:ascii="Calibri" w:hAnsi="Calibri" w:eastAsia="Calibri"/>
                <w:sz w:val="22"/>
                <w:szCs w:val="22"/>
              </w:rPr>
              <w:t>ictservices</w:t>
            </w:r>
            <w:r w:rsidRPr="3516E18C" w:rsidR="3516E18C">
              <w:rPr>
                <w:rFonts w:ascii="Calibri" w:hAnsi="Calibri" w:eastAsia="Calibri"/>
                <w:sz w:val="22"/>
                <w:szCs w:val="22"/>
              </w:rPr>
              <w:t xml:space="preserve">, and </w:t>
            </w:r>
            <w:r w:rsidRPr="3516E18C" w:rsidR="3516E18C">
              <w:rPr>
                <w:rFonts w:ascii="Calibri" w:hAnsi="Calibri" w:eastAsia="Calibri"/>
                <w:sz w:val="22"/>
                <w:szCs w:val="22"/>
              </w:rPr>
              <w:t>ictsupplychain</w:t>
            </w:r>
            <w:r w:rsidRPr="3516E18C" w:rsidR="3516E18C">
              <w:rPr>
                <w:rFonts w:ascii="Calibri" w:hAnsi="Calibri" w:eastAsia="Calibri"/>
                <w:sz w:val="22"/>
                <w:szCs w:val="22"/>
              </w:rPr>
              <w:t xml:space="preserve"> tables.</w:t>
            </w:r>
          </w:p>
        </w:tc>
      </w:tr>
      <w:tr w:rsidR="3516E18C" w:rsidTr="3516E18C" w14:paraId="27B703E2">
        <w:trPr>
          <w:trHeight w:val="300"/>
        </w:trPr>
        <w:tc>
          <w:tcPr>
            <w:tcW w:w="1095" w:type="dxa"/>
            <w:tcMar/>
          </w:tcPr>
          <w:p w:rsidR="3516E18C" w:rsidP="3516E18C" w:rsidRDefault="3516E18C" w14:paraId="6B7495E9" w14:textId="26162CB9">
            <w:pPr>
              <w:rPr>
                <w:rFonts w:ascii="Calibri" w:hAnsi="Calibri" w:eastAsia="Calibri"/>
                <w:b w:val="1"/>
                <w:bCs w:val="1"/>
                <w:sz w:val="22"/>
                <w:szCs w:val="22"/>
              </w:rPr>
            </w:pPr>
            <w:r w:rsidRPr="3516E18C" w:rsidR="3516E18C">
              <w:rPr>
                <w:rFonts w:ascii="Calibri" w:hAnsi="Calibri" w:eastAsia="Calibri"/>
                <w:b w:val="1"/>
                <w:bCs w:val="1"/>
                <w:sz w:val="22"/>
                <w:szCs w:val="22"/>
              </w:rPr>
              <w:t>TPRM</w:t>
            </w:r>
          </w:p>
        </w:tc>
        <w:tc>
          <w:tcPr>
            <w:tcW w:w="2205" w:type="dxa"/>
            <w:tcMar/>
          </w:tcPr>
          <w:p w:rsidR="3516E18C" w:rsidP="3516E18C" w:rsidRDefault="3516E18C" w14:paraId="4A1EBE33" w14:textId="00CF9C27">
            <w:pPr>
              <w:rPr>
                <w:rFonts w:ascii="Calibri" w:hAnsi="Calibri" w:eastAsia="Calibri"/>
                <w:sz w:val="22"/>
                <w:szCs w:val="22"/>
              </w:rPr>
            </w:pPr>
            <w:r w:rsidRPr="3516E18C" w:rsidR="3516E18C">
              <w:rPr>
                <w:rFonts w:ascii="Calibri" w:hAnsi="Calibri" w:eastAsia="Calibri"/>
                <w:sz w:val="22"/>
                <w:szCs w:val="22"/>
              </w:rPr>
              <w:t>Third-Party Risk Management</w:t>
            </w:r>
          </w:p>
        </w:tc>
        <w:tc>
          <w:tcPr>
            <w:tcW w:w="5829" w:type="dxa"/>
            <w:tcMar/>
          </w:tcPr>
          <w:p w:rsidR="3516E18C" w:rsidP="3516E18C" w:rsidRDefault="3516E18C" w14:paraId="337067C7" w14:textId="0E0CC453">
            <w:pPr>
              <w:rPr>
                <w:rFonts w:ascii="Calibri" w:hAnsi="Calibri" w:eastAsia="Calibri"/>
                <w:sz w:val="22"/>
                <w:szCs w:val="22"/>
              </w:rPr>
            </w:pPr>
            <w:r w:rsidRPr="3516E18C" w:rsidR="3516E18C">
              <w:rPr>
                <w:rFonts w:ascii="Calibri" w:hAnsi="Calibri" w:eastAsia="Calibri"/>
                <w:sz w:val="22"/>
                <w:szCs w:val="22"/>
              </w:rPr>
              <w:t>The discipline of assessing and monitoring risks from ICT vendors. DORA Arts. 28–30 and RT.05–RT.08 operationalise TPRM obligations, directly implemented in the platform's service assessment and exit strategy modules.</w:t>
            </w:r>
          </w:p>
        </w:tc>
      </w:tr>
      <w:tr w:rsidR="3516E18C" w:rsidTr="3516E18C" w14:paraId="49BE16B8">
        <w:trPr>
          <w:trHeight w:val="300"/>
        </w:trPr>
        <w:tc>
          <w:tcPr>
            <w:tcW w:w="1095" w:type="dxa"/>
            <w:tcMar/>
          </w:tcPr>
          <w:p w:rsidR="3516E18C" w:rsidP="3516E18C" w:rsidRDefault="3516E18C" w14:paraId="07590EC0" w14:textId="2F264E92">
            <w:pPr>
              <w:rPr>
                <w:rFonts w:ascii="Calibri" w:hAnsi="Calibri" w:eastAsia="Calibri"/>
                <w:b w:val="1"/>
                <w:bCs w:val="1"/>
                <w:sz w:val="22"/>
                <w:szCs w:val="22"/>
              </w:rPr>
            </w:pPr>
            <w:r w:rsidRPr="3516E18C" w:rsidR="3516E18C">
              <w:rPr>
                <w:rFonts w:ascii="Calibri" w:hAnsi="Calibri" w:eastAsia="Calibri"/>
                <w:b w:val="1"/>
                <w:bCs w:val="1"/>
                <w:sz w:val="22"/>
                <w:szCs w:val="22"/>
              </w:rPr>
              <w:t>DPM</w:t>
            </w:r>
          </w:p>
        </w:tc>
        <w:tc>
          <w:tcPr>
            <w:tcW w:w="2205" w:type="dxa"/>
            <w:tcMar/>
          </w:tcPr>
          <w:p w:rsidR="3516E18C" w:rsidP="3516E18C" w:rsidRDefault="3516E18C" w14:paraId="24877B2D" w14:textId="4D8DEF00">
            <w:pPr>
              <w:rPr>
                <w:rFonts w:ascii="Calibri" w:hAnsi="Calibri" w:eastAsia="Calibri"/>
                <w:sz w:val="22"/>
                <w:szCs w:val="22"/>
              </w:rPr>
            </w:pPr>
            <w:r w:rsidRPr="3516E18C" w:rsidR="3516E18C">
              <w:rPr>
                <w:rFonts w:ascii="Calibri" w:hAnsi="Calibri" w:eastAsia="Calibri"/>
                <w:sz w:val="22"/>
                <w:szCs w:val="22"/>
              </w:rPr>
              <w:t>Data Point Model</w:t>
            </w:r>
          </w:p>
        </w:tc>
        <w:tc>
          <w:tcPr>
            <w:tcW w:w="5829" w:type="dxa"/>
            <w:tcMar/>
          </w:tcPr>
          <w:p w:rsidR="3516E18C" w:rsidP="3516E18C" w:rsidRDefault="3516E18C" w14:paraId="67AA6506" w14:textId="555AAF46">
            <w:pPr>
              <w:rPr>
                <w:rFonts w:ascii="Calibri" w:hAnsi="Calibri" w:eastAsia="Calibri"/>
                <w:sz w:val="22"/>
                <w:szCs w:val="22"/>
              </w:rPr>
            </w:pPr>
            <w:r w:rsidRPr="3516E18C" w:rsidR="3516E18C">
              <w:rPr>
                <w:rFonts w:ascii="Calibri" w:hAnsi="Calibri" w:eastAsia="Calibri"/>
                <w:sz w:val="22"/>
                <w:szCs w:val="22"/>
              </w:rPr>
              <w:t>The EBA's data modelling language defining precise column codes, data types, and structural rules for XBRL taxonomy submissions. Referenced in Chapter 5 as the basis for XBRL OIM-CSV conformance risks in the export subsystem.</w:t>
            </w:r>
          </w:p>
        </w:tc>
      </w:tr>
      <w:tr w:rsidR="3516E18C" w:rsidTr="3516E18C" w14:paraId="75ACAB26">
        <w:trPr>
          <w:trHeight w:val="300"/>
        </w:trPr>
        <w:tc>
          <w:tcPr>
            <w:tcW w:w="1095" w:type="dxa"/>
            <w:tcMar/>
          </w:tcPr>
          <w:p w:rsidR="3516E18C" w:rsidP="3516E18C" w:rsidRDefault="3516E18C" w14:paraId="2B10AF9C" w14:textId="2A803A32">
            <w:pPr>
              <w:rPr>
                <w:rFonts w:ascii="Calibri" w:hAnsi="Calibri" w:eastAsia="Calibri"/>
                <w:b w:val="1"/>
                <w:bCs w:val="1"/>
                <w:sz w:val="22"/>
                <w:szCs w:val="22"/>
              </w:rPr>
            </w:pPr>
            <w:r w:rsidRPr="3516E18C" w:rsidR="3516E18C">
              <w:rPr>
                <w:rFonts w:ascii="Calibri" w:hAnsi="Calibri" w:eastAsia="Calibri"/>
                <w:b w:val="1"/>
                <w:bCs w:val="1"/>
                <w:sz w:val="22"/>
                <w:szCs w:val="22"/>
              </w:rPr>
              <w:t>VR</w:t>
            </w:r>
          </w:p>
        </w:tc>
        <w:tc>
          <w:tcPr>
            <w:tcW w:w="2205" w:type="dxa"/>
            <w:tcMar/>
          </w:tcPr>
          <w:p w:rsidR="3516E18C" w:rsidP="3516E18C" w:rsidRDefault="3516E18C" w14:paraId="56E48C77" w14:textId="65A2D7C8">
            <w:pPr>
              <w:rPr>
                <w:rFonts w:ascii="Calibri" w:hAnsi="Calibri" w:eastAsia="Calibri"/>
                <w:sz w:val="22"/>
                <w:szCs w:val="22"/>
              </w:rPr>
            </w:pPr>
            <w:r w:rsidRPr="3516E18C" w:rsidR="3516E18C">
              <w:rPr>
                <w:rFonts w:ascii="Calibri" w:hAnsi="Calibri" w:eastAsia="Calibri"/>
                <w:sz w:val="22"/>
                <w:szCs w:val="22"/>
              </w:rPr>
              <w:t>Validation Rule</w:t>
            </w:r>
          </w:p>
        </w:tc>
        <w:tc>
          <w:tcPr>
            <w:tcW w:w="5829" w:type="dxa"/>
            <w:tcMar/>
          </w:tcPr>
          <w:p w:rsidR="3516E18C" w:rsidP="3516E18C" w:rsidRDefault="3516E18C" w14:paraId="2BA4D145" w14:textId="7116321C">
            <w:pPr>
              <w:rPr>
                <w:rFonts w:ascii="Calibri" w:hAnsi="Calibri" w:eastAsia="Calibri"/>
                <w:sz w:val="22"/>
                <w:szCs w:val="22"/>
              </w:rPr>
            </w:pPr>
            <w:r w:rsidRPr="3516E18C" w:rsidR="3516E18C">
              <w:rPr>
                <w:rFonts w:ascii="Calibri" w:hAnsi="Calibri" w:eastAsia="Calibri"/>
                <w:sz w:val="22"/>
                <w:szCs w:val="22"/>
              </w:rPr>
              <w:t xml:space="preserve">A discrete, numbered check in the EBA's draft validation rule specification (e.g., VR01–VR250). The platform seeds 220 VRs across ten rule types, each carrying </w:t>
            </w:r>
            <w:r w:rsidRPr="3516E18C" w:rsidR="3516E18C">
              <w:rPr>
                <w:rFonts w:ascii="Calibri" w:hAnsi="Calibri" w:eastAsia="Calibri"/>
                <w:sz w:val="22"/>
                <w:szCs w:val="22"/>
              </w:rPr>
              <w:t>templateName</w:t>
            </w:r>
            <w:r w:rsidRPr="3516E18C" w:rsidR="3516E18C">
              <w:rPr>
                <w:rFonts w:ascii="Calibri" w:hAnsi="Calibri" w:eastAsia="Calibri"/>
                <w:sz w:val="22"/>
                <w:szCs w:val="22"/>
              </w:rPr>
              <w:t xml:space="preserve">, </w:t>
            </w:r>
            <w:r w:rsidRPr="3516E18C" w:rsidR="3516E18C">
              <w:rPr>
                <w:rFonts w:ascii="Calibri" w:hAnsi="Calibri" w:eastAsia="Calibri"/>
                <w:sz w:val="22"/>
                <w:szCs w:val="22"/>
              </w:rPr>
              <w:t>fieldName</w:t>
            </w:r>
            <w:r w:rsidRPr="3516E18C" w:rsidR="3516E18C">
              <w:rPr>
                <w:rFonts w:ascii="Calibri" w:hAnsi="Calibri" w:eastAsia="Calibri"/>
                <w:sz w:val="22"/>
                <w:szCs w:val="22"/>
              </w:rPr>
              <w:t xml:space="preserve">, </w:t>
            </w:r>
            <w:r w:rsidRPr="3516E18C" w:rsidR="3516E18C">
              <w:rPr>
                <w:rFonts w:ascii="Calibri" w:hAnsi="Calibri" w:eastAsia="Calibri"/>
                <w:sz w:val="22"/>
                <w:szCs w:val="22"/>
              </w:rPr>
              <w:t>ruleType</w:t>
            </w:r>
            <w:r w:rsidRPr="3516E18C" w:rsidR="3516E18C">
              <w:rPr>
                <w:rFonts w:ascii="Calibri" w:hAnsi="Calibri" w:eastAsia="Calibri"/>
                <w:sz w:val="22"/>
                <w:szCs w:val="22"/>
              </w:rPr>
              <w:t xml:space="preserve">, </w:t>
            </w:r>
            <w:r w:rsidRPr="3516E18C" w:rsidR="3516E18C">
              <w:rPr>
                <w:rFonts w:ascii="Calibri" w:hAnsi="Calibri" w:eastAsia="Calibri"/>
                <w:sz w:val="22"/>
                <w:szCs w:val="22"/>
              </w:rPr>
              <w:t>severity</w:t>
            </w:r>
            <w:r w:rsidRPr="3516E18C" w:rsidR="3516E18C">
              <w:rPr>
                <w:rFonts w:ascii="Calibri" w:hAnsi="Calibri" w:eastAsia="Calibri"/>
                <w:sz w:val="22"/>
                <w:szCs w:val="22"/>
              </w:rPr>
              <w:t xml:space="preserve">, and </w:t>
            </w:r>
            <w:r w:rsidRPr="3516E18C" w:rsidR="3516E18C">
              <w:rPr>
                <w:rFonts w:ascii="Calibri" w:hAnsi="Calibri" w:eastAsia="Calibri"/>
                <w:sz w:val="22"/>
                <w:szCs w:val="22"/>
              </w:rPr>
              <w:t>doraArticle</w:t>
            </w:r>
            <w:r w:rsidRPr="3516E18C" w:rsidR="3516E18C">
              <w:rPr>
                <w:rFonts w:ascii="Calibri" w:hAnsi="Calibri" w:eastAsia="Calibri"/>
                <w:sz w:val="22"/>
                <w:szCs w:val="22"/>
              </w:rPr>
              <w:t>.</w:t>
            </w:r>
          </w:p>
        </w:tc>
      </w:tr>
    </w:tbl>
    <w:p w:rsidR="00BD2851" w:rsidP="3516E18C" w:rsidRDefault="00BD2851" w14:paraId="4A41A075" w14:textId="23D2D6A1">
      <w:pPr>
        <w:rPr>
          <w:rFonts w:ascii="Calibri" w:hAnsi="Calibri" w:eastAsia="Calibri"/>
          <w:sz w:val="22"/>
          <w:szCs w:val="22"/>
        </w:rPr>
      </w:pPr>
    </w:p>
    <w:p w:rsidR="00BD2851" w:rsidP="3516E18C" w:rsidRDefault="00BD2851" w14:paraId="73049444" w14:textId="4905400C">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Section B — Security &amp; Risk Technicals</w:t>
      </w:r>
    </w:p>
    <w:tbl>
      <w:tblPr>
        <w:tblStyle w:val="TableGrid"/>
        <w:bidiVisual w:val="0"/>
        <w:tblW w:w="0" w:type="auto"/>
        <w:tblLook w:val="06A0" w:firstRow="1" w:lastRow="0" w:firstColumn="1" w:lastColumn="0" w:noHBand="1" w:noVBand="1"/>
      </w:tblPr>
      <w:tblGrid>
        <w:gridCol w:w="1140"/>
        <w:gridCol w:w="2175"/>
        <w:gridCol w:w="5805"/>
      </w:tblGrid>
      <w:tr w:rsidR="3516E18C" w:rsidTr="3516E18C" w14:paraId="18401F18">
        <w:trPr>
          <w:trHeight w:val="300"/>
        </w:trPr>
        <w:tc>
          <w:tcPr>
            <w:tcW w:w="1140" w:type="dxa"/>
            <w:tcMar/>
          </w:tcPr>
          <w:p w:rsidR="3516E18C" w:rsidP="3516E18C" w:rsidRDefault="3516E18C" w14:paraId="171C29E3" w14:textId="00545B2E">
            <w:pPr>
              <w:rPr>
                <w:rFonts w:ascii="Calibri" w:hAnsi="Calibri" w:eastAsia="Calibri"/>
                <w:b w:val="1"/>
                <w:bCs w:val="1"/>
                <w:sz w:val="22"/>
                <w:szCs w:val="22"/>
              </w:rPr>
            </w:pPr>
            <w:r w:rsidRPr="3516E18C" w:rsidR="3516E18C">
              <w:rPr>
                <w:rFonts w:ascii="Calibri" w:hAnsi="Calibri" w:eastAsia="Calibri"/>
                <w:b w:val="1"/>
                <w:bCs w:val="1"/>
                <w:sz w:val="22"/>
                <w:szCs w:val="22"/>
              </w:rPr>
              <w:t>Acronym</w:t>
            </w:r>
          </w:p>
        </w:tc>
        <w:tc>
          <w:tcPr>
            <w:tcW w:w="2175" w:type="dxa"/>
            <w:tcMar/>
          </w:tcPr>
          <w:p w:rsidR="3516E18C" w:rsidP="3516E18C" w:rsidRDefault="3516E18C" w14:paraId="4BEAE01D" w14:textId="50BB782A">
            <w:pPr>
              <w:rPr>
                <w:rFonts w:ascii="Calibri" w:hAnsi="Calibri" w:eastAsia="Calibri"/>
                <w:b w:val="1"/>
                <w:bCs w:val="1"/>
                <w:sz w:val="22"/>
                <w:szCs w:val="22"/>
              </w:rPr>
            </w:pPr>
            <w:r w:rsidRPr="3516E18C" w:rsidR="3516E18C">
              <w:rPr>
                <w:rFonts w:ascii="Calibri" w:hAnsi="Calibri" w:eastAsia="Calibri"/>
                <w:b w:val="1"/>
                <w:bCs w:val="1"/>
                <w:sz w:val="22"/>
                <w:szCs w:val="22"/>
              </w:rPr>
              <w:t>Full Term</w:t>
            </w:r>
          </w:p>
        </w:tc>
        <w:tc>
          <w:tcPr>
            <w:tcW w:w="5805" w:type="dxa"/>
            <w:tcMar/>
          </w:tcPr>
          <w:p w:rsidR="3516E18C" w:rsidP="3516E18C" w:rsidRDefault="3516E18C" w14:paraId="402B2C2A" w14:textId="77953F53">
            <w:pPr>
              <w:rPr>
                <w:rFonts w:ascii="Calibri" w:hAnsi="Calibri" w:eastAsia="Calibri"/>
                <w:b w:val="1"/>
                <w:bCs w:val="1"/>
                <w:sz w:val="22"/>
                <w:szCs w:val="22"/>
              </w:rPr>
            </w:pPr>
            <w:r w:rsidRPr="3516E18C" w:rsidR="3516E18C">
              <w:rPr>
                <w:rFonts w:ascii="Calibri" w:hAnsi="Calibri" w:eastAsia="Calibri"/>
                <w:b w:val="1"/>
                <w:bCs w:val="1"/>
                <w:sz w:val="22"/>
                <w:szCs w:val="22"/>
              </w:rPr>
              <w:t>Definition</w:t>
            </w:r>
          </w:p>
        </w:tc>
      </w:tr>
      <w:tr w:rsidR="3516E18C" w:rsidTr="3516E18C" w14:paraId="0FDB057D">
        <w:trPr>
          <w:trHeight w:val="300"/>
        </w:trPr>
        <w:tc>
          <w:tcPr>
            <w:tcW w:w="1140" w:type="dxa"/>
            <w:tcMar/>
          </w:tcPr>
          <w:p w:rsidR="3516E18C" w:rsidP="3516E18C" w:rsidRDefault="3516E18C" w14:paraId="54F9E5C7" w14:textId="1A9B4A83">
            <w:pPr>
              <w:rPr>
                <w:rFonts w:ascii="Calibri" w:hAnsi="Calibri" w:eastAsia="Calibri"/>
                <w:b w:val="1"/>
                <w:bCs w:val="1"/>
                <w:sz w:val="22"/>
                <w:szCs w:val="22"/>
              </w:rPr>
            </w:pPr>
            <w:r w:rsidRPr="3516E18C" w:rsidR="3516E18C">
              <w:rPr>
                <w:rFonts w:ascii="Calibri" w:hAnsi="Calibri" w:eastAsia="Calibri"/>
                <w:b w:val="1"/>
                <w:bCs w:val="1"/>
                <w:sz w:val="22"/>
                <w:szCs w:val="22"/>
              </w:rPr>
              <w:t>CIA</w:t>
            </w:r>
          </w:p>
        </w:tc>
        <w:tc>
          <w:tcPr>
            <w:tcW w:w="2175" w:type="dxa"/>
            <w:tcMar/>
          </w:tcPr>
          <w:p w:rsidR="3516E18C" w:rsidP="3516E18C" w:rsidRDefault="3516E18C" w14:paraId="71B0C873" w14:textId="35DE217B">
            <w:pPr>
              <w:rPr>
                <w:rFonts w:ascii="Calibri" w:hAnsi="Calibri" w:eastAsia="Calibri"/>
                <w:sz w:val="22"/>
                <w:szCs w:val="22"/>
              </w:rPr>
            </w:pPr>
            <w:r w:rsidRPr="3516E18C" w:rsidR="3516E18C">
              <w:rPr>
                <w:rFonts w:ascii="Calibri" w:hAnsi="Calibri" w:eastAsia="Calibri"/>
                <w:sz w:val="22"/>
                <w:szCs w:val="22"/>
              </w:rPr>
              <w:t>Confidentiality, Integrity, Availability</w:t>
            </w:r>
          </w:p>
        </w:tc>
        <w:tc>
          <w:tcPr>
            <w:tcW w:w="5805" w:type="dxa"/>
            <w:tcMar/>
          </w:tcPr>
          <w:p w:rsidR="3516E18C" w:rsidP="3516E18C" w:rsidRDefault="3516E18C" w14:paraId="2CCEAB0C" w14:textId="56000648">
            <w:pPr>
              <w:rPr>
                <w:rFonts w:ascii="Calibri" w:hAnsi="Calibri" w:eastAsia="Calibri"/>
                <w:sz w:val="22"/>
                <w:szCs w:val="22"/>
              </w:rPr>
            </w:pPr>
            <w:r w:rsidRPr="3516E18C" w:rsidR="3516E18C">
              <w:rPr>
                <w:rFonts w:ascii="Calibri" w:hAnsi="Calibri" w:eastAsia="Calibri"/>
                <w:sz w:val="22"/>
                <w:szCs w:val="22"/>
              </w:rPr>
              <w:t>The foundational security triad. In the platform: confidentiality via JWT + RBAC + RLS; integrity via the append-only audit log and bcrypt hashing; availability via rate limiting and Docker container isolation.</w:t>
            </w:r>
          </w:p>
        </w:tc>
      </w:tr>
      <w:tr w:rsidR="3516E18C" w:rsidTr="3516E18C" w14:paraId="3D3E5475">
        <w:trPr>
          <w:trHeight w:val="300"/>
        </w:trPr>
        <w:tc>
          <w:tcPr>
            <w:tcW w:w="1140" w:type="dxa"/>
            <w:tcMar/>
          </w:tcPr>
          <w:p w:rsidR="3516E18C" w:rsidP="3516E18C" w:rsidRDefault="3516E18C" w14:paraId="5F22501F" w14:textId="786C05DF">
            <w:pPr>
              <w:rPr>
                <w:rFonts w:ascii="Calibri" w:hAnsi="Calibri" w:eastAsia="Calibri"/>
                <w:b w:val="1"/>
                <w:bCs w:val="1"/>
                <w:sz w:val="22"/>
                <w:szCs w:val="22"/>
              </w:rPr>
            </w:pPr>
            <w:r w:rsidRPr="3516E18C" w:rsidR="3516E18C">
              <w:rPr>
                <w:rFonts w:ascii="Calibri" w:hAnsi="Calibri" w:eastAsia="Calibri"/>
                <w:b w:val="1"/>
                <w:bCs w:val="1"/>
                <w:sz w:val="22"/>
                <w:szCs w:val="22"/>
              </w:rPr>
              <w:t>RLS</w:t>
            </w:r>
          </w:p>
        </w:tc>
        <w:tc>
          <w:tcPr>
            <w:tcW w:w="2175" w:type="dxa"/>
            <w:tcMar/>
          </w:tcPr>
          <w:p w:rsidR="3516E18C" w:rsidP="3516E18C" w:rsidRDefault="3516E18C" w14:paraId="20AE9875" w14:textId="418AEC99">
            <w:pPr>
              <w:rPr>
                <w:rFonts w:ascii="Calibri" w:hAnsi="Calibri" w:eastAsia="Calibri"/>
                <w:sz w:val="22"/>
                <w:szCs w:val="22"/>
              </w:rPr>
            </w:pPr>
            <w:r w:rsidRPr="3516E18C" w:rsidR="3516E18C">
              <w:rPr>
                <w:rFonts w:ascii="Calibri" w:hAnsi="Calibri" w:eastAsia="Calibri"/>
                <w:sz w:val="22"/>
                <w:szCs w:val="22"/>
              </w:rPr>
              <w:t>Row-Level Security</w:t>
            </w:r>
          </w:p>
        </w:tc>
        <w:tc>
          <w:tcPr>
            <w:tcW w:w="5805" w:type="dxa"/>
            <w:tcMar/>
          </w:tcPr>
          <w:p w:rsidR="3516E18C" w:rsidP="3516E18C" w:rsidRDefault="3516E18C" w14:paraId="7A4098E3" w14:textId="5F3B9FFE">
            <w:pPr>
              <w:rPr>
                <w:rFonts w:ascii="Calibri" w:hAnsi="Calibri" w:eastAsia="Calibri"/>
                <w:sz w:val="22"/>
                <w:szCs w:val="22"/>
              </w:rPr>
            </w:pPr>
            <w:r w:rsidRPr="3516E18C" w:rsidR="3516E18C">
              <w:rPr>
                <w:rFonts w:ascii="Calibri" w:hAnsi="Calibri" w:eastAsia="Calibri"/>
                <w:sz w:val="22"/>
                <w:szCs w:val="22"/>
              </w:rPr>
              <w:t xml:space="preserve">A PostgreSQL database-level control restricting which rows a query can return based on session context. Implemented via </w:t>
            </w:r>
            <w:r w:rsidRPr="3516E18C" w:rsidR="3516E18C">
              <w:rPr>
                <w:rFonts w:ascii="Calibri" w:hAnsi="Calibri" w:eastAsia="Calibri"/>
                <w:sz w:val="22"/>
                <w:szCs w:val="22"/>
              </w:rPr>
              <w:t>prisma-rls-policies.sql</w:t>
            </w:r>
            <w:r w:rsidRPr="3516E18C" w:rsidR="3516E18C">
              <w:rPr>
                <w:rFonts w:ascii="Calibri" w:hAnsi="Calibri" w:eastAsia="Calibri"/>
                <w:sz w:val="22"/>
                <w:szCs w:val="22"/>
              </w:rPr>
              <w:t xml:space="preserve"> on all 20 tenant-bearing tables, activated by </w:t>
            </w:r>
            <w:r w:rsidRPr="3516E18C" w:rsidR="3516E18C">
              <w:rPr>
                <w:rFonts w:ascii="Calibri" w:hAnsi="Calibri" w:eastAsia="Calibri"/>
                <w:sz w:val="22"/>
                <w:szCs w:val="22"/>
              </w:rPr>
              <w:t>TenantIsolationMiddleware</w:t>
            </w:r>
            <w:r w:rsidRPr="3516E18C" w:rsidR="3516E18C">
              <w:rPr>
                <w:rFonts w:ascii="Calibri" w:hAnsi="Calibri" w:eastAsia="Calibri"/>
                <w:sz w:val="22"/>
                <w:szCs w:val="22"/>
              </w:rPr>
              <w:t xml:space="preserve"> on every NestJS request.</w:t>
            </w:r>
          </w:p>
        </w:tc>
      </w:tr>
      <w:tr w:rsidR="3516E18C" w:rsidTr="3516E18C" w14:paraId="4E089EC2">
        <w:trPr>
          <w:trHeight w:val="300"/>
        </w:trPr>
        <w:tc>
          <w:tcPr>
            <w:tcW w:w="1140" w:type="dxa"/>
            <w:tcMar/>
          </w:tcPr>
          <w:p w:rsidR="3516E18C" w:rsidP="3516E18C" w:rsidRDefault="3516E18C" w14:paraId="227F8912" w14:textId="258662A5">
            <w:pPr>
              <w:rPr>
                <w:rFonts w:ascii="Calibri" w:hAnsi="Calibri" w:eastAsia="Calibri"/>
                <w:b w:val="1"/>
                <w:bCs w:val="1"/>
                <w:sz w:val="22"/>
                <w:szCs w:val="22"/>
              </w:rPr>
            </w:pPr>
            <w:r w:rsidRPr="3516E18C" w:rsidR="3516E18C">
              <w:rPr>
                <w:rFonts w:ascii="Calibri" w:hAnsi="Calibri" w:eastAsia="Calibri"/>
                <w:b w:val="1"/>
                <w:bCs w:val="1"/>
                <w:sz w:val="22"/>
                <w:szCs w:val="22"/>
              </w:rPr>
              <w:t>IAM</w:t>
            </w:r>
          </w:p>
        </w:tc>
        <w:tc>
          <w:tcPr>
            <w:tcW w:w="2175" w:type="dxa"/>
            <w:tcMar/>
          </w:tcPr>
          <w:p w:rsidR="3516E18C" w:rsidP="3516E18C" w:rsidRDefault="3516E18C" w14:paraId="7B760A9C" w14:textId="0D02E77F">
            <w:pPr>
              <w:rPr>
                <w:rFonts w:ascii="Calibri" w:hAnsi="Calibri" w:eastAsia="Calibri"/>
                <w:sz w:val="22"/>
                <w:szCs w:val="22"/>
              </w:rPr>
            </w:pPr>
            <w:r w:rsidRPr="3516E18C" w:rsidR="3516E18C">
              <w:rPr>
                <w:rFonts w:ascii="Calibri" w:hAnsi="Calibri" w:eastAsia="Calibri"/>
                <w:sz w:val="22"/>
                <w:szCs w:val="22"/>
              </w:rPr>
              <w:t>Identity and Access Management</w:t>
            </w:r>
          </w:p>
        </w:tc>
        <w:tc>
          <w:tcPr>
            <w:tcW w:w="5805" w:type="dxa"/>
            <w:tcMar/>
          </w:tcPr>
          <w:p w:rsidR="3516E18C" w:rsidP="3516E18C" w:rsidRDefault="3516E18C" w14:paraId="2F6B9DDA" w14:textId="62D04ABE">
            <w:pPr>
              <w:rPr>
                <w:rFonts w:ascii="Calibri" w:hAnsi="Calibri" w:eastAsia="Calibri"/>
                <w:sz w:val="22"/>
                <w:szCs w:val="22"/>
              </w:rPr>
            </w:pPr>
            <w:r w:rsidRPr="3516E18C" w:rsidR="3516E18C">
              <w:rPr>
                <w:rFonts w:ascii="Calibri" w:hAnsi="Calibri" w:eastAsia="Calibri"/>
                <w:sz w:val="22"/>
                <w:szCs w:val="22"/>
              </w:rPr>
              <w:t xml:space="preserve">Systems controlling who can access what. In the platform: JWT authentication (15-min access tokens, 7-day rotating refresh tokens), bcrypt password hashing (10 rounds), and three-role RBAC enforced via NestJS </w:t>
            </w:r>
            <w:r w:rsidRPr="3516E18C" w:rsidR="3516E18C">
              <w:rPr>
                <w:rFonts w:ascii="Calibri" w:hAnsi="Calibri" w:eastAsia="Calibri"/>
                <w:sz w:val="22"/>
                <w:szCs w:val="22"/>
              </w:rPr>
              <w:t>RolesGuard</w:t>
            </w:r>
            <w:r w:rsidRPr="3516E18C" w:rsidR="3516E18C">
              <w:rPr>
                <w:rFonts w:ascii="Calibri" w:hAnsi="Calibri" w:eastAsia="Calibri"/>
                <w:sz w:val="22"/>
                <w:szCs w:val="22"/>
              </w:rPr>
              <w:t>.</w:t>
            </w:r>
          </w:p>
        </w:tc>
      </w:tr>
      <w:tr w:rsidR="3516E18C" w:rsidTr="3516E18C" w14:paraId="7DF1C1DD">
        <w:trPr>
          <w:trHeight w:val="300"/>
        </w:trPr>
        <w:tc>
          <w:tcPr>
            <w:tcW w:w="1140" w:type="dxa"/>
            <w:tcMar/>
          </w:tcPr>
          <w:p w:rsidR="3516E18C" w:rsidP="3516E18C" w:rsidRDefault="3516E18C" w14:paraId="5F8208E8" w14:textId="7BF8B743">
            <w:pPr>
              <w:rPr>
                <w:rFonts w:ascii="Calibri" w:hAnsi="Calibri" w:eastAsia="Calibri"/>
                <w:b w:val="1"/>
                <w:bCs w:val="1"/>
                <w:sz w:val="22"/>
                <w:szCs w:val="22"/>
              </w:rPr>
            </w:pPr>
            <w:r w:rsidRPr="3516E18C" w:rsidR="3516E18C">
              <w:rPr>
                <w:rFonts w:ascii="Calibri" w:hAnsi="Calibri" w:eastAsia="Calibri"/>
                <w:b w:val="1"/>
                <w:bCs w:val="1"/>
                <w:sz w:val="22"/>
                <w:szCs w:val="22"/>
              </w:rPr>
              <w:t>SLA</w:t>
            </w:r>
          </w:p>
        </w:tc>
        <w:tc>
          <w:tcPr>
            <w:tcW w:w="2175" w:type="dxa"/>
            <w:tcMar/>
          </w:tcPr>
          <w:p w:rsidR="3516E18C" w:rsidP="3516E18C" w:rsidRDefault="3516E18C" w14:paraId="542C2C7E" w14:textId="6EA64D06">
            <w:pPr>
              <w:rPr>
                <w:rFonts w:ascii="Calibri" w:hAnsi="Calibri" w:eastAsia="Calibri"/>
                <w:sz w:val="22"/>
                <w:szCs w:val="22"/>
              </w:rPr>
            </w:pPr>
            <w:r w:rsidRPr="3516E18C" w:rsidR="3516E18C">
              <w:rPr>
                <w:rFonts w:ascii="Calibri" w:hAnsi="Calibri" w:eastAsia="Calibri"/>
                <w:sz w:val="22"/>
                <w:szCs w:val="22"/>
              </w:rPr>
              <w:t>Service Level Agreement</w:t>
            </w:r>
          </w:p>
        </w:tc>
        <w:tc>
          <w:tcPr>
            <w:tcW w:w="5805" w:type="dxa"/>
            <w:tcMar/>
          </w:tcPr>
          <w:p w:rsidR="3516E18C" w:rsidP="3516E18C" w:rsidRDefault="3516E18C" w14:paraId="724D9832" w14:textId="416E1957">
            <w:pPr>
              <w:rPr>
                <w:rFonts w:ascii="Calibri" w:hAnsi="Calibri" w:eastAsia="Calibri"/>
                <w:sz w:val="22"/>
                <w:szCs w:val="22"/>
              </w:rPr>
            </w:pPr>
            <w:r w:rsidRPr="3516E18C" w:rsidR="3516E18C">
              <w:rPr>
                <w:rFonts w:ascii="Calibri" w:hAnsi="Calibri" w:eastAsia="Calibri"/>
                <w:sz w:val="22"/>
                <w:szCs w:val="22"/>
              </w:rPr>
              <w:t xml:space="preserve">A contractual service performance commitment. DORA Art. 30 mandates SLA-related provisions, modelled in the platform's </w:t>
            </w:r>
            <w:r w:rsidRPr="3516E18C" w:rsidR="3516E18C">
              <w:rPr>
                <w:rFonts w:ascii="Calibri" w:hAnsi="Calibri" w:eastAsia="Calibri"/>
                <w:sz w:val="22"/>
                <w:szCs w:val="22"/>
              </w:rPr>
              <w:t>contractualArrangements</w:t>
            </w:r>
            <w:r w:rsidRPr="3516E18C" w:rsidR="3516E18C">
              <w:rPr>
                <w:rFonts w:ascii="Calibri" w:hAnsi="Calibri" w:eastAsia="Calibri"/>
                <w:sz w:val="22"/>
                <w:szCs w:val="22"/>
              </w:rPr>
              <w:t xml:space="preserve"> table via </w:t>
            </w:r>
            <w:r w:rsidRPr="3516E18C" w:rsidR="3516E18C">
              <w:rPr>
                <w:rFonts w:ascii="Calibri" w:hAnsi="Calibri" w:eastAsia="Calibri"/>
                <w:sz w:val="22"/>
                <w:szCs w:val="22"/>
              </w:rPr>
              <w:t>terminationNoticePeriod</w:t>
            </w:r>
            <w:r w:rsidRPr="3516E18C" w:rsidR="3516E18C">
              <w:rPr>
                <w:rFonts w:ascii="Calibri" w:hAnsi="Calibri" w:eastAsia="Calibri"/>
                <w:sz w:val="22"/>
                <w:szCs w:val="22"/>
              </w:rPr>
              <w:t xml:space="preserve">, </w:t>
            </w:r>
            <w:r w:rsidRPr="3516E18C" w:rsidR="3516E18C">
              <w:rPr>
                <w:rFonts w:ascii="Calibri" w:hAnsi="Calibri" w:eastAsia="Calibri"/>
                <w:sz w:val="22"/>
                <w:szCs w:val="22"/>
              </w:rPr>
              <w:t>renewalTerms</w:t>
            </w:r>
            <w:r w:rsidRPr="3516E18C" w:rsidR="3516E18C">
              <w:rPr>
                <w:rFonts w:ascii="Calibri" w:hAnsi="Calibri" w:eastAsia="Calibri"/>
                <w:sz w:val="22"/>
                <w:szCs w:val="22"/>
              </w:rPr>
              <w:t xml:space="preserve">, and </w:t>
            </w:r>
            <w:r w:rsidRPr="3516E18C" w:rsidR="3516E18C">
              <w:rPr>
                <w:rFonts w:ascii="Calibri" w:hAnsi="Calibri" w:eastAsia="Calibri"/>
                <w:sz w:val="22"/>
                <w:szCs w:val="22"/>
              </w:rPr>
              <w:t>relianceLevelId</w:t>
            </w:r>
            <w:r w:rsidRPr="3516E18C" w:rsidR="3516E18C">
              <w:rPr>
                <w:rFonts w:ascii="Calibri" w:hAnsi="Calibri" w:eastAsia="Calibri"/>
                <w:sz w:val="22"/>
                <w:szCs w:val="22"/>
              </w:rPr>
              <w:t>.</w:t>
            </w:r>
          </w:p>
        </w:tc>
      </w:tr>
      <w:tr w:rsidR="3516E18C" w:rsidTr="3516E18C" w14:paraId="536577A9">
        <w:trPr>
          <w:trHeight w:val="300"/>
        </w:trPr>
        <w:tc>
          <w:tcPr>
            <w:tcW w:w="1140" w:type="dxa"/>
            <w:tcMar/>
          </w:tcPr>
          <w:p w:rsidR="3516E18C" w:rsidP="3516E18C" w:rsidRDefault="3516E18C" w14:paraId="43835E8F" w14:textId="7E9F88BD">
            <w:pPr>
              <w:rPr>
                <w:rFonts w:ascii="Calibri" w:hAnsi="Calibri" w:eastAsia="Calibri"/>
                <w:b w:val="1"/>
                <w:bCs w:val="1"/>
                <w:sz w:val="22"/>
                <w:szCs w:val="22"/>
              </w:rPr>
            </w:pPr>
            <w:r w:rsidRPr="3516E18C" w:rsidR="3516E18C">
              <w:rPr>
                <w:rFonts w:ascii="Calibri" w:hAnsi="Calibri" w:eastAsia="Calibri"/>
                <w:b w:val="1"/>
                <w:bCs w:val="1"/>
                <w:sz w:val="22"/>
                <w:szCs w:val="22"/>
              </w:rPr>
              <w:t>JWT</w:t>
            </w:r>
          </w:p>
        </w:tc>
        <w:tc>
          <w:tcPr>
            <w:tcW w:w="2175" w:type="dxa"/>
            <w:tcMar/>
          </w:tcPr>
          <w:p w:rsidR="3516E18C" w:rsidP="3516E18C" w:rsidRDefault="3516E18C" w14:paraId="11B92E96" w14:textId="34D08224">
            <w:pPr>
              <w:rPr>
                <w:rFonts w:ascii="Calibri" w:hAnsi="Calibri" w:eastAsia="Calibri"/>
                <w:sz w:val="22"/>
                <w:szCs w:val="22"/>
              </w:rPr>
            </w:pPr>
            <w:r w:rsidRPr="3516E18C" w:rsidR="3516E18C">
              <w:rPr>
                <w:rFonts w:ascii="Calibri" w:hAnsi="Calibri" w:eastAsia="Calibri"/>
                <w:sz w:val="22"/>
                <w:szCs w:val="22"/>
              </w:rPr>
              <w:t>JSON Web Token</w:t>
            </w:r>
          </w:p>
        </w:tc>
        <w:tc>
          <w:tcPr>
            <w:tcW w:w="5805" w:type="dxa"/>
            <w:tcMar/>
          </w:tcPr>
          <w:p w:rsidR="3516E18C" w:rsidP="3516E18C" w:rsidRDefault="3516E18C" w14:paraId="63C36ADA" w14:textId="099BB3BE">
            <w:pPr>
              <w:rPr>
                <w:rFonts w:ascii="Calibri" w:hAnsi="Calibri" w:eastAsia="Calibri"/>
                <w:sz w:val="22"/>
                <w:szCs w:val="22"/>
              </w:rPr>
            </w:pPr>
            <w:r w:rsidRPr="3516E18C" w:rsidR="3516E18C">
              <w:rPr>
                <w:rFonts w:ascii="Calibri" w:hAnsi="Calibri" w:eastAsia="Calibri"/>
                <w:sz w:val="22"/>
                <w:szCs w:val="22"/>
              </w:rPr>
              <w:t xml:space="preserve">A compact, signed token for stateless authentication. The platform issues 15-minute access tokens and 7-day rotating refresh tokens. The token payload </w:t>
            </w:r>
            <w:r w:rsidRPr="3516E18C" w:rsidR="3516E18C">
              <w:rPr>
                <w:rFonts w:ascii="Calibri" w:hAnsi="Calibri" w:eastAsia="Calibri"/>
                <w:sz w:val="22"/>
                <w:szCs w:val="22"/>
              </w:rPr>
              <w:t>{ id, email, tenantId, role }</w:t>
            </w:r>
            <w:r w:rsidRPr="3516E18C" w:rsidR="3516E18C">
              <w:rPr>
                <w:rFonts w:ascii="Calibri" w:hAnsi="Calibri" w:eastAsia="Calibri"/>
                <w:sz w:val="22"/>
                <w:szCs w:val="22"/>
              </w:rPr>
              <w:t xml:space="preserve"> is the primary source for RBAC and tenant isolation decisions.</w:t>
            </w:r>
          </w:p>
        </w:tc>
      </w:tr>
      <w:tr w:rsidR="3516E18C" w:rsidTr="3516E18C" w14:paraId="48D7F6E9">
        <w:trPr>
          <w:trHeight w:val="300"/>
        </w:trPr>
        <w:tc>
          <w:tcPr>
            <w:tcW w:w="1140" w:type="dxa"/>
            <w:tcMar/>
          </w:tcPr>
          <w:p w:rsidR="3516E18C" w:rsidP="3516E18C" w:rsidRDefault="3516E18C" w14:paraId="71B698BD" w14:textId="2731BB82">
            <w:pPr>
              <w:rPr>
                <w:rFonts w:ascii="Calibri" w:hAnsi="Calibri" w:eastAsia="Calibri"/>
                <w:b w:val="1"/>
                <w:bCs w:val="1"/>
                <w:sz w:val="22"/>
                <w:szCs w:val="22"/>
              </w:rPr>
            </w:pPr>
            <w:r w:rsidRPr="3516E18C" w:rsidR="3516E18C">
              <w:rPr>
                <w:rFonts w:ascii="Calibri" w:hAnsi="Calibri" w:eastAsia="Calibri"/>
                <w:b w:val="1"/>
                <w:bCs w:val="1"/>
                <w:sz w:val="22"/>
                <w:szCs w:val="22"/>
              </w:rPr>
              <w:t>RBAC</w:t>
            </w:r>
          </w:p>
        </w:tc>
        <w:tc>
          <w:tcPr>
            <w:tcW w:w="2175" w:type="dxa"/>
            <w:tcMar/>
          </w:tcPr>
          <w:p w:rsidR="3516E18C" w:rsidP="3516E18C" w:rsidRDefault="3516E18C" w14:paraId="1255F35E" w14:textId="36EC88D9">
            <w:pPr>
              <w:rPr>
                <w:rFonts w:ascii="Calibri" w:hAnsi="Calibri" w:eastAsia="Calibri"/>
                <w:sz w:val="22"/>
                <w:szCs w:val="22"/>
              </w:rPr>
            </w:pPr>
            <w:r w:rsidRPr="3516E18C" w:rsidR="3516E18C">
              <w:rPr>
                <w:rFonts w:ascii="Calibri" w:hAnsi="Calibri" w:eastAsia="Calibri"/>
                <w:sz w:val="22"/>
                <w:szCs w:val="22"/>
              </w:rPr>
              <w:t>Role-Based Access Control</w:t>
            </w:r>
          </w:p>
        </w:tc>
        <w:tc>
          <w:tcPr>
            <w:tcW w:w="5805" w:type="dxa"/>
            <w:tcMar/>
          </w:tcPr>
          <w:p w:rsidR="3516E18C" w:rsidP="3516E18C" w:rsidRDefault="3516E18C" w14:paraId="263AC04E" w14:textId="3ADF96AE">
            <w:pPr>
              <w:rPr>
                <w:rFonts w:ascii="Calibri" w:hAnsi="Calibri" w:eastAsia="Calibri"/>
                <w:sz w:val="22"/>
                <w:szCs w:val="22"/>
              </w:rPr>
            </w:pPr>
            <w:r w:rsidRPr="3516E18C" w:rsidR="3516E18C">
              <w:rPr>
                <w:rFonts w:ascii="Calibri" w:hAnsi="Calibri" w:eastAsia="Calibri"/>
                <w:sz w:val="22"/>
                <w:szCs w:val="22"/>
              </w:rPr>
              <w:t xml:space="preserve">An access control model assigning permissions to roles rather than individuals. The platform's three roles — ADMIN, ANALYST, EDITOR — are enforced via NestJS </w:t>
            </w:r>
            <w:r w:rsidRPr="3516E18C" w:rsidR="3516E18C">
              <w:rPr>
                <w:rFonts w:ascii="Calibri" w:hAnsi="Calibri" w:eastAsia="Calibri"/>
                <w:sz w:val="22"/>
                <w:szCs w:val="22"/>
              </w:rPr>
              <w:t>RolesGuard</w:t>
            </w:r>
            <w:r w:rsidRPr="3516E18C" w:rsidR="3516E18C">
              <w:rPr>
                <w:rFonts w:ascii="Calibri" w:hAnsi="Calibri" w:eastAsia="Calibri"/>
                <w:sz w:val="22"/>
                <w:szCs w:val="22"/>
              </w:rPr>
              <w:t xml:space="preserve"> on every controller endpoint and in the React frontend's sidebar navigation.</w:t>
            </w:r>
          </w:p>
        </w:tc>
      </w:tr>
      <w:tr w:rsidR="3516E18C" w:rsidTr="3516E18C" w14:paraId="0FDD5F15">
        <w:trPr>
          <w:trHeight w:val="300"/>
        </w:trPr>
        <w:tc>
          <w:tcPr>
            <w:tcW w:w="1140" w:type="dxa"/>
            <w:tcMar/>
          </w:tcPr>
          <w:p w:rsidR="3516E18C" w:rsidP="3516E18C" w:rsidRDefault="3516E18C" w14:paraId="28BB3B9C" w14:textId="536CA807">
            <w:pPr>
              <w:rPr>
                <w:rFonts w:ascii="Calibri" w:hAnsi="Calibri" w:eastAsia="Calibri"/>
                <w:b w:val="1"/>
                <w:bCs w:val="1"/>
                <w:sz w:val="22"/>
                <w:szCs w:val="22"/>
              </w:rPr>
            </w:pPr>
            <w:r w:rsidRPr="3516E18C" w:rsidR="3516E18C">
              <w:rPr>
                <w:rFonts w:ascii="Calibri" w:hAnsi="Calibri" w:eastAsia="Calibri"/>
                <w:b w:val="1"/>
                <w:bCs w:val="1"/>
                <w:sz w:val="22"/>
                <w:szCs w:val="22"/>
              </w:rPr>
              <w:t>MFA</w:t>
            </w:r>
          </w:p>
        </w:tc>
        <w:tc>
          <w:tcPr>
            <w:tcW w:w="2175" w:type="dxa"/>
            <w:tcMar/>
          </w:tcPr>
          <w:p w:rsidR="3516E18C" w:rsidP="3516E18C" w:rsidRDefault="3516E18C" w14:paraId="2094D993" w14:textId="5F9F974D">
            <w:pPr>
              <w:rPr>
                <w:rFonts w:ascii="Calibri" w:hAnsi="Calibri" w:eastAsia="Calibri"/>
                <w:sz w:val="22"/>
                <w:szCs w:val="22"/>
              </w:rPr>
            </w:pPr>
            <w:r w:rsidRPr="3516E18C" w:rsidR="3516E18C">
              <w:rPr>
                <w:rFonts w:ascii="Calibri" w:hAnsi="Calibri" w:eastAsia="Calibri"/>
                <w:sz w:val="22"/>
                <w:szCs w:val="22"/>
              </w:rPr>
              <w:t>Multi-Factor Authentication</w:t>
            </w:r>
          </w:p>
        </w:tc>
        <w:tc>
          <w:tcPr>
            <w:tcW w:w="5805" w:type="dxa"/>
            <w:tcMar/>
          </w:tcPr>
          <w:p w:rsidR="3516E18C" w:rsidP="3516E18C" w:rsidRDefault="3516E18C" w14:paraId="2B29772C" w14:textId="37C23720">
            <w:pPr>
              <w:rPr>
                <w:rFonts w:ascii="Calibri" w:hAnsi="Calibri" w:eastAsia="Calibri"/>
                <w:sz w:val="22"/>
                <w:szCs w:val="22"/>
              </w:rPr>
            </w:pPr>
            <w:r w:rsidRPr="3516E18C" w:rsidR="3516E18C">
              <w:rPr>
                <w:rFonts w:ascii="Calibri" w:hAnsi="Calibri" w:eastAsia="Calibri"/>
                <w:sz w:val="22"/>
                <w:szCs w:val="22"/>
              </w:rPr>
              <w:t>Authentication requiring two or more verification factors. Not yet implemented in the current prototype; identified in Chapters 5 and 7 as a priority production hardening item (TOTP-based).</w:t>
            </w:r>
          </w:p>
        </w:tc>
      </w:tr>
      <w:tr w:rsidR="3516E18C" w:rsidTr="3516E18C" w14:paraId="651C0444">
        <w:trPr>
          <w:trHeight w:val="300"/>
        </w:trPr>
        <w:tc>
          <w:tcPr>
            <w:tcW w:w="1140" w:type="dxa"/>
            <w:tcMar/>
          </w:tcPr>
          <w:p w:rsidR="3516E18C" w:rsidP="3516E18C" w:rsidRDefault="3516E18C" w14:paraId="5EB5195D" w14:textId="74BD6E97">
            <w:pPr>
              <w:rPr>
                <w:rFonts w:ascii="Calibri" w:hAnsi="Calibri" w:eastAsia="Calibri"/>
                <w:b w:val="1"/>
                <w:bCs w:val="1"/>
                <w:sz w:val="22"/>
                <w:szCs w:val="22"/>
              </w:rPr>
            </w:pPr>
            <w:r w:rsidRPr="3516E18C" w:rsidR="3516E18C">
              <w:rPr>
                <w:rFonts w:ascii="Calibri" w:hAnsi="Calibri" w:eastAsia="Calibri"/>
                <w:b w:val="1"/>
                <w:bCs w:val="1"/>
                <w:sz w:val="22"/>
                <w:szCs w:val="22"/>
              </w:rPr>
              <w:t>KRI / KPI</w:t>
            </w:r>
          </w:p>
        </w:tc>
        <w:tc>
          <w:tcPr>
            <w:tcW w:w="2175" w:type="dxa"/>
            <w:tcMar/>
          </w:tcPr>
          <w:p w:rsidR="3516E18C" w:rsidP="3516E18C" w:rsidRDefault="3516E18C" w14:paraId="564CFF4B" w14:textId="53CC3B25">
            <w:pPr>
              <w:rPr>
                <w:rFonts w:ascii="Calibri" w:hAnsi="Calibri" w:eastAsia="Calibri"/>
                <w:sz w:val="22"/>
                <w:szCs w:val="22"/>
              </w:rPr>
            </w:pPr>
            <w:r w:rsidRPr="3516E18C" w:rsidR="3516E18C">
              <w:rPr>
                <w:rFonts w:ascii="Calibri" w:hAnsi="Calibri" w:eastAsia="Calibri"/>
                <w:sz w:val="22"/>
                <w:szCs w:val="22"/>
              </w:rPr>
              <w:t>Key Risk Indicator / Key Performance Indicator</w:t>
            </w:r>
          </w:p>
        </w:tc>
        <w:tc>
          <w:tcPr>
            <w:tcW w:w="5805" w:type="dxa"/>
            <w:tcMar/>
          </w:tcPr>
          <w:p w:rsidR="3516E18C" w:rsidP="3516E18C" w:rsidRDefault="3516E18C" w14:paraId="0569A7E4" w14:textId="6F6CA5BD">
            <w:pPr>
              <w:rPr>
                <w:rFonts w:ascii="Calibri" w:hAnsi="Calibri" w:eastAsia="Calibri"/>
                <w:sz w:val="22"/>
                <w:szCs w:val="22"/>
              </w:rPr>
            </w:pPr>
            <w:r w:rsidRPr="3516E18C" w:rsidR="3516E18C">
              <w:rPr>
                <w:rFonts w:ascii="Calibri" w:hAnsi="Calibri" w:eastAsia="Calibri"/>
                <w:sz w:val="22"/>
                <w:szCs w:val="22"/>
              </w:rPr>
              <w:t>KRIs are forward-looking risk signals; KPIs measure compliance workflow performance. The platform surfaces both on the Analyst dashboard: DORA Score, open issue counts by severity, and concentration risk thresholds (KRIs); rules executed, fields passing, and issue resolution time (KPIs).</w:t>
            </w:r>
          </w:p>
        </w:tc>
      </w:tr>
      <w:tr w:rsidR="3516E18C" w:rsidTr="3516E18C" w14:paraId="4533101F">
        <w:trPr>
          <w:trHeight w:val="300"/>
        </w:trPr>
        <w:tc>
          <w:tcPr>
            <w:tcW w:w="1140" w:type="dxa"/>
            <w:tcMar/>
          </w:tcPr>
          <w:p w:rsidR="3516E18C" w:rsidP="3516E18C" w:rsidRDefault="3516E18C" w14:paraId="23B4E6E3" w14:textId="379DE561">
            <w:pPr>
              <w:rPr>
                <w:rFonts w:ascii="Calibri" w:hAnsi="Calibri" w:eastAsia="Calibri"/>
                <w:b w:val="1"/>
                <w:bCs w:val="1"/>
                <w:sz w:val="22"/>
                <w:szCs w:val="22"/>
              </w:rPr>
            </w:pPr>
            <w:r w:rsidRPr="3516E18C" w:rsidR="3516E18C">
              <w:rPr>
                <w:rFonts w:ascii="Calibri" w:hAnsi="Calibri" w:eastAsia="Calibri"/>
                <w:b w:val="1"/>
                <w:bCs w:val="1"/>
                <w:sz w:val="22"/>
                <w:szCs w:val="22"/>
              </w:rPr>
              <w:t>RTO</w:t>
            </w:r>
          </w:p>
        </w:tc>
        <w:tc>
          <w:tcPr>
            <w:tcW w:w="2175" w:type="dxa"/>
            <w:tcMar/>
          </w:tcPr>
          <w:p w:rsidR="3516E18C" w:rsidP="3516E18C" w:rsidRDefault="3516E18C" w14:paraId="00DCDF0F" w14:textId="566C4EFB">
            <w:pPr>
              <w:rPr>
                <w:rFonts w:ascii="Calibri" w:hAnsi="Calibri" w:eastAsia="Calibri"/>
                <w:sz w:val="22"/>
                <w:szCs w:val="22"/>
              </w:rPr>
            </w:pPr>
            <w:r w:rsidRPr="3516E18C" w:rsidR="3516E18C">
              <w:rPr>
                <w:rFonts w:ascii="Calibri" w:hAnsi="Calibri" w:eastAsia="Calibri"/>
                <w:sz w:val="22"/>
                <w:szCs w:val="22"/>
              </w:rPr>
              <w:t>Recovery Time Objective</w:t>
            </w:r>
          </w:p>
        </w:tc>
        <w:tc>
          <w:tcPr>
            <w:tcW w:w="5805" w:type="dxa"/>
            <w:tcMar/>
          </w:tcPr>
          <w:p w:rsidR="3516E18C" w:rsidP="3516E18C" w:rsidRDefault="3516E18C" w14:paraId="088EDAD8" w14:textId="6473B291">
            <w:pPr>
              <w:rPr>
                <w:rFonts w:ascii="Calibri" w:hAnsi="Calibri" w:eastAsia="Calibri"/>
                <w:sz w:val="22"/>
                <w:szCs w:val="22"/>
              </w:rPr>
            </w:pPr>
            <w:r w:rsidRPr="3516E18C" w:rsidR="3516E18C">
              <w:rPr>
                <w:rFonts w:ascii="Calibri" w:hAnsi="Calibri" w:eastAsia="Calibri"/>
                <w:sz w:val="22"/>
                <w:szCs w:val="22"/>
              </w:rPr>
              <w:t xml:space="preserve">Maximum tolerable downtime for a critical business function. Stored as </w:t>
            </w:r>
            <w:r w:rsidRPr="3516E18C" w:rsidR="3516E18C">
              <w:rPr>
                <w:rFonts w:ascii="Calibri" w:hAnsi="Calibri" w:eastAsia="Calibri"/>
                <w:sz w:val="22"/>
                <w:szCs w:val="22"/>
              </w:rPr>
              <w:t>businessFunctions.rto</w:t>
            </w:r>
            <w:r w:rsidRPr="3516E18C" w:rsidR="3516E18C">
              <w:rPr>
                <w:rFonts w:ascii="Calibri" w:hAnsi="Calibri" w:eastAsia="Calibri"/>
                <w:sz w:val="22"/>
                <w:szCs w:val="22"/>
              </w:rPr>
              <w:t xml:space="preserve"> (integer, minutes), mapped to EBA column RT.06.01.0090, and validated by VR range rules in the engine.</w:t>
            </w:r>
          </w:p>
        </w:tc>
      </w:tr>
      <w:tr w:rsidR="3516E18C" w:rsidTr="3516E18C" w14:paraId="42F9A53E">
        <w:trPr>
          <w:trHeight w:val="300"/>
        </w:trPr>
        <w:tc>
          <w:tcPr>
            <w:tcW w:w="1140" w:type="dxa"/>
            <w:tcMar/>
          </w:tcPr>
          <w:p w:rsidR="3516E18C" w:rsidP="3516E18C" w:rsidRDefault="3516E18C" w14:paraId="4954D645" w14:textId="2CAB1391">
            <w:pPr>
              <w:rPr>
                <w:rFonts w:ascii="Calibri" w:hAnsi="Calibri" w:eastAsia="Calibri"/>
                <w:b w:val="1"/>
                <w:bCs w:val="1"/>
                <w:sz w:val="22"/>
                <w:szCs w:val="22"/>
              </w:rPr>
            </w:pPr>
            <w:r w:rsidRPr="3516E18C" w:rsidR="3516E18C">
              <w:rPr>
                <w:rFonts w:ascii="Calibri" w:hAnsi="Calibri" w:eastAsia="Calibri"/>
                <w:b w:val="1"/>
                <w:bCs w:val="1"/>
                <w:sz w:val="22"/>
                <w:szCs w:val="22"/>
              </w:rPr>
              <w:t>RPO</w:t>
            </w:r>
          </w:p>
        </w:tc>
        <w:tc>
          <w:tcPr>
            <w:tcW w:w="2175" w:type="dxa"/>
            <w:tcMar/>
          </w:tcPr>
          <w:p w:rsidR="3516E18C" w:rsidP="3516E18C" w:rsidRDefault="3516E18C" w14:paraId="6BA9E3A4" w14:textId="21EC4997">
            <w:pPr>
              <w:rPr>
                <w:rFonts w:ascii="Calibri" w:hAnsi="Calibri" w:eastAsia="Calibri"/>
                <w:sz w:val="22"/>
                <w:szCs w:val="22"/>
              </w:rPr>
            </w:pPr>
            <w:r w:rsidRPr="3516E18C" w:rsidR="3516E18C">
              <w:rPr>
                <w:rFonts w:ascii="Calibri" w:hAnsi="Calibri" w:eastAsia="Calibri"/>
                <w:sz w:val="22"/>
                <w:szCs w:val="22"/>
              </w:rPr>
              <w:t>Recovery Point Objective</w:t>
            </w:r>
          </w:p>
        </w:tc>
        <w:tc>
          <w:tcPr>
            <w:tcW w:w="5805" w:type="dxa"/>
            <w:tcMar/>
          </w:tcPr>
          <w:p w:rsidR="3516E18C" w:rsidP="3516E18C" w:rsidRDefault="3516E18C" w14:paraId="69CA3808" w14:textId="25529578">
            <w:pPr>
              <w:rPr>
                <w:rFonts w:ascii="Calibri" w:hAnsi="Calibri" w:eastAsia="Calibri"/>
                <w:sz w:val="22"/>
                <w:szCs w:val="22"/>
              </w:rPr>
            </w:pPr>
            <w:r w:rsidRPr="3516E18C" w:rsidR="3516E18C">
              <w:rPr>
                <w:rFonts w:ascii="Calibri" w:hAnsi="Calibri" w:eastAsia="Calibri"/>
                <w:sz w:val="22"/>
                <w:szCs w:val="22"/>
              </w:rPr>
              <w:t xml:space="preserve">Maximum tolerable data loss window. Stored as </w:t>
            </w:r>
            <w:r w:rsidRPr="3516E18C" w:rsidR="3516E18C">
              <w:rPr>
                <w:rFonts w:ascii="Calibri" w:hAnsi="Calibri" w:eastAsia="Calibri"/>
                <w:sz w:val="22"/>
                <w:szCs w:val="22"/>
              </w:rPr>
              <w:t>businessFunctions.rpo</w:t>
            </w:r>
            <w:r w:rsidRPr="3516E18C" w:rsidR="3516E18C">
              <w:rPr>
                <w:rFonts w:ascii="Calibri" w:hAnsi="Calibri" w:eastAsia="Calibri"/>
                <w:sz w:val="22"/>
                <w:szCs w:val="22"/>
              </w:rPr>
              <w:t xml:space="preserve"> (integer, minutes), mapped to EBA column RT.06.01.0100.</w:t>
            </w:r>
          </w:p>
        </w:tc>
      </w:tr>
    </w:tbl>
    <w:p w:rsidR="00BD2851" w:rsidP="3516E18C" w:rsidRDefault="00BD2851" w14:paraId="646D3A99" w14:textId="55ECC632">
      <w:pPr>
        <w:rPr>
          <w:rFonts w:ascii="Calibri" w:hAnsi="Calibri" w:eastAsia="Calibri"/>
          <w:sz w:val="22"/>
          <w:szCs w:val="22"/>
        </w:rPr>
      </w:pPr>
    </w:p>
    <w:p w:rsidR="00BD2851" w:rsidP="3516E18C" w:rsidRDefault="00BD2851" w14:paraId="238DF829" w14:textId="63A3A1EC">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Section C — Data &amp; Engineering</w:t>
      </w:r>
    </w:p>
    <w:tbl>
      <w:tblPr>
        <w:tblStyle w:val="TableGrid"/>
        <w:bidiVisual w:val="0"/>
        <w:tblW w:w="0" w:type="auto"/>
        <w:tblLook w:val="06A0" w:firstRow="1" w:lastRow="0" w:firstColumn="1" w:lastColumn="0" w:noHBand="1" w:noVBand="1"/>
      </w:tblPr>
      <w:tblGrid>
        <w:gridCol w:w="1230"/>
        <w:gridCol w:w="2280"/>
        <w:gridCol w:w="5610"/>
      </w:tblGrid>
      <w:tr w:rsidR="3516E18C" w:rsidTr="3516E18C" w14:paraId="312E6E86">
        <w:trPr>
          <w:trHeight w:val="300"/>
        </w:trPr>
        <w:tc>
          <w:tcPr>
            <w:tcW w:w="1230" w:type="dxa"/>
            <w:tcMar/>
          </w:tcPr>
          <w:p w:rsidR="3516E18C" w:rsidP="3516E18C" w:rsidRDefault="3516E18C" w14:paraId="1679EE0B" w14:textId="2F990EE5">
            <w:pPr>
              <w:rPr>
                <w:rFonts w:ascii="Calibri" w:hAnsi="Calibri" w:eastAsia="Calibri"/>
                <w:b w:val="1"/>
                <w:bCs w:val="1"/>
                <w:sz w:val="22"/>
                <w:szCs w:val="22"/>
              </w:rPr>
            </w:pPr>
            <w:r w:rsidRPr="3516E18C" w:rsidR="3516E18C">
              <w:rPr>
                <w:rFonts w:ascii="Calibri" w:hAnsi="Calibri" w:eastAsia="Calibri"/>
                <w:b w:val="1"/>
                <w:bCs w:val="1"/>
                <w:sz w:val="22"/>
                <w:szCs w:val="22"/>
              </w:rPr>
              <w:t>Acronym</w:t>
            </w:r>
          </w:p>
        </w:tc>
        <w:tc>
          <w:tcPr>
            <w:tcW w:w="2280" w:type="dxa"/>
            <w:tcMar/>
          </w:tcPr>
          <w:p w:rsidR="3516E18C" w:rsidP="3516E18C" w:rsidRDefault="3516E18C" w14:paraId="4FDBC108" w14:textId="0ED806BA">
            <w:pPr>
              <w:rPr>
                <w:rFonts w:ascii="Calibri" w:hAnsi="Calibri" w:eastAsia="Calibri"/>
                <w:b w:val="1"/>
                <w:bCs w:val="1"/>
                <w:sz w:val="22"/>
                <w:szCs w:val="22"/>
              </w:rPr>
            </w:pPr>
            <w:r w:rsidRPr="3516E18C" w:rsidR="3516E18C">
              <w:rPr>
                <w:rFonts w:ascii="Calibri" w:hAnsi="Calibri" w:eastAsia="Calibri"/>
                <w:b w:val="1"/>
                <w:bCs w:val="1"/>
                <w:sz w:val="22"/>
                <w:szCs w:val="22"/>
              </w:rPr>
              <w:t>Full Term</w:t>
            </w:r>
          </w:p>
        </w:tc>
        <w:tc>
          <w:tcPr>
            <w:tcW w:w="5610" w:type="dxa"/>
            <w:tcMar/>
          </w:tcPr>
          <w:p w:rsidR="3516E18C" w:rsidP="3516E18C" w:rsidRDefault="3516E18C" w14:paraId="1C8F64C2" w14:textId="16AE0062">
            <w:pPr>
              <w:rPr>
                <w:rFonts w:ascii="Calibri" w:hAnsi="Calibri" w:eastAsia="Calibri"/>
                <w:b w:val="1"/>
                <w:bCs w:val="1"/>
                <w:sz w:val="22"/>
                <w:szCs w:val="22"/>
              </w:rPr>
            </w:pPr>
            <w:r w:rsidRPr="3516E18C" w:rsidR="3516E18C">
              <w:rPr>
                <w:rFonts w:ascii="Calibri" w:hAnsi="Calibri" w:eastAsia="Calibri"/>
                <w:b w:val="1"/>
                <w:bCs w:val="1"/>
                <w:sz w:val="22"/>
                <w:szCs w:val="22"/>
              </w:rPr>
              <w:t>Definition</w:t>
            </w:r>
          </w:p>
        </w:tc>
      </w:tr>
      <w:tr w:rsidR="3516E18C" w:rsidTr="3516E18C" w14:paraId="25653B92">
        <w:trPr>
          <w:trHeight w:val="300"/>
        </w:trPr>
        <w:tc>
          <w:tcPr>
            <w:tcW w:w="1230" w:type="dxa"/>
            <w:tcMar/>
          </w:tcPr>
          <w:p w:rsidR="3516E18C" w:rsidP="3516E18C" w:rsidRDefault="3516E18C" w14:paraId="230C2575" w14:textId="46D10CA1">
            <w:pPr>
              <w:rPr>
                <w:rFonts w:ascii="Calibri" w:hAnsi="Calibri" w:eastAsia="Calibri"/>
                <w:b w:val="1"/>
                <w:bCs w:val="1"/>
                <w:sz w:val="22"/>
                <w:szCs w:val="22"/>
              </w:rPr>
            </w:pPr>
            <w:r w:rsidRPr="3516E18C" w:rsidR="3516E18C">
              <w:rPr>
                <w:rFonts w:ascii="Calibri" w:hAnsi="Calibri" w:eastAsia="Calibri"/>
                <w:b w:val="1"/>
                <w:bCs w:val="1"/>
                <w:sz w:val="22"/>
                <w:szCs w:val="22"/>
              </w:rPr>
              <w:t>XBRL</w:t>
            </w:r>
          </w:p>
        </w:tc>
        <w:tc>
          <w:tcPr>
            <w:tcW w:w="2280" w:type="dxa"/>
            <w:tcMar/>
          </w:tcPr>
          <w:p w:rsidR="3516E18C" w:rsidP="3516E18C" w:rsidRDefault="3516E18C" w14:paraId="694C055E" w14:textId="52D6A086">
            <w:pPr>
              <w:rPr>
                <w:rFonts w:ascii="Calibri" w:hAnsi="Calibri" w:eastAsia="Calibri"/>
                <w:sz w:val="22"/>
                <w:szCs w:val="22"/>
              </w:rPr>
            </w:pPr>
            <w:r w:rsidRPr="3516E18C" w:rsidR="3516E18C">
              <w:rPr>
                <w:rFonts w:ascii="Calibri" w:hAnsi="Calibri" w:eastAsia="Calibri"/>
                <w:sz w:val="22"/>
                <w:szCs w:val="22"/>
              </w:rPr>
              <w:t>eXtensible Business Reporting Language</w:t>
            </w:r>
          </w:p>
        </w:tc>
        <w:tc>
          <w:tcPr>
            <w:tcW w:w="5610" w:type="dxa"/>
            <w:tcMar/>
          </w:tcPr>
          <w:p w:rsidR="3516E18C" w:rsidP="3516E18C" w:rsidRDefault="3516E18C" w14:paraId="4E6DF941" w14:textId="19071B2E">
            <w:pPr>
              <w:rPr>
                <w:rFonts w:ascii="Calibri" w:hAnsi="Calibri" w:eastAsia="Calibri"/>
                <w:sz w:val="22"/>
                <w:szCs w:val="22"/>
              </w:rPr>
            </w:pPr>
            <w:r w:rsidRPr="3516E18C" w:rsidR="3516E18C">
              <w:rPr>
                <w:rFonts w:ascii="Calibri" w:hAnsi="Calibri" w:eastAsia="Calibri"/>
                <w:sz w:val="22"/>
                <w:szCs w:val="22"/>
              </w:rPr>
              <w:t xml:space="preserve">The structured, taxonomy-driven reporting language mandated for official RoI submissions. The platform implements XBRL OIM-CSV format: a ZIP archive with one CSV per EBA sub-template and a </w:t>
            </w:r>
            <w:r w:rsidRPr="3516E18C" w:rsidR="3516E18C">
              <w:rPr>
                <w:rFonts w:ascii="Calibri" w:hAnsi="Calibri" w:eastAsia="Calibri"/>
                <w:sz w:val="22"/>
                <w:szCs w:val="22"/>
              </w:rPr>
              <w:t>metadata.json</w:t>
            </w:r>
            <w:r w:rsidRPr="3516E18C" w:rsidR="3516E18C">
              <w:rPr>
                <w:rFonts w:ascii="Calibri" w:hAnsi="Calibri" w:eastAsia="Calibri"/>
                <w:sz w:val="22"/>
                <w:szCs w:val="22"/>
              </w:rPr>
              <w:t xml:space="preserve"> descriptor.</w:t>
            </w:r>
          </w:p>
        </w:tc>
      </w:tr>
      <w:tr w:rsidR="3516E18C" w:rsidTr="3516E18C" w14:paraId="639496A1">
        <w:trPr>
          <w:trHeight w:val="300"/>
        </w:trPr>
        <w:tc>
          <w:tcPr>
            <w:tcW w:w="1230" w:type="dxa"/>
            <w:tcMar/>
          </w:tcPr>
          <w:p w:rsidR="3516E18C" w:rsidP="3516E18C" w:rsidRDefault="3516E18C" w14:paraId="736770C5" w14:textId="1460FD8B">
            <w:pPr>
              <w:rPr>
                <w:rFonts w:ascii="Calibri" w:hAnsi="Calibri" w:eastAsia="Calibri"/>
                <w:b w:val="1"/>
                <w:bCs w:val="1"/>
                <w:sz w:val="22"/>
                <w:szCs w:val="22"/>
              </w:rPr>
            </w:pPr>
            <w:r w:rsidRPr="3516E18C" w:rsidR="3516E18C">
              <w:rPr>
                <w:rFonts w:ascii="Calibri" w:hAnsi="Calibri" w:eastAsia="Calibri"/>
                <w:b w:val="1"/>
                <w:bCs w:val="1"/>
                <w:sz w:val="22"/>
                <w:szCs w:val="22"/>
              </w:rPr>
              <w:t>OIM-CSV</w:t>
            </w:r>
          </w:p>
        </w:tc>
        <w:tc>
          <w:tcPr>
            <w:tcW w:w="2280" w:type="dxa"/>
            <w:tcMar/>
          </w:tcPr>
          <w:p w:rsidR="3516E18C" w:rsidP="3516E18C" w:rsidRDefault="3516E18C" w14:paraId="1CC04F12" w14:textId="76776075">
            <w:pPr>
              <w:rPr>
                <w:rFonts w:ascii="Calibri" w:hAnsi="Calibri" w:eastAsia="Calibri"/>
                <w:sz w:val="22"/>
                <w:szCs w:val="22"/>
              </w:rPr>
            </w:pPr>
            <w:r w:rsidRPr="3516E18C" w:rsidR="3516E18C">
              <w:rPr>
                <w:rFonts w:ascii="Calibri" w:hAnsi="Calibri" w:eastAsia="Calibri"/>
                <w:sz w:val="22"/>
                <w:szCs w:val="22"/>
              </w:rPr>
              <w:t>Open Information Model – CSV</w:t>
            </w:r>
          </w:p>
        </w:tc>
        <w:tc>
          <w:tcPr>
            <w:tcW w:w="5610" w:type="dxa"/>
            <w:tcMar/>
          </w:tcPr>
          <w:p w:rsidR="3516E18C" w:rsidP="3516E18C" w:rsidRDefault="3516E18C" w14:paraId="567168FD" w14:textId="1A49A330">
            <w:pPr>
              <w:rPr>
                <w:rFonts w:ascii="Calibri" w:hAnsi="Calibri" w:eastAsia="Calibri"/>
                <w:sz w:val="22"/>
                <w:szCs w:val="22"/>
              </w:rPr>
            </w:pPr>
            <w:r w:rsidRPr="3516E18C" w:rsidR="3516E18C">
              <w:rPr>
                <w:rFonts w:ascii="Calibri" w:hAnsi="Calibri" w:eastAsia="Calibri"/>
                <w:sz w:val="22"/>
                <w:szCs w:val="22"/>
              </w:rPr>
              <w:t xml:space="preserve">The specific XBRL serialisation format for DORA RoI submissions. Files named </w:t>
            </w:r>
            <w:r w:rsidRPr="3516E18C" w:rsidR="3516E18C">
              <w:rPr>
                <w:rFonts w:ascii="Calibri" w:hAnsi="Calibri" w:eastAsia="Calibri"/>
                <w:sz w:val="22"/>
                <w:szCs w:val="22"/>
              </w:rPr>
              <w:t>RT0101.csv</w:t>
            </w:r>
            <w:r w:rsidRPr="3516E18C" w:rsidR="3516E18C">
              <w:rPr>
                <w:rFonts w:ascii="Calibri" w:hAnsi="Calibri" w:eastAsia="Calibri"/>
                <w:sz w:val="22"/>
                <w:szCs w:val="22"/>
              </w:rPr>
              <w:t xml:space="preserve"> etc., generated by the platform's </w:t>
            </w:r>
            <w:r w:rsidRPr="3516E18C" w:rsidR="3516E18C">
              <w:rPr>
                <w:rFonts w:ascii="Calibri" w:hAnsi="Calibri" w:eastAsia="Calibri"/>
                <w:sz w:val="22"/>
                <w:szCs w:val="22"/>
              </w:rPr>
              <w:t>RoiExportModule</w:t>
            </w:r>
            <w:r w:rsidRPr="3516E18C" w:rsidR="3516E18C">
              <w:rPr>
                <w:rFonts w:ascii="Calibri" w:hAnsi="Calibri" w:eastAsia="Calibri"/>
                <w:sz w:val="22"/>
                <w:szCs w:val="22"/>
              </w:rPr>
              <w:t xml:space="preserve"> via the </w:t>
            </w:r>
            <w:r w:rsidRPr="3516E18C" w:rsidR="3516E18C">
              <w:rPr>
                <w:rFonts w:ascii="Calibri" w:hAnsi="Calibri" w:eastAsia="Calibri"/>
                <w:sz w:val="22"/>
                <w:szCs w:val="22"/>
              </w:rPr>
              <w:t>archiver</w:t>
            </w:r>
            <w:r w:rsidRPr="3516E18C" w:rsidR="3516E18C">
              <w:rPr>
                <w:rFonts w:ascii="Calibri" w:hAnsi="Calibri" w:eastAsia="Calibri"/>
                <w:sz w:val="22"/>
                <w:szCs w:val="22"/>
              </w:rPr>
              <w:t xml:space="preserve"> library, producing a ZIP with 13 template CSV files.</w:t>
            </w:r>
          </w:p>
        </w:tc>
      </w:tr>
      <w:tr w:rsidR="3516E18C" w:rsidTr="3516E18C" w14:paraId="0017278C">
        <w:trPr>
          <w:trHeight w:val="300"/>
        </w:trPr>
        <w:tc>
          <w:tcPr>
            <w:tcW w:w="1230" w:type="dxa"/>
            <w:tcMar/>
          </w:tcPr>
          <w:p w:rsidR="3516E18C" w:rsidP="3516E18C" w:rsidRDefault="3516E18C" w14:paraId="23B6F057" w14:textId="69B5C449">
            <w:pPr>
              <w:rPr>
                <w:rFonts w:ascii="Calibri" w:hAnsi="Calibri" w:eastAsia="Calibri"/>
                <w:b w:val="1"/>
                <w:bCs w:val="1"/>
                <w:sz w:val="22"/>
                <w:szCs w:val="22"/>
              </w:rPr>
            </w:pPr>
            <w:r w:rsidRPr="3516E18C" w:rsidR="3516E18C">
              <w:rPr>
                <w:rFonts w:ascii="Calibri" w:hAnsi="Calibri" w:eastAsia="Calibri"/>
                <w:b w:val="1"/>
                <w:bCs w:val="1"/>
                <w:sz w:val="22"/>
                <w:szCs w:val="22"/>
              </w:rPr>
              <w:t>RaC</w:t>
            </w:r>
          </w:p>
        </w:tc>
        <w:tc>
          <w:tcPr>
            <w:tcW w:w="2280" w:type="dxa"/>
            <w:tcMar/>
          </w:tcPr>
          <w:p w:rsidR="3516E18C" w:rsidP="3516E18C" w:rsidRDefault="3516E18C" w14:paraId="20CEECC4" w14:textId="399ED9AA">
            <w:pPr>
              <w:rPr>
                <w:rFonts w:ascii="Calibri" w:hAnsi="Calibri" w:eastAsia="Calibri"/>
                <w:sz w:val="22"/>
                <w:szCs w:val="22"/>
              </w:rPr>
            </w:pPr>
            <w:r w:rsidRPr="3516E18C" w:rsidR="3516E18C">
              <w:rPr>
                <w:rFonts w:ascii="Calibri" w:hAnsi="Calibri" w:eastAsia="Calibri"/>
                <w:sz w:val="22"/>
                <w:szCs w:val="22"/>
              </w:rPr>
              <w:t>Rules as Code</w:t>
            </w:r>
          </w:p>
        </w:tc>
        <w:tc>
          <w:tcPr>
            <w:tcW w:w="5610" w:type="dxa"/>
            <w:tcMar/>
          </w:tcPr>
          <w:p w:rsidR="3516E18C" w:rsidP="3516E18C" w:rsidRDefault="3516E18C" w14:paraId="1F663F5F" w14:textId="1C2311F0">
            <w:pPr>
              <w:rPr>
                <w:rFonts w:ascii="Calibri" w:hAnsi="Calibri" w:eastAsia="Calibri"/>
                <w:sz w:val="22"/>
                <w:szCs w:val="22"/>
              </w:rPr>
            </w:pPr>
            <w:r w:rsidRPr="3516E18C" w:rsidR="3516E18C">
              <w:rPr>
                <w:rFonts w:ascii="Calibri" w:hAnsi="Calibri" w:eastAsia="Calibri"/>
                <w:sz w:val="22"/>
                <w:szCs w:val="22"/>
              </w:rPr>
              <w:t xml:space="preserve">Encoding regulatory text as machine-executable logic. Operationalised via the </w:t>
            </w:r>
            <w:r w:rsidRPr="3516E18C" w:rsidR="3516E18C">
              <w:rPr>
                <w:rFonts w:ascii="Calibri" w:hAnsi="Calibri" w:eastAsia="Calibri"/>
                <w:sz w:val="22"/>
                <w:szCs w:val="22"/>
              </w:rPr>
              <w:t>validationRules</w:t>
            </w:r>
            <w:r w:rsidRPr="3516E18C" w:rsidR="3516E18C">
              <w:rPr>
                <w:rFonts w:ascii="Calibri" w:hAnsi="Calibri" w:eastAsia="Calibri"/>
                <w:sz w:val="22"/>
                <w:szCs w:val="22"/>
              </w:rPr>
              <w:t xml:space="preserve"> database table: each EBA rule is a declarative record (</w:t>
            </w:r>
            <w:r w:rsidRPr="3516E18C" w:rsidR="3516E18C">
              <w:rPr>
                <w:rFonts w:ascii="Calibri" w:hAnsi="Calibri" w:eastAsia="Calibri"/>
                <w:sz w:val="22"/>
                <w:szCs w:val="22"/>
              </w:rPr>
              <w:t>templateName</w:t>
            </w:r>
            <w:r w:rsidRPr="3516E18C" w:rsidR="3516E18C">
              <w:rPr>
                <w:rFonts w:ascii="Calibri" w:hAnsi="Calibri" w:eastAsia="Calibri"/>
                <w:sz w:val="22"/>
                <w:szCs w:val="22"/>
              </w:rPr>
              <w:t xml:space="preserve">, </w:t>
            </w:r>
            <w:r w:rsidRPr="3516E18C" w:rsidR="3516E18C">
              <w:rPr>
                <w:rFonts w:ascii="Calibri" w:hAnsi="Calibri" w:eastAsia="Calibri"/>
                <w:sz w:val="22"/>
                <w:szCs w:val="22"/>
              </w:rPr>
              <w:t>ruleType</w:t>
            </w:r>
            <w:r w:rsidRPr="3516E18C" w:rsidR="3516E18C">
              <w:rPr>
                <w:rFonts w:ascii="Calibri" w:hAnsi="Calibri" w:eastAsia="Calibri"/>
                <w:sz w:val="22"/>
                <w:szCs w:val="22"/>
              </w:rPr>
              <w:t xml:space="preserve">, </w:t>
            </w:r>
            <w:r w:rsidRPr="3516E18C" w:rsidR="3516E18C">
              <w:rPr>
                <w:rFonts w:ascii="Calibri" w:hAnsi="Calibri" w:eastAsia="Calibri"/>
                <w:sz w:val="22"/>
                <w:szCs w:val="22"/>
              </w:rPr>
              <w:t>ruleValue</w:t>
            </w:r>
            <w:r w:rsidRPr="3516E18C" w:rsidR="3516E18C">
              <w:rPr>
                <w:rFonts w:ascii="Calibri" w:hAnsi="Calibri" w:eastAsia="Calibri"/>
                <w:sz w:val="22"/>
                <w:szCs w:val="22"/>
              </w:rPr>
              <w:t xml:space="preserve">, </w:t>
            </w:r>
            <w:r w:rsidRPr="3516E18C" w:rsidR="3516E18C">
              <w:rPr>
                <w:rFonts w:ascii="Calibri" w:hAnsi="Calibri" w:eastAsia="Calibri"/>
                <w:sz w:val="22"/>
                <w:szCs w:val="22"/>
              </w:rPr>
              <w:t>severity</w:t>
            </w:r>
            <w:r w:rsidRPr="3516E18C" w:rsidR="3516E18C">
              <w:rPr>
                <w:rFonts w:ascii="Calibri" w:hAnsi="Calibri" w:eastAsia="Calibri"/>
                <w:sz w:val="22"/>
                <w:szCs w:val="22"/>
              </w:rPr>
              <w:t xml:space="preserve">) executed at runtime by </w:t>
            </w:r>
            <w:r w:rsidRPr="3516E18C" w:rsidR="3516E18C">
              <w:rPr>
                <w:rFonts w:ascii="Calibri" w:hAnsi="Calibri" w:eastAsia="Calibri"/>
                <w:sz w:val="22"/>
                <w:szCs w:val="22"/>
              </w:rPr>
              <w:t>ValidationService</w:t>
            </w:r>
            <w:r w:rsidRPr="3516E18C" w:rsidR="3516E18C">
              <w:rPr>
                <w:rFonts w:ascii="Calibri" w:hAnsi="Calibri" w:eastAsia="Calibri"/>
                <w:sz w:val="22"/>
                <w:szCs w:val="22"/>
              </w:rPr>
              <w:t>.</w:t>
            </w:r>
          </w:p>
        </w:tc>
      </w:tr>
      <w:tr w:rsidR="3516E18C" w:rsidTr="3516E18C" w14:paraId="35F442CB">
        <w:trPr>
          <w:trHeight w:val="300"/>
        </w:trPr>
        <w:tc>
          <w:tcPr>
            <w:tcW w:w="1230" w:type="dxa"/>
            <w:tcMar/>
          </w:tcPr>
          <w:p w:rsidR="3516E18C" w:rsidP="3516E18C" w:rsidRDefault="3516E18C" w14:paraId="192C04CA" w14:textId="59ABA0D0">
            <w:pPr>
              <w:rPr>
                <w:rFonts w:ascii="Calibri" w:hAnsi="Calibri" w:eastAsia="Calibri"/>
                <w:b w:val="1"/>
                <w:bCs w:val="1"/>
                <w:sz w:val="22"/>
                <w:szCs w:val="22"/>
              </w:rPr>
            </w:pPr>
            <w:r w:rsidRPr="3516E18C" w:rsidR="3516E18C">
              <w:rPr>
                <w:rFonts w:ascii="Calibri" w:hAnsi="Calibri" w:eastAsia="Calibri"/>
                <w:b w:val="1"/>
                <w:bCs w:val="1"/>
                <w:sz w:val="22"/>
                <w:szCs w:val="22"/>
              </w:rPr>
              <w:t>API</w:t>
            </w:r>
          </w:p>
        </w:tc>
        <w:tc>
          <w:tcPr>
            <w:tcW w:w="2280" w:type="dxa"/>
            <w:tcMar/>
          </w:tcPr>
          <w:p w:rsidR="3516E18C" w:rsidP="3516E18C" w:rsidRDefault="3516E18C" w14:paraId="36DB3042" w14:textId="539C911E">
            <w:pPr>
              <w:rPr>
                <w:rFonts w:ascii="Calibri" w:hAnsi="Calibri" w:eastAsia="Calibri"/>
                <w:sz w:val="22"/>
                <w:szCs w:val="22"/>
              </w:rPr>
            </w:pPr>
            <w:r w:rsidRPr="3516E18C" w:rsidR="3516E18C">
              <w:rPr>
                <w:rFonts w:ascii="Calibri" w:hAnsi="Calibri" w:eastAsia="Calibri"/>
                <w:sz w:val="22"/>
                <w:szCs w:val="22"/>
              </w:rPr>
              <w:t>Application Programming Interface</w:t>
            </w:r>
          </w:p>
        </w:tc>
        <w:tc>
          <w:tcPr>
            <w:tcW w:w="5610" w:type="dxa"/>
            <w:tcMar/>
          </w:tcPr>
          <w:p w:rsidR="3516E18C" w:rsidP="3516E18C" w:rsidRDefault="3516E18C" w14:paraId="0F16EF51" w14:textId="3658BE86">
            <w:pPr>
              <w:rPr>
                <w:rFonts w:ascii="Calibri" w:hAnsi="Calibri" w:eastAsia="Calibri"/>
                <w:sz w:val="22"/>
                <w:szCs w:val="22"/>
              </w:rPr>
            </w:pPr>
            <w:r w:rsidRPr="3516E18C" w:rsidR="3516E18C">
              <w:rPr>
                <w:rFonts w:ascii="Calibri" w:hAnsi="Calibri" w:eastAsia="Calibri"/>
                <w:sz w:val="22"/>
                <w:szCs w:val="22"/>
              </w:rPr>
              <w:t xml:space="preserve">The interface through which platform components communicate. All backend endpoints are REST/JSON, versioned under </w:t>
            </w:r>
            <w:r w:rsidRPr="3516E18C" w:rsidR="3516E18C">
              <w:rPr>
                <w:rFonts w:ascii="Calibri" w:hAnsi="Calibri" w:eastAsia="Calibri"/>
                <w:sz w:val="22"/>
                <w:szCs w:val="22"/>
              </w:rPr>
              <w:t>/api/v1</w:t>
            </w:r>
            <w:r w:rsidRPr="3516E18C" w:rsidR="3516E18C">
              <w:rPr>
                <w:rFonts w:ascii="Calibri" w:hAnsi="Calibri" w:eastAsia="Calibri"/>
                <w:sz w:val="22"/>
                <w:szCs w:val="22"/>
              </w:rPr>
              <w:t xml:space="preserve">, documented via Swagger/OpenAPI at </w:t>
            </w:r>
            <w:r w:rsidRPr="3516E18C" w:rsidR="3516E18C">
              <w:rPr>
                <w:rFonts w:ascii="Calibri" w:hAnsi="Calibri" w:eastAsia="Calibri"/>
                <w:sz w:val="22"/>
                <w:szCs w:val="22"/>
              </w:rPr>
              <w:t>/api/docs</w:t>
            </w:r>
            <w:r w:rsidRPr="3516E18C" w:rsidR="3516E18C">
              <w:rPr>
                <w:rFonts w:ascii="Calibri" w:hAnsi="Calibri" w:eastAsia="Calibri"/>
                <w:sz w:val="22"/>
                <w:szCs w:val="22"/>
              </w:rPr>
              <w:t>.</w:t>
            </w:r>
          </w:p>
        </w:tc>
      </w:tr>
      <w:tr w:rsidR="3516E18C" w:rsidTr="3516E18C" w14:paraId="57CF6EC4">
        <w:trPr>
          <w:trHeight w:val="300"/>
        </w:trPr>
        <w:tc>
          <w:tcPr>
            <w:tcW w:w="1230" w:type="dxa"/>
            <w:tcMar/>
          </w:tcPr>
          <w:p w:rsidR="3516E18C" w:rsidP="3516E18C" w:rsidRDefault="3516E18C" w14:paraId="1301CAC2" w14:textId="1798D86B">
            <w:pPr>
              <w:rPr>
                <w:rFonts w:ascii="Calibri" w:hAnsi="Calibri" w:eastAsia="Calibri"/>
                <w:b w:val="1"/>
                <w:bCs w:val="1"/>
                <w:sz w:val="22"/>
                <w:szCs w:val="22"/>
              </w:rPr>
            </w:pPr>
            <w:r w:rsidRPr="3516E18C" w:rsidR="3516E18C">
              <w:rPr>
                <w:rFonts w:ascii="Calibri" w:hAnsi="Calibri" w:eastAsia="Calibri"/>
                <w:b w:val="1"/>
                <w:bCs w:val="1"/>
                <w:sz w:val="22"/>
                <w:szCs w:val="22"/>
              </w:rPr>
              <w:t>LEI</w:t>
            </w:r>
          </w:p>
        </w:tc>
        <w:tc>
          <w:tcPr>
            <w:tcW w:w="2280" w:type="dxa"/>
            <w:tcMar/>
          </w:tcPr>
          <w:p w:rsidR="3516E18C" w:rsidP="3516E18C" w:rsidRDefault="3516E18C" w14:paraId="0F90D797" w14:textId="79609947">
            <w:pPr>
              <w:rPr>
                <w:rFonts w:ascii="Calibri" w:hAnsi="Calibri" w:eastAsia="Calibri"/>
                <w:sz w:val="22"/>
                <w:szCs w:val="22"/>
              </w:rPr>
            </w:pPr>
            <w:r w:rsidRPr="3516E18C" w:rsidR="3516E18C">
              <w:rPr>
                <w:rFonts w:ascii="Calibri" w:hAnsi="Calibri" w:eastAsia="Calibri"/>
                <w:sz w:val="22"/>
                <w:szCs w:val="22"/>
              </w:rPr>
              <w:t>Legal Entity Identifier</w:t>
            </w:r>
          </w:p>
        </w:tc>
        <w:tc>
          <w:tcPr>
            <w:tcW w:w="5610" w:type="dxa"/>
            <w:tcMar/>
          </w:tcPr>
          <w:p w:rsidR="3516E18C" w:rsidP="3516E18C" w:rsidRDefault="3516E18C" w14:paraId="1A614AB5" w14:textId="52563CF9">
            <w:pPr>
              <w:rPr>
                <w:rFonts w:ascii="Calibri" w:hAnsi="Calibri" w:eastAsia="Calibri"/>
                <w:sz w:val="22"/>
                <w:szCs w:val="22"/>
              </w:rPr>
            </w:pPr>
            <w:r w:rsidRPr="3516E18C" w:rsidR="3516E18C">
              <w:rPr>
                <w:rFonts w:ascii="Calibri" w:hAnsi="Calibri" w:eastAsia="Calibri"/>
                <w:sz w:val="22"/>
                <w:szCs w:val="22"/>
              </w:rPr>
              <w:t xml:space="preserve">A 20-character ISO 17442 code that uniquely identifies legal entities globally. The primary identifier throughout the DORA RoI. Stored as </w:t>
            </w:r>
            <w:r w:rsidRPr="3516E18C" w:rsidR="3516E18C">
              <w:rPr>
                <w:rFonts w:ascii="Calibri" w:hAnsi="Calibri" w:eastAsia="Calibri"/>
                <w:sz w:val="22"/>
                <w:szCs w:val="22"/>
              </w:rPr>
              <w:t>CHAR(20)</w:t>
            </w:r>
            <w:r w:rsidRPr="3516E18C" w:rsidR="3516E18C">
              <w:rPr>
                <w:rFonts w:ascii="Calibri" w:hAnsi="Calibri" w:eastAsia="Calibri"/>
                <w:sz w:val="22"/>
                <w:szCs w:val="22"/>
              </w:rPr>
              <w:t xml:space="preserve"> in </w:t>
            </w:r>
            <w:r w:rsidRPr="3516E18C" w:rsidR="3516E18C">
              <w:rPr>
                <w:rFonts w:ascii="Calibri" w:hAnsi="Calibri" w:eastAsia="Calibri"/>
                <w:sz w:val="22"/>
                <w:szCs w:val="22"/>
              </w:rPr>
              <w:t>financialEntities</w:t>
            </w:r>
            <w:r w:rsidRPr="3516E18C" w:rsidR="3516E18C">
              <w:rPr>
                <w:rFonts w:ascii="Calibri" w:hAnsi="Calibri" w:eastAsia="Calibri"/>
                <w:sz w:val="22"/>
                <w:szCs w:val="22"/>
              </w:rPr>
              <w:t xml:space="preserve"> and </w:t>
            </w:r>
            <w:r w:rsidRPr="3516E18C" w:rsidR="3516E18C">
              <w:rPr>
                <w:rFonts w:ascii="Calibri" w:hAnsi="Calibri" w:eastAsia="Calibri"/>
                <w:sz w:val="22"/>
                <w:szCs w:val="22"/>
              </w:rPr>
              <w:t>ictProviders</w:t>
            </w:r>
            <w:r w:rsidRPr="3516E18C" w:rsidR="3516E18C">
              <w:rPr>
                <w:rFonts w:ascii="Calibri" w:hAnsi="Calibri" w:eastAsia="Calibri"/>
                <w:sz w:val="22"/>
                <w:szCs w:val="22"/>
              </w:rPr>
              <w:t xml:space="preserve"> tables; validated by dedicated format rules (e.g., VR01, VR60).</w:t>
            </w:r>
          </w:p>
        </w:tc>
      </w:tr>
      <w:tr w:rsidR="3516E18C" w:rsidTr="3516E18C" w14:paraId="7EDC0CAA">
        <w:trPr>
          <w:trHeight w:val="300"/>
        </w:trPr>
        <w:tc>
          <w:tcPr>
            <w:tcW w:w="1230" w:type="dxa"/>
            <w:tcMar/>
          </w:tcPr>
          <w:p w:rsidR="3516E18C" w:rsidP="3516E18C" w:rsidRDefault="3516E18C" w14:paraId="36A9C7D5" w14:textId="35F45B3A">
            <w:pPr>
              <w:rPr>
                <w:rFonts w:ascii="Calibri" w:hAnsi="Calibri" w:eastAsia="Calibri"/>
                <w:b w:val="1"/>
                <w:bCs w:val="1"/>
                <w:sz w:val="22"/>
                <w:szCs w:val="22"/>
              </w:rPr>
            </w:pPr>
            <w:r w:rsidRPr="3516E18C" w:rsidR="3516E18C">
              <w:rPr>
                <w:rFonts w:ascii="Calibri" w:hAnsi="Calibri" w:eastAsia="Calibri"/>
                <w:b w:val="1"/>
                <w:bCs w:val="1"/>
                <w:sz w:val="22"/>
                <w:szCs w:val="22"/>
              </w:rPr>
              <w:t>JSON</w:t>
            </w:r>
          </w:p>
        </w:tc>
        <w:tc>
          <w:tcPr>
            <w:tcW w:w="2280" w:type="dxa"/>
            <w:tcMar/>
          </w:tcPr>
          <w:p w:rsidR="3516E18C" w:rsidP="3516E18C" w:rsidRDefault="3516E18C" w14:paraId="774E85AD" w14:textId="5BFE4612">
            <w:pPr>
              <w:rPr>
                <w:rFonts w:ascii="Calibri" w:hAnsi="Calibri" w:eastAsia="Calibri"/>
                <w:sz w:val="22"/>
                <w:szCs w:val="22"/>
              </w:rPr>
            </w:pPr>
            <w:r w:rsidRPr="3516E18C" w:rsidR="3516E18C">
              <w:rPr>
                <w:rFonts w:ascii="Calibri" w:hAnsi="Calibri" w:eastAsia="Calibri"/>
                <w:sz w:val="22"/>
                <w:szCs w:val="22"/>
              </w:rPr>
              <w:t>JavaScript Object Notation</w:t>
            </w:r>
          </w:p>
        </w:tc>
        <w:tc>
          <w:tcPr>
            <w:tcW w:w="5610" w:type="dxa"/>
            <w:tcMar/>
          </w:tcPr>
          <w:p w:rsidR="3516E18C" w:rsidP="3516E18C" w:rsidRDefault="3516E18C" w14:paraId="2FEF9DCD" w14:textId="335ED77B">
            <w:pPr>
              <w:rPr>
                <w:rFonts w:ascii="Calibri" w:hAnsi="Calibri" w:eastAsia="Calibri"/>
                <w:sz w:val="22"/>
                <w:szCs w:val="22"/>
              </w:rPr>
            </w:pPr>
            <w:r w:rsidRPr="3516E18C" w:rsidR="3516E18C">
              <w:rPr>
                <w:rFonts w:ascii="Calibri" w:hAnsi="Calibri" w:eastAsia="Calibri"/>
                <w:sz w:val="22"/>
                <w:szCs w:val="22"/>
              </w:rPr>
              <w:t>The data interchange format for all API payloads and PostgreSQL JSONB columns (</w:t>
            </w:r>
            <w:r w:rsidRPr="3516E18C" w:rsidR="3516E18C">
              <w:rPr>
                <w:rFonts w:ascii="Calibri" w:hAnsi="Calibri" w:eastAsia="Calibri"/>
                <w:sz w:val="22"/>
                <w:szCs w:val="22"/>
              </w:rPr>
              <w:t>validationRuns.results</w:t>
            </w:r>
            <w:r w:rsidRPr="3516E18C" w:rsidR="3516E18C">
              <w:rPr>
                <w:rFonts w:ascii="Calibri" w:hAnsi="Calibri" w:eastAsia="Calibri"/>
                <w:sz w:val="22"/>
                <w:szCs w:val="22"/>
              </w:rPr>
              <w:t xml:space="preserve">, </w:t>
            </w:r>
            <w:r w:rsidRPr="3516E18C" w:rsidR="3516E18C">
              <w:rPr>
                <w:rFonts w:ascii="Calibri" w:hAnsi="Calibri" w:eastAsia="Calibri"/>
                <w:sz w:val="22"/>
                <w:szCs w:val="22"/>
              </w:rPr>
              <w:t>auditLogs.oldValues</w:t>
            </w:r>
            <w:r w:rsidRPr="3516E18C" w:rsidR="3516E18C">
              <w:rPr>
                <w:rFonts w:ascii="Calibri" w:hAnsi="Calibri" w:eastAsia="Calibri"/>
                <w:sz w:val="22"/>
                <w:szCs w:val="22"/>
              </w:rPr>
              <w:t xml:space="preserve">, </w:t>
            </w:r>
            <w:r w:rsidRPr="3516E18C" w:rsidR="3516E18C">
              <w:rPr>
                <w:rFonts w:ascii="Calibri" w:hAnsi="Calibri" w:eastAsia="Calibri"/>
                <w:sz w:val="22"/>
                <w:szCs w:val="22"/>
              </w:rPr>
              <w:t>auditLogs.newValues</w:t>
            </w:r>
            <w:r w:rsidRPr="3516E18C" w:rsidR="3516E18C">
              <w:rPr>
                <w:rFonts w:ascii="Calibri" w:hAnsi="Calibri" w:eastAsia="Calibri"/>
                <w:sz w:val="22"/>
                <w:szCs w:val="22"/>
              </w:rPr>
              <w:t>).</w:t>
            </w:r>
          </w:p>
        </w:tc>
      </w:tr>
      <w:tr w:rsidR="3516E18C" w:rsidTr="3516E18C" w14:paraId="6C97874F">
        <w:trPr>
          <w:trHeight w:val="300"/>
        </w:trPr>
        <w:tc>
          <w:tcPr>
            <w:tcW w:w="1230" w:type="dxa"/>
            <w:tcMar/>
          </w:tcPr>
          <w:p w:rsidR="3516E18C" w:rsidP="3516E18C" w:rsidRDefault="3516E18C" w14:paraId="43D23D16" w14:textId="5802C059">
            <w:pPr>
              <w:rPr>
                <w:rFonts w:ascii="Calibri" w:hAnsi="Calibri" w:eastAsia="Calibri"/>
                <w:b w:val="1"/>
                <w:bCs w:val="1"/>
                <w:sz w:val="22"/>
                <w:szCs w:val="22"/>
              </w:rPr>
            </w:pPr>
            <w:r w:rsidRPr="3516E18C" w:rsidR="3516E18C">
              <w:rPr>
                <w:rFonts w:ascii="Calibri" w:hAnsi="Calibri" w:eastAsia="Calibri"/>
                <w:b w:val="1"/>
                <w:bCs w:val="1"/>
                <w:sz w:val="22"/>
                <w:szCs w:val="22"/>
              </w:rPr>
              <w:t>CRUD</w:t>
            </w:r>
          </w:p>
        </w:tc>
        <w:tc>
          <w:tcPr>
            <w:tcW w:w="2280" w:type="dxa"/>
            <w:tcMar/>
          </w:tcPr>
          <w:p w:rsidR="3516E18C" w:rsidP="3516E18C" w:rsidRDefault="3516E18C" w14:paraId="74E4082B" w14:textId="661DC74F">
            <w:pPr>
              <w:rPr>
                <w:rFonts w:ascii="Calibri" w:hAnsi="Calibri" w:eastAsia="Calibri"/>
                <w:sz w:val="22"/>
                <w:szCs w:val="22"/>
              </w:rPr>
            </w:pPr>
            <w:r w:rsidRPr="3516E18C" w:rsidR="3516E18C">
              <w:rPr>
                <w:rFonts w:ascii="Calibri" w:hAnsi="Calibri" w:eastAsia="Calibri"/>
                <w:sz w:val="22"/>
                <w:szCs w:val="22"/>
              </w:rPr>
              <w:t>Create, Read, Update, Delete</w:t>
            </w:r>
          </w:p>
        </w:tc>
        <w:tc>
          <w:tcPr>
            <w:tcW w:w="5610" w:type="dxa"/>
            <w:tcMar/>
          </w:tcPr>
          <w:p w:rsidR="3516E18C" w:rsidP="3516E18C" w:rsidRDefault="3516E18C" w14:paraId="7D377FFA" w14:textId="2DDC6066">
            <w:pPr>
              <w:rPr>
                <w:rFonts w:ascii="Calibri" w:hAnsi="Calibri" w:eastAsia="Calibri"/>
                <w:sz w:val="22"/>
                <w:szCs w:val="22"/>
              </w:rPr>
            </w:pPr>
            <w:r w:rsidRPr="3516E18C" w:rsidR="3516E18C">
              <w:rPr>
                <w:rFonts w:ascii="Calibri" w:hAnsi="Calibri" w:eastAsia="Calibri"/>
                <w:sz w:val="22"/>
                <w:szCs w:val="22"/>
              </w:rPr>
              <w:t>The four fundamental database operations. The platform implements full CRUD for all 14 domain modules via NestJS controllers backed by Prisma ORM, with role-restricted write access per entity type.</w:t>
            </w:r>
          </w:p>
        </w:tc>
      </w:tr>
      <w:tr w:rsidR="3516E18C" w:rsidTr="3516E18C" w14:paraId="131E7848">
        <w:trPr>
          <w:trHeight w:val="300"/>
        </w:trPr>
        <w:tc>
          <w:tcPr>
            <w:tcW w:w="1230" w:type="dxa"/>
            <w:tcMar/>
          </w:tcPr>
          <w:p w:rsidR="3516E18C" w:rsidP="3516E18C" w:rsidRDefault="3516E18C" w14:paraId="216CB9C6" w14:textId="3BBF86A8">
            <w:pPr>
              <w:rPr>
                <w:rFonts w:ascii="Calibri" w:hAnsi="Calibri" w:eastAsia="Calibri"/>
                <w:b w:val="1"/>
                <w:bCs w:val="1"/>
                <w:sz w:val="22"/>
                <w:szCs w:val="22"/>
              </w:rPr>
            </w:pPr>
            <w:r w:rsidRPr="3516E18C" w:rsidR="3516E18C">
              <w:rPr>
                <w:rFonts w:ascii="Calibri" w:hAnsi="Calibri" w:eastAsia="Calibri"/>
                <w:b w:val="1"/>
                <w:bCs w:val="1"/>
                <w:sz w:val="22"/>
                <w:szCs w:val="22"/>
              </w:rPr>
              <w:t>SDLC</w:t>
            </w:r>
          </w:p>
        </w:tc>
        <w:tc>
          <w:tcPr>
            <w:tcW w:w="2280" w:type="dxa"/>
            <w:tcMar/>
          </w:tcPr>
          <w:p w:rsidR="3516E18C" w:rsidP="3516E18C" w:rsidRDefault="3516E18C" w14:paraId="227CB5B0" w14:textId="46C797D0">
            <w:pPr>
              <w:rPr>
                <w:rFonts w:ascii="Calibri" w:hAnsi="Calibri" w:eastAsia="Calibri"/>
                <w:sz w:val="22"/>
                <w:szCs w:val="22"/>
              </w:rPr>
            </w:pPr>
            <w:r w:rsidRPr="3516E18C" w:rsidR="3516E18C">
              <w:rPr>
                <w:rFonts w:ascii="Calibri" w:hAnsi="Calibri" w:eastAsia="Calibri"/>
                <w:sz w:val="22"/>
                <w:szCs w:val="22"/>
              </w:rPr>
              <w:t>Software Development Life Cycle</w:t>
            </w:r>
          </w:p>
        </w:tc>
        <w:tc>
          <w:tcPr>
            <w:tcW w:w="5610" w:type="dxa"/>
            <w:tcMar/>
          </w:tcPr>
          <w:p w:rsidR="3516E18C" w:rsidP="3516E18C" w:rsidRDefault="3516E18C" w14:paraId="35D01D16" w14:textId="7F0ED194">
            <w:pPr>
              <w:rPr>
                <w:rFonts w:ascii="Calibri" w:hAnsi="Calibri" w:eastAsia="Calibri"/>
                <w:sz w:val="22"/>
                <w:szCs w:val="22"/>
              </w:rPr>
            </w:pPr>
            <w:r w:rsidRPr="3516E18C" w:rsidR="3516E18C">
              <w:rPr>
                <w:rFonts w:ascii="Calibri" w:hAnsi="Calibri" w:eastAsia="Calibri"/>
                <w:sz w:val="22"/>
                <w:szCs w:val="22"/>
              </w:rPr>
              <w:t>The structured process for building software. In Chapter 3, the DSR methodology maps to an iterative SDLC across 13 implementation sessions from 17 March to 19 April 2026.</w:t>
            </w:r>
          </w:p>
        </w:tc>
      </w:tr>
      <w:tr w:rsidR="3516E18C" w:rsidTr="3516E18C" w14:paraId="1B204F69">
        <w:trPr>
          <w:trHeight w:val="300"/>
        </w:trPr>
        <w:tc>
          <w:tcPr>
            <w:tcW w:w="1230" w:type="dxa"/>
            <w:tcMar/>
          </w:tcPr>
          <w:p w:rsidR="3516E18C" w:rsidP="3516E18C" w:rsidRDefault="3516E18C" w14:paraId="1E73D194" w14:textId="3D2BEFF8">
            <w:pPr>
              <w:rPr>
                <w:rFonts w:ascii="Calibri" w:hAnsi="Calibri" w:eastAsia="Calibri"/>
                <w:b w:val="1"/>
                <w:bCs w:val="1"/>
                <w:sz w:val="22"/>
                <w:szCs w:val="22"/>
              </w:rPr>
            </w:pPr>
            <w:r w:rsidRPr="3516E18C" w:rsidR="3516E18C">
              <w:rPr>
                <w:rFonts w:ascii="Calibri" w:hAnsi="Calibri" w:eastAsia="Calibri"/>
                <w:b w:val="1"/>
                <w:bCs w:val="1"/>
                <w:sz w:val="22"/>
                <w:szCs w:val="22"/>
              </w:rPr>
              <w:t>ORM</w:t>
            </w:r>
          </w:p>
        </w:tc>
        <w:tc>
          <w:tcPr>
            <w:tcW w:w="2280" w:type="dxa"/>
            <w:tcMar/>
          </w:tcPr>
          <w:p w:rsidR="3516E18C" w:rsidP="3516E18C" w:rsidRDefault="3516E18C" w14:paraId="56B14264" w14:textId="71B04ECD">
            <w:pPr>
              <w:rPr>
                <w:rFonts w:ascii="Calibri" w:hAnsi="Calibri" w:eastAsia="Calibri"/>
                <w:sz w:val="22"/>
                <w:szCs w:val="22"/>
              </w:rPr>
            </w:pPr>
            <w:r w:rsidRPr="3516E18C" w:rsidR="3516E18C">
              <w:rPr>
                <w:rFonts w:ascii="Calibri" w:hAnsi="Calibri" w:eastAsia="Calibri"/>
                <w:sz w:val="22"/>
                <w:szCs w:val="22"/>
              </w:rPr>
              <w:t>Object-Relational Mapper</w:t>
            </w:r>
          </w:p>
        </w:tc>
        <w:tc>
          <w:tcPr>
            <w:tcW w:w="5610" w:type="dxa"/>
            <w:tcMar/>
          </w:tcPr>
          <w:p w:rsidR="3516E18C" w:rsidP="3516E18C" w:rsidRDefault="3516E18C" w14:paraId="07278604" w14:textId="676754D3">
            <w:pPr>
              <w:rPr>
                <w:rFonts w:ascii="Calibri" w:hAnsi="Calibri" w:eastAsia="Calibri"/>
                <w:sz w:val="22"/>
                <w:szCs w:val="22"/>
              </w:rPr>
            </w:pPr>
            <w:r w:rsidRPr="3516E18C" w:rsidR="3516E18C">
              <w:rPr>
                <w:rFonts w:ascii="Calibri" w:hAnsi="Calibri" w:eastAsia="Calibri"/>
                <w:sz w:val="22"/>
                <w:szCs w:val="22"/>
              </w:rPr>
              <w:t xml:space="preserve">A layer mapping database records to typed application objects. The platform uses Prisma 7.5.0 with </w:t>
            </w:r>
            <w:r w:rsidRPr="3516E18C" w:rsidR="3516E18C">
              <w:rPr>
                <w:rFonts w:ascii="Calibri" w:hAnsi="Calibri" w:eastAsia="Calibri"/>
                <w:sz w:val="22"/>
                <w:szCs w:val="22"/>
              </w:rPr>
              <w:t>prisma-adapter-pg</w:t>
            </w:r>
            <w:r w:rsidRPr="3516E18C" w:rsidR="3516E18C">
              <w:rPr>
                <w:rFonts w:ascii="Calibri" w:hAnsi="Calibri" w:eastAsia="Calibri"/>
                <w:sz w:val="22"/>
                <w:szCs w:val="22"/>
              </w:rPr>
              <w:t>. All domain queries are type-safe Prisma client calls except parameterised raw SQL in the validation engine.</w:t>
            </w:r>
          </w:p>
        </w:tc>
      </w:tr>
      <w:tr w:rsidR="3516E18C" w:rsidTr="3516E18C" w14:paraId="27B21DBF">
        <w:trPr>
          <w:trHeight w:val="300"/>
        </w:trPr>
        <w:tc>
          <w:tcPr>
            <w:tcW w:w="1230" w:type="dxa"/>
            <w:tcMar/>
          </w:tcPr>
          <w:p w:rsidR="3516E18C" w:rsidP="3516E18C" w:rsidRDefault="3516E18C" w14:paraId="12CE28B3" w14:textId="165A6BE0">
            <w:pPr>
              <w:rPr>
                <w:rFonts w:ascii="Calibri" w:hAnsi="Calibri" w:eastAsia="Calibri"/>
                <w:b w:val="1"/>
                <w:bCs w:val="1"/>
                <w:sz w:val="22"/>
                <w:szCs w:val="22"/>
              </w:rPr>
            </w:pPr>
            <w:r w:rsidRPr="3516E18C" w:rsidR="3516E18C">
              <w:rPr>
                <w:rFonts w:ascii="Calibri" w:hAnsi="Calibri" w:eastAsia="Calibri"/>
                <w:b w:val="1"/>
                <w:bCs w:val="1"/>
                <w:sz w:val="22"/>
                <w:szCs w:val="22"/>
              </w:rPr>
              <w:t>SPA</w:t>
            </w:r>
          </w:p>
        </w:tc>
        <w:tc>
          <w:tcPr>
            <w:tcW w:w="2280" w:type="dxa"/>
            <w:tcMar/>
          </w:tcPr>
          <w:p w:rsidR="3516E18C" w:rsidP="3516E18C" w:rsidRDefault="3516E18C" w14:paraId="6E8294E2" w14:textId="1C64565D">
            <w:pPr>
              <w:rPr>
                <w:rFonts w:ascii="Calibri" w:hAnsi="Calibri" w:eastAsia="Calibri"/>
                <w:sz w:val="22"/>
                <w:szCs w:val="22"/>
              </w:rPr>
            </w:pPr>
            <w:r w:rsidRPr="3516E18C" w:rsidR="3516E18C">
              <w:rPr>
                <w:rFonts w:ascii="Calibri" w:hAnsi="Calibri" w:eastAsia="Calibri"/>
                <w:sz w:val="22"/>
                <w:szCs w:val="22"/>
              </w:rPr>
              <w:t>Single-Page Application</w:t>
            </w:r>
          </w:p>
        </w:tc>
        <w:tc>
          <w:tcPr>
            <w:tcW w:w="5610" w:type="dxa"/>
            <w:tcMar/>
          </w:tcPr>
          <w:p w:rsidR="3516E18C" w:rsidP="3516E18C" w:rsidRDefault="3516E18C" w14:paraId="6E39811A" w14:textId="69A99E1C">
            <w:pPr>
              <w:rPr>
                <w:rFonts w:ascii="Calibri" w:hAnsi="Calibri" w:eastAsia="Calibri"/>
                <w:sz w:val="22"/>
                <w:szCs w:val="22"/>
              </w:rPr>
            </w:pPr>
            <w:r w:rsidRPr="3516E18C" w:rsidR="3516E18C">
              <w:rPr>
                <w:rFonts w:ascii="Calibri" w:hAnsi="Calibri" w:eastAsia="Calibri"/>
                <w:sz w:val="22"/>
                <w:szCs w:val="22"/>
              </w:rPr>
              <w:t>A web application where a single HTML page is loaded and content updated dynamically. The DORA SaaS frontend is a React 19 SPA served by Vite 8, communicating with the NestJS backend exclusively via Axios.</w:t>
            </w:r>
          </w:p>
        </w:tc>
      </w:tr>
      <w:tr w:rsidR="3516E18C" w:rsidTr="3516E18C" w14:paraId="1C2A62DF">
        <w:trPr>
          <w:trHeight w:val="300"/>
        </w:trPr>
        <w:tc>
          <w:tcPr>
            <w:tcW w:w="1230" w:type="dxa"/>
            <w:tcMar/>
          </w:tcPr>
          <w:p w:rsidR="3516E18C" w:rsidP="3516E18C" w:rsidRDefault="3516E18C" w14:paraId="7E7C9DD9" w14:textId="688DD6E0">
            <w:pPr>
              <w:rPr>
                <w:rFonts w:ascii="Calibri" w:hAnsi="Calibri" w:eastAsia="Calibri"/>
                <w:b w:val="1"/>
                <w:bCs w:val="1"/>
                <w:sz w:val="22"/>
                <w:szCs w:val="22"/>
              </w:rPr>
            </w:pPr>
            <w:r w:rsidRPr="3516E18C" w:rsidR="3516E18C">
              <w:rPr>
                <w:rFonts w:ascii="Calibri" w:hAnsi="Calibri" w:eastAsia="Calibri"/>
                <w:b w:val="1"/>
                <w:bCs w:val="1"/>
                <w:sz w:val="22"/>
                <w:szCs w:val="22"/>
              </w:rPr>
              <w:t>DTO</w:t>
            </w:r>
          </w:p>
        </w:tc>
        <w:tc>
          <w:tcPr>
            <w:tcW w:w="2280" w:type="dxa"/>
            <w:tcMar/>
          </w:tcPr>
          <w:p w:rsidR="3516E18C" w:rsidP="3516E18C" w:rsidRDefault="3516E18C" w14:paraId="16E050E3" w14:textId="2BC5986C">
            <w:pPr>
              <w:rPr>
                <w:rFonts w:ascii="Calibri" w:hAnsi="Calibri" w:eastAsia="Calibri"/>
                <w:sz w:val="22"/>
                <w:szCs w:val="22"/>
              </w:rPr>
            </w:pPr>
            <w:r w:rsidRPr="3516E18C" w:rsidR="3516E18C">
              <w:rPr>
                <w:rFonts w:ascii="Calibri" w:hAnsi="Calibri" w:eastAsia="Calibri"/>
                <w:sz w:val="22"/>
                <w:szCs w:val="22"/>
              </w:rPr>
              <w:t>Data Transfer Object</w:t>
            </w:r>
          </w:p>
        </w:tc>
        <w:tc>
          <w:tcPr>
            <w:tcW w:w="5610" w:type="dxa"/>
            <w:tcMar/>
          </w:tcPr>
          <w:p w:rsidR="3516E18C" w:rsidP="3516E18C" w:rsidRDefault="3516E18C" w14:paraId="5866E360" w14:textId="543E8C39">
            <w:pPr>
              <w:rPr>
                <w:rFonts w:ascii="Calibri" w:hAnsi="Calibri" w:eastAsia="Calibri"/>
                <w:sz w:val="22"/>
                <w:szCs w:val="22"/>
              </w:rPr>
            </w:pPr>
            <w:r w:rsidRPr="3516E18C" w:rsidR="3516E18C">
              <w:rPr>
                <w:rFonts w:ascii="Calibri" w:hAnsi="Calibri" w:eastAsia="Calibri"/>
                <w:sz w:val="22"/>
                <w:szCs w:val="22"/>
              </w:rPr>
              <w:t xml:space="preserve">A typed object defining the shape of API input data. All NestJS inputs use class-validator DTOs with </w:t>
            </w:r>
            <w:r w:rsidRPr="3516E18C" w:rsidR="3516E18C">
              <w:rPr>
                <w:rFonts w:ascii="Calibri" w:hAnsi="Calibri" w:eastAsia="Calibri"/>
                <w:sz w:val="22"/>
                <w:szCs w:val="22"/>
              </w:rPr>
              <w:t>ValidationPipe({ whitelist: true, forbidNonWhitelisted: true })</w:t>
            </w:r>
            <w:r w:rsidRPr="3516E18C" w:rsidR="3516E18C">
              <w:rPr>
                <w:rFonts w:ascii="Calibri" w:hAnsi="Calibri" w:eastAsia="Calibri"/>
                <w:sz w:val="22"/>
                <w:szCs w:val="22"/>
              </w:rPr>
              <w:t>, blocking unknown fields at the controller boundary.</w:t>
            </w:r>
          </w:p>
        </w:tc>
      </w:tr>
      <w:tr w:rsidR="3516E18C" w:rsidTr="3516E18C" w14:paraId="41BE5962">
        <w:trPr>
          <w:trHeight w:val="300"/>
        </w:trPr>
        <w:tc>
          <w:tcPr>
            <w:tcW w:w="1230" w:type="dxa"/>
            <w:tcMar/>
          </w:tcPr>
          <w:p w:rsidR="3516E18C" w:rsidP="3516E18C" w:rsidRDefault="3516E18C" w14:paraId="281A2C32" w14:textId="666CC48B">
            <w:pPr>
              <w:rPr>
                <w:rFonts w:ascii="Calibri" w:hAnsi="Calibri" w:eastAsia="Calibri"/>
                <w:b w:val="1"/>
                <w:bCs w:val="1"/>
                <w:sz w:val="22"/>
                <w:szCs w:val="22"/>
              </w:rPr>
            </w:pPr>
            <w:r w:rsidRPr="3516E18C" w:rsidR="3516E18C">
              <w:rPr>
                <w:rFonts w:ascii="Calibri" w:hAnsi="Calibri" w:eastAsia="Calibri"/>
                <w:b w:val="1"/>
                <w:bCs w:val="1"/>
                <w:sz w:val="22"/>
                <w:szCs w:val="22"/>
              </w:rPr>
              <w:t>UUID</w:t>
            </w:r>
          </w:p>
        </w:tc>
        <w:tc>
          <w:tcPr>
            <w:tcW w:w="2280" w:type="dxa"/>
            <w:tcMar/>
          </w:tcPr>
          <w:p w:rsidR="3516E18C" w:rsidP="3516E18C" w:rsidRDefault="3516E18C" w14:paraId="76178887" w14:textId="6481AD84">
            <w:pPr>
              <w:rPr>
                <w:rFonts w:ascii="Calibri" w:hAnsi="Calibri" w:eastAsia="Calibri"/>
                <w:sz w:val="22"/>
                <w:szCs w:val="22"/>
              </w:rPr>
            </w:pPr>
            <w:r w:rsidRPr="3516E18C" w:rsidR="3516E18C">
              <w:rPr>
                <w:rFonts w:ascii="Calibri" w:hAnsi="Calibri" w:eastAsia="Calibri"/>
                <w:sz w:val="22"/>
                <w:szCs w:val="22"/>
              </w:rPr>
              <w:t>Universally Unique Identifier</w:t>
            </w:r>
          </w:p>
        </w:tc>
        <w:tc>
          <w:tcPr>
            <w:tcW w:w="5610" w:type="dxa"/>
            <w:tcMar/>
          </w:tcPr>
          <w:p w:rsidR="3516E18C" w:rsidP="3516E18C" w:rsidRDefault="3516E18C" w14:paraId="2225635D" w14:textId="67EA28D7">
            <w:pPr>
              <w:rPr>
                <w:rFonts w:ascii="Calibri" w:hAnsi="Calibri" w:eastAsia="Calibri"/>
                <w:sz w:val="22"/>
                <w:szCs w:val="22"/>
              </w:rPr>
            </w:pPr>
            <w:r w:rsidRPr="3516E18C" w:rsidR="3516E18C">
              <w:rPr>
                <w:rFonts w:ascii="Calibri" w:hAnsi="Calibri" w:eastAsia="Calibri"/>
                <w:sz w:val="22"/>
                <w:szCs w:val="22"/>
              </w:rPr>
              <w:t>A 128-bit identifier used as the primary key for all 30 database tables, reducing enumeration attack risk versus sequential integers.</w:t>
            </w:r>
          </w:p>
        </w:tc>
      </w:tr>
      <w:tr w:rsidR="3516E18C" w:rsidTr="3516E18C" w14:paraId="31569F98">
        <w:trPr>
          <w:trHeight w:val="300"/>
        </w:trPr>
        <w:tc>
          <w:tcPr>
            <w:tcW w:w="1230" w:type="dxa"/>
            <w:tcMar/>
          </w:tcPr>
          <w:p w:rsidR="3516E18C" w:rsidP="3516E18C" w:rsidRDefault="3516E18C" w14:paraId="54500FF6" w14:textId="6F2DAFF6">
            <w:pPr>
              <w:rPr>
                <w:rFonts w:ascii="Calibri" w:hAnsi="Calibri" w:eastAsia="Calibri"/>
                <w:b w:val="1"/>
                <w:bCs w:val="1"/>
                <w:sz w:val="22"/>
                <w:szCs w:val="22"/>
              </w:rPr>
            </w:pPr>
            <w:r w:rsidRPr="3516E18C" w:rsidR="3516E18C">
              <w:rPr>
                <w:rFonts w:ascii="Calibri" w:hAnsi="Calibri" w:eastAsia="Calibri"/>
                <w:b w:val="1"/>
                <w:bCs w:val="1"/>
                <w:sz w:val="22"/>
                <w:szCs w:val="22"/>
              </w:rPr>
              <w:t>FK</w:t>
            </w:r>
          </w:p>
        </w:tc>
        <w:tc>
          <w:tcPr>
            <w:tcW w:w="2280" w:type="dxa"/>
            <w:tcMar/>
          </w:tcPr>
          <w:p w:rsidR="3516E18C" w:rsidP="3516E18C" w:rsidRDefault="3516E18C" w14:paraId="5D92B635" w14:textId="68C12312">
            <w:pPr>
              <w:rPr>
                <w:rFonts w:ascii="Calibri" w:hAnsi="Calibri" w:eastAsia="Calibri"/>
                <w:sz w:val="22"/>
                <w:szCs w:val="22"/>
              </w:rPr>
            </w:pPr>
            <w:r w:rsidRPr="3516E18C" w:rsidR="3516E18C">
              <w:rPr>
                <w:rFonts w:ascii="Calibri" w:hAnsi="Calibri" w:eastAsia="Calibri"/>
                <w:sz w:val="22"/>
                <w:szCs w:val="22"/>
              </w:rPr>
              <w:t>Foreign Key</w:t>
            </w:r>
          </w:p>
        </w:tc>
        <w:tc>
          <w:tcPr>
            <w:tcW w:w="5610" w:type="dxa"/>
            <w:tcMar/>
          </w:tcPr>
          <w:p w:rsidR="3516E18C" w:rsidP="3516E18C" w:rsidRDefault="3516E18C" w14:paraId="6A20B504" w14:textId="296352BB">
            <w:pPr>
              <w:rPr>
                <w:rFonts w:ascii="Calibri" w:hAnsi="Calibri" w:eastAsia="Calibri"/>
                <w:sz w:val="22"/>
                <w:szCs w:val="22"/>
              </w:rPr>
            </w:pPr>
            <w:r w:rsidRPr="3516E18C" w:rsidR="3516E18C">
              <w:rPr>
                <w:rFonts w:ascii="Calibri" w:hAnsi="Calibri" w:eastAsia="Calibri"/>
                <w:sz w:val="22"/>
                <w:szCs w:val="22"/>
              </w:rPr>
              <w:t xml:space="preserve">A relational constraint linking a column to another table's primary key. The EBA's </w:t>
            </w:r>
            <w:r w:rsidRPr="3516E18C" w:rsidR="3516E18C">
              <w:rPr>
                <w:rFonts w:ascii="Calibri" w:hAnsi="Calibri" w:eastAsia="Calibri"/>
                <w:sz w:val="22"/>
                <w:szCs w:val="22"/>
              </w:rPr>
              <w:t>fk_exists</w:t>
            </w:r>
            <w:r w:rsidRPr="3516E18C" w:rsidR="3516E18C">
              <w:rPr>
                <w:rFonts w:ascii="Calibri" w:hAnsi="Calibri" w:eastAsia="Calibri"/>
                <w:sz w:val="22"/>
                <w:szCs w:val="22"/>
              </w:rPr>
              <w:t xml:space="preserve"> rule type checks referential integrity beyond what database FK constraints enforce (e.g., soft cross-template references).</w:t>
            </w:r>
          </w:p>
        </w:tc>
      </w:tr>
      <w:tr w:rsidR="3516E18C" w:rsidTr="3516E18C" w14:paraId="271D826F">
        <w:trPr>
          <w:trHeight w:val="300"/>
        </w:trPr>
        <w:tc>
          <w:tcPr>
            <w:tcW w:w="1230" w:type="dxa"/>
            <w:tcMar/>
          </w:tcPr>
          <w:p w:rsidR="3516E18C" w:rsidP="3516E18C" w:rsidRDefault="3516E18C" w14:paraId="1456203B" w14:textId="17266639">
            <w:pPr>
              <w:rPr>
                <w:rFonts w:ascii="Calibri" w:hAnsi="Calibri" w:eastAsia="Calibri"/>
                <w:b w:val="1"/>
                <w:bCs w:val="1"/>
                <w:sz w:val="22"/>
                <w:szCs w:val="22"/>
              </w:rPr>
            </w:pPr>
            <w:r w:rsidRPr="3516E18C" w:rsidR="3516E18C">
              <w:rPr>
                <w:rFonts w:ascii="Calibri" w:hAnsi="Calibri" w:eastAsia="Calibri"/>
                <w:b w:val="1"/>
                <w:bCs w:val="1"/>
                <w:sz w:val="22"/>
                <w:szCs w:val="22"/>
              </w:rPr>
              <w:t>NACE</w:t>
            </w:r>
          </w:p>
        </w:tc>
        <w:tc>
          <w:tcPr>
            <w:tcW w:w="2280" w:type="dxa"/>
            <w:tcMar/>
          </w:tcPr>
          <w:p w:rsidR="3516E18C" w:rsidP="3516E18C" w:rsidRDefault="3516E18C" w14:paraId="2F5FBDF1" w14:textId="41BA1A02">
            <w:pPr>
              <w:rPr>
                <w:rFonts w:ascii="Calibri" w:hAnsi="Calibri" w:eastAsia="Calibri"/>
                <w:sz w:val="22"/>
                <w:szCs w:val="22"/>
              </w:rPr>
            </w:pPr>
            <w:r w:rsidRPr="3516E18C" w:rsidR="3516E18C">
              <w:rPr>
                <w:rFonts w:ascii="Calibri" w:hAnsi="Calibri" w:eastAsia="Calibri"/>
                <w:sz w:val="22"/>
                <w:szCs w:val="22"/>
              </w:rPr>
              <w:t>Nomenclature of Economic Activities</w:t>
            </w:r>
          </w:p>
        </w:tc>
        <w:tc>
          <w:tcPr>
            <w:tcW w:w="5610" w:type="dxa"/>
            <w:tcMar/>
          </w:tcPr>
          <w:p w:rsidR="3516E18C" w:rsidP="3516E18C" w:rsidRDefault="3516E18C" w14:paraId="4C6E5182" w14:textId="0DBA636F">
            <w:pPr>
              <w:rPr>
                <w:rFonts w:ascii="Calibri" w:hAnsi="Calibri" w:eastAsia="Calibri"/>
                <w:sz w:val="22"/>
                <w:szCs w:val="22"/>
              </w:rPr>
            </w:pPr>
            <w:r w:rsidRPr="3516E18C" w:rsidR="3516E18C">
              <w:rPr>
                <w:rFonts w:ascii="Calibri" w:hAnsi="Calibri" w:eastAsia="Calibri"/>
                <w:sz w:val="22"/>
                <w:szCs w:val="22"/>
              </w:rPr>
              <w:t xml:space="preserve">The EU standard for classifying business activities by sector. Stored as </w:t>
            </w:r>
            <w:r w:rsidRPr="3516E18C" w:rsidR="3516E18C">
              <w:rPr>
                <w:rFonts w:ascii="Calibri" w:hAnsi="Calibri" w:eastAsia="Calibri"/>
                <w:sz w:val="22"/>
                <w:szCs w:val="22"/>
              </w:rPr>
              <w:t>ictProviders.naceCode</w:t>
            </w:r>
            <w:r w:rsidRPr="3516E18C" w:rsidR="3516E18C">
              <w:rPr>
                <w:rFonts w:ascii="Calibri" w:hAnsi="Calibri" w:eastAsia="Calibri"/>
                <w:sz w:val="22"/>
                <w:szCs w:val="22"/>
              </w:rPr>
              <w:t>, mapped to EBA RT.05.01, and validated by VR format rules.</w:t>
            </w:r>
          </w:p>
        </w:tc>
      </w:tr>
      <w:tr w:rsidR="3516E18C" w:rsidTr="3516E18C" w14:paraId="6A9556F3">
        <w:trPr>
          <w:trHeight w:val="300"/>
        </w:trPr>
        <w:tc>
          <w:tcPr>
            <w:tcW w:w="1230" w:type="dxa"/>
            <w:tcMar/>
          </w:tcPr>
          <w:p w:rsidR="3516E18C" w:rsidP="3516E18C" w:rsidRDefault="3516E18C" w14:paraId="35187925" w14:textId="300993C8">
            <w:pPr>
              <w:rPr>
                <w:rFonts w:ascii="Calibri" w:hAnsi="Calibri" w:eastAsia="Calibri"/>
                <w:b w:val="1"/>
                <w:bCs w:val="1"/>
                <w:sz w:val="22"/>
                <w:szCs w:val="22"/>
              </w:rPr>
            </w:pPr>
            <w:r w:rsidRPr="3516E18C" w:rsidR="3516E18C">
              <w:rPr>
                <w:rFonts w:ascii="Calibri" w:hAnsi="Calibri" w:eastAsia="Calibri"/>
                <w:b w:val="1"/>
                <w:bCs w:val="1"/>
                <w:sz w:val="22"/>
                <w:szCs w:val="22"/>
              </w:rPr>
              <w:t>CORS</w:t>
            </w:r>
          </w:p>
        </w:tc>
        <w:tc>
          <w:tcPr>
            <w:tcW w:w="2280" w:type="dxa"/>
            <w:tcMar/>
          </w:tcPr>
          <w:p w:rsidR="3516E18C" w:rsidP="3516E18C" w:rsidRDefault="3516E18C" w14:paraId="1930ADCC" w14:textId="03646989">
            <w:pPr>
              <w:rPr>
                <w:rFonts w:ascii="Calibri" w:hAnsi="Calibri" w:eastAsia="Calibri"/>
                <w:sz w:val="22"/>
                <w:szCs w:val="22"/>
              </w:rPr>
            </w:pPr>
            <w:r w:rsidRPr="3516E18C" w:rsidR="3516E18C">
              <w:rPr>
                <w:rFonts w:ascii="Calibri" w:hAnsi="Calibri" w:eastAsia="Calibri"/>
                <w:sz w:val="22"/>
                <w:szCs w:val="22"/>
              </w:rPr>
              <w:t>Cross-Origin Resource Sharing</w:t>
            </w:r>
          </w:p>
        </w:tc>
        <w:tc>
          <w:tcPr>
            <w:tcW w:w="5610" w:type="dxa"/>
            <w:tcMar/>
          </w:tcPr>
          <w:p w:rsidR="3516E18C" w:rsidP="3516E18C" w:rsidRDefault="3516E18C" w14:paraId="35F82D2D" w14:textId="64C56DA4">
            <w:pPr>
              <w:rPr>
                <w:rFonts w:ascii="Calibri" w:hAnsi="Calibri" w:eastAsia="Calibri"/>
                <w:sz w:val="22"/>
                <w:szCs w:val="22"/>
              </w:rPr>
            </w:pPr>
            <w:r w:rsidRPr="3516E18C" w:rsidR="3516E18C">
              <w:rPr>
                <w:rFonts w:ascii="Calibri" w:hAnsi="Calibri" w:eastAsia="Calibri"/>
                <w:sz w:val="22"/>
                <w:szCs w:val="22"/>
              </w:rPr>
              <w:t xml:space="preserve">A browser security mechanism controlling API access by origin. The platform restricts CORS to </w:t>
            </w:r>
            <w:hyperlink r:id="Rbaaaa47771c6443f">
              <w:r w:rsidRPr="3516E18C" w:rsidR="3516E18C">
                <w:rPr>
                  <w:rStyle w:val="Hyperlink"/>
                  <w:rFonts w:ascii="Calibri" w:hAnsi="Calibri" w:eastAsia="Calibri"/>
                  <w:sz w:val="22"/>
                  <w:szCs w:val="22"/>
                </w:rPr>
                <w:t>http://localhost:8000</w:t>
              </w:r>
            </w:hyperlink>
            <w:r w:rsidRPr="3516E18C" w:rsidR="3516E18C">
              <w:rPr>
                <w:rFonts w:ascii="Calibri" w:hAnsi="Calibri" w:eastAsia="Calibri"/>
                <w:sz w:val="22"/>
                <w:szCs w:val="22"/>
              </w:rPr>
              <w:t xml:space="preserve">; parameterisation via </w:t>
            </w:r>
            <w:r w:rsidRPr="3516E18C" w:rsidR="3516E18C">
              <w:rPr>
                <w:rFonts w:ascii="Calibri" w:hAnsi="Calibri" w:eastAsia="Calibri"/>
                <w:sz w:val="22"/>
                <w:szCs w:val="22"/>
              </w:rPr>
              <w:t>CORS_ORIGIN</w:t>
            </w:r>
            <w:r w:rsidRPr="3516E18C" w:rsidR="3516E18C">
              <w:rPr>
                <w:rFonts w:ascii="Calibri" w:hAnsi="Calibri" w:eastAsia="Calibri"/>
                <w:sz w:val="22"/>
                <w:szCs w:val="22"/>
              </w:rPr>
              <w:t xml:space="preserve"> is a documented production change required in Chapter 5.</w:t>
            </w:r>
          </w:p>
        </w:tc>
      </w:tr>
    </w:tbl>
    <w:p w:rsidR="00BD2851" w:rsidP="3516E18C" w:rsidRDefault="00BD2851" w14:paraId="3003FE2D" w14:textId="1DFD7A9B">
      <w:pPr>
        <w:rPr>
          <w:rFonts w:ascii="Calibri" w:hAnsi="Calibri" w:eastAsia="Calibri"/>
          <w:sz w:val="22"/>
          <w:szCs w:val="22"/>
        </w:rPr>
      </w:pPr>
    </w:p>
    <w:p w:rsidR="00BD2851" w:rsidP="3516E18C" w:rsidRDefault="00BD2851" w14:paraId="460884AA" w14:textId="707380E0">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Part 2: Key Research Keywords</w:t>
      </w:r>
    </w:p>
    <w:p w:rsidR="00BD2851" w:rsidP="3516E18C" w:rsidRDefault="00BD2851" w14:paraId="44E0A4E2" w14:textId="55FC0FE7">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Section D — Strategic &amp; Theoretical</w:t>
      </w:r>
    </w:p>
    <w:tbl>
      <w:tblPr>
        <w:tblStyle w:val="TableGrid"/>
        <w:bidiVisual w:val="0"/>
        <w:tblW w:w="0" w:type="auto"/>
        <w:tblLook w:val="06A0" w:firstRow="1" w:lastRow="0" w:firstColumn="1" w:lastColumn="0" w:noHBand="1" w:noVBand="1"/>
      </w:tblPr>
      <w:tblGrid>
        <w:gridCol w:w="3090"/>
        <w:gridCol w:w="5925"/>
      </w:tblGrid>
      <w:tr w:rsidR="3516E18C" w:rsidTr="3516E18C" w14:paraId="6D789116">
        <w:trPr>
          <w:trHeight w:val="330"/>
        </w:trPr>
        <w:tc>
          <w:tcPr>
            <w:tcW w:w="3090" w:type="dxa"/>
            <w:tcMar/>
          </w:tcPr>
          <w:p w:rsidR="3516E18C" w:rsidP="3516E18C" w:rsidRDefault="3516E18C" w14:paraId="02277861" w14:textId="4A7253E7">
            <w:pPr>
              <w:rPr>
                <w:rFonts w:ascii="Calibri" w:hAnsi="Calibri" w:eastAsia="Calibri"/>
                <w:b w:val="1"/>
                <w:bCs w:val="1"/>
                <w:sz w:val="22"/>
                <w:szCs w:val="22"/>
              </w:rPr>
            </w:pPr>
            <w:r w:rsidRPr="3516E18C" w:rsidR="3516E18C">
              <w:rPr>
                <w:rFonts w:ascii="Calibri" w:hAnsi="Calibri" w:eastAsia="Calibri"/>
                <w:b w:val="1"/>
                <w:bCs w:val="1"/>
                <w:sz w:val="22"/>
                <w:szCs w:val="22"/>
              </w:rPr>
              <w:t>Term</w:t>
            </w:r>
          </w:p>
        </w:tc>
        <w:tc>
          <w:tcPr>
            <w:tcW w:w="5925" w:type="dxa"/>
            <w:tcMar/>
          </w:tcPr>
          <w:p w:rsidR="3516E18C" w:rsidP="3516E18C" w:rsidRDefault="3516E18C" w14:paraId="5333828F" w14:textId="3CECDBBD">
            <w:pPr>
              <w:rPr>
                <w:rFonts w:ascii="Calibri" w:hAnsi="Calibri" w:eastAsia="Calibri"/>
                <w:b w:val="1"/>
                <w:bCs w:val="1"/>
                <w:sz w:val="22"/>
                <w:szCs w:val="22"/>
              </w:rPr>
            </w:pPr>
            <w:r w:rsidRPr="3516E18C" w:rsidR="3516E18C">
              <w:rPr>
                <w:rFonts w:ascii="Calibri" w:hAnsi="Calibri" w:eastAsia="Calibri"/>
                <w:b w:val="1"/>
                <w:bCs w:val="1"/>
                <w:sz w:val="22"/>
                <w:szCs w:val="22"/>
              </w:rPr>
              <w:t>Definition</w:t>
            </w:r>
          </w:p>
        </w:tc>
      </w:tr>
      <w:tr w:rsidR="3516E18C" w:rsidTr="3516E18C" w14:paraId="4C8F6F2E">
        <w:trPr>
          <w:trHeight w:val="300"/>
        </w:trPr>
        <w:tc>
          <w:tcPr>
            <w:tcW w:w="3090" w:type="dxa"/>
            <w:tcMar/>
          </w:tcPr>
          <w:p w:rsidR="3516E18C" w:rsidP="3516E18C" w:rsidRDefault="3516E18C" w14:paraId="7BF9EADD" w14:textId="57264385">
            <w:pPr>
              <w:rPr>
                <w:rFonts w:ascii="Calibri" w:hAnsi="Calibri" w:eastAsia="Calibri"/>
                <w:b w:val="1"/>
                <w:bCs w:val="1"/>
                <w:sz w:val="22"/>
                <w:szCs w:val="22"/>
              </w:rPr>
            </w:pPr>
            <w:r w:rsidRPr="3516E18C" w:rsidR="3516E18C">
              <w:rPr>
                <w:rFonts w:ascii="Calibri" w:hAnsi="Calibri" w:eastAsia="Calibri"/>
                <w:b w:val="1"/>
                <w:bCs w:val="1"/>
                <w:sz w:val="22"/>
                <w:szCs w:val="22"/>
              </w:rPr>
              <w:t>Operational Resilience</w:t>
            </w:r>
          </w:p>
        </w:tc>
        <w:tc>
          <w:tcPr>
            <w:tcW w:w="5925" w:type="dxa"/>
            <w:tcMar/>
          </w:tcPr>
          <w:p w:rsidR="3516E18C" w:rsidP="3516E18C" w:rsidRDefault="3516E18C" w14:paraId="6FC29D0E" w14:textId="072F7BCC">
            <w:pPr>
              <w:rPr>
                <w:rFonts w:ascii="Calibri" w:hAnsi="Calibri" w:eastAsia="Calibri"/>
                <w:sz w:val="22"/>
                <w:szCs w:val="22"/>
              </w:rPr>
            </w:pPr>
            <w:r w:rsidRPr="3516E18C" w:rsidR="3516E18C">
              <w:rPr>
                <w:rFonts w:ascii="Calibri" w:hAnsi="Calibri" w:eastAsia="Calibri"/>
                <w:sz w:val="22"/>
                <w:szCs w:val="22"/>
              </w:rPr>
              <w:t xml:space="preserve">The ability of a financial entity to deliver critical services continuously despite ICT disruptions. DORA defines this through Arts. 28–30. The platform operationalises resilience as a </w:t>
            </w:r>
            <w:r w:rsidRPr="3516E18C" w:rsidR="3516E18C">
              <w:rPr>
                <w:rFonts w:ascii="Calibri" w:hAnsi="Calibri" w:eastAsia="Calibri"/>
                <w:i w:val="1"/>
                <w:iCs w:val="1"/>
                <w:sz w:val="22"/>
                <w:szCs w:val="22"/>
              </w:rPr>
              <w:t>data quality</w:t>
            </w:r>
            <w:r w:rsidRPr="3516E18C" w:rsidR="3516E18C">
              <w:rPr>
                <w:rFonts w:ascii="Calibri" w:hAnsi="Calibri" w:eastAsia="Calibri"/>
                <w:sz w:val="22"/>
                <w:szCs w:val="22"/>
              </w:rPr>
              <w:t xml:space="preserve"> problem: a register that cannot be validated cannot demonstrate resilience to a regulator.</w:t>
            </w:r>
          </w:p>
        </w:tc>
      </w:tr>
      <w:tr w:rsidR="3516E18C" w:rsidTr="3516E18C" w14:paraId="2CC26E9D">
        <w:trPr>
          <w:trHeight w:val="300"/>
        </w:trPr>
        <w:tc>
          <w:tcPr>
            <w:tcW w:w="3090" w:type="dxa"/>
            <w:tcMar/>
          </w:tcPr>
          <w:p w:rsidR="3516E18C" w:rsidP="3516E18C" w:rsidRDefault="3516E18C" w14:paraId="1E0DB8FD" w14:textId="6E15041F">
            <w:pPr>
              <w:rPr>
                <w:rFonts w:ascii="Calibri" w:hAnsi="Calibri" w:eastAsia="Calibri"/>
                <w:b w:val="1"/>
                <w:bCs w:val="1"/>
                <w:sz w:val="22"/>
                <w:szCs w:val="22"/>
              </w:rPr>
            </w:pPr>
            <w:r w:rsidRPr="3516E18C" w:rsidR="3516E18C">
              <w:rPr>
                <w:rFonts w:ascii="Calibri" w:hAnsi="Calibri" w:eastAsia="Calibri"/>
                <w:b w:val="1"/>
                <w:bCs w:val="1"/>
                <w:sz w:val="22"/>
                <w:szCs w:val="22"/>
              </w:rPr>
              <w:t>Proportionality-by-Design</w:t>
            </w:r>
          </w:p>
        </w:tc>
        <w:tc>
          <w:tcPr>
            <w:tcW w:w="5925" w:type="dxa"/>
            <w:tcMar/>
          </w:tcPr>
          <w:p w:rsidR="3516E18C" w:rsidP="3516E18C" w:rsidRDefault="3516E18C" w14:paraId="4D2E2FC4" w14:textId="74E3CDA2">
            <w:pPr>
              <w:rPr>
                <w:rFonts w:ascii="Calibri" w:hAnsi="Calibri" w:eastAsia="Calibri"/>
                <w:sz w:val="22"/>
                <w:szCs w:val="22"/>
              </w:rPr>
            </w:pPr>
            <w:r w:rsidRPr="3516E18C" w:rsidR="3516E18C">
              <w:rPr>
                <w:rFonts w:ascii="Calibri" w:hAnsi="Calibri" w:eastAsia="Calibri"/>
                <w:sz w:val="22"/>
                <w:szCs w:val="22"/>
              </w:rPr>
              <w:t>Engineering compliance tools specifically scaled for SME resource constraints. Applied across the dissertation's design decisions: single-command Docker Compose deployment, a three-role RBAC model, constrained-dropdown UX preventing code-list errors, and an estimated operational cost of €50–€150/month.</w:t>
            </w:r>
          </w:p>
        </w:tc>
      </w:tr>
      <w:tr w:rsidR="3516E18C" w:rsidTr="3516E18C" w14:paraId="6B8FA916">
        <w:trPr>
          <w:trHeight w:val="300"/>
        </w:trPr>
        <w:tc>
          <w:tcPr>
            <w:tcW w:w="3090" w:type="dxa"/>
            <w:tcMar/>
          </w:tcPr>
          <w:p w:rsidR="3516E18C" w:rsidP="3516E18C" w:rsidRDefault="3516E18C" w14:paraId="073E0D9A" w14:textId="0B6C7A7A">
            <w:pPr>
              <w:rPr>
                <w:rFonts w:ascii="Calibri" w:hAnsi="Calibri" w:eastAsia="Calibri"/>
                <w:b w:val="1"/>
                <w:bCs w:val="1"/>
                <w:sz w:val="22"/>
                <w:szCs w:val="22"/>
              </w:rPr>
            </w:pPr>
            <w:r w:rsidRPr="3516E18C" w:rsidR="3516E18C">
              <w:rPr>
                <w:rFonts w:ascii="Calibri" w:hAnsi="Calibri" w:eastAsia="Calibri"/>
                <w:b w:val="1"/>
                <w:bCs w:val="1"/>
                <w:sz w:val="22"/>
                <w:szCs w:val="22"/>
              </w:rPr>
              <w:t>Semantic Interoperability</w:t>
            </w:r>
          </w:p>
        </w:tc>
        <w:tc>
          <w:tcPr>
            <w:tcW w:w="5925" w:type="dxa"/>
            <w:tcMar/>
          </w:tcPr>
          <w:p w:rsidR="3516E18C" w:rsidP="3516E18C" w:rsidRDefault="3516E18C" w14:paraId="60C4DC96" w14:textId="58465397">
            <w:pPr>
              <w:rPr>
                <w:rFonts w:ascii="Calibri" w:hAnsi="Calibri" w:eastAsia="Calibri"/>
                <w:sz w:val="22"/>
                <w:szCs w:val="22"/>
              </w:rPr>
            </w:pPr>
            <w:r w:rsidRPr="3516E18C" w:rsidR="3516E18C">
              <w:rPr>
                <w:rFonts w:ascii="Calibri" w:hAnsi="Calibri" w:eastAsia="Calibri"/>
                <w:sz w:val="22"/>
                <w:szCs w:val="22"/>
              </w:rPr>
              <w:t>The guarantee that data exchanged between systems carries identical meaning in both. Achieved via seeded EBA code-list reference tables (ISO 3166-1, ISO 4217, EBA entity type codes) that constrain all data entry to valid DPM values, ensuring the export is semantically consistent with the EBA taxonomy.</w:t>
            </w:r>
          </w:p>
        </w:tc>
      </w:tr>
      <w:tr w:rsidR="3516E18C" w:rsidTr="3516E18C" w14:paraId="601DE0C9">
        <w:trPr>
          <w:trHeight w:val="300"/>
        </w:trPr>
        <w:tc>
          <w:tcPr>
            <w:tcW w:w="3090" w:type="dxa"/>
            <w:tcMar/>
          </w:tcPr>
          <w:p w:rsidR="3516E18C" w:rsidP="3516E18C" w:rsidRDefault="3516E18C" w14:paraId="63EEB23E" w14:textId="2D38D90E">
            <w:pPr>
              <w:rPr>
                <w:rFonts w:ascii="Calibri" w:hAnsi="Calibri" w:eastAsia="Calibri"/>
                <w:b w:val="1"/>
                <w:bCs w:val="1"/>
                <w:sz w:val="22"/>
                <w:szCs w:val="22"/>
              </w:rPr>
            </w:pPr>
            <w:r w:rsidRPr="3516E18C" w:rsidR="3516E18C">
              <w:rPr>
                <w:rFonts w:ascii="Calibri" w:hAnsi="Calibri" w:eastAsia="Calibri"/>
                <w:b w:val="1"/>
                <w:bCs w:val="1"/>
                <w:sz w:val="22"/>
                <w:szCs w:val="22"/>
              </w:rPr>
              <w:t>Deterministic Logic</w:t>
            </w:r>
          </w:p>
        </w:tc>
        <w:tc>
          <w:tcPr>
            <w:tcW w:w="5925" w:type="dxa"/>
            <w:tcMar/>
          </w:tcPr>
          <w:p w:rsidR="3516E18C" w:rsidP="3516E18C" w:rsidRDefault="3516E18C" w14:paraId="04C64BCE" w14:textId="68D05CF0">
            <w:pPr>
              <w:rPr>
                <w:rFonts w:ascii="Calibri" w:hAnsi="Calibri" w:eastAsia="Calibri"/>
                <w:sz w:val="22"/>
                <w:szCs w:val="22"/>
              </w:rPr>
            </w:pPr>
            <w:r w:rsidRPr="3516E18C" w:rsidR="3516E18C">
              <w:rPr>
                <w:rFonts w:ascii="Calibri" w:hAnsi="Calibri" w:eastAsia="Calibri"/>
                <w:sz w:val="22"/>
                <w:szCs w:val="22"/>
              </w:rPr>
              <w:t>Code that produces the same output for the same input every time, with no probabilistic reasoning. The platform's rule engine is explicitly deterministic: each rule type executes a parameterised SQL query against a fixed schema. Contrasted with AI/ML approaches in Chapter 2.</w:t>
            </w:r>
          </w:p>
        </w:tc>
      </w:tr>
      <w:tr w:rsidR="3516E18C" w:rsidTr="3516E18C" w14:paraId="6B25C681">
        <w:trPr>
          <w:trHeight w:val="300"/>
        </w:trPr>
        <w:tc>
          <w:tcPr>
            <w:tcW w:w="3090" w:type="dxa"/>
            <w:tcMar/>
          </w:tcPr>
          <w:p w:rsidR="3516E18C" w:rsidP="3516E18C" w:rsidRDefault="3516E18C" w14:paraId="61AFCFB2" w14:textId="3A706E0E">
            <w:pPr>
              <w:rPr>
                <w:rFonts w:ascii="Calibri" w:hAnsi="Calibri" w:eastAsia="Calibri"/>
                <w:b w:val="1"/>
                <w:bCs w:val="1"/>
                <w:sz w:val="22"/>
                <w:szCs w:val="22"/>
              </w:rPr>
            </w:pPr>
            <w:r w:rsidRPr="3516E18C" w:rsidR="3516E18C">
              <w:rPr>
                <w:rFonts w:ascii="Calibri" w:hAnsi="Calibri" w:eastAsia="Calibri"/>
                <w:b w:val="1"/>
                <w:bCs w:val="1"/>
                <w:sz w:val="22"/>
                <w:szCs w:val="22"/>
              </w:rPr>
              <w:t>Rules as Code (RaC)</w:t>
            </w:r>
          </w:p>
        </w:tc>
        <w:tc>
          <w:tcPr>
            <w:tcW w:w="5925" w:type="dxa"/>
            <w:tcMar/>
          </w:tcPr>
          <w:p w:rsidR="3516E18C" w:rsidP="3516E18C" w:rsidRDefault="3516E18C" w14:paraId="60F60089" w14:textId="7E4B3E2A">
            <w:pPr>
              <w:rPr>
                <w:rFonts w:ascii="Calibri" w:hAnsi="Calibri" w:eastAsia="Calibri"/>
                <w:sz w:val="22"/>
                <w:szCs w:val="22"/>
              </w:rPr>
            </w:pPr>
            <w:r w:rsidRPr="3516E18C" w:rsidR="3516E18C">
              <w:rPr>
                <w:rFonts w:ascii="Calibri" w:hAnsi="Calibri" w:eastAsia="Calibri"/>
                <w:sz w:val="22"/>
                <w:szCs w:val="22"/>
              </w:rPr>
              <w:t>The process of encoding legal text — here the EBA's published draft validation rule specification — as machine-executable logic stored in a relational database. Rules are data, not code, making them updatable without software redeployment when the EBA revises its specification.</w:t>
            </w:r>
          </w:p>
        </w:tc>
      </w:tr>
      <w:tr w:rsidR="3516E18C" w:rsidTr="3516E18C" w14:paraId="57E9509A">
        <w:trPr>
          <w:trHeight w:val="300"/>
        </w:trPr>
        <w:tc>
          <w:tcPr>
            <w:tcW w:w="3090" w:type="dxa"/>
            <w:tcMar/>
          </w:tcPr>
          <w:p w:rsidR="3516E18C" w:rsidP="3516E18C" w:rsidRDefault="3516E18C" w14:paraId="53B358B9" w14:textId="1237A8D3">
            <w:pPr>
              <w:rPr>
                <w:rFonts w:ascii="Calibri" w:hAnsi="Calibri" w:eastAsia="Calibri"/>
                <w:b w:val="1"/>
                <w:bCs w:val="1"/>
                <w:sz w:val="22"/>
                <w:szCs w:val="22"/>
              </w:rPr>
            </w:pPr>
            <w:r w:rsidRPr="3516E18C" w:rsidR="3516E18C">
              <w:rPr>
                <w:rFonts w:ascii="Calibri" w:hAnsi="Calibri" w:eastAsia="Calibri"/>
                <w:b w:val="1"/>
                <w:bCs w:val="1"/>
                <w:sz w:val="22"/>
                <w:szCs w:val="22"/>
              </w:rPr>
              <w:t>Active Governance</w:t>
            </w:r>
          </w:p>
        </w:tc>
        <w:tc>
          <w:tcPr>
            <w:tcW w:w="5925" w:type="dxa"/>
            <w:tcMar/>
          </w:tcPr>
          <w:p w:rsidR="3516E18C" w:rsidP="3516E18C" w:rsidRDefault="3516E18C" w14:paraId="358E860C" w14:textId="68335B6B">
            <w:pPr>
              <w:rPr>
                <w:rFonts w:ascii="Calibri" w:hAnsi="Calibri" w:eastAsia="Calibri"/>
                <w:sz w:val="22"/>
                <w:szCs w:val="22"/>
              </w:rPr>
            </w:pPr>
            <w:r w:rsidRPr="3516E18C" w:rsidR="3516E18C">
              <w:rPr>
                <w:rFonts w:ascii="Calibri" w:hAnsi="Calibri" w:eastAsia="Calibri"/>
                <w:sz w:val="22"/>
                <w:szCs w:val="22"/>
              </w:rPr>
              <w:t>The shift from periodic manual checklist review to continuous, system-enforced compliance monitoring. Achieved through the always-on validation engine, the pre-flight export gate, and role-targeted notifications that actively route compliance issues to the responsible user.</w:t>
            </w:r>
          </w:p>
        </w:tc>
      </w:tr>
      <w:tr w:rsidR="3516E18C" w:rsidTr="3516E18C" w14:paraId="5FC43E1A">
        <w:trPr>
          <w:trHeight w:val="300"/>
        </w:trPr>
        <w:tc>
          <w:tcPr>
            <w:tcW w:w="3090" w:type="dxa"/>
            <w:tcMar/>
          </w:tcPr>
          <w:p w:rsidR="3516E18C" w:rsidP="3516E18C" w:rsidRDefault="3516E18C" w14:paraId="603888FE" w14:textId="731D0147">
            <w:pPr>
              <w:rPr>
                <w:rFonts w:ascii="Calibri" w:hAnsi="Calibri" w:eastAsia="Calibri"/>
                <w:b w:val="1"/>
                <w:bCs w:val="1"/>
                <w:sz w:val="22"/>
                <w:szCs w:val="22"/>
              </w:rPr>
            </w:pPr>
            <w:r w:rsidRPr="3516E18C" w:rsidR="3516E18C">
              <w:rPr>
                <w:rFonts w:ascii="Calibri" w:hAnsi="Calibri" w:eastAsia="Calibri"/>
                <w:b w:val="1"/>
                <w:bCs w:val="1"/>
                <w:sz w:val="22"/>
                <w:szCs w:val="22"/>
              </w:rPr>
              <w:t>Demonstration Maturity</w:t>
            </w:r>
          </w:p>
        </w:tc>
        <w:tc>
          <w:tcPr>
            <w:tcW w:w="5925" w:type="dxa"/>
            <w:tcMar/>
          </w:tcPr>
          <w:p w:rsidR="3516E18C" w:rsidP="3516E18C" w:rsidRDefault="3516E18C" w14:paraId="72945B1A" w14:textId="2BFD7C51">
            <w:pPr>
              <w:rPr>
                <w:rFonts w:ascii="Calibri" w:hAnsi="Calibri" w:eastAsia="Calibri"/>
                <w:sz w:val="22"/>
                <w:szCs w:val="22"/>
              </w:rPr>
            </w:pPr>
            <w:r w:rsidRPr="3516E18C" w:rsidR="3516E18C">
              <w:rPr>
                <w:rFonts w:ascii="Calibri" w:hAnsi="Calibri" w:eastAsia="Calibri"/>
                <w:sz w:val="22"/>
                <w:szCs w:val="22"/>
              </w:rPr>
              <w:t>In Design Science Research, the level at which an artefact is shown to work correctly under controlled conditions but has not yet been evaluated in live operational deployment. The DORA SaaS platform is explicitly evaluated at demonstration maturity in Chapter 6 following Venable et al.'s (2016) FEDS framework.</w:t>
            </w:r>
          </w:p>
        </w:tc>
      </w:tr>
      <w:tr w:rsidR="3516E18C" w:rsidTr="3516E18C" w14:paraId="53B60BE8">
        <w:trPr>
          <w:trHeight w:val="300"/>
        </w:trPr>
        <w:tc>
          <w:tcPr>
            <w:tcW w:w="3090" w:type="dxa"/>
            <w:tcMar/>
          </w:tcPr>
          <w:p w:rsidR="3516E18C" w:rsidP="3516E18C" w:rsidRDefault="3516E18C" w14:paraId="2955863B" w14:textId="6B48EFC3">
            <w:pPr>
              <w:rPr>
                <w:rFonts w:ascii="Calibri" w:hAnsi="Calibri" w:eastAsia="Calibri"/>
                <w:b w:val="1"/>
                <w:bCs w:val="1"/>
                <w:sz w:val="22"/>
                <w:szCs w:val="22"/>
              </w:rPr>
            </w:pPr>
            <w:r w:rsidRPr="3516E18C" w:rsidR="3516E18C">
              <w:rPr>
                <w:rFonts w:ascii="Calibri" w:hAnsi="Calibri" w:eastAsia="Calibri"/>
                <w:b w:val="1"/>
                <w:bCs w:val="1"/>
                <w:sz w:val="22"/>
                <w:szCs w:val="22"/>
              </w:rPr>
              <w:t>RegTech</w:t>
            </w:r>
          </w:p>
        </w:tc>
        <w:tc>
          <w:tcPr>
            <w:tcW w:w="5925" w:type="dxa"/>
            <w:tcMar/>
          </w:tcPr>
          <w:p w:rsidR="3516E18C" w:rsidP="3516E18C" w:rsidRDefault="3516E18C" w14:paraId="759C4030" w14:textId="4F8ADD0D">
            <w:pPr>
              <w:rPr>
                <w:rFonts w:ascii="Calibri" w:hAnsi="Calibri" w:eastAsia="Calibri"/>
                <w:sz w:val="22"/>
                <w:szCs w:val="22"/>
              </w:rPr>
            </w:pPr>
            <w:r w:rsidRPr="3516E18C" w:rsidR="3516E18C">
              <w:rPr>
                <w:rFonts w:ascii="Calibri" w:hAnsi="Calibri" w:eastAsia="Calibri"/>
                <w:sz w:val="22"/>
                <w:szCs w:val="22"/>
              </w:rPr>
              <w:t>Regulatory Technology. Software tools designed to help financial entities meet regulatory obligations efficiently. The DORA SaaS platform is a RegTech artefact for the SME segment, addressing the compliance tooling gap identified by the EBA (2021) and Butler and O'Brien (2019).</w:t>
            </w:r>
          </w:p>
        </w:tc>
      </w:tr>
    </w:tbl>
    <w:p w:rsidR="00BD2851" w:rsidP="3516E18C" w:rsidRDefault="00BD2851" w14:paraId="69A60D96" w14:textId="06C4F1DF">
      <w:pPr>
        <w:rPr>
          <w:rFonts w:ascii="Calibri" w:hAnsi="Calibri" w:eastAsia="Calibri"/>
          <w:sz w:val="22"/>
          <w:szCs w:val="22"/>
        </w:rPr>
      </w:pPr>
    </w:p>
    <w:p w:rsidR="00BD2851" w:rsidP="3516E18C" w:rsidRDefault="00BD2851" w14:paraId="3F6A3D10" w14:textId="3B9E4787">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Section E — Supply Chain &amp; N-th Party</w:t>
      </w:r>
    </w:p>
    <w:tbl>
      <w:tblPr>
        <w:tblStyle w:val="TableGrid"/>
        <w:bidiVisual w:val="0"/>
        <w:tblW w:w="0" w:type="auto"/>
        <w:tblLook w:val="06A0" w:firstRow="1" w:lastRow="0" w:firstColumn="1" w:lastColumn="0" w:noHBand="1" w:noVBand="1"/>
      </w:tblPr>
      <w:tblGrid>
        <w:gridCol w:w="2910"/>
        <w:gridCol w:w="6105"/>
      </w:tblGrid>
      <w:tr w:rsidR="3516E18C" w:rsidTr="3516E18C" w14:paraId="0DF25B16">
        <w:trPr>
          <w:trHeight w:val="300"/>
        </w:trPr>
        <w:tc>
          <w:tcPr>
            <w:tcW w:w="2910" w:type="dxa"/>
            <w:tcMar/>
          </w:tcPr>
          <w:p w:rsidR="3516E18C" w:rsidP="3516E18C" w:rsidRDefault="3516E18C" w14:paraId="7A72A075" w14:textId="749C9EBA">
            <w:pPr>
              <w:rPr>
                <w:rFonts w:ascii="Calibri" w:hAnsi="Calibri" w:eastAsia="Calibri"/>
                <w:b w:val="1"/>
                <w:bCs w:val="1"/>
                <w:sz w:val="22"/>
                <w:szCs w:val="22"/>
              </w:rPr>
            </w:pPr>
            <w:r w:rsidRPr="3516E18C" w:rsidR="3516E18C">
              <w:rPr>
                <w:rFonts w:ascii="Calibri" w:hAnsi="Calibri" w:eastAsia="Calibri"/>
                <w:b w:val="1"/>
                <w:bCs w:val="1"/>
                <w:sz w:val="22"/>
                <w:szCs w:val="22"/>
              </w:rPr>
              <w:t>Term</w:t>
            </w:r>
          </w:p>
        </w:tc>
        <w:tc>
          <w:tcPr>
            <w:tcW w:w="6105" w:type="dxa"/>
            <w:tcMar/>
          </w:tcPr>
          <w:p w:rsidR="3516E18C" w:rsidP="3516E18C" w:rsidRDefault="3516E18C" w14:paraId="0C56205A" w14:textId="788F9694">
            <w:pPr>
              <w:rPr>
                <w:rFonts w:ascii="Calibri" w:hAnsi="Calibri" w:eastAsia="Calibri"/>
                <w:b w:val="1"/>
                <w:bCs w:val="1"/>
                <w:sz w:val="22"/>
                <w:szCs w:val="22"/>
              </w:rPr>
            </w:pPr>
            <w:r w:rsidRPr="3516E18C" w:rsidR="3516E18C">
              <w:rPr>
                <w:rFonts w:ascii="Calibri" w:hAnsi="Calibri" w:eastAsia="Calibri"/>
                <w:b w:val="1"/>
                <w:bCs w:val="1"/>
                <w:sz w:val="22"/>
                <w:szCs w:val="22"/>
              </w:rPr>
              <w:t>Definition</w:t>
            </w:r>
          </w:p>
        </w:tc>
      </w:tr>
      <w:tr w:rsidR="3516E18C" w:rsidTr="3516E18C" w14:paraId="52028701">
        <w:trPr>
          <w:trHeight w:val="300"/>
        </w:trPr>
        <w:tc>
          <w:tcPr>
            <w:tcW w:w="2910" w:type="dxa"/>
            <w:tcMar/>
          </w:tcPr>
          <w:p w:rsidR="3516E18C" w:rsidP="3516E18C" w:rsidRDefault="3516E18C" w14:paraId="0E336FCE" w14:textId="55444640">
            <w:pPr>
              <w:rPr>
                <w:rFonts w:ascii="Calibri" w:hAnsi="Calibri" w:eastAsia="Calibri"/>
                <w:b w:val="1"/>
                <w:bCs w:val="1"/>
                <w:sz w:val="22"/>
                <w:szCs w:val="22"/>
              </w:rPr>
            </w:pPr>
            <w:r w:rsidRPr="3516E18C" w:rsidR="3516E18C">
              <w:rPr>
                <w:rFonts w:ascii="Calibri" w:hAnsi="Calibri" w:eastAsia="Calibri"/>
                <w:b w:val="1"/>
                <w:bCs w:val="1"/>
                <w:sz w:val="22"/>
                <w:szCs w:val="22"/>
              </w:rPr>
              <w:t>N-th Party Risk</w:t>
            </w:r>
          </w:p>
        </w:tc>
        <w:tc>
          <w:tcPr>
            <w:tcW w:w="6105" w:type="dxa"/>
            <w:tcMar/>
          </w:tcPr>
          <w:p w:rsidR="3516E18C" w:rsidP="3516E18C" w:rsidRDefault="3516E18C" w14:paraId="2D6DCCCC" w14:textId="3D70AFF3">
            <w:pPr>
              <w:rPr>
                <w:rFonts w:ascii="Calibri" w:hAnsi="Calibri" w:eastAsia="Calibri"/>
                <w:sz w:val="22"/>
                <w:szCs w:val="22"/>
              </w:rPr>
            </w:pPr>
            <w:r w:rsidRPr="3516E18C" w:rsidR="3516E18C">
              <w:rPr>
                <w:rFonts w:ascii="Calibri" w:hAnsi="Calibri" w:eastAsia="Calibri"/>
                <w:sz w:val="22"/>
                <w:szCs w:val="22"/>
              </w:rPr>
              <w:t xml:space="preserve">Vulnerabilities originating from sub-contractors beyond the direct ICT vendor. Modelled in the platform's </w:t>
            </w:r>
            <w:r w:rsidRPr="3516E18C" w:rsidR="3516E18C">
              <w:rPr>
                <w:rFonts w:ascii="Calibri" w:hAnsi="Calibri" w:eastAsia="Calibri"/>
                <w:sz w:val="22"/>
                <w:szCs w:val="22"/>
              </w:rPr>
              <w:t>ictSupplyChain</w:t>
            </w:r>
            <w:r w:rsidRPr="3516E18C" w:rsidR="3516E18C">
              <w:rPr>
                <w:rFonts w:ascii="Calibri" w:hAnsi="Calibri" w:eastAsia="Calibri"/>
                <w:sz w:val="22"/>
                <w:szCs w:val="22"/>
              </w:rPr>
              <w:t xml:space="preserve"> table via a self-referencing </w:t>
            </w:r>
            <w:r w:rsidRPr="3516E18C" w:rsidR="3516E18C">
              <w:rPr>
                <w:rFonts w:ascii="Calibri" w:hAnsi="Calibri" w:eastAsia="Calibri"/>
                <w:sz w:val="22"/>
                <w:szCs w:val="22"/>
              </w:rPr>
              <w:t>parentChainId</w:t>
            </w:r>
            <w:r w:rsidRPr="3516E18C" w:rsidR="3516E18C">
              <w:rPr>
                <w:rFonts w:ascii="Calibri" w:hAnsi="Calibri" w:eastAsia="Calibri"/>
                <w:sz w:val="22"/>
                <w:szCs w:val="22"/>
              </w:rPr>
              <w:t xml:space="preserve"> FK and integer </w:t>
            </w:r>
            <w:r w:rsidRPr="3516E18C" w:rsidR="3516E18C">
              <w:rPr>
                <w:rFonts w:ascii="Calibri" w:hAnsi="Calibri" w:eastAsia="Calibri"/>
                <w:sz w:val="22"/>
                <w:szCs w:val="22"/>
              </w:rPr>
              <w:t>supplyRank</w:t>
            </w:r>
            <w:r w:rsidRPr="3516E18C" w:rsidR="3516E18C">
              <w:rPr>
                <w:rFonts w:ascii="Calibri" w:hAnsi="Calibri" w:eastAsia="Calibri"/>
                <w:sz w:val="22"/>
                <w:szCs w:val="22"/>
              </w:rPr>
              <w:t>, enabling n-tier hierarchy visualisation mapped to EBA RT.05.02.</w:t>
            </w:r>
          </w:p>
        </w:tc>
      </w:tr>
      <w:tr w:rsidR="3516E18C" w:rsidTr="3516E18C" w14:paraId="44C83B07">
        <w:trPr>
          <w:trHeight w:val="300"/>
        </w:trPr>
        <w:tc>
          <w:tcPr>
            <w:tcW w:w="2910" w:type="dxa"/>
            <w:tcMar/>
          </w:tcPr>
          <w:p w:rsidR="3516E18C" w:rsidP="3516E18C" w:rsidRDefault="3516E18C" w14:paraId="691E8443" w14:textId="764EA668">
            <w:pPr>
              <w:rPr>
                <w:rFonts w:ascii="Calibri" w:hAnsi="Calibri" w:eastAsia="Calibri"/>
                <w:b w:val="1"/>
                <w:bCs w:val="1"/>
                <w:sz w:val="22"/>
                <w:szCs w:val="22"/>
              </w:rPr>
            </w:pPr>
            <w:r w:rsidRPr="3516E18C" w:rsidR="3516E18C">
              <w:rPr>
                <w:rFonts w:ascii="Calibri" w:hAnsi="Calibri" w:eastAsia="Calibri"/>
                <w:b w:val="1"/>
                <w:bCs w:val="1"/>
                <w:sz w:val="22"/>
                <w:szCs w:val="22"/>
              </w:rPr>
              <w:t>Concentration Risk</w:t>
            </w:r>
          </w:p>
        </w:tc>
        <w:tc>
          <w:tcPr>
            <w:tcW w:w="6105" w:type="dxa"/>
            <w:tcMar/>
          </w:tcPr>
          <w:p w:rsidR="3516E18C" w:rsidP="3516E18C" w:rsidRDefault="3516E18C" w14:paraId="49C0CB5E" w14:textId="57B577E6">
            <w:pPr>
              <w:rPr>
                <w:rFonts w:ascii="Calibri" w:hAnsi="Calibri" w:eastAsia="Calibri"/>
                <w:sz w:val="22"/>
                <w:szCs w:val="22"/>
              </w:rPr>
            </w:pPr>
            <w:r w:rsidRPr="3516E18C" w:rsidR="3516E18C">
              <w:rPr>
                <w:rFonts w:ascii="Calibri" w:hAnsi="Calibri" w:eastAsia="Calibri"/>
                <w:sz w:val="22"/>
                <w:szCs w:val="22"/>
              </w:rPr>
              <w:t xml:space="preserve">The systemic risk when too many financial entities — or one entity's critical functions — rely on a single ICT provider. Computed dynamically in the platform's </w:t>
            </w:r>
            <w:r w:rsidRPr="3516E18C" w:rsidR="3516E18C">
              <w:rPr>
                <w:rFonts w:ascii="Calibri" w:hAnsi="Calibri" w:eastAsia="Calibri"/>
                <w:sz w:val="22"/>
                <w:szCs w:val="22"/>
              </w:rPr>
              <w:t>RiskModule</w:t>
            </w:r>
            <w:r w:rsidRPr="3516E18C" w:rsidR="3516E18C">
              <w:rPr>
                <w:rFonts w:ascii="Calibri" w:hAnsi="Calibri" w:eastAsia="Calibri"/>
                <w:sz w:val="22"/>
                <w:szCs w:val="22"/>
              </w:rPr>
              <w:t xml:space="preserve"> by aggregating </w:t>
            </w:r>
            <w:r w:rsidRPr="3516E18C" w:rsidR="3516E18C">
              <w:rPr>
                <w:rFonts w:ascii="Calibri" w:hAnsi="Calibri" w:eastAsia="Calibri"/>
                <w:sz w:val="22"/>
                <w:szCs w:val="22"/>
              </w:rPr>
              <w:t>contractualArrangements</w:t>
            </w:r>
            <w:r w:rsidRPr="3516E18C" w:rsidR="3516E18C">
              <w:rPr>
                <w:rFonts w:ascii="Calibri" w:hAnsi="Calibri" w:eastAsia="Calibri"/>
                <w:sz w:val="22"/>
                <w:szCs w:val="22"/>
              </w:rPr>
              <w:t xml:space="preserve"> by </w:t>
            </w:r>
            <w:r w:rsidRPr="3516E18C" w:rsidR="3516E18C">
              <w:rPr>
                <w:rFonts w:ascii="Calibri" w:hAnsi="Calibri" w:eastAsia="Calibri"/>
                <w:sz w:val="22"/>
                <w:szCs w:val="22"/>
              </w:rPr>
              <w:t>providerId</w:t>
            </w:r>
            <w:r w:rsidRPr="3516E18C" w:rsidR="3516E18C">
              <w:rPr>
                <w:rFonts w:ascii="Calibri" w:hAnsi="Calibri" w:eastAsia="Calibri"/>
                <w:sz w:val="22"/>
                <w:szCs w:val="22"/>
              </w:rPr>
              <w:t xml:space="preserve"> per DORA Art. 28(5), displayed on the Admin dashboard.</w:t>
            </w:r>
          </w:p>
        </w:tc>
      </w:tr>
      <w:tr w:rsidR="3516E18C" w:rsidTr="3516E18C" w14:paraId="0519DF24">
        <w:trPr>
          <w:trHeight w:val="300"/>
        </w:trPr>
        <w:tc>
          <w:tcPr>
            <w:tcW w:w="2910" w:type="dxa"/>
            <w:tcMar/>
          </w:tcPr>
          <w:p w:rsidR="3516E18C" w:rsidP="3516E18C" w:rsidRDefault="3516E18C" w14:paraId="140599B0" w14:textId="41E134AC">
            <w:pPr>
              <w:rPr>
                <w:rFonts w:ascii="Calibri" w:hAnsi="Calibri" w:eastAsia="Calibri"/>
                <w:b w:val="1"/>
                <w:bCs w:val="1"/>
                <w:sz w:val="22"/>
                <w:szCs w:val="22"/>
              </w:rPr>
            </w:pPr>
            <w:r w:rsidRPr="3516E18C" w:rsidR="3516E18C">
              <w:rPr>
                <w:rFonts w:ascii="Calibri" w:hAnsi="Calibri" w:eastAsia="Calibri"/>
                <w:b w:val="1"/>
                <w:bCs w:val="1"/>
                <w:sz w:val="22"/>
                <w:szCs w:val="22"/>
              </w:rPr>
              <w:t>Criticality Assessment</w:t>
            </w:r>
          </w:p>
        </w:tc>
        <w:tc>
          <w:tcPr>
            <w:tcW w:w="6105" w:type="dxa"/>
            <w:tcMar/>
          </w:tcPr>
          <w:p w:rsidR="3516E18C" w:rsidP="3516E18C" w:rsidRDefault="3516E18C" w14:paraId="3B9CD7F9" w14:textId="496137D5">
            <w:pPr>
              <w:rPr>
                <w:rFonts w:ascii="Calibri" w:hAnsi="Calibri" w:eastAsia="Calibri"/>
                <w:sz w:val="22"/>
                <w:szCs w:val="22"/>
              </w:rPr>
            </w:pPr>
            <w:r w:rsidRPr="3516E18C" w:rsidR="3516E18C">
              <w:rPr>
                <w:rFonts w:ascii="Calibri" w:hAnsi="Calibri" w:eastAsia="Calibri"/>
                <w:sz w:val="22"/>
                <w:szCs w:val="22"/>
              </w:rPr>
              <w:t xml:space="preserve">The process of classifying ICT functions as "Critical or Important" under DORA Art. 28(4). Implemented via </w:t>
            </w:r>
            <w:r w:rsidRPr="3516E18C" w:rsidR="3516E18C">
              <w:rPr>
                <w:rFonts w:ascii="Calibri" w:hAnsi="Calibri" w:eastAsia="Calibri"/>
                <w:sz w:val="22"/>
                <w:szCs w:val="22"/>
              </w:rPr>
              <w:t>criticalityLevelId</w:t>
            </w:r>
            <w:r w:rsidRPr="3516E18C" w:rsidR="3516E18C">
              <w:rPr>
                <w:rFonts w:ascii="Calibri" w:hAnsi="Calibri" w:eastAsia="Calibri"/>
                <w:sz w:val="22"/>
                <w:szCs w:val="22"/>
              </w:rPr>
              <w:t xml:space="preserve"> FK on </w:t>
            </w:r>
            <w:r w:rsidRPr="3516E18C" w:rsidR="3516E18C">
              <w:rPr>
                <w:rFonts w:ascii="Calibri" w:hAnsi="Calibri" w:eastAsia="Calibri"/>
                <w:sz w:val="22"/>
                <w:szCs w:val="22"/>
              </w:rPr>
              <w:t>businessFunctions</w:t>
            </w:r>
            <w:r w:rsidRPr="3516E18C" w:rsidR="3516E18C">
              <w:rPr>
                <w:rFonts w:ascii="Calibri" w:hAnsi="Calibri" w:eastAsia="Calibri"/>
                <w:sz w:val="22"/>
                <w:szCs w:val="22"/>
              </w:rPr>
              <w:t xml:space="preserve"> (RT.06.01), with EBA validation rules VR90–VR101 enforcing that criticality level is always declared.</w:t>
            </w:r>
          </w:p>
        </w:tc>
      </w:tr>
      <w:tr w:rsidR="3516E18C" w:rsidTr="3516E18C" w14:paraId="06F2568E">
        <w:trPr>
          <w:trHeight w:val="300"/>
        </w:trPr>
        <w:tc>
          <w:tcPr>
            <w:tcW w:w="2910" w:type="dxa"/>
            <w:tcMar/>
          </w:tcPr>
          <w:p w:rsidR="3516E18C" w:rsidP="3516E18C" w:rsidRDefault="3516E18C" w14:paraId="10385929" w14:textId="281BD654">
            <w:pPr>
              <w:rPr>
                <w:rFonts w:ascii="Calibri" w:hAnsi="Calibri" w:eastAsia="Calibri"/>
                <w:b w:val="1"/>
                <w:bCs w:val="1"/>
                <w:sz w:val="22"/>
                <w:szCs w:val="22"/>
              </w:rPr>
            </w:pPr>
            <w:r w:rsidRPr="3516E18C" w:rsidR="3516E18C">
              <w:rPr>
                <w:rFonts w:ascii="Calibri" w:hAnsi="Calibri" w:eastAsia="Calibri"/>
                <w:b w:val="1"/>
                <w:bCs w:val="1"/>
                <w:sz w:val="22"/>
                <w:szCs w:val="22"/>
              </w:rPr>
              <w:t>Exit Strategy Activation</w:t>
            </w:r>
          </w:p>
        </w:tc>
        <w:tc>
          <w:tcPr>
            <w:tcW w:w="6105" w:type="dxa"/>
            <w:tcMar/>
          </w:tcPr>
          <w:p w:rsidR="3516E18C" w:rsidP="3516E18C" w:rsidRDefault="3516E18C" w14:paraId="34CC803F" w14:textId="5CD25194">
            <w:pPr>
              <w:rPr>
                <w:rFonts w:ascii="Calibri" w:hAnsi="Calibri" w:eastAsia="Calibri"/>
                <w:sz w:val="22"/>
                <w:szCs w:val="22"/>
              </w:rPr>
            </w:pPr>
            <w:r w:rsidRPr="3516E18C" w:rsidR="3516E18C">
              <w:rPr>
                <w:rFonts w:ascii="Calibri" w:hAnsi="Calibri" w:eastAsia="Calibri"/>
                <w:sz w:val="22"/>
                <w:szCs w:val="22"/>
              </w:rPr>
              <w:t xml:space="preserve">The structured protocol for transitioning services away from a compromised or failed ICT vendor. Modelled in the </w:t>
            </w:r>
            <w:r w:rsidRPr="3516E18C" w:rsidR="3516E18C">
              <w:rPr>
                <w:rFonts w:ascii="Calibri" w:hAnsi="Calibri" w:eastAsia="Calibri"/>
                <w:sz w:val="22"/>
                <w:szCs w:val="22"/>
              </w:rPr>
              <w:t>exitStrategies</w:t>
            </w:r>
            <w:r w:rsidRPr="3516E18C" w:rsidR="3516E18C">
              <w:rPr>
                <w:rFonts w:ascii="Calibri" w:hAnsi="Calibri" w:eastAsia="Calibri"/>
                <w:sz w:val="22"/>
                <w:szCs w:val="22"/>
              </w:rPr>
              <w:t xml:space="preserve"> table (RT.08.01) linking each strategy to a </w:t>
            </w:r>
            <w:r w:rsidRPr="3516E18C" w:rsidR="3516E18C">
              <w:rPr>
                <w:rFonts w:ascii="Calibri" w:hAnsi="Calibri" w:eastAsia="Calibri"/>
                <w:sz w:val="22"/>
                <w:szCs w:val="22"/>
              </w:rPr>
              <w:t>contractId</w:t>
            </w:r>
            <w:r w:rsidRPr="3516E18C" w:rsidR="3516E18C">
              <w:rPr>
                <w:rFonts w:ascii="Calibri" w:hAnsi="Calibri" w:eastAsia="Calibri"/>
                <w:sz w:val="22"/>
                <w:szCs w:val="22"/>
              </w:rPr>
              <w:t xml:space="preserve">, </w:t>
            </w:r>
            <w:r w:rsidRPr="3516E18C" w:rsidR="3516E18C">
              <w:rPr>
                <w:rFonts w:ascii="Calibri" w:hAnsi="Calibri" w:eastAsia="Calibri"/>
                <w:sz w:val="22"/>
                <w:szCs w:val="22"/>
              </w:rPr>
              <w:t>exitTrigger</w:t>
            </w:r>
            <w:r w:rsidRPr="3516E18C" w:rsidR="3516E18C">
              <w:rPr>
                <w:rFonts w:ascii="Calibri" w:hAnsi="Calibri" w:eastAsia="Calibri"/>
                <w:sz w:val="22"/>
                <w:szCs w:val="22"/>
              </w:rPr>
              <w:t xml:space="preserve"> narrative, </w:t>
            </w:r>
            <w:r w:rsidRPr="3516E18C" w:rsidR="3516E18C">
              <w:rPr>
                <w:rFonts w:ascii="Calibri" w:hAnsi="Calibri" w:eastAsia="Calibri"/>
                <w:sz w:val="22"/>
                <w:szCs w:val="22"/>
              </w:rPr>
              <w:t>exitStrategy</w:t>
            </w:r>
            <w:r w:rsidRPr="3516E18C" w:rsidR="3516E18C">
              <w:rPr>
                <w:rFonts w:ascii="Calibri" w:hAnsi="Calibri" w:eastAsia="Calibri"/>
                <w:sz w:val="22"/>
                <w:szCs w:val="22"/>
              </w:rPr>
              <w:t xml:space="preserve"> plan, and optional </w:t>
            </w:r>
            <w:r w:rsidRPr="3516E18C" w:rsidR="3516E18C">
              <w:rPr>
                <w:rFonts w:ascii="Calibri" w:hAnsi="Calibri" w:eastAsia="Calibri"/>
                <w:sz w:val="22"/>
                <w:szCs w:val="22"/>
              </w:rPr>
              <w:t>fallbackProviderId</w:t>
            </w:r>
            <w:r w:rsidRPr="3516E18C" w:rsidR="3516E18C">
              <w:rPr>
                <w:rFonts w:ascii="Calibri" w:hAnsi="Calibri" w:eastAsia="Calibri"/>
                <w:sz w:val="22"/>
                <w:szCs w:val="22"/>
              </w:rPr>
              <w:t>.</w:t>
            </w:r>
          </w:p>
        </w:tc>
      </w:tr>
      <w:tr w:rsidR="3516E18C" w:rsidTr="3516E18C" w14:paraId="62F22FB9">
        <w:trPr>
          <w:trHeight w:val="300"/>
        </w:trPr>
        <w:tc>
          <w:tcPr>
            <w:tcW w:w="2910" w:type="dxa"/>
            <w:tcMar/>
          </w:tcPr>
          <w:p w:rsidR="3516E18C" w:rsidP="3516E18C" w:rsidRDefault="3516E18C" w14:paraId="169A0E9B" w14:textId="13F2DC45">
            <w:pPr>
              <w:rPr>
                <w:rFonts w:ascii="Calibri" w:hAnsi="Calibri" w:eastAsia="Calibri"/>
                <w:b w:val="1"/>
                <w:bCs w:val="1"/>
                <w:sz w:val="22"/>
                <w:szCs w:val="22"/>
              </w:rPr>
            </w:pPr>
            <w:r w:rsidRPr="3516E18C" w:rsidR="3516E18C">
              <w:rPr>
                <w:rFonts w:ascii="Calibri" w:hAnsi="Calibri" w:eastAsia="Calibri"/>
                <w:b w:val="1"/>
                <w:bCs w:val="1"/>
                <w:sz w:val="22"/>
                <w:szCs w:val="22"/>
              </w:rPr>
              <w:t>Hidden Dependency</w:t>
            </w:r>
          </w:p>
        </w:tc>
        <w:tc>
          <w:tcPr>
            <w:tcW w:w="6105" w:type="dxa"/>
            <w:tcMar/>
          </w:tcPr>
          <w:p w:rsidR="3516E18C" w:rsidP="3516E18C" w:rsidRDefault="3516E18C" w14:paraId="30321C08" w14:textId="7CF8FD8E">
            <w:pPr>
              <w:rPr>
                <w:rFonts w:ascii="Calibri" w:hAnsi="Calibri" w:eastAsia="Calibri"/>
                <w:sz w:val="22"/>
                <w:szCs w:val="22"/>
              </w:rPr>
            </w:pPr>
            <w:r w:rsidRPr="3516E18C" w:rsidR="3516E18C">
              <w:rPr>
                <w:rFonts w:ascii="Calibri" w:hAnsi="Calibri" w:eastAsia="Calibri"/>
                <w:sz w:val="22"/>
                <w:szCs w:val="22"/>
              </w:rPr>
              <w:t xml:space="preserve">A sub-contractor that a financial entity's primary vendor relies upon without the entity's explicit knowledge. The platform's </w:t>
            </w:r>
            <w:r w:rsidRPr="3516E18C" w:rsidR="3516E18C">
              <w:rPr>
                <w:rFonts w:ascii="Calibri" w:hAnsi="Calibri" w:eastAsia="Calibri"/>
                <w:sz w:val="22"/>
                <w:szCs w:val="22"/>
              </w:rPr>
              <w:t>IctSupplyChainModule</w:t>
            </w:r>
            <w:r w:rsidRPr="3516E18C" w:rsidR="3516E18C">
              <w:rPr>
                <w:rFonts w:ascii="Calibri" w:hAnsi="Calibri" w:eastAsia="Calibri"/>
                <w:sz w:val="22"/>
                <w:szCs w:val="22"/>
              </w:rPr>
              <w:t xml:space="preserve"> with recursive hierarchy query (</w:t>
            </w:r>
            <w:r w:rsidRPr="3516E18C" w:rsidR="3516E18C">
              <w:rPr>
                <w:rFonts w:ascii="Calibri" w:hAnsi="Calibri" w:eastAsia="Calibri"/>
                <w:sz w:val="22"/>
                <w:szCs w:val="22"/>
              </w:rPr>
              <w:t>GET /ict-supply-chain/chain/:contractId</w:t>
            </w:r>
            <w:r w:rsidRPr="3516E18C" w:rsidR="3516E18C">
              <w:rPr>
                <w:rFonts w:ascii="Calibri" w:hAnsi="Calibri" w:eastAsia="Calibri"/>
                <w:sz w:val="22"/>
                <w:szCs w:val="22"/>
              </w:rPr>
              <w:t>) makes hidden dependencies visible, addressing DORA Art. 28(3).</w:t>
            </w:r>
          </w:p>
        </w:tc>
      </w:tr>
      <w:tr w:rsidR="3516E18C" w:rsidTr="3516E18C" w14:paraId="0DCD699D">
        <w:trPr>
          <w:trHeight w:val="300"/>
        </w:trPr>
        <w:tc>
          <w:tcPr>
            <w:tcW w:w="2910" w:type="dxa"/>
            <w:tcMar/>
          </w:tcPr>
          <w:p w:rsidR="3516E18C" w:rsidP="3516E18C" w:rsidRDefault="3516E18C" w14:paraId="1F3E56F0" w14:textId="20322C68">
            <w:pPr>
              <w:rPr>
                <w:rFonts w:ascii="Calibri" w:hAnsi="Calibri" w:eastAsia="Calibri"/>
                <w:b w:val="1"/>
                <w:bCs w:val="1"/>
                <w:sz w:val="22"/>
                <w:szCs w:val="22"/>
              </w:rPr>
            </w:pPr>
            <w:r w:rsidRPr="3516E18C" w:rsidR="3516E18C">
              <w:rPr>
                <w:rFonts w:ascii="Calibri" w:hAnsi="Calibri" w:eastAsia="Calibri"/>
                <w:b w:val="1"/>
                <w:bCs w:val="1"/>
                <w:sz w:val="22"/>
                <w:szCs w:val="22"/>
              </w:rPr>
              <w:t>Substitutability</w:t>
            </w:r>
          </w:p>
        </w:tc>
        <w:tc>
          <w:tcPr>
            <w:tcW w:w="6105" w:type="dxa"/>
            <w:tcMar/>
          </w:tcPr>
          <w:p w:rsidR="3516E18C" w:rsidP="3516E18C" w:rsidRDefault="3516E18C" w14:paraId="07D10ACB" w14:textId="06883D0A">
            <w:pPr>
              <w:rPr>
                <w:rFonts w:ascii="Calibri" w:hAnsi="Calibri" w:eastAsia="Calibri"/>
                <w:sz w:val="22"/>
                <w:szCs w:val="22"/>
              </w:rPr>
            </w:pPr>
            <w:r w:rsidRPr="3516E18C" w:rsidR="3516E18C">
              <w:rPr>
                <w:rFonts w:ascii="Calibri" w:hAnsi="Calibri" w:eastAsia="Calibri"/>
                <w:sz w:val="22"/>
                <w:szCs w:val="22"/>
              </w:rPr>
              <w:t xml:space="preserve">The degree to which a critical ICT provider can be replaced within an acceptable timeframe. Assessed via </w:t>
            </w:r>
            <w:r w:rsidRPr="3516E18C" w:rsidR="3516E18C">
              <w:rPr>
                <w:rFonts w:ascii="Calibri" w:hAnsi="Calibri" w:eastAsia="Calibri"/>
                <w:sz w:val="22"/>
                <w:szCs w:val="22"/>
              </w:rPr>
              <w:t>ictServiceAssessments.isSubstitutable</w:t>
            </w:r>
            <w:r w:rsidRPr="3516E18C" w:rsidR="3516E18C">
              <w:rPr>
                <w:rFonts w:ascii="Calibri" w:hAnsi="Calibri" w:eastAsia="Calibri"/>
                <w:sz w:val="22"/>
                <w:szCs w:val="22"/>
              </w:rPr>
              <w:t xml:space="preserve"> boolean (RT.07.01). Where </w:t>
            </w:r>
            <w:r w:rsidRPr="3516E18C" w:rsidR="3516E18C">
              <w:rPr>
                <w:rFonts w:ascii="Calibri" w:hAnsi="Calibri" w:eastAsia="Calibri"/>
                <w:sz w:val="22"/>
                <w:szCs w:val="22"/>
              </w:rPr>
              <w:t>false</w:t>
            </w:r>
            <w:r w:rsidRPr="3516E18C" w:rsidR="3516E18C">
              <w:rPr>
                <w:rFonts w:ascii="Calibri" w:hAnsi="Calibri" w:eastAsia="Calibri"/>
                <w:sz w:val="22"/>
                <w:szCs w:val="22"/>
              </w:rPr>
              <w:t xml:space="preserve">, the </w:t>
            </w:r>
            <w:r w:rsidRPr="3516E18C" w:rsidR="3516E18C">
              <w:rPr>
                <w:rFonts w:ascii="Calibri" w:hAnsi="Calibri" w:eastAsia="Calibri"/>
                <w:sz w:val="22"/>
                <w:szCs w:val="22"/>
              </w:rPr>
              <w:t>substitutionReason</w:t>
            </w:r>
            <w:r w:rsidRPr="3516E18C" w:rsidR="3516E18C">
              <w:rPr>
                <w:rFonts w:ascii="Calibri" w:hAnsi="Calibri" w:eastAsia="Calibri"/>
                <w:sz w:val="22"/>
                <w:szCs w:val="22"/>
              </w:rPr>
              <w:t xml:space="preserve"> field becomes conditionally mandatory — enforced by EBA validation rule VR109, the platform's representative </w:t>
            </w:r>
            <w:r w:rsidRPr="3516E18C" w:rsidR="3516E18C">
              <w:rPr>
                <w:rFonts w:ascii="Calibri" w:hAnsi="Calibri" w:eastAsia="Calibri"/>
                <w:sz w:val="22"/>
                <w:szCs w:val="22"/>
              </w:rPr>
              <w:t>conditional</w:t>
            </w:r>
            <w:r w:rsidRPr="3516E18C" w:rsidR="3516E18C">
              <w:rPr>
                <w:rFonts w:ascii="Calibri" w:hAnsi="Calibri" w:eastAsia="Calibri"/>
                <w:sz w:val="22"/>
                <w:szCs w:val="22"/>
              </w:rPr>
              <w:t xml:space="preserve"> rule type.</w:t>
            </w:r>
          </w:p>
        </w:tc>
      </w:tr>
      <w:tr w:rsidR="3516E18C" w:rsidTr="3516E18C" w14:paraId="23B6D1F7">
        <w:trPr>
          <w:trHeight w:val="300"/>
        </w:trPr>
        <w:tc>
          <w:tcPr>
            <w:tcW w:w="2910" w:type="dxa"/>
            <w:tcMar/>
          </w:tcPr>
          <w:p w:rsidR="3516E18C" w:rsidP="3516E18C" w:rsidRDefault="3516E18C" w14:paraId="1E0BE38A" w14:textId="21D9352D">
            <w:pPr>
              <w:rPr>
                <w:rFonts w:ascii="Calibri" w:hAnsi="Calibri" w:eastAsia="Calibri"/>
                <w:b w:val="1"/>
                <w:bCs w:val="1"/>
                <w:sz w:val="22"/>
                <w:szCs w:val="22"/>
              </w:rPr>
            </w:pPr>
            <w:r w:rsidRPr="3516E18C" w:rsidR="3516E18C">
              <w:rPr>
                <w:rFonts w:ascii="Calibri" w:hAnsi="Calibri" w:eastAsia="Calibri"/>
                <w:b w:val="1"/>
                <w:bCs w:val="1"/>
                <w:sz w:val="22"/>
                <w:szCs w:val="22"/>
              </w:rPr>
              <w:t>Supply Rank</w:t>
            </w:r>
          </w:p>
        </w:tc>
        <w:tc>
          <w:tcPr>
            <w:tcW w:w="6105" w:type="dxa"/>
            <w:tcMar/>
          </w:tcPr>
          <w:p w:rsidR="3516E18C" w:rsidP="3516E18C" w:rsidRDefault="3516E18C" w14:paraId="2B30F233" w14:textId="1CB6E8C9">
            <w:pPr>
              <w:rPr>
                <w:rFonts w:ascii="Calibri" w:hAnsi="Calibri" w:eastAsia="Calibri"/>
                <w:sz w:val="22"/>
                <w:szCs w:val="22"/>
              </w:rPr>
            </w:pPr>
            <w:r w:rsidRPr="3516E18C" w:rsidR="3516E18C">
              <w:rPr>
                <w:rFonts w:ascii="Calibri" w:hAnsi="Calibri" w:eastAsia="Calibri"/>
                <w:sz w:val="22"/>
                <w:szCs w:val="22"/>
              </w:rPr>
              <w:t xml:space="preserve">The depth level of a sub-contractor in the ICT supply chain hierarchy, stored as </w:t>
            </w:r>
            <w:r w:rsidRPr="3516E18C" w:rsidR="3516E18C">
              <w:rPr>
                <w:rFonts w:ascii="Calibri" w:hAnsi="Calibri" w:eastAsia="Calibri"/>
                <w:sz w:val="22"/>
                <w:szCs w:val="22"/>
              </w:rPr>
              <w:t>ictSupplyChain.supplyRank</w:t>
            </w:r>
            <w:r w:rsidRPr="3516E18C" w:rsidR="3516E18C">
              <w:rPr>
                <w:rFonts w:ascii="Calibri" w:hAnsi="Calibri" w:eastAsia="Calibri"/>
                <w:sz w:val="22"/>
                <w:szCs w:val="22"/>
              </w:rPr>
              <w:t xml:space="preserve"> (integer, validated as ≥1 by VR range rules). A rank of 1 denotes a direct sub-contractor; higher values denote deeper n-th party relationships mapped to EBA RT.05.02.</w:t>
            </w:r>
          </w:p>
        </w:tc>
      </w:tr>
    </w:tbl>
    <w:p w:rsidR="00BD2851" w:rsidP="3516E18C" w:rsidRDefault="00BD2851" w14:paraId="60F8C22C" w14:textId="0C5B4D71">
      <w:pPr>
        <w:rPr>
          <w:rFonts w:ascii="Calibri" w:hAnsi="Calibri" w:eastAsia="Calibri"/>
          <w:sz w:val="22"/>
          <w:szCs w:val="22"/>
        </w:rPr>
      </w:pPr>
    </w:p>
    <w:p w:rsidR="00BD2851" w:rsidP="3516E18C" w:rsidRDefault="00BD2851" w14:paraId="179CD33C" w14:textId="5060DDA2">
      <w:pPr>
        <w:rPr>
          <w:rFonts w:ascii="Calibri" w:hAnsi="Calibri" w:eastAsia="Calibri"/>
          <w:sz w:val="22"/>
          <w:szCs w:val="22"/>
        </w:rPr>
      </w:pPr>
    </w:p>
    <w:p w:rsidR="00BD2851" w:rsidP="3516E18C" w:rsidRDefault="00BD2851" w14:paraId="3A7D2D42" w14:textId="397EAAA2">
      <w:pPr>
        <w:pStyle w:val="Normal"/>
        <w:rPr>
          <w:rFonts w:ascii="Calibri" w:hAnsi="Calibri" w:eastAsia="Calibri"/>
          <w:b w:val="1"/>
          <w:bCs w:val="1"/>
          <w:noProof w:val="0"/>
          <w:sz w:val="22"/>
          <w:szCs w:val="22"/>
          <w:lang w:val="en-IE"/>
        </w:rPr>
      </w:pPr>
      <w:r w:rsidRPr="3516E18C" w:rsidR="7FCCF12C">
        <w:rPr>
          <w:rFonts w:ascii="Calibri" w:hAnsi="Calibri" w:eastAsia="Calibri"/>
          <w:b w:val="1"/>
          <w:bCs w:val="1"/>
          <w:noProof w:val="0"/>
          <w:sz w:val="22"/>
          <w:szCs w:val="22"/>
          <w:lang w:val="en-IE"/>
        </w:rPr>
        <w:t>Section F — Academic &amp; Technical</w:t>
      </w:r>
    </w:p>
    <w:tbl>
      <w:tblPr>
        <w:tblStyle w:val="TableGrid"/>
        <w:bidiVisual w:val="0"/>
        <w:tblW w:w="0" w:type="auto"/>
        <w:tblLook w:val="06A0" w:firstRow="1" w:lastRow="0" w:firstColumn="1" w:lastColumn="0" w:noHBand="1" w:noVBand="1"/>
      </w:tblPr>
      <w:tblGrid>
        <w:gridCol w:w="2865"/>
        <w:gridCol w:w="6150"/>
      </w:tblGrid>
      <w:tr w:rsidR="3516E18C" w:rsidTr="3516E18C" w14:paraId="439EBF07">
        <w:trPr>
          <w:trHeight w:val="300"/>
        </w:trPr>
        <w:tc>
          <w:tcPr>
            <w:tcW w:w="2865" w:type="dxa"/>
            <w:tcMar/>
          </w:tcPr>
          <w:p w:rsidR="3516E18C" w:rsidP="3516E18C" w:rsidRDefault="3516E18C" w14:paraId="54A3F013" w14:textId="33533EDB">
            <w:pPr>
              <w:rPr>
                <w:rFonts w:ascii="Calibri" w:hAnsi="Calibri" w:eastAsia="Calibri"/>
                <w:b w:val="1"/>
                <w:bCs w:val="1"/>
                <w:sz w:val="22"/>
                <w:szCs w:val="22"/>
              </w:rPr>
            </w:pPr>
            <w:r w:rsidRPr="3516E18C" w:rsidR="3516E18C">
              <w:rPr>
                <w:rFonts w:ascii="Calibri" w:hAnsi="Calibri" w:eastAsia="Calibri"/>
                <w:b w:val="1"/>
                <w:bCs w:val="1"/>
                <w:sz w:val="22"/>
                <w:szCs w:val="22"/>
              </w:rPr>
              <w:t>Term</w:t>
            </w:r>
          </w:p>
        </w:tc>
        <w:tc>
          <w:tcPr>
            <w:tcW w:w="6150" w:type="dxa"/>
            <w:tcMar/>
          </w:tcPr>
          <w:p w:rsidR="3516E18C" w:rsidP="3516E18C" w:rsidRDefault="3516E18C" w14:paraId="1B4131F2" w14:textId="4D2AA896">
            <w:pPr>
              <w:rPr>
                <w:rFonts w:ascii="Calibri" w:hAnsi="Calibri" w:eastAsia="Calibri"/>
                <w:b w:val="1"/>
                <w:bCs w:val="1"/>
                <w:sz w:val="22"/>
                <w:szCs w:val="22"/>
              </w:rPr>
            </w:pPr>
            <w:r w:rsidRPr="3516E18C" w:rsidR="3516E18C">
              <w:rPr>
                <w:rFonts w:ascii="Calibri" w:hAnsi="Calibri" w:eastAsia="Calibri"/>
                <w:b w:val="1"/>
                <w:bCs w:val="1"/>
                <w:sz w:val="22"/>
                <w:szCs w:val="22"/>
              </w:rPr>
              <w:t>Definition</w:t>
            </w:r>
          </w:p>
        </w:tc>
      </w:tr>
      <w:tr w:rsidR="3516E18C" w:rsidTr="3516E18C" w14:paraId="0B71CD5B">
        <w:trPr>
          <w:trHeight w:val="300"/>
        </w:trPr>
        <w:tc>
          <w:tcPr>
            <w:tcW w:w="2865" w:type="dxa"/>
            <w:tcMar/>
          </w:tcPr>
          <w:p w:rsidR="3516E18C" w:rsidP="3516E18C" w:rsidRDefault="3516E18C" w14:paraId="60A18AD2" w14:textId="4A48BFA0">
            <w:pPr>
              <w:rPr>
                <w:rFonts w:ascii="Calibri" w:hAnsi="Calibri" w:eastAsia="Calibri"/>
                <w:b w:val="1"/>
                <w:bCs w:val="1"/>
                <w:sz w:val="22"/>
                <w:szCs w:val="22"/>
              </w:rPr>
            </w:pPr>
            <w:r w:rsidRPr="3516E18C" w:rsidR="3516E18C">
              <w:rPr>
                <w:rFonts w:ascii="Calibri" w:hAnsi="Calibri" w:eastAsia="Calibri"/>
                <w:b w:val="1"/>
                <w:bCs w:val="1"/>
                <w:sz w:val="22"/>
                <w:szCs w:val="22"/>
              </w:rPr>
              <w:t>Design Science Research (DSR)</w:t>
            </w:r>
          </w:p>
        </w:tc>
        <w:tc>
          <w:tcPr>
            <w:tcW w:w="6150" w:type="dxa"/>
            <w:tcMar/>
          </w:tcPr>
          <w:p w:rsidR="3516E18C" w:rsidP="3516E18C" w:rsidRDefault="3516E18C" w14:paraId="48E7A5F4" w14:textId="4D1388C6">
            <w:pPr>
              <w:rPr>
                <w:rFonts w:ascii="Calibri" w:hAnsi="Calibri" w:eastAsia="Calibri"/>
                <w:sz w:val="22"/>
                <w:szCs w:val="22"/>
              </w:rPr>
            </w:pPr>
            <w:r w:rsidRPr="3516E18C" w:rsidR="3516E18C">
              <w:rPr>
                <w:rFonts w:ascii="Calibri" w:hAnsi="Calibri" w:eastAsia="Calibri"/>
                <w:sz w:val="22"/>
                <w:szCs w:val="22"/>
              </w:rPr>
              <w:t>The research methodology of solving a real-world problem by constructing and evaluating an artefact. Applied following Hevner et al. (2004) and Peffers et al.'s (2007) DSRM process model. The artefact is the DORA SaaS platform; the problem instance is the compliance tooling gap for Irish SME financial entities.</w:t>
            </w:r>
          </w:p>
        </w:tc>
      </w:tr>
      <w:tr w:rsidR="3516E18C" w:rsidTr="3516E18C" w14:paraId="2C820ACB">
        <w:trPr>
          <w:trHeight w:val="300"/>
        </w:trPr>
        <w:tc>
          <w:tcPr>
            <w:tcW w:w="2865" w:type="dxa"/>
            <w:tcMar/>
          </w:tcPr>
          <w:p w:rsidR="3516E18C" w:rsidP="3516E18C" w:rsidRDefault="3516E18C" w14:paraId="404BDA72" w14:textId="620F7771">
            <w:pPr>
              <w:rPr>
                <w:rFonts w:ascii="Calibri" w:hAnsi="Calibri" w:eastAsia="Calibri"/>
                <w:b w:val="1"/>
                <w:bCs w:val="1"/>
                <w:sz w:val="22"/>
                <w:szCs w:val="22"/>
              </w:rPr>
            </w:pPr>
            <w:r w:rsidRPr="3516E18C" w:rsidR="3516E18C">
              <w:rPr>
                <w:rFonts w:ascii="Calibri" w:hAnsi="Calibri" w:eastAsia="Calibri"/>
                <w:b w:val="1"/>
                <w:bCs w:val="1"/>
                <w:sz w:val="22"/>
                <w:szCs w:val="22"/>
              </w:rPr>
              <w:t>Taxonomy Alignment</w:t>
            </w:r>
          </w:p>
        </w:tc>
        <w:tc>
          <w:tcPr>
            <w:tcW w:w="6150" w:type="dxa"/>
            <w:tcMar/>
          </w:tcPr>
          <w:p w:rsidR="3516E18C" w:rsidP="3516E18C" w:rsidRDefault="3516E18C" w14:paraId="306189FC" w14:textId="09F03387">
            <w:pPr>
              <w:rPr>
                <w:rFonts w:ascii="Calibri" w:hAnsi="Calibri" w:eastAsia="Calibri"/>
                <w:sz w:val="22"/>
                <w:szCs w:val="22"/>
              </w:rPr>
            </w:pPr>
            <w:r w:rsidRPr="3516E18C" w:rsidR="3516E18C">
              <w:rPr>
                <w:rFonts w:ascii="Calibri" w:hAnsi="Calibri" w:eastAsia="Calibri"/>
                <w:sz w:val="22"/>
                <w:szCs w:val="22"/>
              </w:rPr>
              <w:t>The degree to which a system's data model and output format match the regulator's official classification system. In this dissertation it covers EBA code-list conformance (reference tables), EBA column code mapping (</w:t>
            </w:r>
            <w:r w:rsidRPr="3516E18C" w:rsidR="3516E18C">
              <w:rPr>
                <w:rFonts w:ascii="Calibri" w:hAnsi="Calibri" w:eastAsia="Calibri"/>
                <w:sz w:val="22"/>
                <w:szCs w:val="22"/>
              </w:rPr>
              <w:t>ColumnDef</w:t>
            </w:r>
            <w:r w:rsidRPr="3516E18C" w:rsidR="3516E18C">
              <w:rPr>
                <w:rFonts w:ascii="Calibri" w:hAnsi="Calibri" w:eastAsia="Calibri"/>
                <w:sz w:val="22"/>
                <w:szCs w:val="22"/>
              </w:rPr>
              <w:t xml:space="preserve"> extractors), and XBRL OIM-CSV format conformance (six conformance risks documented in Chapters 5 and 7).</w:t>
            </w:r>
          </w:p>
        </w:tc>
      </w:tr>
      <w:tr w:rsidR="3516E18C" w:rsidTr="3516E18C" w14:paraId="1B5CC1EE">
        <w:trPr>
          <w:trHeight w:val="300"/>
        </w:trPr>
        <w:tc>
          <w:tcPr>
            <w:tcW w:w="2865" w:type="dxa"/>
            <w:tcMar/>
          </w:tcPr>
          <w:p w:rsidR="3516E18C" w:rsidP="3516E18C" w:rsidRDefault="3516E18C" w14:paraId="3637A46A" w14:textId="75ACFD59">
            <w:pPr>
              <w:rPr>
                <w:rFonts w:ascii="Calibri" w:hAnsi="Calibri" w:eastAsia="Calibri"/>
                <w:b w:val="1"/>
                <w:bCs w:val="1"/>
                <w:sz w:val="22"/>
                <w:szCs w:val="22"/>
              </w:rPr>
            </w:pPr>
            <w:r w:rsidRPr="3516E18C" w:rsidR="3516E18C">
              <w:rPr>
                <w:rFonts w:ascii="Calibri" w:hAnsi="Calibri" w:eastAsia="Calibri"/>
                <w:b w:val="1"/>
                <w:bCs w:val="1"/>
                <w:sz w:val="22"/>
                <w:szCs w:val="22"/>
              </w:rPr>
              <w:t>Synthetic Datasets</w:t>
            </w:r>
          </w:p>
        </w:tc>
        <w:tc>
          <w:tcPr>
            <w:tcW w:w="6150" w:type="dxa"/>
            <w:tcMar/>
          </w:tcPr>
          <w:p w:rsidR="3516E18C" w:rsidP="3516E18C" w:rsidRDefault="3516E18C" w14:paraId="27625FD7" w14:textId="0F1875A2">
            <w:pPr>
              <w:rPr>
                <w:rFonts w:ascii="Calibri" w:hAnsi="Calibri" w:eastAsia="Calibri"/>
                <w:sz w:val="22"/>
                <w:szCs w:val="22"/>
              </w:rPr>
            </w:pPr>
            <w:r w:rsidRPr="3516E18C" w:rsidR="3516E18C">
              <w:rPr>
                <w:rFonts w:ascii="Calibri" w:hAnsi="Calibri" w:eastAsia="Calibri"/>
                <w:sz w:val="22"/>
                <w:szCs w:val="22"/>
              </w:rPr>
              <w:t>Artificial data used to test a system without using real company data. Chapter 6's evaluation uses a seeded test dataset of deliberately injected violations — one per ESA Dry Run failure category — to demonstrate validation engine correctness.</w:t>
            </w:r>
          </w:p>
        </w:tc>
      </w:tr>
      <w:tr w:rsidR="3516E18C" w:rsidTr="3516E18C" w14:paraId="241BB0AA">
        <w:trPr>
          <w:trHeight w:val="300"/>
        </w:trPr>
        <w:tc>
          <w:tcPr>
            <w:tcW w:w="2865" w:type="dxa"/>
            <w:tcMar/>
          </w:tcPr>
          <w:p w:rsidR="3516E18C" w:rsidP="3516E18C" w:rsidRDefault="3516E18C" w14:paraId="42984A72" w14:textId="008FF962">
            <w:pPr>
              <w:rPr>
                <w:rFonts w:ascii="Calibri" w:hAnsi="Calibri" w:eastAsia="Calibri"/>
                <w:b w:val="1"/>
                <w:bCs w:val="1"/>
                <w:sz w:val="22"/>
                <w:szCs w:val="22"/>
              </w:rPr>
            </w:pPr>
            <w:r w:rsidRPr="3516E18C" w:rsidR="3516E18C">
              <w:rPr>
                <w:rFonts w:ascii="Calibri" w:hAnsi="Calibri" w:eastAsia="Calibri"/>
                <w:b w:val="1"/>
                <w:bCs w:val="1"/>
                <w:sz w:val="22"/>
                <w:szCs w:val="22"/>
              </w:rPr>
              <w:t>Artefact Validation</w:t>
            </w:r>
          </w:p>
        </w:tc>
        <w:tc>
          <w:tcPr>
            <w:tcW w:w="6150" w:type="dxa"/>
            <w:tcMar/>
          </w:tcPr>
          <w:p w:rsidR="3516E18C" w:rsidP="3516E18C" w:rsidRDefault="3516E18C" w14:paraId="16E712BF" w14:textId="4DF57DE2">
            <w:pPr>
              <w:rPr>
                <w:rFonts w:ascii="Calibri" w:hAnsi="Calibri" w:eastAsia="Calibri"/>
                <w:sz w:val="22"/>
                <w:szCs w:val="22"/>
              </w:rPr>
            </w:pPr>
            <w:r w:rsidRPr="3516E18C" w:rsidR="3516E18C">
              <w:rPr>
                <w:rFonts w:ascii="Calibri" w:hAnsi="Calibri" w:eastAsia="Calibri"/>
                <w:sz w:val="22"/>
                <w:szCs w:val="22"/>
              </w:rPr>
              <w:t>Demonstrating that a designed artefact works as intended. Chapter 6 applies Venable et al.'s (2016) FEDS framework: nine injected violations tested against the validation engine, pre-flight gate behaviour verified, and DORA Score computation confirmed.</w:t>
            </w:r>
          </w:p>
        </w:tc>
      </w:tr>
      <w:tr w:rsidR="3516E18C" w:rsidTr="3516E18C" w14:paraId="74187C38">
        <w:trPr>
          <w:trHeight w:val="300"/>
        </w:trPr>
        <w:tc>
          <w:tcPr>
            <w:tcW w:w="2865" w:type="dxa"/>
            <w:tcMar/>
          </w:tcPr>
          <w:p w:rsidR="3516E18C" w:rsidP="3516E18C" w:rsidRDefault="3516E18C" w14:paraId="1AED9041" w14:textId="5598E8D7">
            <w:pPr>
              <w:rPr>
                <w:rFonts w:ascii="Calibri" w:hAnsi="Calibri" w:eastAsia="Calibri"/>
                <w:b w:val="1"/>
                <w:bCs w:val="1"/>
                <w:sz w:val="22"/>
                <w:szCs w:val="22"/>
              </w:rPr>
            </w:pPr>
            <w:r w:rsidRPr="3516E18C" w:rsidR="3516E18C">
              <w:rPr>
                <w:rFonts w:ascii="Calibri" w:hAnsi="Calibri" w:eastAsia="Calibri"/>
                <w:b w:val="1"/>
                <w:bCs w:val="1"/>
                <w:sz w:val="22"/>
                <w:szCs w:val="22"/>
              </w:rPr>
              <w:t>Pre-flight Gate</w:t>
            </w:r>
          </w:p>
        </w:tc>
        <w:tc>
          <w:tcPr>
            <w:tcW w:w="6150" w:type="dxa"/>
            <w:tcMar/>
          </w:tcPr>
          <w:p w:rsidR="3516E18C" w:rsidP="3516E18C" w:rsidRDefault="3516E18C" w14:paraId="61F0531A" w14:textId="3CE88866">
            <w:pPr>
              <w:rPr>
                <w:rFonts w:ascii="Calibri" w:hAnsi="Calibri" w:eastAsia="Calibri"/>
                <w:sz w:val="22"/>
                <w:szCs w:val="22"/>
              </w:rPr>
            </w:pPr>
            <w:r w:rsidRPr="3516E18C" w:rsidR="3516E18C">
              <w:rPr>
                <w:rFonts w:ascii="Calibri" w:hAnsi="Calibri" w:eastAsia="Calibri"/>
                <w:sz w:val="22"/>
                <w:szCs w:val="22"/>
              </w:rPr>
              <w:t xml:space="preserve">A system-enforced export control that checks compliance status before allowing submission file generation. </w:t>
            </w:r>
            <w:r w:rsidRPr="3516E18C" w:rsidR="3516E18C">
              <w:rPr>
                <w:rFonts w:ascii="Calibri" w:hAnsi="Calibri" w:eastAsia="Calibri"/>
                <w:sz w:val="22"/>
                <w:szCs w:val="22"/>
              </w:rPr>
              <w:t>RoiExportService.preflight()</w:t>
            </w:r>
            <w:r w:rsidRPr="3516E18C" w:rsidR="3516E18C">
              <w:rPr>
                <w:rFonts w:ascii="Calibri" w:hAnsi="Calibri" w:eastAsia="Calibri"/>
                <w:sz w:val="22"/>
                <w:szCs w:val="22"/>
              </w:rPr>
              <w:t xml:space="preserve"> retrieves the latest </w:t>
            </w:r>
            <w:r w:rsidRPr="3516E18C" w:rsidR="3516E18C">
              <w:rPr>
                <w:rFonts w:ascii="Calibri" w:hAnsi="Calibri" w:eastAsia="Calibri"/>
                <w:sz w:val="22"/>
                <w:szCs w:val="22"/>
              </w:rPr>
              <w:t>ValidationRun</w:t>
            </w:r>
            <w:r w:rsidRPr="3516E18C" w:rsidR="3516E18C">
              <w:rPr>
                <w:rFonts w:ascii="Calibri" w:hAnsi="Calibri" w:eastAsia="Calibri"/>
                <w:sz w:val="22"/>
                <w:szCs w:val="22"/>
              </w:rPr>
              <w:t>, counts unresolved ERROR-severity issues, and returns HTTP 400 if any blocking errors exist — making it structurally impossible to export a non-compliant RoI file.</w:t>
            </w:r>
          </w:p>
        </w:tc>
      </w:tr>
      <w:tr w:rsidR="3516E18C" w:rsidTr="3516E18C" w14:paraId="67D9C1CF">
        <w:trPr>
          <w:trHeight w:val="300"/>
        </w:trPr>
        <w:tc>
          <w:tcPr>
            <w:tcW w:w="2865" w:type="dxa"/>
            <w:tcMar/>
          </w:tcPr>
          <w:p w:rsidR="3516E18C" w:rsidP="3516E18C" w:rsidRDefault="3516E18C" w14:paraId="32920924" w14:textId="156AF44E">
            <w:pPr>
              <w:rPr>
                <w:rFonts w:ascii="Calibri" w:hAnsi="Calibri" w:eastAsia="Calibri"/>
                <w:b w:val="1"/>
                <w:bCs w:val="1"/>
                <w:sz w:val="22"/>
                <w:szCs w:val="22"/>
              </w:rPr>
            </w:pPr>
            <w:r w:rsidRPr="3516E18C" w:rsidR="3516E18C">
              <w:rPr>
                <w:rFonts w:ascii="Calibri" w:hAnsi="Calibri" w:eastAsia="Calibri"/>
                <w:b w:val="1"/>
                <w:bCs w:val="1"/>
                <w:sz w:val="22"/>
                <w:szCs w:val="22"/>
              </w:rPr>
              <w:t>Issue Lifecycle State Machine</w:t>
            </w:r>
          </w:p>
        </w:tc>
        <w:tc>
          <w:tcPr>
            <w:tcW w:w="6150" w:type="dxa"/>
            <w:tcMar/>
          </w:tcPr>
          <w:p w:rsidR="3516E18C" w:rsidP="3516E18C" w:rsidRDefault="3516E18C" w14:paraId="7149CBB8" w14:textId="593290EE">
            <w:pPr>
              <w:rPr>
                <w:rFonts w:ascii="Calibri" w:hAnsi="Calibri" w:eastAsia="Calibri"/>
                <w:sz w:val="22"/>
                <w:szCs w:val="22"/>
              </w:rPr>
            </w:pPr>
            <w:r w:rsidRPr="3516E18C" w:rsidR="3516E18C">
              <w:rPr>
                <w:rFonts w:ascii="Calibri" w:hAnsi="Calibri" w:eastAsia="Calibri"/>
                <w:sz w:val="22"/>
                <w:szCs w:val="22"/>
              </w:rPr>
              <w:t xml:space="preserve">The five-state workflow governing how validation issues are created, assigned, remediated, and resolved: </w:t>
            </w:r>
            <w:r w:rsidRPr="3516E18C" w:rsidR="3516E18C">
              <w:rPr>
                <w:rFonts w:ascii="Calibri" w:hAnsi="Calibri" w:eastAsia="Calibri"/>
                <w:sz w:val="22"/>
                <w:szCs w:val="22"/>
              </w:rPr>
              <w:t>OPEN → FLAGGED → WAITING_APPROVAL → RESOLVED</w:t>
            </w:r>
            <w:r w:rsidRPr="3516E18C" w:rsidR="3516E18C">
              <w:rPr>
                <w:rFonts w:ascii="Calibri" w:hAnsi="Calibri" w:eastAsia="Calibri"/>
                <w:sz w:val="22"/>
                <w:szCs w:val="22"/>
              </w:rPr>
              <w:t xml:space="preserve"> (approval path) or </w:t>
            </w:r>
            <w:r w:rsidRPr="3516E18C" w:rsidR="3516E18C">
              <w:rPr>
                <w:rFonts w:ascii="Calibri" w:hAnsi="Calibri" w:eastAsia="Calibri"/>
                <w:sz w:val="22"/>
                <w:szCs w:val="22"/>
              </w:rPr>
              <w:t>WAITING_APPROVAL → FLAGGED</w:t>
            </w:r>
            <w:r w:rsidRPr="3516E18C" w:rsidR="3516E18C">
              <w:rPr>
                <w:rFonts w:ascii="Calibri" w:hAnsi="Calibri" w:eastAsia="Calibri"/>
                <w:sz w:val="22"/>
                <w:szCs w:val="22"/>
              </w:rPr>
              <w:t xml:space="preserve"> (rejection path). Every transition is logged to the immutable audit trail.</w:t>
            </w:r>
          </w:p>
        </w:tc>
      </w:tr>
      <w:tr w:rsidR="3516E18C" w:rsidTr="3516E18C" w14:paraId="707FE7E6">
        <w:trPr>
          <w:trHeight w:val="300"/>
        </w:trPr>
        <w:tc>
          <w:tcPr>
            <w:tcW w:w="2865" w:type="dxa"/>
            <w:tcMar/>
          </w:tcPr>
          <w:p w:rsidR="3516E18C" w:rsidP="3516E18C" w:rsidRDefault="3516E18C" w14:paraId="3C161FE6" w14:textId="4C359B2B">
            <w:pPr>
              <w:rPr>
                <w:rFonts w:ascii="Calibri" w:hAnsi="Calibri" w:eastAsia="Calibri"/>
                <w:b w:val="1"/>
                <w:bCs w:val="1"/>
                <w:sz w:val="22"/>
                <w:szCs w:val="22"/>
              </w:rPr>
            </w:pPr>
            <w:r w:rsidRPr="3516E18C" w:rsidR="3516E18C">
              <w:rPr>
                <w:rFonts w:ascii="Calibri" w:hAnsi="Calibri" w:eastAsia="Calibri"/>
                <w:b w:val="1"/>
                <w:bCs w:val="1"/>
                <w:sz w:val="22"/>
                <w:szCs w:val="22"/>
              </w:rPr>
              <w:t>Multi-Tenancy</w:t>
            </w:r>
          </w:p>
        </w:tc>
        <w:tc>
          <w:tcPr>
            <w:tcW w:w="6150" w:type="dxa"/>
            <w:tcMar/>
          </w:tcPr>
          <w:p w:rsidR="3516E18C" w:rsidP="3516E18C" w:rsidRDefault="3516E18C" w14:paraId="10E0E8FA" w14:textId="688DB426">
            <w:pPr>
              <w:rPr>
                <w:rFonts w:ascii="Calibri" w:hAnsi="Calibri" w:eastAsia="Calibri"/>
                <w:sz w:val="22"/>
                <w:szCs w:val="22"/>
              </w:rPr>
            </w:pPr>
            <w:r w:rsidRPr="3516E18C" w:rsidR="3516E18C">
              <w:rPr>
                <w:rFonts w:ascii="Calibri" w:hAnsi="Calibri" w:eastAsia="Calibri"/>
                <w:sz w:val="22"/>
                <w:szCs w:val="22"/>
              </w:rPr>
              <w:t xml:space="preserve">An architecture where a single application instance serves multiple independent organisations with strict data isolation. Implemented via a </w:t>
            </w:r>
            <w:r w:rsidRPr="3516E18C" w:rsidR="3516E18C">
              <w:rPr>
                <w:rFonts w:ascii="Calibri" w:hAnsi="Calibri" w:eastAsia="Calibri"/>
                <w:sz w:val="22"/>
                <w:szCs w:val="22"/>
              </w:rPr>
              <w:t>tenantId</w:t>
            </w:r>
            <w:r w:rsidRPr="3516E18C" w:rsidR="3516E18C">
              <w:rPr>
                <w:rFonts w:ascii="Calibri" w:hAnsi="Calibri" w:eastAsia="Calibri"/>
                <w:sz w:val="22"/>
                <w:szCs w:val="22"/>
              </w:rPr>
              <w:t xml:space="preserve"> UUID on all 30 domain tables, JWT-encoded tenant identity, Prisma query filtering on all service methods, and PostgreSQL RLS as database-level defence-in-depth on 20 tables.</w:t>
            </w:r>
          </w:p>
        </w:tc>
      </w:tr>
      <w:tr w:rsidR="3516E18C" w:rsidTr="3516E18C" w14:paraId="6D209E39">
        <w:trPr>
          <w:trHeight w:val="300"/>
        </w:trPr>
        <w:tc>
          <w:tcPr>
            <w:tcW w:w="2865" w:type="dxa"/>
            <w:tcMar/>
          </w:tcPr>
          <w:p w:rsidR="3516E18C" w:rsidP="3516E18C" w:rsidRDefault="3516E18C" w14:paraId="44D01B15" w14:textId="54A5840B">
            <w:pPr>
              <w:rPr>
                <w:rFonts w:ascii="Calibri" w:hAnsi="Calibri" w:eastAsia="Calibri"/>
                <w:b w:val="1"/>
                <w:bCs w:val="1"/>
                <w:sz w:val="22"/>
                <w:szCs w:val="22"/>
              </w:rPr>
            </w:pPr>
            <w:r w:rsidRPr="3516E18C" w:rsidR="3516E18C">
              <w:rPr>
                <w:rFonts w:ascii="Calibri" w:hAnsi="Calibri" w:eastAsia="Calibri"/>
                <w:b w:val="1"/>
                <w:bCs w:val="1"/>
                <w:sz w:val="22"/>
                <w:szCs w:val="22"/>
              </w:rPr>
              <w:t>DORA Score</w:t>
            </w:r>
          </w:p>
        </w:tc>
        <w:tc>
          <w:tcPr>
            <w:tcW w:w="6150" w:type="dxa"/>
            <w:tcMar/>
          </w:tcPr>
          <w:p w:rsidR="3516E18C" w:rsidP="3516E18C" w:rsidRDefault="3516E18C" w14:paraId="386E341E" w14:textId="6B33E2EF">
            <w:pPr>
              <w:rPr>
                <w:rFonts w:ascii="Calibri" w:hAnsi="Calibri" w:eastAsia="Calibri"/>
                <w:sz w:val="22"/>
                <w:szCs w:val="22"/>
              </w:rPr>
            </w:pPr>
            <w:r w:rsidRPr="3516E18C" w:rsidR="3516E18C">
              <w:rPr>
                <w:rFonts w:ascii="Calibri" w:hAnsi="Calibri" w:eastAsia="Calibri"/>
                <w:sz w:val="22"/>
                <w:szCs w:val="22"/>
              </w:rPr>
              <w:t xml:space="preserve">A computed compliance metric produced at the end of each validation run: </w:t>
            </w:r>
            <w:r w:rsidRPr="3516E18C" w:rsidR="3516E18C">
              <w:rPr>
                <w:rFonts w:ascii="Calibri" w:hAnsi="Calibri" w:eastAsia="Calibri"/>
                <w:i w:val="1"/>
                <w:iCs w:val="1"/>
                <w:sz w:val="22"/>
                <w:szCs w:val="22"/>
                <w:lang w:val="x-iv_mathan"/>
              </w:rPr>
              <w:t>round(totalFieldsPassingtotalFieldsChecked×100)\text{round}\left(\frac{\text{totalFieldsPassing}}{\text{totalFieldsChecked}} \times 100\right)</w:t>
            </w:r>
            <w:r w:rsidRPr="3516E18C" w:rsidR="3516E18C">
              <w:rPr>
                <w:rFonts w:ascii="Calibri" w:hAnsi="Calibri" w:eastAsia="Calibri"/>
                <w:sz w:val="22"/>
                <w:szCs w:val="22"/>
              </w:rPr>
              <w:t xml:space="preserve">round(totalFieldsCheckedtotalFieldsPassing ×100). Stored on </w:t>
            </w:r>
            <w:r w:rsidRPr="3516E18C" w:rsidR="3516E18C">
              <w:rPr>
                <w:rFonts w:ascii="Calibri" w:hAnsi="Calibri" w:eastAsia="Calibri"/>
                <w:sz w:val="22"/>
                <w:szCs w:val="22"/>
              </w:rPr>
              <w:t>validationRuns.doraScore</w:t>
            </w:r>
            <w:r w:rsidRPr="3516E18C" w:rsidR="3516E18C">
              <w:rPr>
                <w:rFonts w:ascii="Calibri" w:hAnsi="Calibri" w:eastAsia="Calibri"/>
                <w:sz w:val="22"/>
                <w:szCs w:val="22"/>
              </w:rPr>
              <w:t xml:space="preserve"> and displayed on the Analyst dashboard as the primary KRI. A score of 100% is required to pass the pre-flight gate.</w:t>
            </w:r>
          </w:p>
        </w:tc>
      </w:tr>
      <w:tr w:rsidR="3516E18C" w:rsidTr="3516E18C" w14:paraId="3B730086">
        <w:trPr>
          <w:trHeight w:val="300"/>
        </w:trPr>
        <w:tc>
          <w:tcPr>
            <w:tcW w:w="2865" w:type="dxa"/>
            <w:tcMar/>
          </w:tcPr>
          <w:p w:rsidR="3516E18C" w:rsidP="3516E18C" w:rsidRDefault="3516E18C" w14:paraId="0A5F2EC3" w14:textId="11E6F116">
            <w:pPr>
              <w:rPr>
                <w:rFonts w:ascii="Calibri" w:hAnsi="Calibri" w:eastAsia="Calibri"/>
                <w:b w:val="1"/>
                <w:bCs w:val="1"/>
                <w:sz w:val="22"/>
                <w:szCs w:val="22"/>
              </w:rPr>
            </w:pPr>
            <w:r w:rsidRPr="3516E18C" w:rsidR="3516E18C">
              <w:rPr>
                <w:rFonts w:ascii="Calibri" w:hAnsi="Calibri" w:eastAsia="Calibri"/>
                <w:b w:val="1"/>
                <w:bCs w:val="1"/>
                <w:sz w:val="22"/>
                <w:szCs w:val="22"/>
              </w:rPr>
              <w:t>Modular Monolith</w:t>
            </w:r>
          </w:p>
        </w:tc>
        <w:tc>
          <w:tcPr>
            <w:tcW w:w="6150" w:type="dxa"/>
            <w:tcMar/>
          </w:tcPr>
          <w:p w:rsidR="3516E18C" w:rsidP="3516E18C" w:rsidRDefault="3516E18C" w14:paraId="366D1ADD" w14:textId="06AC1C22">
            <w:pPr>
              <w:rPr>
                <w:rFonts w:ascii="Calibri" w:hAnsi="Calibri" w:eastAsia="Calibri"/>
                <w:sz w:val="22"/>
                <w:szCs w:val="22"/>
              </w:rPr>
            </w:pPr>
            <w:r w:rsidRPr="3516E18C" w:rsidR="3516E18C">
              <w:rPr>
                <w:rFonts w:ascii="Calibri" w:hAnsi="Calibri" w:eastAsia="Calibri"/>
                <w:sz w:val="22"/>
                <w:szCs w:val="22"/>
              </w:rPr>
              <w:t>A single-deployable application with well-bounded internal modules that could be decomposed into microservices in future. The platform's 24 NestJS modules share a single Prisma instance, chosen over microservices for SME proportionality, with the decomposition path explicitly documented in Chapters 4 and 7.</w:t>
            </w:r>
          </w:p>
        </w:tc>
      </w:tr>
    </w:tbl>
    <w:p w:rsidR="00BD2851" w:rsidP="3516E18C" w:rsidRDefault="00BD2851" w14:paraId="6B2EC0E5" w14:textId="770E8BA6">
      <w:pPr>
        <w:rPr>
          <w:rFonts w:ascii="Calibri" w:hAnsi="Calibri" w:eastAsia="Calibri"/>
          <w:sz w:val="22"/>
          <w:szCs w:val="22"/>
        </w:rPr>
      </w:pPr>
    </w:p>
    <w:p w:rsidR="00BD2851" w:rsidP="3516E18C" w:rsidRDefault="00BD2851" w14:paraId="5A73EE69" w14:textId="6DA5218D">
      <w:pPr>
        <w:rPr>
          <w:rFonts w:ascii="Calibri" w:hAnsi="Calibri" w:eastAsia="Calibri"/>
          <w:noProof w:val="0"/>
          <w:sz w:val="22"/>
          <w:szCs w:val="22"/>
          <w:lang w:val="en-IE"/>
        </w:rPr>
      </w:pPr>
      <w:r w:rsidRPr="3516E18C" w:rsidR="7FCCF12C">
        <w:rPr>
          <w:rFonts w:ascii="Calibri" w:hAnsi="Calibri" w:eastAsia="Calibri"/>
          <w:b w:val="1"/>
          <w:bCs w:val="1"/>
          <w:noProof w:val="0"/>
          <w:sz w:val="22"/>
          <w:szCs w:val="22"/>
          <w:lang w:val="en-IE"/>
        </w:rPr>
        <w:t>Total: 53 terms</w:t>
      </w:r>
      <w:r w:rsidRPr="3516E18C" w:rsidR="7FCCF12C">
        <w:rPr>
          <w:rFonts w:ascii="Calibri" w:hAnsi="Calibri" w:eastAsia="Calibri"/>
          <w:noProof w:val="0"/>
          <w:sz w:val="22"/>
          <w:szCs w:val="22"/>
          <w:lang w:val="en-IE"/>
        </w:rPr>
        <w:t xml:space="preserve"> across 6 sections — every one directly referenced in the dissertation chapters, codebase, or cited regulatory literature.FINAL-project_snapshot.md+2</w:t>
      </w:r>
    </w:p>
    <w:p w:rsidR="00BD2851" w:rsidRDefault="00BD2851" w14:paraId="48C4CED3" w14:textId="6BEC13ED"/>
    <w:sectPr w:rsidR="00BD285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509BC"/>
    <w:multiLevelType w:val="multilevel"/>
    <w:tmpl w:val="3A1A51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73A76"/>
    <w:multiLevelType w:val="multilevel"/>
    <w:tmpl w:val="EE6C696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C7C2C"/>
    <w:multiLevelType w:val="multilevel"/>
    <w:tmpl w:val="FCB2D36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941FF"/>
    <w:multiLevelType w:val="multilevel"/>
    <w:tmpl w:val="1BE229EC"/>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5D42A6"/>
    <w:multiLevelType w:val="multilevel"/>
    <w:tmpl w:val="3ADEB296"/>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34628"/>
    <w:multiLevelType w:val="multilevel"/>
    <w:tmpl w:val="3D38E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6BA"/>
    <w:rsid w:val="003E36BA"/>
    <w:rsid w:val="0046008A"/>
    <w:rsid w:val="005726BC"/>
    <w:rsid w:val="006456EF"/>
    <w:rsid w:val="00BD2851"/>
    <w:rsid w:val="251E60D8"/>
    <w:rsid w:val="251E60D8"/>
    <w:rsid w:val="3516E18C"/>
    <w:rsid w:val="39BAC3A1"/>
    <w:rsid w:val="3CB805E3"/>
    <w:rsid w:val="3DC67877"/>
    <w:rsid w:val="7FCCF12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05E459-9A11-46AD-B555-E1B3607E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46008A"/>
    <w:pPr>
      <w:spacing w:before="100" w:beforeAutospacing="1" w:after="100" w:afterAutospacing="1" w:line="240" w:lineRule="auto"/>
      <w:outlineLvl w:val="1"/>
    </w:pPr>
    <w:rPr>
      <w:rFonts w:ascii="Times New Roman" w:hAnsi="Times New Roman" w:eastAsia="Times New Roman" w:cs="Times New Roman"/>
      <w:b/>
      <w:bCs/>
      <w:sz w:val="36"/>
      <w:szCs w:val="36"/>
      <w:lang w:eastAsia="en-IE"/>
    </w:rPr>
  </w:style>
  <w:style w:type="paragraph" w:styleId="Heading3">
    <w:name w:val="heading 3"/>
    <w:basedOn w:val="Normal"/>
    <w:link w:val="Heading3Char"/>
    <w:uiPriority w:val="9"/>
    <w:qFormat/>
    <w:rsid w:val="0046008A"/>
    <w:pPr>
      <w:spacing w:before="100" w:beforeAutospacing="1" w:after="100" w:afterAutospacing="1" w:line="240" w:lineRule="auto"/>
      <w:outlineLvl w:val="2"/>
    </w:pPr>
    <w:rPr>
      <w:rFonts w:ascii="Times New Roman" w:hAnsi="Times New Roman" w:eastAsia="Times New Roman" w:cs="Times New Roman"/>
      <w:b/>
      <w:bCs/>
      <w:sz w:val="27"/>
      <w:szCs w:val="27"/>
      <w:lang w:eastAsia="en-I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46008A"/>
    <w:rPr>
      <w:rFonts w:ascii="Times New Roman" w:hAnsi="Times New Roman" w:eastAsia="Times New Roman" w:cs="Times New Roman"/>
      <w:b/>
      <w:bCs/>
      <w:sz w:val="36"/>
      <w:szCs w:val="36"/>
      <w:lang w:eastAsia="en-IE"/>
    </w:rPr>
  </w:style>
  <w:style w:type="character" w:styleId="Heading3Char" w:customStyle="1">
    <w:name w:val="Heading 3 Char"/>
    <w:basedOn w:val="DefaultParagraphFont"/>
    <w:link w:val="Heading3"/>
    <w:uiPriority w:val="9"/>
    <w:rsid w:val="0046008A"/>
    <w:rPr>
      <w:rFonts w:ascii="Times New Roman" w:hAnsi="Times New Roman" w:eastAsia="Times New Roman" w:cs="Times New Roman"/>
      <w:b/>
      <w:bCs/>
      <w:sz w:val="27"/>
      <w:szCs w:val="27"/>
      <w:lang w:eastAsia="en-IE"/>
    </w:rPr>
  </w:style>
  <w:style w:type="paragraph" w:styleId="NormalWeb">
    <w:name w:val="Normal (Web)"/>
    <w:basedOn w:val="Normal"/>
    <w:uiPriority w:val="99"/>
    <w:semiHidden/>
    <w:unhideWhenUsed/>
    <w:rsid w:val="0046008A"/>
    <w:pPr>
      <w:spacing w:before="100" w:beforeAutospacing="1" w:after="100" w:afterAutospacing="1" w:line="240" w:lineRule="auto"/>
    </w:pPr>
    <w:rPr>
      <w:rFonts w:ascii="Times New Roman" w:hAnsi="Times New Roman" w:eastAsia="Times New Roman" w:cs="Times New Roman"/>
      <w:sz w:val="24"/>
      <w:szCs w:val="24"/>
      <w:lang w:eastAsia="en-IE"/>
    </w:rPr>
  </w:style>
  <w:style w:type="paragraph" w:styleId="Heading1">
    <w:uiPriority w:val="9"/>
    <w:name w:val="heading 1"/>
    <w:basedOn w:val="Normal"/>
    <w:next w:val="Normal"/>
    <w:qFormat/>
    <w:rsid w:val="3516E18C"/>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516E18C"/>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10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localhost:8000" TargetMode="External" Id="Rbaaaa47771c6443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Raouf Amir Boussouf</dc:creator>
  <keywords/>
  <dc:description/>
  <lastModifiedBy>Raouf Amir Boussouf</lastModifiedBy>
  <revision>3</revision>
  <dcterms:created xsi:type="dcterms:W3CDTF">2026-03-12T19:10:00.0000000Z</dcterms:created>
  <dcterms:modified xsi:type="dcterms:W3CDTF">2026-04-21T14:06:20.3085000Z</dcterms:modified>
</coreProperties>
</file>