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C4F19" w:rsidR="009C4F19" w:rsidP="420E856D" w:rsidRDefault="009C4F19" w14:paraId="74515AB8" w14:textId="4D289DD4">
      <w:pPr>
        <w:spacing w:before="0" w:beforeAutospacing="off" w:after="0" w:afterAutospacing="off"/>
      </w:pPr>
    </w:p>
    <w:p w:rsidRPr="009C4F19" w:rsidR="009C4F19" w:rsidP="420E856D" w:rsidRDefault="009C4F19" w14:paraId="3D0C5B94" w14:textId="33280B10">
      <w:pPr>
        <w:pStyle w:val="Heading1"/>
        <w:spacing w:before="322" w:beforeAutospacing="off" w:after="322" w:afterAutospacing="off"/>
      </w:pPr>
      <w:r w:rsidRPr="420E856D" w:rsidR="5BF69D6F">
        <w:rPr>
          <w:rFonts w:ascii="Calibri" w:hAnsi="Calibri" w:eastAsia="Calibri" w:cs="Calibri"/>
          <w:b w:val="1"/>
          <w:bCs w:val="1"/>
          <w:noProof w:val="0"/>
          <w:sz w:val="48"/>
          <w:szCs w:val="48"/>
          <w:lang w:val="en-IE"/>
        </w:rPr>
        <w:t>CHAPTER 1: INTRODUCTION</w:t>
      </w:r>
    </w:p>
    <w:p w:rsidRPr="009C4F19" w:rsidR="009C4F19" w:rsidP="420E856D" w:rsidRDefault="009C4F19" w14:paraId="207AE1B3" w14:textId="312D3439">
      <w:pPr>
        <w:spacing w:before="240" w:beforeAutospacing="off" w:after="240" w:afterAutospacing="off"/>
      </w:pPr>
      <w:r w:rsidRPr="420E856D" w:rsidR="5BF69D6F">
        <w:rPr>
          <w:rFonts w:ascii="Calibri" w:hAnsi="Calibri" w:eastAsia="Calibri" w:cs="Calibri"/>
          <w:b w:val="1"/>
          <w:bCs w:val="1"/>
          <w:noProof w:val="0"/>
          <w:sz w:val="22"/>
          <w:szCs w:val="22"/>
          <w:lang w:val="en-IE"/>
        </w:rPr>
        <w:t>Chapter Overview</w:t>
      </w:r>
    </w:p>
    <w:p w:rsidRPr="009C4F19" w:rsidR="009C4F19" w:rsidP="420E856D" w:rsidRDefault="009C4F19" w14:paraId="6916B942" w14:textId="4DD097C1">
      <w:pPr>
        <w:spacing w:before="240" w:beforeAutospacing="off" w:after="240" w:afterAutospacing="off"/>
      </w:pPr>
      <w:r w:rsidRPr="420E856D" w:rsidR="5BF69D6F">
        <w:rPr>
          <w:rFonts w:ascii="Calibri" w:hAnsi="Calibri" w:eastAsia="Calibri" w:cs="Calibri"/>
          <w:noProof w:val="0"/>
          <w:sz w:val="22"/>
          <w:szCs w:val="22"/>
          <w:lang w:val="en-IE"/>
        </w:rPr>
        <w:t>This chapter provides the contextual foundation for the dissertation. It begins by tracing the evolution of network and information security governance from perimeter-based models to operational resilience frameworks, situating the Digital Operational Resilience Act (DORA) within this trajectory. It then presents the specific problem that this research addresses — the absence of accessible, rule-based compliance tooling for Irish small and medium-sized financial entities (SMEs) required to fulfil DORA's Register of Information (RoI) obligations. The chapter closes by stating the research aim, objectives, and questions, defining the scope of the study, and outlining the structure of the remaining chapters.</w:t>
      </w:r>
    </w:p>
    <w:p w:rsidRPr="009C4F19" w:rsidR="009C4F19" w:rsidP="420E856D" w:rsidRDefault="009C4F19" w14:paraId="6DCCA0BC" w14:textId="36349419">
      <w:pPr>
        <w:pStyle w:val="Heading2"/>
        <w:spacing w:before="299" w:beforeAutospacing="off" w:after="299" w:afterAutospacing="off"/>
      </w:pPr>
      <w:r w:rsidRPr="420E856D" w:rsidR="5BF69D6F">
        <w:rPr>
          <w:rFonts w:ascii="Calibri" w:hAnsi="Calibri" w:eastAsia="Calibri" w:cs="Calibri"/>
          <w:b w:val="1"/>
          <w:bCs w:val="1"/>
          <w:noProof w:val="0"/>
          <w:sz w:val="36"/>
          <w:szCs w:val="36"/>
          <w:lang w:val="en-IE"/>
        </w:rPr>
        <w:t>1.1 Background and Motivation</w:t>
      </w:r>
    </w:p>
    <w:p w:rsidRPr="009C4F19" w:rsidR="009C4F19" w:rsidP="420E856D" w:rsidRDefault="009C4F19" w14:paraId="3151F236" w14:textId="0DDE39B4">
      <w:pPr>
        <w:spacing w:before="240" w:beforeAutospacing="off" w:after="240" w:afterAutospacing="off"/>
      </w:pPr>
      <w:r w:rsidRPr="420E856D" w:rsidR="5BF69D6F">
        <w:rPr>
          <w:rFonts w:ascii="Calibri" w:hAnsi="Calibri" w:eastAsia="Calibri" w:cs="Calibri"/>
          <w:noProof w:val="0"/>
          <w:sz w:val="22"/>
          <w:szCs w:val="22"/>
          <w:lang w:val="en-IE"/>
        </w:rPr>
        <w:t>Over the past two decades, the governance of network and information security (NIS) has shifted fundamentally from a perimeter-centric model of defence towards a systemic focus on operational resilience. Traditional security programmes relied heavily on technical boundary controls — firewalls, intrusion detection systems, and network segmentation — to prevent or contain threats at well-defined organisational edges. While such measures remain necessary components of a layered security architecture, they are no longer sufficient in highly interconnected ICT environments characterised by cloud services, Software-as-a-Service (SaaS) platforms, and complex third-party supply chains (ENISA, 2023).</w:t>
      </w:r>
    </w:p>
    <w:p w:rsidRPr="009C4F19" w:rsidR="009C4F19" w:rsidP="420E856D" w:rsidRDefault="009C4F19" w14:paraId="1E309B46" w14:textId="5C651C54">
      <w:pPr>
        <w:spacing w:before="240" w:beforeAutospacing="off" w:after="240" w:afterAutospacing="off"/>
      </w:pPr>
      <w:r w:rsidRPr="420E856D" w:rsidR="5BF69D6F">
        <w:rPr>
          <w:rFonts w:ascii="Calibri" w:hAnsi="Calibri" w:eastAsia="Calibri" w:cs="Calibri"/>
          <w:noProof w:val="0"/>
          <w:sz w:val="22"/>
          <w:szCs w:val="22"/>
          <w:lang w:val="en-IE"/>
        </w:rPr>
        <w:t>A series of high-profile supply-chain incidents has illustrated the limits of perimeter-only thinking. The NotPetya malware campaign of 2017, distributed through a compromised software update mechanism, caused widespread operational disruption and is estimated to have caused over $10 billion in damages globally, far beyond its initial target domain (Greenberg, 2018). Subsequent incidents — including the SolarWinds Orion compromise in 2020 and the exploitation of the MOVEit file transfer software in 2023 — demonstrated how attackers can leverage trusted third-party components to bypass local controls and simultaneously reach internal systems across multiple organisations (CISA, 2023). In each of these cases, affected entities often maintained standard perimeter defences yet lacked adequate visibility into Nth-party dependencies or the capability to assess and remediate risks originating within their ICT supply chains.</w:t>
      </w:r>
    </w:p>
    <w:p w:rsidRPr="009C4F19" w:rsidR="009C4F19" w:rsidP="420E856D" w:rsidRDefault="009C4F19" w14:paraId="5CC35B92" w14:textId="61AEA452">
      <w:pPr>
        <w:spacing w:before="240" w:beforeAutospacing="off" w:after="240" w:afterAutospacing="off"/>
      </w:pPr>
      <w:r w:rsidRPr="420E856D" w:rsidR="5BF69D6F">
        <w:rPr>
          <w:rFonts w:ascii="Calibri" w:hAnsi="Calibri" w:eastAsia="Calibri" w:cs="Calibri"/>
          <w:noProof w:val="0"/>
          <w:sz w:val="22"/>
          <w:szCs w:val="22"/>
          <w:lang w:val="en-IE"/>
        </w:rPr>
        <w:t>[FIGURE 1.1] — Timeline of major ICT supply-chain security incidents (NotPetya 2017, SolarWinds 2020, MOVEit 2023, 3CX 2023), illustrating the progression from perimeter breaches to deep supply-chain compromises. To be inserted here.</w:t>
      </w:r>
    </w:p>
    <w:p w:rsidRPr="009C4F19" w:rsidR="009C4F19" w:rsidP="420E856D" w:rsidRDefault="009C4F19" w14:paraId="396CA208" w14:textId="01DCA3FF">
      <w:pPr>
        <w:spacing w:before="240" w:beforeAutospacing="off" w:after="240" w:afterAutospacing="off"/>
      </w:pPr>
      <w:r w:rsidRPr="420E856D" w:rsidR="5BF69D6F">
        <w:rPr>
          <w:rFonts w:ascii="Calibri" w:hAnsi="Calibri" w:eastAsia="Calibri" w:cs="Calibri"/>
          <w:noProof w:val="0"/>
          <w:sz w:val="22"/>
          <w:szCs w:val="22"/>
          <w:lang w:val="en-IE"/>
        </w:rPr>
        <w:t>In response, regulators and standards bodies have begun to reframe cybersecurity obligations in terms of operational resilience rather than static compliance. At the European Union level, this shift is most clearly expressed in the Digital Operational Resilience Act (DORA), Regulation (EU) 2022/2554, which entered into full application on 17 January 2025 (European Parliament and Council, 2022). DORA positions ICT risk as a core dimension of financial stability and introduces explicit obligations across five pillars: ICT risk management, ICT-related incident classification and reporting, digital operational resilience testing, ICT third-party risk management, and information and intelligence sharing. Crucially for this study, DORA's third-party risk provisions require in-scope financial entities to maintain a comprehensive, structured Register of Information (RoI) covering all contractual arrangements with ICT service providers, including the services provided, their criticality, and the full supply chain of sub-contractors (European Banking Authority, 2024a).</w:t>
      </w:r>
    </w:p>
    <w:p w:rsidRPr="009C4F19" w:rsidR="009C4F19" w:rsidP="420E856D" w:rsidRDefault="009C4F19" w14:paraId="128BEE39" w14:textId="4705DB81">
      <w:pPr>
        <w:spacing w:before="240" w:beforeAutospacing="off" w:after="240" w:afterAutospacing="off"/>
      </w:pPr>
      <w:r w:rsidRPr="420E856D" w:rsidR="5BF69D6F">
        <w:rPr>
          <w:rFonts w:ascii="Calibri" w:hAnsi="Calibri" w:eastAsia="Calibri" w:cs="Calibri"/>
          <w:noProof w:val="0"/>
          <w:sz w:val="22"/>
          <w:szCs w:val="22"/>
          <w:lang w:val="en-IE"/>
        </w:rPr>
        <w:t>The NIS2 Directive (Directive (EU) 2022/2555) complements DORA at the broader sectoral level, extending baseline cybersecurity requirements across essential and important entities in the EU, including digital infrastructure providers and managed service operators. While NIS2 establishes a broad governance framework applicable across sectors, DORA introduces sector-specific, operationally detailed requirements for financial entities that go substantially further — including prescriptive templates for the RoI and formal validation rules for submission to national competent authorities (European Commission, 2022).</w:t>
      </w:r>
    </w:p>
    <w:p w:rsidRPr="009C4F19" w:rsidR="009C4F19" w:rsidP="420E856D" w:rsidRDefault="009C4F19" w14:paraId="293EC293" w14:textId="3D470D34">
      <w:pPr>
        <w:spacing w:before="240" w:beforeAutospacing="off" w:after="240" w:afterAutospacing="off"/>
      </w:pPr>
      <w:r w:rsidRPr="420E856D" w:rsidR="5BF69D6F">
        <w:rPr>
          <w:rFonts w:ascii="Calibri" w:hAnsi="Calibri" w:eastAsia="Calibri" w:cs="Calibri"/>
          <w:noProof w:val="0"/>
          <w:sz w:val="22"/>
          <w:szCs w:val="22"/>
          <w:lang w:val="en-IE"/>
        </w:rPr>
        <w:t>In Ireland, the Central Bank of Ireland (CBI) acts as the competent authority responsible for supervising DORA implementation across regulated financial entities. The CBI has published guidance emphasising that DORA compliance is a supervisory priority and that Irish-regulated entities are expected to be ready for full compliance from the January 2025 application date (Central Bank of Ireland, 2024a). As Ireland is home to a significant number of European financial institutions — including subsidiaries of major global banks, insurance companies, investment funds, and payment service providers — the practical implications of DORA's RoI obligations are particularly acute for the Irish financial sector.</w:t>
      </w:r>
    </w:p>
    <w:p w:rsidRPr="009C4F19" w:rsidR="009C4F19" w:rsidP="420E856D" w:rsidRDefault="009C4F19" w14:paraId="3486A93B" w14:textId="0B75533A">
      <w:pPr>
        <w:spacing w:before="0" w:beforeAutospacing="off" w:after="0" w:afterAutospacing="off"/>
      </w:pPr>
    </w:p>
    <w:p w:rsidRPr="009C4F19" w:rsidR="009C4F19" w:rsidP="420E856D" w:rsidRDefault="009C4F19" w14:paraId="10BAC4BE" w14:textId="041B30F5">
      <w:pPr>
        <w:pStyle w:val="Heading2"/>
        <w:spacing w:before="299" w:beforeAutospacing="off" w:after="299" w:afterAutospacing="off"/>
      </w:pPr>
      <w:r w:rsidRPr="420E856D" w:rsidR="5BF69D6F">
        <w:rPr>
          <w:rFonts w:ascii="Calibri" w:hAnsi="Calibri" w:eastAsia="Calibri" w:cs="Calibri"/>
          <w:b w:val="1"/>
          <w:bCs w:val="1"/>
          <w:noProof w:val="0"/>
          <w:sz w:val="36"/>
          <w:szCs w:val="36"/>
          <w:lang w:val="en-IE"/>
        </w:rPr>
        <w:t>1.2 Problem Statement</w:t>
      </w:r>
    </w:p>
    <w:p w:rsidRPr="009C4F19" w:rsidR="009C4F19" w:rsidP="32DBAFFF" w:rsidRDefault="009C4F19" w14:paraId="784D30BB" w14:textId="3F6B62F7">
      <w:pPr>
        <w:pStyle w:val="Normal"/>
        <w:spacing w:before="240" w:beforeAutospacing="off" w:after="240" w:afterAutospacing="off"/>
        <w:rPr>
          <w:rFonts w:ascii="Calibri" w:hAnsi="Calibri" w:eastAsia="Calibri" w:cs="Calibri"/>
          <w:noProof w:val="0"/>
          <w:sz w:val="22"/>
          <w:szCs w:val="22"/>
          <w:lang w:val="en-IE"/>
        </w:rPr>
      </w:pPr>
      <w:r w:rsidRPr="32DBAFFF" w:rsidR="4EB5A52D">
        <w:rPr>
          <w:rFonts w:ascii="Calibri" w:hAnsi="Calibri" w:eastAsia="Calibri" w:cs="Calibri"/>
          <w:noProof w:val="0"/>
          <w:sz w:val="22"/>
          <w:szCs w:val="22"/>
          <w:lang w:val="en-IE"/>
        </w:rPr>
        <w:t xml:space="preserve">Despite the clarity of DORA's regulatory requirements, early evidence suggests that </w:t>
      </w:r>
      <w:r w:rsidRPr="32DBAFFF" w:rsidR="4EB5A52D">
        <w:rPr>
          <w:rFonts w:ascii="Calibri" w:hAnsi="Calibri" w:eastAsia="Calibri" w:cs="Calibri"/>
          <w:noProof w:val="0"/>
          <w:sz w:val="22"/>
          <w:szCs w:val="22"/>
          <w:lang w:val="en-IE"/>
        </w:rPr>
        <w:t>a large proportion</w:t>
      </w:r>
      <w:r w:rsidRPr="32DBAFFF" w:rsidR="4EB5A52D">
        <w:rPr>
          <w:rFonts w:ascii="Calibri" w:hAnsi="Calibri" w:eastAsia="Calibri" w:cs="Calibri"/>
          <w:noProof w:val="0"/>
          <w:sz w:val="22"/>
          <w:szCs w:val="22"/>
          <w:lang w:val="en-IE"/>
        </w:rPr>
        <w:t xml:space="preserve"> of financial entities were ill-prepared to fulfil them in practice. The European Supervisory Authorities (ESAs) conducted a dry-run exercise on DORA's Register of Information requirements in 2024, receiving 1,039 submissions from entities across the EU. Of the 947 submissions that passed basic technical integration checks and were analysed for data quality, only 6.5% passed all 116 data quality checks (ESA, 2024). The remaining 93.5% exhibited at least one data quality failure, and approximately 86% of all recorded failures were attributable to missing mandatory fields — in particular, identifiers and key attributes for ICT third-party providers and their contractual arrangements, concentrated in templates B02.02, B05.0</w:t>
      </w:r>
      <w:r w:rsidRPr="32DBAFFF" w:rsidR="4EB5A52D">
        <w:rPr>
          <w:rFonts w:ascii="Calibri" w:hAnsi="Calibri" w:eastAsia="Calibri" w:cs="Calibri"/>
          <w:noProof w:val="0"/>
          <w:sz w:val="22"/>
          <w:szCs w:val="22"/>
          <w:lang w:val="en-IE"/>
        </w:rPr>
        <w:t>1, and B07.01 (ESA, 2024).</w:t>
      </w:r>
      <w:r w:rsidR="26EAFB07">
        <w:drawing>
          <wp:inline wp14:editId="16AC3109" wp14:anchorId="7BB15DAA">
            <wp:extent cx="5724525" cy="3095625"/>
            <wp:effectExtent l="0" t="0" r="0" b="0"/>
            <wp:docPr id="387526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995636" name="Picture 344995636"/>
                    <pic:cNvPicPr/>
                  </pic:nvPicPr>
                  <pic:blipFill>
                    <a:blip xmlns:r="http://schemas.openxmlformats.org/officeDocument/2006/relationships" r:embed="rId1248221855">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p>
    <w:p w:rsidR="32DBAFFF" w:rsidP="32DBAFFF" w:rsidRDefault="32DBAFFF" w14:paraId="601EB1CB" w14:textId="3E09FFF0">
      <w:pPr>
        <w:pStyle w:val="Normal"/>
        <w:spacing w:before="240" w:beforeAutospacing="off" w:after="240" w:afterAutospacing="off"/>
        <w:rPr>
          <w:highlight w:val="yellow"/>
        </w:rPr>
      </w:pPr>
    </w:p>
    <w:p w:rsidRPr="009C4F19" w:rsidR="009C4F19" w:rsidP="32DBAFFF" w:rsidRDefault="009C4F19" w14:paraId="352AF4E8" w14:textId="77EF0194">
      <w:pPr>
        <w:spacing w:before="240" w:beforeAutospacing="off" w:after="240" w:afterAutospacing="off"/>
        <w:rPr>
          <w:rFonts w:ascii="Calibri" w:hAnsi="Calibri" w:eastAsia="Calibri" w:cs="Calibri"/>
          <w:noProof w:val="0"/>
          <w:sz w:val="22"/>
          <w:szCs w:val="22"/>
          <w:highlight w:val="yellow"/>
          <w:lang w:val="en-IE"/>
        </w:rPr>
      </w:pPr>
      <w:r w:rsidRPr="32DBAFFF" w:rsidR="4EB5A52D">
        <w:rPr>
          <w:rFonts w:ascii="Calibri" w:hAnsi="Calibri" w:eastAsia="Calibri" w:cs="Calibri"/>
          <w:noProof w:val="0"/>
          <w:sz w:val="22"/>
          <w:szCs w:val="22"/>
          <w:highlight w:val="yellow"/>
          <w:lang w:val="en-IE"/>
        </w:rPr>
        <w:t xml:space="preserve">[FIGURE 1.2] — ESAs 2024 DORA Dry-Run Exercise: proportion of </w:t>
      </w:r>
      <w:r w:rsidRPr="32DBAFFF" w:rsidR="4EB5A52D">
        <w:rPr>
          <w:rFonts w:ascii="Calibri" w:hAnsi="Calibri" w:eastAsia="Calibri" w:cs="Calibri"/>
          <w:noProof w:val="0"/>
          <w:sz w:val="22"/>
          <w:szCs w:val="22"/>
          <w:highlight w:val="yellow"/>
          <w:lang w:val="en-IE"/>
        </w:rPr>
        <w:t>RoI</w:t>
      </w:r>
      <w:r w:rsidRPr="32DBAFFF" w:rsidR="4EB5A52D">
        <w:rPr>
          <w:rFonts w:ascii="Calibri" w:hAnsi="Calibri" w:eastAsia="Calibri" w:cs="Calibri"/>
          <w:noProof w:val="0"/>
          <w:sz w:val="22"/>
          <w:szCs w:val="22"/>
          <w:highlight w:val="yellow"/>
          <w:lang w:val="en-IE"/>
        </w:rPr>
        <w:t xml:space="preserve"> submissions passing all data quality checks (6.5%) versus those with at least one failure (93.5%), with breakdown of failure categories. Source: ESA (2024).</w:t>
      </w:r>
      <w:r w:rsidRPr="32DBAFFF" w:rsidR="4EB5A52D">
        <w:rPr>
          <w:rFonts w:ascii="Calibri" w:hAnsi="Calibri" w:eastAsia="Calibri" w:cs="Calibri"/>
          <w:noProof w:val="0"/>
          <w:sz w:val="22"/>
          <w:szCs w:val="22"/>
          <w:lang w:val="en-IE"/>
        </w:rPr>
        <w:t xml:space="preserve"> </w:t>
      </w:r>
    </w:p>
    <w:tbl>
      <w:tblPr>
        <w:tblStyle w:val="TableGrid"/>
        <w:bidiVisual w:val="0"/>
        <w:tblW w:w="9076" w:type="dxa"/>
        <w:tblLook w:val="06A0" w:firstRow="1" w:lastRow="0" w:firstColumn="1" w:lastColumn="0" w:noHBand="1" w:noVBand="1"/>
      </w:tblPr>
      <w:tblGrid>
        <w:gridCol w:w="4650"/>
        <w:gridCol w:w="4426"/>
      </w:tblGrid>
      <w:tr w:rsidR="420E856D" w:rsidTr="32DBAFFF" w14:paraId="13669459">
        <w:trPr>
          <w:trHeight w:val="300"/>
        </w:trPr>
        <w:tc>
          <w:tcPr>
            <w:tcW w:w="4650" w:type="dxa"/>
            <w:tcMar/>
            <w:vAlign w:val="center"/>
          </w:tcPr>
          <w:p w:rsidR="420E856D" w:rsidP="420E856D" w:rsidRDefault="420E856D" w14:paraId="2F57D82D" w14:textId="166B346A">
            <w:pPr>
              <w:spacing w:before="0" w:beforeAutospacing="off" w:after="0" w:afterAutospacing="off"/>
              <w:jc w:val="center"/>
            </w:pPr>
            <w:r w:rsidRPr="420E856D" w:rsidR="420E856D">
              <w:rPr>
                <w:b w:val="1"/>
                <w:bCs w:val="1"/>
              </w:rPr>
              <w:t>Failure Category</w:t>
            </w:r>
          </w:p>
        </w:tc>
        <w:tc>
          <w:tcPr>
            <w:tcW w:w="4426" w:type="dxa"/>
            <w:tcMar/>
            <w:vAlign w:val="center"/>
          </w:tcPr>
          <w:p w:rsidR="420E856D" w:rsidP="420E856D" w:rsidRDefault="420E856D" w14:paraId="24918C48" w14:textId="7FE6A62B">
            <w:pPr>
              <w:spacing w:before="0" w:beforeAutospacing="off" w:after="0" w:afterAutospacing="off"/>
              <w:jc w:val="center"/>
            </w:pPr>
            <w:r w:rsidRPr="420E856D" w:rsidR="420E856D">
              <w:rPr>
                <w:b w:val="1"/>
                <w:bCs w:val="1"/>
              </w:rPr>
              <w:t>Share of All Failures</w:t>
            </w:r>
          </w:p>
        </w:tc>
      </w:tr>
      <w:tr w:rsidR="420E856D" w:rsidTr="32DBAFFF" w14:paraId="08E0218B">
        <w:trPr>
          <w:trHeight w:val="300"/>
        </w:trPr>
        <w:tc>
          <w:tcPr>
            <w:tcW w:w="4650" w:type="dxa"/>
            <w:tcMar/>
            <w:vAlign w:val="center"/>
          </w:tcPr>
          <w:p w:rsidR="420E856D" w:rsidP="420E856D" w:rsidRDefault="420E856D" w14:paraId="57D59576" w14:textId="57CCB8B1">
            <w:pPr>
              <w:spacing w:before="0" w:beforeAutospacing="off" w:after="0" w:afterAutospacing="off"/>
            </w:pPr>
            <w:r w:rsidR="420E856D">
              <w:rPr/>
              <w:t>Missing mandatory fields</w:t>
            </w:r>
          </w:p>
        </w:tc>
        <w:tc>
          <w:tcPr>
            <w:tcW w:w="4426" w:type="dxa"/>
            <w:tcMar/>
            <w:vAlign w:val="center"/>
          </w:tcPr>
          <w:p w:rsidR="420E856D" w:rsidP="420E856D" w:rsidRDefault="420E856D" w14:paraId="2509A319" w14:textId="09B20EBD">
            <w:pPr>
              <w:spacing w:before="0" w:beforeAutospacing="off" w:after="0" w:afterAutospacing="off"/>
            </w:pPr>
            <w:r w:rsidR="420E856D">
              <w:rPr/>
              <w:t>~86%</w:t>
            </w:r>
          </w:p>
        </w:tc>
      </w:tr>
      <w:tr w:rsidR="420E856D" w:rsidTr="32DBAFFF" w14:paraId="50E40AA9">
        <w:trPr>
          <w:trHeight w:val="300"/>
        </w:trPr>
        <w:tc>
          <w:tcPr>
            <w:tcW w:w="4650" w:type="dxa"/>
            <w:tcMar/>
            <w:vAlign w:val="center"/>
          </w:tcPr>
          <w:p w:rsidR="420E856D" w:rsidP="420E856D" w:rsidRDefault="420E856D" w14:paraId="1E93AAF1" w14:textId="6E1894E5">
            <w:pPr>
              <w:spacing w:before="0" w:beforeAutospacing="off" w:after="0" w:afterAutospacing="off"/>
            </w:pPr>
            <w:r w:rsidR="420E856D">
              <w:rPr/>
              <w:t>Invalid or missing LEI identifiers</w:t>
            </w:r>
          </w:p>
        </w:tc>
        <w:tc>
          <w:tcPr>
            <w:tcW w:w="4426" w:type="dxa"/>
            <w:tcMar/>
            <w:vAlign w:val="center"/>
          </w:tcPr>
          <w:p w:rsidR="420E856D" w:rsidP="420E856D" w:rsidRDefault="420E856D" w14:paraId="12045BAC" w14:textId="4B4765A6">
            <w:pPr>
              <w:spacing w:before="0" w:beforeAutospacing="off" w:after="0" w:afterAutospacing="off"/>
            </w:pPr>
            <w:r w:rsidR="420E856D">
              <w:rPr/>
              <w:t>~6.5%</w:t>
            </w:r>
          </w:p>
        </w:tc>
      </w:tr>
      <w:tr w:rsidR="420E856D" w:rsidTr="32DBAFFF" w14:paraId="5421D42C">
        <w:trPr>
          <w:trHeight w:val="300"/>
        </w:trPr>
        <w:tc>
          <w:tcPr>
            <w:tcW w:w="4650" w:type="dxa"/>
            <w:tcMar/>
            <w:vAlign w:val="center"/>
          </w:tcPr>
          <w:p w:rsidR="420E856D" w:rsidP="420E856D" w:rsidRDefault="420E856D" w14:paraId="5C5C2D04" w14:textId="5D6EEB34">
            <w:pPr>
              <w:spacing w:before="0" w:beforeAutospacing="off" w:after="0" w:afterAutospacing="off"/>
            </w:pPr>
            <w:r w:rsidR="420E856D">
              <w:rPr/>
              <w:t>EBA DPM value errors</w:t>
            </w:r>
          </w:p>
        </w:tc>
        <w:tc>
          <w:tcPr>
            <w:tcW w:w="4426" w:type="dxa"/>
            <w:tcMar/>
            <w:vAlign w:val="center"/>
          </w:tcPr>
          <w:p w:rsidR="420E856D" w:rsidP="420E856D" w:rsidRDefault="420E856D" w14:paraId="47D3DAA8" w14:textId="53BE9A68">
            <w:pPr>
              <w:spacing w:before="0" w:beforeAutospacing="off" w:after="0" w:afterAutospacing="off"/>
            </w:pPr>
            <w:r w:rsidR="420E856D">
              <w:rPr/>
              <w:t>~4%</w:t>
            </w:r>
          </w:p>
        </w:tc>
      </w:tr>
      <w:tr w:rsidR="420E856D" w:rsidTr="32DBAFFF" w14:paraId="4C7B81B2">
        <w:trPr>
          <w:trHeight w:val="300"/>
        </w:trPr>
        <w:tc>
          <w:tcPr>
            <w:tcW w:w="4650" w:type="dxa"/>
            <w:tcMar/>
            <w:vAlign w:val="center"/>
          </w:tcPr>
          <w:p w:rsidR="420E856D" w:rsidP="420E856D" w:rsidRDefault="420E856D" w14:paraId="3133688D" w14:textId="22018193">
            <w:pPr>
              <w:spacing w:before="0" w:beforeAutospacing="off" w:after="0" w:afterAutospacing="off"/>
            </w:pPr>
            <w:r w:rsidR="420E856D">
              <w:rPr/>
              <w:t>Other / cross-template inconsistencies</w:t>
            </w:r>
          </w:p>
        </w:tc>
        <w:tc>
          <w:tcPr>
            <w:tcW w:w="4426" w:type="dxa"/>
            <w:tcMar/>
            <w:vAlign w:val="center"/>
          </w:tcPr>
          <w:p w:rsidR="420E856D" w:rsidP="420E856D" w:rsidRDefault="420E856D" w14:paraId="1C511C65" w14:textId="08993365">
            <w:pPr>
              <w:spacing w:before="0" w:beforeAutospacing="off" w:after="0" w:afterAutospacing="off"/>
            </w:pPr>
            <w:r w:rsidR="420E856D">
              <w:rPr/>
              <w:t>~3.5%</w:t>
            </w:r>
          </w:p>
        </w:tc>
      </w:tr>
    </w:tbl>
    <w:p w:rsidRPr="009C4F19" w:rsidR="009C4F19" w:rsidP="32DBAFFF" w:rsidRDefault="009C4F19" w14:paraId="629CA894" w14:textId="60775606">
      <w:pPr>
        <w:bidi w:val="0"/>
        <w:spacing w:before="240" w:beforeAutospacing="off" w:after="240" w:afterAutospacing="off"/>
        <w:rPr>
          <w:rFonts w:ascii="Calibri" w:hAnsi="Calibri" w:eastAsia="Calibri" w:cs="Calibri"/>
          <w:i w:val="1"/>
          <w:iCs w:val="1"/>
          <w:noProof w:val="0"/>
          <w:sz w:val="22"/>
          <w:szCs w:val="22"/>
          <w:highlight w:val="yellow"/>
          <w:lang w:val="en-IE"/>
        </w:rPr>
      </w:pPr>
      <w:r w:rsidRPr="32DBAFFF" w:rsidR="4EB5A52D">
        <w:rPr>
          <w:rFonts w:ascii="Calibri" w:hAnsi="Calibri" w:eastAsia="Calibri" w:cs="Calibri"/>
          <w:i w:val="1"/>
          <w:iCs w:val="1"/>
          <w:noProof w:val="0"/>
          <w:sz w:val="22"/>
          <w:szCs w:val="22"/>
          <w:highlight w:val="yellow"/>
          <w:lang w:val="en-IE"/>
        </w:rPr>
        <w:t>Table 1.1: Breakdown of data quality failure categories in the ESA 2024 DORA Dry-Run Exercise. Source: ESA (2024).</w:t>
      </w:r>
    </w:p>
    <w:p w:rsidRPr="009C4F19" w:rsidR="009C4F19" w:rsidP="420E856D" w:rsidRDefault="009C4F19" w14:paraId="3220204F" w14:textId="3DC05462">
      <w:pPr>
        <w:bidi w:val="0"/>
        <w:spacing w:before="240" w:beforeAutospacing="off" w:after="240" w:afterAutospacing="off"/>
      </w:pPr>
      <w:r w:rsidRPr="420E856D" w:rsidR="5BF69D6F">
        <w:rPr>
          <w:rFonts w:ascii="Calibri" w:hAnsi="Calibri" w:eastAsia="Calibri" w:cs="Calibri"/>
          <w:noProof w:val="0"/>
          <w:sz w:val="22"/>
          <w:szCs w:val="22"/>
          <w:lang w:val="en-IE"/>
        </w:rPr>
        <w:t>These figures reflect a broader structural problem. Large financial institutions typically have established Governance, Risk and Compliance (GRC) platforms, dedicated compliance teams, and the technical resources to interpret and operationalise complex regulatory specifications. Smaller financial entities — including many Irish-regulated firms such as payment institutions, investment firms, credit unions, and fund administrators — face the same legal obligations but operate without the same infrastructure. For these entities, the RoI is not a feature of an existing enterprise system; it is a new, purpose-built data requirement that must be tracked, validated, and periodically submitted to the CBI in a format aligned with EBA's nine prescribed templates (RT.01 to RT.09).</w:t>
      </w:r>
    </w:p>
    <w:p w:rsidRPr="009C4F19" w:rsidR="009C4F19" w:rsidP="420E856D" w:rsidRDefault="009C4F19" w14:paraId="55B3647E" w14:textId="75821B5A">
      <w:pPr>
        <w:bidi w:val="0"/>
        <w:spacing w:before="240" w:beforeAutospacing="off" w:after="240" w:afterAutospacing="off"/>
      </w:pPr>
      <w:r w:rsidRPr="420E856D" w:rsidR="5BF69D6F">
        <w:rPr>
          <w:rFonts w:ascii="Calibri" w:hAnsi="Calibri" w:eastAsia="Calibri" w:cs="Calibri"/>
          <w:noProof w:val="0"/>
          <w:sz w:val="22"/>
          <w:szCs w:val="22"/>
          <w:lang w:val="en-IE"/>
        </w:rPr>
        <w:t xml:space="preserve">The absence of accessible, affordable, and DORA-specific tooling creates what this dissertation terms an </w:t>
      </w:r>
      <w:r w:rsidRPr="420E856D" w:rsidR="5BF69D6F">
        <w:rPr>
          <w:rFonts w:ascii="Calibri" w:hAnsi="Calibri" w:eastAsia="Calibri" w:cs="Calibri"/>
          <w:i w:val="1"/>
          <w:iCs w:val="1"/>
          <w:noProof w:val="0"/>
          <w:sz w:val="22"/>
          <w:szCs w:val="22"/>
          <w:lang w:val="en-IE"/>
        </w:rPr>
        <w:t>implementation gap</w:t>
      </w:r>
      <w:r w:rsidRPr="420E856D" w:rsidR="5BF69D6F">
        <w:rPr>
          <w:rFonts w:ascii="Calibri" w:hAnsi="Calibri" w:eastAsia="Calibri" w:cs="Calibri"/>
          <w:noProof w:val="0"/>
          <w:sz w:val="22"/>
          <w:szCs w:val="22"/>
          <w:lang w:val="en-IE"/>
        </w:rPr>
        <w:t xml:space="preserve">: a structural asymmetry between the regulatory expectations embedded in DORA's formal requirements and the practical means available to SME-scale financial entities to meet them. This gap has three distinct dimensions. First, there is a </w:t>
      </w:r>
      <w:r w:rsidRPr="420E856D" w:rsidR="5BF69D6F">
        <w:rPr>
          <w:rFonts w:ascii="Calibri" w:hAnsi="Calibri" w:eastAsia="Calibri" w:cs="Calibri"/>
          <w:i w:val="1"/>
          <w:iCs w:val="1"/>
          <w:noProof w:val="0"/>
          <w:sz w:val="22"/>
          <w:szCs w:val="22"/>
          <w:lang w:val="en-IE"/>
        </w:rPr>
        <w:t>regulatory-technical gap</w:t>
      </w:r>
      <w:r w:rsidRPr="420E856D" w:rsidR="5BF69D6F">
        <w:rPr>
          <w:rFonts w:ascii="Calibri" w:hAnsi="Calibri" w:eastAsia="Calibri" w:cs="Calibri"/>
          <w:noProof w:val="0"/>
          <w:sz w:val="22"/>
          <w:szCs w:val="22"/>
          <w:lang w:val="en-IE"/>
        </w:rPr>
        <w:t xml:space="preserve">: the EBA's RoI templates and validation rules are expressed in legal and technical language that must be translated into operational data structures and executable logic before they can support a live compliance workflow. Second, there is a </w:t>
      </w:r>
      <w:r w:rsidRPr="420E856D" w:rsidR="5BF69D6F">
        <w:rPr>
          <w:rFonts w:ascii="Calibri" w:hAnsi="Calibri" w:eastAsia="Calibri" w:cs="Calibri"/>
          <w:i w:val="1"/>
          <w:iCs w:val="1"/>
          <w:noProof w:val="0"/>
          <w:sz w:val="22"/>
          <w:szCs w:val="22"/>
          <w:lang w:val="en-IE"/>
        </w:rPr>
        <w:t>semantic gap</w:t>
      </w:r>
      <w:r w:rsidRPr="420E856D" w:rsidR="5BF69D6F">
        <w:rPr>
          <w:rFonts w:ascii="Calibri" w:hAnsi="Calibri" w:eastAsia="Calibri" w:cs="Calibri"/>
          <w:noProof w:val="0"/>
          <w:sz w:val="22"/>
          <w:szCs w:val="22"/>
          <w:lang w:val="en-IE"/>
        </w:rPr>
        <w:t xml:space="preserve">: the identifiers and reference data required for RoI completeness — including Legal Entity Identifiers (LEIs), EBA-prescribed dropdown values, and cross-template relational constraints — are not trivially available to small entities managing their records in spreadsheets. Third, there is a </w:t>
      </w:r>
      <w:r w:rsidRPr="420E856D" w:rsidR="5BF69D6F">
        <w:rPr>
          <w:rFonts w:ascii="Calibri" w:hAnsi="Calibri" w:eastAsia="Calibri" w:cs="Calibri"/>
          <w:i w:val="1"/>
          <w:iCs w:val="1"/>
          <w:noProof w:val="0"/>
          <w:sz w:val="22"/>
          <w:szCs w:val="22"/>
          <w:lang w:val="en-IE"/>
        </w:rPr>
        <w:t>transparency gap</w:t>
      </w:r>
      <w:r w:rsidRPr="420E856D" w:rsidR="5BF69D6F">
        <w:rPr>
          <w:rFonts w:ascii="Calibri" w:hAnsi="Calibri" w:eastAsia="Calibri" w:cs="Calibri"/>
          <w:noProof w:val="0"/>
          <w:sz w:val="22"/>
          <w:szCs w:val="22"/>
          <w:lang w:val="en-IE"/>
        </w:rPr>
        <w:t>: commercial GRC tools that do exist are typically black-box products that generate outputs without exposing the underlying validation logic to the regulated entity, making it difficult for compliance teams to understand, audit, or explain the basis for their submissions (Butler and O'Brien, 2023).</w:t>
      </w:r>
    </w:p>
    <w:p w:rsidRPr="009C4F19" w:rsidR="009C4F19" w:rsidP="420E856D" w:rsidRDefault="009C4F19" w14:paraId="3D34CC8B" w14:textId="31D850D7">
      <w:pPr>
        <w:bidi w:val="0"/>
        <w:spacing w:before="0" w:beforeAutospacing="off" w:after="0" w:afterAutospacing="off"/>
      </w:pPr>
    </w:p>
    <w:p w:rsidRPr="009C4F19" w:rsidR="009C4F19" w:rsidP="420E856D" w:rsidRDefault="009C4F19" w14:paraId="2EF44550" w14:textId="72834983">
      <w:pPr>
        <w:pStyle w:val="Heading2"/>
        <w:bidi w:val="0"/>
        <w:spacing w:before="299" w:beforeAutospacing="off" w:after="299" w:afterAutospacing="off"/>
      </w:pPr>
      <w:r w:rsidRPr="420E856D" w:rsidR="5BF69D6F">
        <w:rPr>
          <w:rFonts w:ascii="Calibri" w:hAnsi="Calibri" w:eastAsia="Calibri" w:cs="Calibri"/>
          <w:b w:val="1"/>
          <w:bCs w:val="1"/>
          <w:noProof w:val="0"/>
          <w:sz w:val="36"/>
          <w:szCs w:val="36"/>
          <w:lang w:val="en-IE"/>
        </w:rPr>
        <w:t>1.3 Research Aim and Objectives</w:t>
      </w:r>
    </w:p>
    <w:p w:rsidRPr="009C4F19" w:rsidR="009C4F19" w:rsidP="420E856D" w:rsidRDefault="009C4F19" w14:paraId="1D612EB2" w14:textId="07430B66">
      <w:pPr>
        <w:bidi w:val="0"/>
        <w:spacing w:before="240" w:beforeAutospacing="off" w:after="240" w:afterAutospacing="off"/>
      </w:pPr>
      <w:r w:rsidRPr="420E856D" w:rsidR="5BF69D6F">
        <w:rPr>
          <w:rFonts w:ascii="Calibri" w:hAnsi="Calibri" w:eastAsia="Calibri" w:cs="Calibri"/>
          <w:noProof w:val="0"/>
          <w:sz w:val="22"/>
          <w:szCs w:val="22"/>
          <w:lang w:val="en-IE"/>
        </w:rPr>
        <w:t xml:space="preserve">The overarching aim of this research is to design, implement, and evaluate a </w:t>
      </w:r>
      <w:r w:rsidRPr="420E856D" w:rsidR="5BF69D6F">
        <w:rPr>
          <w:rFonts w:ascii="Calibri" w:hAnsi="Calibri" w:eastAsia="Calibri" w:cs="Calibri"/>
          <w:b w:val="1"/>
          <w:bCs w:val="1"/>
          <w:noProof w:val="0"/>
          <w:sz w:val="22"/>
          <w:szCs w:val="22"/>
          <w:lang w:val="en-IE"/>
        </w:rPr>
        <w:t>rule-based</w:t>
      </w:r>
      <w:r w:rsidRPr="420E856D" w:rsidR="5BF69D6F">
        <w:rPr>
          <w:rFonts w:ascii="Calibri" w:hAnsi="Calibri" w:eastAsia="Calibri" w:cs="Calibri"/>
          <w:noProof w:val="0"/>
          <w:sz w:val="22"/>
          <w:szCs w:val="22"/>
          <w:lang w:val="en-IE"/>
        </w:rPr>
        <w:t>, multi-tenant Software-as-a-Service (SaaS) framework that automates DORA Register of Information compliance for Irish SME financial entities, with explicit traceability from regulatory requirements to executable validation rules and structured data exports.</w:t>
      </w:r>
    </w:p>
    <w:p w:rsidRPr="009C4F19" w:rsidR="009C4F19" w:rsidP="420E856D" w:rsidRDefault="009C4F19" w14:paraId="3D6EF33E" w14:textId="428DA9A0">
      <w:pPr>
        <w:bidi w:val="0"/>
        <w:spacing w:before="240" w:beforeAutospacing="off" w:after="240" w:afterAutospacing="off"/>
      </w:pPr>
      <w:r w:rsidRPr="420E856D" w:rsidR="5BF69D6F">
        <w:rPr>
          <w:rFonts w:ascii="Calibri" w:hAnsi="Calibri" w:eastAsia="Calibri" w:cs="Calibri"/>
          <w:noProof w:val="0"/>
          <w:sz w:val="22"/>
          <w:szCs w:val="22"/>
          <w:lang w:val="en-IE"/>
        </w:rPr>
        <w:t>This aim is pursued through five interconnected objectives:</w:t>
      </w:r>
    </w:p>
    <w:p w:rsidRPr="009C4F19" w:rsidR="009C4F19" w:rsidP="420E856D" w:rsidRDefault="009C4F19" w14:paraId="754CC43F" w14:textId="08D12383">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O1 — Regulatory mapping:</w:t>
      </w:r>
      <w:r w:rsidRPr="420E856D" w:rsidR="5BF69D6F">
        <w:rPr>
          <w:rFonts w:ascii="Calibri" w:hAnsi="Calibri" w:eastAsia="Calibri" w:cs="Calibri"/>
          <w:noProof w:val="0"/>
          <w:sz w:val="22"/>
          <w:szCs w:val="22"/>
          <w:lang w:val="en-IE"/>
        </w:rPr>
        <w:t xml:space="preserve"> To specify a data model and field-level mapping aligned with EBA RoI templates RT.01 to RT.09 and DORA Articles 28–30, ensuring that every significant regulatory data point is represented in the system schema.</w:t>
      </w:r>
    </w:p>
    <w:p w:rsidRPr="009C4F19" w:rsidR="009C4F19" w:rsidP="420E856D" w:rsidRDefault="009C4F19" w14:paraId="50FDC2A8" w14:textId="25CD4E0E">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O2 — Rule-based validation:</w:t>
      </w:r>
      <w:r w:rsidRPr="420E856D" w:rsidR="5BF69D6F">
        <w:rPr>
          <w:rFonts w:ascii="Calibri" w:hAnsi="Calibri" w:eastAsia="Calibri" w:cs="Calibri"/>
          <w:noProof w:val="0"/>
          <w:sz w:val="22"/>
          <w:szCs w:val="22"/>
          <w:lang w:val="en-IE"/>
        </w:rPr>
        <w:t xml:space="preserve"> To design and implement a validation engine that encodes a representative subset of EBA's formal validation rules as explicit, inspectable rule records, executable against tenant RoI data at any point in the compliance workflow.</w:t>
      </w:r>
    </w:p>
    <w:p w:rsidRPr="009C4F19" w:rsidR="009C4F19" w:rsidP="420E856D" w:rsidRDefault="009C4F19" w14:paraId="605F9B84" w14:textId="176EA167">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O3 — Compliant export:</w:t>
      </w:r>
      <w:r w:rsidRPr="420E856D" w:rsidR="5BF69D6F">
        <w:rPr>
          <w:rFonts w:ascii="Calibri" w:hAnsi="Calibri" w:eastAsia="Calibri" w:cs="Calibri"/>
          <w:noProof w:val="0"/>
          <w:sz w:val="22"/>
          <w:szCs w:val="22"/>
          <w:lang w:val="en-IE"/>
        </w:rPr>
        <w:t xml:space="preserve"> To build an export subsystem capable of generating RoI outputs in both Excel (aligned with EBA template formats) and XBRL OIM/CSV (aligned with the EBA Data Point Model taxonomy), suitable for CBI submission.</w:t>
      </w:r>
    </w:p>
    <w:p w:rsidRPr="009C4F19" w:rsidR="009C4F19" w:rsidP="420E856D" w:rsidRDefault="009C4F19" w14:paraId="16EBA28F" w14:textId="4B55D41B">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O4 — Secure multi-tenancy:</w:t>
      </w:r>
      <w:r w:rsidRPr="420E856D" w:rsidR="5BF69D6F">
        <w:rPr>
          <w:rFonts w:ascii="Calibri" w:hAnsi="Calibri" w:eastAsia="Calibri" w:cs="Calibri"/>
          <w:noProof w:val="0"/>
          <w:sz w:val="22"/>
          <w:szCs w:val="22"/>
          <w:lang w:val="en-IE"/>
        </w:rPr>
        <w:t xml:space="preserve"> To architect the system such that multiple regulated entities can operate on a shared infrastructure with strong data isolation, role-based access control, and a full audit trail, consistent with DORA's own requirements for ICT risk management and data governance.</w:t>
      </w:r>
    </w:p>
    <w:p w:rsidRPr="009C4F19" w:rsidR="009C4F19" w:rsidP="420E856D" w:rsidRDefault="009C4F19" w14:paraId="533AF701" w14:textId="36DB8351">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O5 — SME usability:</w:t>
      </w:r>
      <w:r w:rsidRPr="420E856D" w:rsidR="5BF69D6F">
        <w:rPr>
          <w:rFonts w:ascii="Calibri" w:hAnsi="Calibri" w:eastAsia="Calibri" w:cs="Calibri"/>
          <w:noProof w:val="0"/>
          <w:sz w:val="22"/>
          <w:szCs w:val="22"/>
          <w:lang w:val="en-IE"/>
        </w:rPr>
        <w:t xml:space="preserve"> To design the user interface and workflow model to be accessible and actionable for compliance professionals in small financial entities, without requiring specialist technical knowledge.</w:t>
      </w:r>
    </w:p>
    <w:p w:rsidRPr="009C4F19" w:rsidR="009C4F19" w:rsidP="420E856D" w:rsidRDefault="009C4F19" w14:paraId="5679C7DB" w14:textId="4D8418DC">
      <w:pPr>
        <w:bidi w:val="0"/>
        <w:spacing w:before="0" w:beforeAutospacing="off" w:after="0" w:afterAutospacing="off"/>
      </w:pPr>
    </w:p>
    <w:p w:rsidRPr="009C4F19" w:rsidR="009C4F19" w:rsidP="420E856D" w:rsidRDefault="009C4F19" w14:paraId="23BB2356" w14:textId="326B96C7">
      <w:pPr>
        <w:pStyle w:val="Heading2"/>
        <w:bidi w:val="0"/>
        <w:spacing w:before="299" w:beforeAutospacing="off" w:after="299" w:afterAutospacing="off"/>
      </w:pPr>
      <w:r w:rsidRPr="420E856D" w:rsidR="5BF69D6F">
        <w:rPr>
          <w:rFonts w:ascii="Calibri" w:hAnsi="Calibri" w:eastAsia="Calibri" w:cs="Calibri"/>
          <w:b w:val="1"/>
          <w:bCs w:val="1"/>
          <w:noProof w:val="0"/>
          <w:sz w:val="36"/>
          <w:szCs w:val="36"/>
          <w:lang w:val="en-IE"/>
        </w:rPr>
        <w:t>1.4 Research Questions</w:t>
      </w:r>
    </w:p>
    <w:p w:rsidRPr="009C4F19" w:rsidR="009C4F19" w:rsidP="420E856D" w:rsidRDefault="009C4F19" w14:paraId="2751C8F7" w14:textId="6B65B168">
      <w:pPr>
        <w:bidi w:val="0"/>
        <w:spacing w:before="240" w:beforeAutospacing="off" w:after="240" w:afterAutospacing="off"/>
      </w:pPr>
      <w:r w:rsidRPr="420E856D" w:rsidR="5BF69D6F">
        <w:rPr>
          <w:rFonts w:ascii="Calibri" w:hAnsi="Calibri" w:eastAsia="Calibri" w:cs="Calibri"/>
          <w:noProof w:val="0"/>
          <w:sz w:val="22"/>
          <w:szCs w:val="22"/>
          <w:lang w:val="en-IE"/>
        </w:rPr>
        <w:t>The following research questions structure the investigation and are answered progressively across the subsequent chapters:</w:t>
      </w:r>
    </w:p>
    <w:p w:rsidRPr="009C4F19" w:rsidR="009C4F19" w:rsidP="420E856D" w:rsidRDefault="009C4F19" w14:paraId="0AE01D5B" w14:textId="63E406EF">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RQ1:</w:t>
      </w:r>
      <w:r w:rsidRPr="420E856D" w:rsidR="5BF69D6F">
        <w:rPr>
          <w:rFonts w:ascii="Calibri" w:hAnsi="Calibri" w:eastAsia="Calibri" w:cs="Calibri"/>
          <w:noProof w:val="0"/>
          <w:sz w:val="22"/>
          <w:szCs w:val="22"/>
          <w:lang w:val="en-IE"/>
        </w:rPr>
        <w:t xml:space="preserve"> How can a </w:t>
      </w:r>
      <w:r w:rsidRPr="420E856D" w:rsidR="5BF69D6F">
        <w:rPr>
          <w:rFonts w:ascii="Calibri" w:hAnsi="Calibri" w:eastAsia="Calibri" w:cs="Calibri"/>
          <w:b w:val="1"/>
          <w:bCs w:val="1"/>
          <w:noProof w:val="0"/>
          <w:sz w:val="22"/>
          <w:szCs w:val="22"/>
          <w:lang w:val="en-IE"/>
        </w:rPr>
        <w:t>rule-based</w:t>
      </w:r>
      <w:r w:rsidRPr="420E856D" w:rsidR="5BF69D6F">
        <w:rPr>
          <w:rFonts w:ascii="Calibri" w:hAnsi="Calibri" w:eastAsia="Calibri" w:cs="Calibri"/>
          <w:noProof w:val="0"/>
          <w:sz w:val="22"/>
          <w:szCs w:val="22"/>
          <w:lang w:val="en-IE"/>
        </w:rPr>
        <w:t>, multi-tenant SaaS architecture be designed to support automated DORA Register of Information validation and export for SME financial entities?</w:t>
      </w:r>
    </w:p>
    <w:p w:rsidRPr="009C4F19" w:rsidR="009C4F19" w:rsidP="420E856D" w:rsidRDefault="009C4F19" w14:paraId="218F2B68" w14:textId="57AE20F9">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RQ2:</w:t>
      </w:r>
      <w:r w:rsidRPr="420E856D" w:rsidR="5BF69D6F">
        <w:rPr>
          <w:rFonts w:ascii="Calibri" w:hAnsi="Calibri" w:eastAsia="Calibri" w:cs="Calibri"/>
          <w:noProof w:val="0"/>
          <w:sz w:val="22"/>
          <w:szCs w:val="22"/>
          <w:lang w:val="en-IE"/>
        </w:rPr>
        <w:t xml:space="preserve"> To what extent can EBA validation rules for DORA RoI reporting be encoded as explicit, inspectable rule records in a relational validation engine, and what are the coverage and limitations of such an approach?</w:t>
      </w:r>
    </w:p>
    <w:p w:rsidRPr="009C4F19" w:rsidR="009C4F19" w:rsidP="420E856D" w:rsidRDefault="009C4F19" w14:paraId="6CE7E53C" w14:textId="73B4B739">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RQ3:</w:t>
      </w:r>
      <w:r w:rsidRPr="420E856D" w:rsidR="5BF69D6F">
        <w:rPr>
          <w:rFonts w:ascii="Calibri" w:hAnsi="Calibri" w:eastAsia="Calibri" w:cs="Calibri"/>
          <w:noProof w:val="0"/>
          <w:sz w:val="22"/>
          <w:szCs w:val="22"/>
          <w:lang w:val="en-IE"/>
        </w:rPr>
        <w:t xml:space="preserve"> How does the resulting artefact compare with existing approaches to DORA compliance tooling in terms of regulatory alignment, transparency of validation logic, and practical usability for SME-scale entities?</w:t>
      </w:r>
    </w:p>
    <w:p w:rsidRPr="009C4F19" w:rsidR="009C4F19" w:rsidP="420E856D" w:rsidRDefault="009C4F19" w14:paraId="63FFB069" w14:textId="142D6E18">
      <w:pPr>
        <w:bidi w:val="0"/>
        <w:spacing w:before="240" w:beforeAutospacing="off" w:after="240" w:afterAutospacing="off"/>
      </w:pPr>
      <w:r w:rsidRPr="420E856D" w:rsidR="5BF69D6F">
        <w:rPr>
          <w:rFonts w:ascii="Calibri" w:hAnsi="Calibri" w:eastAsia="Calibri" w:cs="Calibri"/>
          <w:noProof w:val="0"/>
          <w:sz w:val="22"/>
          <w:szCs w:val="22"/>
          <w:lang w:val="en-IE"/>
        </w:rPr>
        <w:t>These questions are grounded in the Design Science Research (DSR) paradigm (Hevner et al., 2004; Peffers et al., 2007), which frames the development of an artefact as a form of research contribution in itself, provided the artefact is rigorously evaluated against the problem it is designed to address.</w:t>
      </w:r>
    </w:p>
    <w:p w:rsidRPr="009C4F19" w:rsidR="009C4F19" w:rsidP="420E856D" w:rsidRDefault="009C4F19" w14:paraId="28F5FCBE" w14:textId="3F4A2943">
      <w:pPr>
        <w:bidi w:val="0"/>
        <w:spacing w:before="0" w:beforeAutospacing="off" w:after="0" w:afterAutospacing="off"/>
      </w:pPr>
    </w:p>
    <w:p w:rsidRPr="009C4F19" w:rsidR="009C4F19" w:rsidP="420E856D" w:rsidRDefault="009C4F19" w14:paraId="50A8E7EF" w14:textId="2ECE52E5">
      <w:pPr>
        <w:pStyle w:val="Heading2"/>
        <w:bidi w:val="0"/>
        <w:spacing w:before="299" w:beforeAutospacing="off" w:after="299" w:afterAutospacing="off"/>
      </w:pPr>
      <w:r w:rsidRPr="420E856D" w:rsidR="5BF69D6F">
        <w:rPr>
          <w:rFonts w:ascii="Calibri" w:hAnsi="Calibri" w:eastAsia="Calibri" w:cs="Calibri"/>
          <w:b w:val="1"/>
          <w:bCs w:val="1"/>
          <w:noProof w:val="0"/>
          <w:sz w:val="36"/>
          <w:szCs w:val="36"/>
          <w:lang w:val="en-IE"/>
        </w:rPr>
        <w:t>1.5 Scope and Delimitations</w:t>
      </w:r>
    </w:p>
    <w:p w:rsidRPr="009C4F19" w:rsidR="009C4F19" w:rsidP="420E856D" w:rsidRDefault="009C4F19" w14:paraId="423FD357" w14:textId="32014CA8">
      <w:pPr>
        <w:bidi w:val="0"/>
        <w:spacing w:before="240" w:beforeAutospacing="off" w:after="240" w:afterAutospacing="off"/>
      </w:pPr>
      <w:r w:rsidRPr="420E856D" w:rsidR="5BF69D6F">
        <w:rPr>
          <w:rFonts w:ascii="Calibri" w:hAnsi="Calibri" w:eastAsia="Calibri" w:cs="Calibri"/>
          <w:noProof w:val="0"/>
          <w:sz w:val="22"/>
          <w:szCs w:val="22"/>
          <w:lang w:val="en-IE"/>
        </w:rPr>
        <w:t>This research focuses specifically on:</w:t>
      </w:r>
    </w:p>
    <w:p w:rsidRPr="009C4F19" w:rsidR="009C4F19" w:rsidP="420E856D" w:rsidRDefault="009C4F19" w14:paraId="5101F25E" w14:textId="5F822A3C">
      <w:pPr>
        <w:pStyle w:val="ListParagraph"/>
        <w:numPr>
          <w:ilvl w:val="0"/>
          <w:numId w:val="47"/>
        </w:numPr>
        <w:bidi w:val="0"/>
        <w:spacing w:before="240" w:beforeAutospacing="off" w:after="240" w:afterAutospacing="off"/>
        <w:rPr>
          <w:rFonts w:ascii="Calibri" w:hAnsi="Calibri" w:eastAsia="Calibri" w:cs="Calibri"/>
          <w:noProof w:val="0"/>
          <w:sz w:val="22"/>
          <w:szCs w:val="22"/>
          <w:lang w:val="en-IE"/>
        </w:rPr>
      </w:pPr>
      <w:r w:rsidRPr="420E856D" w:rsidR="5BF69D6F">
        <w:rPr>
          <w:rFonts w:ascii="Calibri" w:hAnsi="Calibri" w:eastAsia="Calibri" w:cs="Calibri"/>
          <w:noProof w:val="0"/>
          <w:sz w:val="22"/>
          <w:szCs w:val="22"/>
          <w:lang w:val="en-IE"/>
        </w:rPr>
        <w:t>DORA RoI obligations under Articles 28–30 of Regulation (EU) 2022/2554 and the associated EBA Regulatory Technical Standards and Implementing Technical Standards (EBA, 2024a; EBA, 2024b).</w:t>
      </w:r>
    </w:p>
    <w:p w:rsidRPr="009C4F19" w:rsidR="009C4F19" w:rsidP="420E856D" w:rsidRDefault="009C4F19" w14:paraId="0CF13151" w14:textId="308333CF">
      <w:pPr>
        <w:pStyle w:val="ListParagraph"/>
        <w:numPr>
          <w:ilvl w:val="0"/>
          <w:numId w:val="47"/>
        </w:numPr>
        <w:bidi w:val="0"/>
        <w:spacing w:before="240" w:beforeAutospacing="off" w:after="240" w:afterAutospacing="off"/>
        <w:rPr>
          <w:rFonts w:ascii="Calibri" w:hAnsi="Calibri" w:eastAsia="Calibri" w:cs="Calibri"/>
          <w:noProof w:val="0"/>
          <w:sz w:val="22"/>
          <w:szCs w:val="22"/>
          <w:lang w:val="en-IE"/>
        </w:rPr>
      </w:pPr>
      <w:r w:rsidRPr="420E856D" w:rsidR="5BF69D6F">
        <w:rPr>
          <w:rFonts w:ascii="Calibri" w:hAnsi="Calibri" w:eastAsia="Calibri" w:cs="Calibri"/>
          <w:noProof w:val="0"/>
          <w:sz w:val="22"/>
          <w:szCs w:val="22"/>
          <w:lang w:val="en-IE"/>
        </w:rPr>
        <w:t>Irish SME financial entities as the primary operational context, given the CBI's supervisory role and the particular compliance challenges faced by smaller regulated firms.</w:t>
      </w:r>
    </w:p>
    <w:p w:rsidRPr="009C4F19" w:rsidR="009C4F19" w:rsidP="420E856D" w:rsidRDefault="009C4F19" w14:paraId="68622478" w14:textId="3C4972EA">
      <w:pPr>
        <w:pStyle w:val="ListParagraph"/>
        <w:numPr>
          <w:ilvl w:val="0"/>
          <w:numId w:val="47"/>
        </w:numPr>
        <w:bidi w:val="0"/>
        <w:spacing w:before="240" w:beforeAutospacing="off" w:after="240" w:afterAutospacing="off"/>
        <w:rPr>
          <w:rFonts w:ascii="Calibri" w:hAnsi="Calibri" w:eastAsia="Calibri" w:cs="Calibri"/>
          <w:noProof w:val="0"/>
          <w:sz w:val="22"/>
          <w:szCs w:val="22"/>
          <w:lang w:val="en-IE"/>
        </w:rPr>
      </w:pPr>
      <w:r w:rsidRPr="420E856D" w:rsidR="5BF69D6F">
        <w:rPr>
          <w:rFonts w:ascii="Calibri" w:hAnsi="Calibri" w:eastAsia="Calibri" w:cs="Calibri"/>
          <w:noProof w:val="0"/>
          <w:sz w:val="22"/>
          <w:szCs w:val="22"/>
          <w:lang w:val="en-IE"/>
        </w:rPr>
        <w:t>A proof-of-concept SaaS implementation rather than a fully production-hardened commercial product. The artefact demonstrates the feasibility of the proposed architecture and validates the research design; it is not presented as a certified or commercially deployable compliance solution.</w:t>
      </w:r>
    </w:p>
    <w:p w:rsidRPr="009C4F19" w:rsidR="009C4F19" w:rsidP="420E856D" w:rsidRDefault="009C4F19" w14:paraId="02905D4A" w14:textId="3F76D39F">
      <w:pPr>
        <w:bidi w:val="0"/>
        <w:spacing w:before="240" w:beforeAutospacing="off" w:after="240" w:afterAutospacing="off"/>
      </w:pPr>
      <w:r w:rsidRPr="420E856D" w:rsidR="5BF69D6F">
        <w:rPr>
          <w:rFonts w:ascii="Calibri" w:hAnsi="Calibri" w:eastAsia="Calibri" w:cs="Calibri"/>
          <w:noProof w:val="0"/>
          <w:sz w:val="22"/>
          <w:szCs w:val="22"/>
          <w:lang w:val="en-IE"/>
        </w:rPr>
        <w:t>The following are explicitly out of scope:</w:t>
      </w:r>
    </w:p>
    <w:p w:rsidRPr="009C4F19" w:rsidR="009C4F19" w:rsidP="420E856D" w:rsidRDefault="009C4F19" w14:paraId="5F2795E1" w14:textId="004D889E">
      <w:pPr>
        <w:pStyle w:val="ListParagraph"/>
        <w:numPr>
          <w:ilvl w:val="0"/>
          <w:numId w:val="48"/>
        </w:numPr>
        <w:bidi w:val="0"/>
        <w:spacing w:before="240" w:beforeAutospacing="off" w:after="240" w:afterAutospacing="off"/>
        <w:rPr>
          <w:rFonts w:ascii="Calibri" w:hAnsi="Calibri" w:eastAsia="Calibri" w:cs="Calibri"/>
          <w:noProof w:val="0"/>
          <w:sz w:val="22"/>
          <w:szCs w:val="22"/>
          <w:lang w:val="en-IE"/>
        </w:rPr>
      </w:pPr>
      <w:r w:rsidRPr="420E856D" w:rsidR="5BF69D6F">
        <w:rPr>
          <w:rFonts w:ascii="Calibri" w:hAnsi="Calibri" w:eastAsia="Calibri" w:cs="Calibri"/>
          <w:noProof w:val="0"/>
          <w:sz w:val="22"/>
          <w:szCs w:val="22"/>
          <w:lang w:val="en-IE"/>
        </w:rPr>
        <w:t>Other DORA pillars beyond ICT third-party risk (e.g., incident reporting, digital operational resilience testing programmes).</w:t>
      </w:r>
    </w:p>
    <w:p w:rsidRPr="009C4F19" w:rsidR="009C4F19" w:rsidP="420E856D" w:rsidRDefault="009C4F19" w14:paraId="12A16146" w14:textId="7C9614B3">
      <w:pPr>
        <w:pStyle w:val="ListParagraph"/>
        <w:numPr>
          <w:ilvl w:val="0"/>
          <w:numId w:val="48"/>
        </w:numPr>
        <w:bidi w:val="0"/>
        <w:spacing w:before="240" w:beforeAutospacing="off" w:after="240" w:afterAutospacing="off"/>
        <w:rPr>
          <w:rFonts w:ascii="Calibri" w:hAnsi="Calibri" w:eastAsia="Calibri" w:cs="Calibri"/>
          <w:noProof w:val="0"/>
          <w:sz w:val="22"/>
          <w:szCs w:val="22"/>
          <w:lang w:val="en-IE"/>
        </w:rPr>
      </w:pPr>
      <w:r w:rsidRPr="420E856D" w:rsidR="5BF69D6F">
        <w:rPr>
          <w:rFonts w:ascii="Calibri" w:hAnsi="Calibri" w:eastAsia="Calibri" w:cs="Calibri"/>
          <w:noProof w:val="0"/>
          <w:sz w:val="22"/>
          <w:szCs w:val="22"/>
          <w:lang w:val="en-IE"/>
        </w:rPr>
        <w:t>Large-scale performance or load testing.</w:t>
      </w:r>
    </w:p>
    <w:p w:rsidRPr="009C4F19" w:rsidR="009C4F19" w:rsidP="420E856D" w:rsidRDefault="009C4F19" w14:paraId="080E712F" w14:textId="4A3ECCFA">
      <w:pPr>
        <w:pStyle w:val="ListParagraph"/>
        <w:numPr>
          <w:ilvl w:val="0"/>
          <w:numId w:val="48"/>
        </w:numPr>
        <w:bidi w:val="0"/>
        <w:spacing w:before="240" w:beforeAutospacing="off" w:after="240" w:afterAutospacing="off"/>
        <w:rPr>
          <w:rFonts w:ascii="Calibri" w:hAnsi="Calibri" w:eastAsia="Calibri" w:cs="Calibri"/>
          <w:noProof w:val="0"/>
          <w:sz w:val="22"/>
          <w:szCs w:val="22"/>
          <w:lang w:val="en-IE"/>
        </w:rPr>
      </w:pPr>
      <w:r w:rsidRPr="420E856D" w:rsidR="5BF69D6F">
        <w:rPr>
          <w:rFonts w:ascii="Calibri" w:hAnsi="Calibri" w:eastAsia="Calibri" w:cs="Calibri"/>
          <w:noProof w:val="0"/>
          <w:sz w:val="22"/>
          <w:szCs w:val="22"/>
          <w:lang w:val="en-IE"/>
        </w:rPr>
        <w:t>Integration with live regulatory submission portals or CBI's production infrastructure.</w:t>
      </w:r>
    </w:p>
    <w:p w:rsidRPr="009C4F19" w:rsidR="009C4F19" w:rsidP="420E856D" w:rsidRDefault="009C4F19" w14:paraId="6CDA2C44" w14:textId="3730FFB1">
      <w:pPr>
        <w:pStyle w:val="ListParagraph"/>
        <w:numPr>
          <w:ilvl w:val="0"/>
          <w:numId w:val="48"/>
        </w:numPr>
        <w:bidi w:val="0"/>
        <w:spacing w:before="240" w:beforeAutospacing="off" w:after="240" w:afterAutospacing="off"/>
        <w:rPr>
          <w:rFonts w:ascii="Calibri" w:hAnsi="Calibri" w:eastAsia="Calibri" w:cs="Calibri"/>
          <w:noProof w:val="0"/>
          <w:sz w:val="22"/>
          <w:szCs w:val="22"/>
          <w:lang w:val="en-IE"/>
        </w:rPr>
      </w:pPr>
      <w:r w:rsidRPr="420E856D" w:rsidR="5BF69D6F">
        <w:rPr>
          <w:rFonts w:ascii="Calibri" w:hAnsi="Calibri" w:eastAsia="Calibri" w:cs="Calibri"/>
          <w:noProof w:val="0"/>
          <w:sz w:val="22"/>
          <w:szCs w:val="22"/>
          <w:lang w:val="en-IE"/>
        </w:rPr>
        <w:t xml:space="preserve">Coverage of the full set of EBA validation rules (approximately 300+ rules across all templates); the implementation covers a prioritised subset of </w:t>
      </w:r>
      <w:r w:rsidRPr="420E856D" w:rsidR="5BF69D6F">
        <w:rPr>
          <w:rFonts w:ascii="Calibri" w:hAnsi="Calibri" w:eastAsia="Calibri" w:cs="Calibri"/>
          <w:b w:val="1"/>
          <w:bCs w:val="1"/>
          <w:noProof w:val="0"/>
          <w:sz w:val="22"/>
          <w:szCs w:val="22"/>
          <w:lang w:val="en-IE"/>
        </w:rPr>
        <w:t>220 rules</w:t>
      </w:r>
      <w:r w:rsidRPr="420E856D" w:rsidR="5BF69D6F">
        <w:rPr>
          <w:rFonts w:ascii="Calibri" w:hAnsi="Calibri" w:eastAsia="Calibri" w:cs="Calibri"/>
          <w:noProof w:val="0"/>
          <w:sz w:val="22"/>
          <w:szCs w:val="22"/>
          <w:lang w:val="en-IE"/>
        </w:rPr>
        <w:t xml:space="preserve"> (VR_01–VR_250) spanning 10 rule types and all nine active RoI templates (RT.01–RT.09). Advanced inter-template cross-checks and concentration-risk threshold rules are deferred to future work.</w:t>
      </w:r>
    </w:p>
    <w:p w:rsidRPr="009C4F19" w:rsidR="009C4F19" w:rsidP="420E856D" w:rsidRDefault="009C4F19" w14:paraId="0D542D51" w14:textId="081C2EAC">
      <w:pPr>
        <w:bidi w:val="0"/>
        <w:spacing w:before="0" w:beforeAutospacing="off" w:after="0" w:afterAutospacing="off"/>
      </w:pPr>
    </w:p>
    <w:p w:rsidR="32DBAFFF" w:rsidP="32DBAFFF" w:rsidRDefault="32DBAFFF" w14:paraId="25A0B813" w14:textId="19167587">
      <w:pPr>
        <w:bidi w:val="0"/>
        <w:spacing w:before="0" w:beforeAutospacing="off" w:after="0" w:afterAutospacing="off"/>
      </w:pPr>
    </w:p>
    <w:p w:rsidRPr="009C4F19" w:rsidR="009C4F19" w:rsidP="420E856D" w:rsidRDefault="009C4F19" w14:paraId="3FD07D85" w14:textId="451C8D10">
      <w:pPr>
        <w:pStyle w:val="Heading2"/>
        <w:bidi w:val="0"/>
        <w:spacing w:before="299" w:beforeAutospacing="off" w:after="299" w:afterAutospacing="off"/>
      </w:pPr>
      <w:r w:rsidRPr="420E856D" w:rsidR="5BF69D6F">
        <w:rPr>
          <w:rFonts w:ascii="Calibri" w:hAnsi="Calibri" w:eastAsia="Calibri" w:cs="Calibri"/>
          <w:b w:val="1"/>
          <w:bCs w:val="1"/>
          <w:noProof w:val="0"/>
          <w:sz w:val="36"/>
          <w:szCs w:val="36"/>
          <w:lang w:val="en-IE"/>
        </w:rPr>
        <w:t>1.6 Dissertation Structure</w:t>
      </w:r>
    </w:p>
    <w:p w:rsidRPr="009C4F19" w:rsidR="009C4F19" w:rsidP="420E856D" w:rsidRDefault="009C4F19" w14:paraId="28BAE3A1" w14:textId="62771E64">
      <w:pPr>
        <w:bidi w:val="0"/>
        <w:spacing w:before="240" w:beforeAutospacing="off" w:after="240" w:afterAutospacing="off"/>
      </w:pPr>
      <w:r w:rsidRPr="420E856D" w:rsidR="5BF69D6F">
        <w:rPr>
          <w:rFonts w:ascii="Calibri" w:hAnsi="Calibri" w:eastAsia="Calibri" w:cs="Calibri"/>
          <w:noProof w:val="0"/>
          <w:sz w:val="22"/>
          <w:szCs w:val="22"/>
          <w:lang w:val="en-IE"/>
        </w:rPr>
        <w:t>The remainder of this dissertation is organised as follows:</w:t>
      </w:r>
    </w:p>
    <w:p w:rsidRPr="009C4F19" w:rsidR="009C4F19" w:rsidP="420E856D" w:rsidRDefault="009C4F19" w14:paraId="4A440F23" w14:textId="567A85CE">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Chapter 2 (Literature Review)</w:t>
      </w:r>
      <w:r w:rsidRPr="420E856D" w:rsidR="5BF69D6F">
        <w:rPr>
          <w:rFonts w:ascii="Calibri" w:hAnsi="Calibri" w:eastAsia="Calibri" w:cs="Calibri"/>
          <w:noProof w:val="0"/>
          <w:sz w:val="22"/>
          <w:szCs w:val="22"/>
          <w:lang w:val="en-IE"/>
        </w:rPr>
        <w:t xml:space="preserve"> situates the work within the existing academic and professional literature on DORA, ICT third-party risk, regulatory technology, software architecture for compliance systems, and multi-tenant SaaS, identifying the gap that the DORA SaaS artefact addresses.</w:t>
      </w:r>
    </w:p>
    <w:p w:rsidRPr="009C4F19" w:rsidR="009C4F19" w:rsidP="420E856D" w:rsidRDefault="009C4F19" w14:paraId="0A8684F1" w14:textId="7BAFAA64">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Chapter 3 (Methodology)</w:t>
      </w:r>
      <w:r w:rsidRPr="420E856D" w:rsidR="5BF69D6F">
        <w:rPr>
          <w:rFonts w:ascii="Calibri" w:hAnsi="Calibri" w:eastAsia="Calibri" w:cs="Calibri"/>
          <w:noProof w:val="0"/>
          <w:sz w:val="22"/>
          <w:szCs w:val="22"/>
          <w:lang w:val="en-IE"/>
        </w:rPr>
        <w:t xml:space="preserve"> justifies the adoption of Design Science Research as the epistemological framework, maps the research activities to DSR phases, and describes the data sources, artefacts, and evaluation strategy used throughout the project.</w:t>
      </w:r>
    </w:p>
    <w:p w:rsidRPr="009C4F19" w:rsidR="009C4F19" w:rsidP="420E856D" w:rsidRDefault="009C4F19" w14:paraId="3A25E5CE" w14:textId="788D7623">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Chapter 4 (System Architecture)</w:t>
      </w:r>
      <w:r w:rsidRPr="420E856D" w:rsidR="5BF69D6F">
        <w:rPr>
          <w:rFonts w:ascii="Calibri" w:hAnsi="Calibri" w:eastAsia="Calibri" w:cs="Calibri"/>
          <w:noProof w:val="0"/>
          <w:sz w:val="22"/>
          <w:szCs w:val="22"/>
          <w:lang w:val="en-IE"/>
        </w:rPr>
        <w:t xml:space="preserve"> presents the architectural design of the DORA SaaS platform, including the high-level system view, the multi-tenant data model, the validation engine architecture, the export subsystem, and the security and access control design.</w:t>
      </w:r>
    </w:p>
    <w:p w:rsidRPr="009C4F19" w:rsidR="009C4F19" w:rsidP="420E856D" w:rsidRDefault="009C4F19" w14:paraId="1CA2AE98" w14:textId="312837A3">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Chapter 5 (Implementation)</w:t>
      </w:r>
      <w:r w:rsidRPr="420E856D" w:rsidR="5BF69D6F">
        <w:rPr>
          <w:rFonts w:ascii="Calibri" w:hAnsi="Calibri" w:eastAsia="Calibri" w:cs="Calibri"/>
          <w:noProof w:val="0"/>
          <w:sz w:val="22"/>
          <w:szCs w:val="22"/>
          <w:lang w:val="en-IE"/>
        </w:rPr>
        <w:t xml:space="preserve"> describes the concrete implementation of each architectural component — backend modules, database schema, validation engine, export pipelines, security controls, and the frontend user experience — and identifies areas of partial implementation or planned enhancement.</w:t>
      </w:r>
    </w:p>
    <w:p w:rsidRPr="009C4F19" w:rsidR="009C4F19" w:rsidP="420E856D" w:rsidRDefault="009C4F19" w14:paraId="772807DE" w14:textId="32D515C1">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Chapter 6 (Evaluation and Discussion)</w:t>
      </w:r>
      <w:r w:rsidRPr="420E856D" w:rsidR="5BF69D6F">
        <w:rPr>
          <w:rFonts w:ascii="Calibri" w:hAnsi="Calibri" w:eastAsia="Calibri" w:cs="Calibri"/>
          <w:noProof w:val="0"/>
          <w:sz w:val="22"/>
          <w:szCs w:val="22"/>
          <w:lang w:val="en-IE"/>
        </w:rPr>
        <w:t xml:space="preserve"> evaluates the artefact against the research questions and design objectives, examines its regulatory alignment, security properties, and SME usability characteristics, and discusses findings in the context of existing approaches.</w:t>
      </w:r>
    </w:p>
    <w:p w:rsidRPr="009C4F19" w:rsidR="009C4F19" w:rsidP="420E856D" w:rsidRDefault="009C4F19" w14:paraId="30A21168" w14:textId="41DA98B1">
      <w:pPr>
        <w:bidi w:val="0"/>
        <w:spacing w:before="240" w:beforeAutospacing="off" w:after="240" w:afterAutospacing="off"/>
      </w:pPr>
      <w:r w:rsidRPr="420E856D" w:rsidR="5BF69D6F">
        <w:rPr>
          <w:rFonts w:ascii="Calibri" w:hAnsi="Calibri" w:eastAsia="Calibri" w:cs="Calibri"/>
          <w:b w:val="1"/>
          <w:bCs w:val="1"/>
          <w:noProof w:val="0"/>
          <w:sz w:val="22"/>
          <w:szCs w:val="22"/>
          <w:lang w:val="en-IE"/>
        </w:rPr>
        <w:t>Chapter 7 (Conclusion and Future Work)</w:t>
      </w:r>
      <w:r w:rsidRPr="420E856D" w:rsidR="5BF69D6F">
        <w:rPr>
          <w:rFonts w:ascii="Calibri" w:hAnsi="Calibri" w:eastAsia="Calibri" w:cs="Calibri"/>
          <w:noProof w:val="0"/>
          <w:sz w:val="22"/>
          <w:szCs w:val="22"/>
          <w:lang w:val="en-IE"/>
        </w:rPr>
        <w:t xml:space="preserve"> summarises the research contributions, answers the research questions directly, discusses implications for regulatory technology practice and policy, and sets out recommendations for future research and development.</w:t>
      </w:r>
    </w:p>
    <w:p w:rsidRPr="009C4F19" w:rsidR="009C4F19" w:rsidP="420E856D" w:rsidRDefault="009C4F19" w14:paraId="32A7FD73" w14:textId="0E63FE0E">
      <w:pPr>
        <w:bidi w:val="0"/>
        <w:spacing w:before="0" w:beforeAutospacing="off" w:after="0" w:afterAutospacing="off"/>
      </w:pPr>
    </w:p>
    <w:p w:rsidRPr="009C4F19" w:rsidR="009C4F19" w:rsidP="420E856D" w:rsidRDefault="009C4F19" w14:paraId="7055148B" w14:textId="523FD84E">
      <w:pPr>
        <w:pStyle w:val="Heading2"/>
        <w:bidi w:val="0"/>
        <w:spacing w:before="299" w:beforeAutospacing="off" w:after="299" w:afterAutospacing="off"/>
      </w:pPr>
      <w:r w:rsidRPr="420E856D" w:rsidR="5BF69D6F">
        <w:rPr>
          <w:rFonts w:ascii="Calibri" w:hAnsi="Calibri" w:eastAsia="Calibri" w:cs="Calibri"/>
          <w:b w:val="1"/>
          <w:bCs w:val="1"/>
          <w:noProof w:val="0"/>
          <w:sz w:val="36"/>
          <w:szCs w:val="36"/>
          <w:lang w:val="en-IE"/>
        </w:rPr>
        <w:t>Chapter 1 Summary</w:t>
      </w:r>
    </w:p>
    <w:p w:rsidRPr="009C4F19" w:rsidR="009C4F19" w:rsidP="420E856D" w:rsidRDefault="009C4F19" w14:paraId="5368E7EC" w14:textId="64120FE6">
      <w:pPr>
        <w:bidi w:val="0"/>
        <w:spacing w:before="240" w:beforeAutospacing="off" w:after="240" w:afterAutospacing="off"/>
      </w:pPr>
      <w:r w:rsidRPr="420E856D" w:rsidR="5BF69D6F">
        <w:rPr>
          <w:rFonts w:ascii="Calibri" w:hAnsi="Calibri" w:eastAsia="Calibri" w:cs="Calibri"/>
          <w:noProof w:val="0"/>
          <w:sz w:val="22"/>
          <w:szCs w:val="22"/>
          <w:lang w:val="en-IE"/>
        </w:rPr>
        <w:t xml:space="preserve">This chapter has established the regulatory, technical, and organisational context that motivates the research. DORA's entry into application in January 2025 introduces binding obligations for EU financial entities, including the maintenance of a structured Register of Information for ICT third-party dependencies. Evidence from the ESA 2024 Dry-Run exercise confirms that a large proportion of entities — 93.5% — were unable to meet all data quality requirements, with 86% of failures attributable to missing mandatory fields. Irish SME financial entities face particular challenges in meeting these requirements, given the absence of accessible, purpose-built, and logic-transparent tooling. This research responds to that gap by designing, implementing, and evaluating a </w:t>
      </w:r>
      <w:r w:rsidRPr="420E856D" w:rsidR="5BF69D6F">
        <w:rPr>
          <w:rFonts w:ascii="Calibri" w:hAnsi="Calibri" w:eastAsia="Calibri" w:cs="Calibri"/>
          <w:b w:val="1"/>
          <w:bCs w:val="1"/>
          <w:noProof w:val="0"/>
          <w:sz w:val="22"/>
          <w:szCs w:val="22"/>
          <w:lang w:val="en-IE"/>
        </w:rPr>
        <w:t>rule-based</w:t>
      </w:r>
      <w:r w:rsidRPr="420E856D" w:rsidR="5BF69D6F">
        <w:rPr>
          <w:rFonts w:ascii="Calibri" w:hAnsi="Calibri" w:eastAsia="Calibri" w:cs="Calibri"/>
          <w:noProof w:val="0"/>
          <w:sz w:val="22"/>
          <w:szCs w:val="22"/>
          <w:lang w:val="en-IE"/>
        </w:rPr>
        <w:t>, multi-tenant SaaS artefact capable of supporting DORA RoI compliance, grounded in the Design Science Research paradigm.</w:t>
      </w:r>
    </w:p>
    <w:p w:rsidRPr="009C4F19" w:rsidR="009C4F19" w:rsidP="420E856D" w:rsidRDefault="009C4F19" w14:paraId="5F37FEA5" w14:textId="26C3FEAC">
      <w:pPr>
        <w:bidi w:val="0"/>
        <w:spacing w:before="0" w:beforeAutospacing="off" w:after="0" w:afterAutospacing="off"/>
      </w:pPr>
    </w:p>
    <w:p w:rsidRPr="009C4F19" w:rsidR="009C4F19" w:rsidP="420E856D" w:rsidRDefault="009C4F19" w14:paraId="1A3405F9" w14:textId="367E9425">
      <w:pPr>
        <w:pStyle w:val="Heading2"/>
        <w:bidi w:val="0"/>
        <w:spacing w:before="299" w:beforeAutospacing="off" w:after="299" w:afterAutospacing="off"/>
      </w:pPr>
      <w:r w:rsidRPr="420E856D" w:rsidR="5BF69D6F">
        <w:rPr>
          <w:rFonts w:ascii="Calibri" w:hAnsi="Calibri" w:eastAsia="Calibri" w:cs="Calibri"/>
          <w:b w:val="1"/>
          <w:bCs w:val="1"/>
          <w:noProof w:val="0"/>
          <w:sz w:val="36"/>
          <w:szCs w:val="36"/>
          <w:lang w:val="en-IE"/>
        </w:rPr>
        <w:t>References — Chapter 1</w:t>
      </w:r>
    </w:p>
    <w:p w:rsidRPr="009C4F19" w:rsidR="009C4F19" w:rsidP="420E856D" w:rsidRDefault="009C4F19" w14:paraId="51F0A4C6" w14:textId="6F22F19C">
      <w:pPr>
        <w:bidi w:val="0"/>
        <w:spacing w:before="240" w:beforeAutospacing="off" w:after="240" w:afterAutospacing="off"/>
      </w:pPr>
      <w:r w:rsidRPr="420E856D" w:rsidR="5BF69D6F">
        <w:rPr>
          <w:rFonts w:ascii="Calibri" w:hAnsi="Calibri" w:eastAsia="Calibri" w:cs="Calibri"/>
          <w:i w:val="1"/>
          <w:iCs w:val="1"/>
          <w:noProof w:val="0"/>
          <w:sz w:val="22"/>
          <w:szCs w:val="22"/>
          <w:lang w:val="en-IE"/>
        </w:rPr>
        <w:t>(Apply Harvard style. Format in Word as a hanging-indent paragraph, Times New Roman 12pt.)</w:t>
      </w:r>
    </w:p>
    <w:p w:rsidRPr="009C4F19" w:rsidR="009C4F19" w:rsidP="420E856D" w:rsidRDefault="009C4F19" w14:paraId="7DFAAFF6" w14:textId="21D02F7F">
      <w:pPr>
        <w:bidi w:val="0"/>
        <w:spacing w:before="240" w:beforeAutospacing="off" w:after="240" w:afterAutospacing="off"/>
      </w:pPr>
      <w:r w:rsidRPr="420E856D" w:rsidR="5BF69D6F">
        <w:rPr>
          <w:rFonts w:ascii="Calibri" w:hAnsi="Calibri" w:eastAsia="Calibri" w:cs="Calibri"/>
          <w:noProof w:val="0"/>
          <w:sz w:val="22"/>
          <w:szCs w:val="22"/>
          <w:lang w:val="en-IE"/>
        </w:rPr>
        <w:t xml:space="preserve">Butler, R. and O'Brien, C. (2023) 'RegTech adoption and compliance automation in Irish financial services: barriers, enablers and regulatory expectations', </w:t>
      </w:r>
      <w:r w:rsidRPr="420E856D" w:rsidR="5BF69D6F">
        <w:rPr>
          <w:rFonts w:ascii="Calibri" w:hAnsi="Calibri" w:eastAsia="Calibri" w:cs="Calibri"/>
          <w:i w:val="1"/>
          <w:iCs w:val="1"/>
          <w:noProof w:val="0"/>
          <w:sz w:val="22"/>
          <w:szCs w:val="22"/>
          <w:lang w:val="en-IE"/>
        </w:rPr>
        <w:t>Journal of Financial Regulation and Compliance</w:t>
      </w:r>
      <w:r w:rsidRPr="420E856D" w:rsidR="5BF69D6F">
        <w:rPr>
          <w:rFonts w:ascii="Calibri" w:hAnsi="Calibri" w:eastAsia="Calibri" w:cs="Calibri"/>
          <w:noProof w:val="0"/>
          <w:sz w:val="22"/>
          <w:szCs w:val="22"/>
          <w:lang w:val="en-IE"/>
        </w:rPr>
        <w:t xml:space="preserve">, 31(2), pp. 145–162. Available at: </w:t>
      </w:r>
      <w:hyperlink r:id="R4f04825eb54c41b0">
        <w:r w:rsidRPr="420E856D" w:rsidR="5BF69D6F">
          <w:rPr>
            <w:rStyle w:val="Hyperlink"/>
            <w:rFonts w:ascii="Calibri" w:hAnsi="Calibri" w:eastAsia="Calibri" w:cs="Calibri"/>
            <w:noProof w:val="0"/>
            <w:sz w:val="22"/>
            <w:szCs w:val="22"/>
            <w:lang w:val="en-IE"/>
          </w:rPr>
          <w:t>https://doi.org/10.1108/JFRC-06-2022-0078</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10531631" w14:textId="5A231B17">
      <w:pPr>
        <w:bidi w:val="0"/>
        <w:spacing w:before="240" w:beforeAutospacing="off" w:after="240" w:afterAutospacing="off"/>
      </w:pPr>
      <w:r w:rsidRPr="420E856D" w:rsidR="5BF69D6F">
        <w:rPr>
          <w:rFonts w:ascii="Calibri" w:hAnsi="Calibri" w:eastAsia="Calibri" w:cs="Calibri"/>
          <w:noProof w:val="0"/>
          <w:sz w:val="22"/>
          <w:szCs w:val="22"/>
          <w:lang w:val="en-IE"/>
        </w:rPr>
        <w:t xml:space="preserve">Central Bank of Ireland (2024a) </w:t>
      </w:r>
      <w:r w:rsidRPr="420E856D" w:rsidR="5BF69D6F">
        <w:rPr>
          <w:rFonts w:ascii="Calibri" w:hAnsi="Calibri" w:eastAsia="Calibri" w:cs="Calibri"/>
          <w:i w:val="1"/>
          <w:iCs w:val="1"/>
          <w:noProof w:val="0"/>
          <w:sz w:val="22"/>
          <w:szCs w:val="22"/>
          <w:lang w:val="en-IE"/>
        </w:rPr>
        <w:t>Digital Operational Resilience Act (DORA)</w:t>
      </w:r>
      <w:r w:rsidRPr="420E856D" w:rsidR="5BF69D6F">
        <w:rPr>
          <w:rFonts w:ascii="Calibri" w:hAnsi="Calibri" w:eastAsia="Calibri" w:cs="Calibri"/>
          <w:noProof w:val="0"/>
          <w:sz w:val="22"/>
          <w:szCs w:val="22"/>
          <w:lang w:val="en-IE"/>
        </w:rPr>
        <w:t xml:space="preserve">. Available at: </w:t>
      </w:r>
      <w:hyperlink r:id="Rd17cfb54324943db">
        <w:r w:rsidRPr="420E856D" w:rsidR="5BF69D6F">
          <w:rPr>
            <w:rStyle w:val="Hyperlink"/>
            <w:rFonts w:ascii="Calibri" w:hAnsi="Calibri" w:eastAsia="Calibri" w:cs="Calibri"/>
            <w:noProof w:val="0"/>
            <w:sz w:val="22"/>
            <w:szCs w:val="22"/>
            <w:lang w:val="en-IE"/>
          </w:rPr>
          <w:t>https://www.centralbank.ie/regulation/digital-operational-resilience-act-dora</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3790ED4D" w14:textId="231B715F">
      <w:pPr>
        <w:bidi w:val="0"/>
        <w:spacing w:before="240" w:beforeAutospacing="off" w:after="240" w:afterAutospacing="off"/>
      </w:pPr>
      <w:r w:rsidRPr="420E856D" w:rsidR="5BF69D6F">
        <w:rPr>
          <w:rFonts w:ascii="Calibri" w:hAnsi="Calibri" w:eastAsia="Calibri" w:cs="Calibri"/>
          <w:noProof w:val="0"/>
          <w:sz w:val="22"/>
          <w:szCs w:val="22"/>
          <w:lang w:val="en-IE"/>
        </w:rPr>
        <w:t xml:space="preserve">Central Bank of Ireland (2024b) </w:t>
      </w:r>
      <w:r w:rsidRPr="420E856D" w:rsidR="5BF69D6F">
        <w:rPr>
          <w:rFonts w:ascii="Calibri" w:hAnsi="Calibri" w:eastAsia="Calibri" w:cs="Calibri"/>
          <w:i w:val="1"/>
          <w:iCs w:val="1"/>
          <w:noProof w:val="0"/>
          <w:sz w:val="22"/>
          <w:szCs w:val="22"/>
          <w:lang w:val="en-IE"/>
        </w:rPr>
        <w:t>IT and cybersecurity risk: findings from thematic inspections of Irish financial entities</w:t>
      </w:r>
      <w:r w:rsidRPr="420E856D" w:rsidR="5BF69D6F">
        <w:rPr>
          <w:rFonts w:ascii="Calibri" w:hAnsi="Calibri" w:eastAsia="Calibri" w:cs="Calibri"/>
          <w:noProof w:val="0"/>
          <w:sz w:val="22"/>
          <w:szCs w:val="22"/>
          <w:lang w:val="en-IE"/>
        </w:rPr>
        <w:t xml:space="preserve">. Dublin: CBI. Available at: </w:t>
      </w:r>
      <w:hyperlink r:id="Rd1867dc6f25b4a50">
        <w:r w:rsidRPr="420E856D" w:rsidR="5BF69D6F">
          <w:rPr>
            <w:rStyle w:val="Hyperlink"/>
            <w:rFonts w:ascii="Calibri" w:hAnsi="Calibri" w:eastAsia="Calibri" w:cs="Calibri"/>
            <w:noProof w:val="0"/>
            <w:sz w:val="22"/>
            <w:szCs w:val="22"/>
            <w:lang w:val="en-IE"/>
          </w:rPr>
          <w:t>https://www.centralbank.ie/financial-system/financial-stability</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2D388179" w14:textId="2C6B76AB">
      <w:pPr>
        <w:bidi w:val="0"/>
        <w:spacing w:before="240" w:beforeAutospacing="off" w:after="240" w:afterAutospacing="off"/>
      </w:pPr>
      <w:r w:rsidRPr="420E856D" w:rsidR="5BF69D6F">
        <w:rPr>
          <w:rFonts w:ascii="Calibri" w:hAnsi="Calibri" w:eastAsia="Calibri" w:cs="Calibri"/>
          <w:noProof w:val="0"/>
          <w:sz w:val="22"/>
          <w:szCs w:val="22"/>
          <w:lang w:val="en-IE"/>
        </w:rPr>
        <w:t xml:space="preserve">CISA (2023) </w:t>
      </w:r>
      <w:r w:rsidRPr="420E856D" w:rsidR="5BF69D6F">
        <w:rPr>
          <w:rFonts w:ascii="Calibri" w:hAnsi="Calibri" w:eastAsia="Calibri" w:cs="Calibri"/>
          <w:i w:val="1"/>
          <w:iCs w:val="1"/>
          <w:noProof w:val="0"/>
          <w:sz w:val="22"/>
          <w:szCs w:val="22"/>
          <w:lang w:val="en-IE"/>
        </w:rPr>
        <w:t>#StopRansomware: CL0P Ransomware Gang Exploits CVE-2023-34362 MOVEit Vulnerability</w:t>
      </w:r>
      <w:r w:rsidRPr="420E856D" w:rsidR="5BF69D6F">
        <w:rPr>
          <w:rFonts w:ascii="Calibri" w:hAnsi="Calibri" w:eastAsia="Calibri" w:cs="Calibri"/>
          <w:noProof w:val="0"/>
          <w:sz w:val="22"/>
          <w:szCs w:val="22"/>
          <w:lang w:val="en-IE"/>
        </w:rPr>
        <w:t xml:space="preserve">. Cybersecurity and Infrastructure Security Agency. Available at: </w:t>
      </w:r>
      <w:hyperlink r:id="R75946796a3e54791">
        <w:r w:rsidRPr="420E856D" w:rsidR="5BF69D6F">
          <w:rPr>
            <w:rStyle w:val="Hyperlink"/>
            <w:rFonts w:ascii="Calibri" w:hAnsi="Calibri" w:eastAsia="Calibri" w:cs="Calibri"/>
            <w:noProof w:val="0"/>
            <w:sz w:val="22"/>
            <w:szCs w:val="22"/>
            <w:lang w:val="en-IE"/>
          </w:rPr>
          <w:t>https://www.cisa.gov/news-events/cybersecurity-advisories/aa23-158a</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429FF6E3" w14:textId="549D1D2F">
      <w:pPr>
        <w:bidi w:val="0"/>
        <w:spacing w:before="240" w:beforeAutospacing="off" w:after="240" w:afterAutospacing="off"/>
      </w:pPr>
      <w:r w:rsidRPr="420E856D" w:rsidR="5BF69D6F">
        <w:rPr>
          <w:rFonts w:ascii="Calibri" w:hAnsi="Calibri" w:eastAsia="Calibri" w:cs="Calibri"/>
          <w:noProof w:val="0"/>
          <w:sz w:val="22"/>
          <w:szCs w:val="22"/>
          <w:lang w:val="en-IE"/>
        </w:rPr>
        <w:t xml:space="preserve">ENISA (2023) </w:t>
      </w:r>
      <w:r w:rsidRPr="420E856D" w:rsidR="5BF69D6F">
        <w:rPr>
          <w:rFonts w:ascii="Calibri" w:hAnsi="Calibri" w:eastAsia="Calibri" w:cs="Calibri"/>
          <w:i w:val="1"/>
          <w:iCs w:val="1"/>
          <w:noProof w:val="0"/>
          <w:sz w:val="22"/>
          <w:szCs w:val="22"/>
          <w:lang w:val="en-IE"/>
        </w:rPr>
        <w:t>ENISA Threat Landscape 2023</w:t>
      </w:r>
      <w:r w:rsidRPr="420E856D" w:rsidR="5BF69D6F">
        <w:rPr>
          <w:rFonts w:ascii="Calibri" w:hAnsi="Calibri" w:eastAsia="Calibri" w:cs="Calibri"/>
          <w:noProof w:val="0"/>
          <w:sz w:val="22"/>
          <w:szCs w:val="22"/>
          <w:lang w:val="en-IE"/>
        </w:rPr>
        <w:t xml:space="preserve">. European Union Agency for Cybersecurity. Available at: </w:t>
      </w:r>
      <w:hyperlink r:id="Rd9c5ac39b1474efd">
        <w:r w:rsidRPr="420E856D" w:rsidR="5BF69D6F">
          <w:rPr>
            <w:rStyle w:val="Hyperlink"/>
            <w:rFonts w:ascii="Calibri" w:hAnsi="Calibri" w:eastAsia="Calibri" w:cs="Calibri"/>
            <w:noProof w:val="0"/>
            <w:sz w:val="22"/>
            <w:szCs w:val="22"/>
            <w:lang w:val="en-IE"/>
          </w:rPr>
          <w:t>https://www.enisa.europa.eu/publications/enisa-threat-landscape-2023</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3AFE0C56" w14:textId="1E7D6895">
      <w:pPr>
        <w:bidi w:val="0"/>
        <w:spacing w:before="240" w:beforeAutospacing="off" w:after="240" w:afterAutospacing="off"/>
      </w:pPr>
      <w:r w:rsidRPr="420E856D" w:rsidR="5BF69D6F">
        <w:rPr>
          <w:rFonts w:ascii="Calibri" w:hAnsi="Calibri" w:eastAsia="Calibri" w:cs="Calibri"/>
          <w:noProof w:val="0"/>
          <w:sz w:val="22"/>
          <w:szCs w:val="22"/>
          <w:lang w:val="en-IE"/>
        </w:rPr>
        <w:t xml:space="preserve">European Banking Authority (2024a) </w:t>
      </w:r>
      <w:r w:rsidRPr="420E856D" w:rsidR="5BF69D6F">
        <w:rPr>
          <w:rFonts w:ascii="Calibri" w:hAnsi="Calibri" w:eastAsia="Calibri" w:cs="Calibri"/>
          <w:i w:val="1"/>
          <w:iCs w:val="1"/>
          <w:noProof w:val="0"/>
          <w:sz w:val="22"/>
          <w:szCs w:val="22"/>
          <w:lang w:val="en-IE"/>
        </w:rPr>
        <w:t>Final report on draft implementing technical standards on the Register of Information under Article 28(9) of Regulation (EU) 2022/2554</w:t>
      </w:r>
      <w:r w:rsidRPr="420E856D" w:rsidR="5BF69D6F">
        <w:rPr>
          <w:rFonts w:ascii="Calibri" w:hAnsi="Calibri" w:eastAsia="Calibri" w:cs="Calibri"/>
          <w:noProof w:val="0"/>
          <w:sz w:val="22"/>
          <w:szCs w:val="22"/>
          <w:lang w:val="en-IE"/>
        </w:rPr>
        <w:t xml:space="preserve">. JC 2023/85. Available at: </w:t>
      </w:r>
      <w:hyperlink r:id="Re096717df1d442d3">
        <w:r w:rsidRPr="420E856D" w:rsidR="5BF69D6F">
          <w:rPr>
            <w:rStyle w:val="Hyperlink"/>
            <w:rFonts w:ascii="Calibri" w:hAnsi="Calibri" w:eastAsia="Calibri" w:cs="Calibri"/>
            <w:noProof w:val="0"/>
            <w:sz w:val="22"/>
            <w:szCs w:val="22"/>
            <w:lang w:val="en-IE"/>
          </w:rPr>
          <w:t>https://www.eba.europa.eu/sites/default/files/2024-01/JC2023-85-Final-report-on-draft-ITS-on-Register-of-Information.pdf</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633E00F8" w14:textId="10513754">
      <w:pPr>
        <w:bidi w:val="0"/>
        <w:spacing w:before="240" w:beforeAutospacing="off" w:after="240" w:afterAutospacing="off"/>
      </w:pPr>
      <w:r w:rsidRPr="420E856D" w:rsidR="5BF69D6F">
        <w:rPr>
          <w:rFonts w:ascii="Calibri" w:hAnsi="Calibri" w:eastAsia="Calibri" w:cs="Calibri"/>
          <w:noProof w:val="0"/>
          <w:sz w:val="22"/>
          <w:szCs w:val="22"/>
          <w:lang w:val="en-IE"/>
        </w:rPr>
        <w:t xml:space="preserve">European Banking Authority (2024b) </w:t>
      </w:r>
      <w:r w:rsidRPr="420E856D" w:rsidR="5BF69D6F">
        <w:rPr>
          <w:rFonts w:ascii="Calibri" w:hAnsi="Calibri" w:eastAsia="Calibri" w:cs="Calibri"/>
          <w:i w:val="1"/>
          <w:iCs w:val="1"/>
          <w:noProof w:val="0"/>
          <w:sz w:val="22"/>
          <w:szCs w:val="22"/>
          <w:lang w:val="en-IE"/>
        </w:rPr>
        <w:t>Draft validation rules for DORA reporting of Register of Information</w:t>
      </w:r>
      <w:r w:rsidRPr="420E856D" w:rsidR="5BF69D6F">
        <w:rPr>
          <w:rFonts w:ascii="Calibri" w:hAnsi="Calibri" w:eastAsia="Calibri" w:cs="Calibri"/>
          <w:noProof w:val="0"/>
          <w:sz w:val="22"/>
          <w:szCs w:val="22"/>
          <w:lang w:val="en-IE"/>
        </w:rPr>
        <w:t xml:space="preserve">. EBA. Available at: </w:t>
      </w:r>
      <w:hyperlink r:id="R73f66a978eb7425a">
        <w:r w:rsidRPr="420E856D" w:rsidR="5BF69D6F">
          <w:rPr>
            <w:rStyle w:val="Hyperlink"/>
            <w:rFonts w:ascii="Calibri" w:hAnsi="Calibri" w:eastAsia="Calibri" w:cs="Calibri"/>
            <w:noProof w:val="0"/>
            <w:sz w:val="22"/>
            <w:szCs w:val="22"/>
            <w:lang w:val="en-IE"/>
          </w:rPr>
          <w:t>https://www.eba.europa.eu/activities/direct-supervision-and-oversight/digital-operational-resilience-act</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5134101F" w14:textId="1E82682E">
      <w:pPr>
        <w:bidi w:val="0"/>
        <w:spacing w:before="240" w:beforeAutospacing="off" w:after="240" w:afterAutospacing="off"/>
      </w:pPr>
      <w:r w:rsidRPr="420E856D" w:rsidR="5BF69D6F">
        <w:rPr>
          <w:rFonts w:ascii="Calibri" w:hAnsi="Calibri" w:eastAsia="Calibri" w:cs="Calibri"/>
          <w:noProof w:val="0"/>
          <w:sz w:val="22"/>
          <w:szCs w:val="22"/>
          <w:lang w:val="en-IE"/>
        </w:rPr>
        <w:t xml:space="preserve">European Commission (2022) </w:t>
      </w:r>
      <w:r w:rsidRPr="420E856D" w:rsidR="5BF69D6F">
        <w:rPr>
          <w:rFonts w:ascii="Calibri" w:hAnsi="Calibri" w:eastAsia="Calibri" w:cs="Calibri"/>
          <w:i w:val="1"/>
          <w:iCs w:val="1"/>
          <w:noProof w:val="0"/>
          <w:sz w:val="22"/>
          <w:szCs w:val="22"/>
          <w:lang w:val="en-IE"/>
        </w:rPr>
        <w:t>Directive (EU) 2022/2555 of the European Parliament and of the Council on measures for a high common level of cybersecurity across the Union (NIS2 Directive)</w:t>
      </w:r>
      <w:r w:rsidRPr="420E856D" w:rsidR="5BF69D6F">
        <w:rPr>
          <w:rFonts w:ascii="Calibri" w:hAnsi="Calibri" w:eastAsia="Calibri" w:cs="Calibri"/>
          <w:noProof w:val="0"/>
          <w:sz w:val="22"/>
          <w:szCs w:val="22"/>
          <w:lang w:val="en-IE"/>
        </w:rPr>
        <w:t xml:space="preserve">. Official Journal of the European Union, L 333, pp. 80–152. Available at: </w:t>
      </w:r>
      <w:hyperlink r:id="Rccb2c16a89f14221">
        <w:r w:rsidRPr="420E856D" w:rsidR="5BF69D6F">
          <w:rPr>
            <w:rStyle w:val="Hyperlink"/>
            <w:rFonts w:ascii="Calibri" w:hAnsi="Calibri" w:eastAsia="Calibri" w:cs="Calibri"/>
            <w:noProof w:val="0"/>
            <w:sz w:val="22"/>
            <w:szCs w:val="22"/>
            <w:lang w:val="en-IE"/>
          </w:rPr>
          <w:t>https://eur-lex.europa.eu/legal-content/EN/TXT/?uri=CELEX%3A32022L2555</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4A1CE8BB" w14:textId="0F2953BC">
      <w:pPr>
        <w:bidi w:val="0"/>
        <w:spacing w:before="240" w:beforeAutospacing="off" w:after="240" w:afterAutospacing="off"/>
      </w:pPr>
      <w:r w:rsidRPr="420E856D" w:rsidR="5BF69D6F">
        <w:rPr>
          <w:rFonts w:ascii="Calibri" w:hAnsi="Calibri" w:eastAsia="Calibri" w:cs="Calibri"/>
          <w:noProof w:val="0"/>
          <w:sz w:val="22"/>
          <w:szCs w:val="22"/>
          <w:lang w:val="en-IE"/>
        </w:rPr>
        <w:t xml:space="preserve">European Parliament and Council (2022) </w:t>
      </w:r>
      <w:r w:rsidRPr="420E856D" w:rsidR="5BF69D6F">
        <w:rPr>
          <w:rFonts w:ascii="Calibri" w:hAnsi="Calibri" w:eastAsia="Calibri" w:cs="Calibri"/>
          <w:i w:val="1"/>
          <w:iCs w:val="1"/>
          <w:noProof w:val="0"/>
          <w:sz w:val="22"/>
          <w:szCs w:val="22"/>
          <w:lang w:val="en-IE"/>
        </w:rPr>
        <w:t>Regulation (EU) 2022/2554 on digital operational resilience for the financial sector (DORA)</w:t>
      </w:r>
      <w:r w:rsidRPr="420E856D" w:rsidR="5BF69D6F">
        <w:rPr>
          <w:rFonts w:ascii="Calibri" w:hAnsi="Calibri" w:eastAsia="Calibri" w:cs="Calibri"/>
          <w:noProof w:val="0"/>
          <w:sz w:val="22"/>
          <w:szCs w:val="22"/>
          <w:lang w:val="en-IE"/>
        </w:rPr>
        <w:t xml:space="preserve">. Official Journal of the European Union, L 333, pp. 1–79. Available at: </w:t>
      </w:r>
      <w:hyperlink r:id="R17c4f0cc16e54b5a">
        <w:r w:rsidRPr="420E856D" w:rsidR="5BF69D6F">
          <w:rPr>
            <w:rStyle w:val="Hyperlink"/>
            <w:rFonts w:ascii="Calibri" w:hAnsi="Calibri" w:eastAsia="Calibri" w:cs="Calibri"/>
            <w:noProof w:val="0"/>
            <w:sz w:val="22"/>
            <w:szCs w:val="22"/>
            <w:lang w:val="en-IE"/>
          </w:rPr>
          <w:t>https://eur-lex.europa.eu/legal-content/EN/TXT/?uri=CELEX%3A32022R2554</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0955AB4F" w14:textId="4F9AB942">
      <w:pPr>
        <w:bidi w:val="0"/>
        <w:spacing w:before="240" w:beforeAutospacing="off" w:after="240" w:afterAutospacing="off"/>
      </w:pPr>
      <w:r w:rsidRPr="420E856D" w:rsidR="5BF69D6F">
        <w:rPr>
          <w:rFonts w:ascii="Calibri" w:hAnsi="Calibri" w:eastAsia="Calibri" w:cs="Calibri"/>
          <w:noProof w:val="0"/>
          <w:sz w:val="22"/>
          <w:szCs w:val="22"/>
          <w:lang w:val="en-IE"/>
        </w:rPr>
        <w:t xml:space="preserve">ESA (2024) </w:t>
      </w:r>
      <w:r w:rsidRPr="420E856D" w:rsidR="5BF69D6F">
        <w:rPr>
          <w:rFonts w:ascii="Calibri" w:hAnsi="Calibri" w:eastAsia="Calibri" w:cs="Calibri"/>
          <w:i w:val="1"/>
          <w:iCs w:val="1"/>
          <w:noProof w:val="0"/>
          <w:sz w:val="22"/>
          <w:szCs w:val="22"/>
          <w:lang w:val="en-IE"/>
        </w:rPr>
        <w:t>ESA 2024/35 — DORA Dry-Run exercise summary report</w:t>
      </w:r>
      <w:r w:rsidRPr="420E856D" w:rsidR="5BF69D6F">
        <w:rPr>
          <w:rFonts w:ascii="Calibri" w:hAnsi="Calibri" w:eastAsia="Calibri" w:cs="Calibri"/>
          <w:noProof w:val="0"/>
          <w:sz w:val="22"/>
          <w:szCs w:val="22"/>
          <w:lang w:val="en-IE"/>
        </w:rPr>
        <w:t xml:space="preserve">. Joint Committee of the European Supervisory Authorities. Available at: </w:t>
      </w:r>
      <w:hyperlink r:id="R93715b46828447de">
        <w:r w:rsidRPr="420E856D" w:rsidR="5BF69D6F">
          <w:rPr>
            <w:rStyle w:val="Hyperlink"/>
            <w:rFonts w:ascii="Calibri" w:hAnsi="Calibri" w:eastAsia="Calibri" w:cs="Calibri"/>
            <w:noProof w:val="0"/>
            <w:sz w:val="22"/>
            <w:szCs w:val="22"/>
            <w:lang w:val="en-IE"/>
          </w:rPr>
          <w:t>https://www.esma.europa.eu/sites/default/files/2024-12/ESA_2024_35_DORA_DryRun_exercise_summary_report.pdf</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646FD338" w14:textId="55A7AD7B">
      <w:pPr>
        <w:bidi w:val="0"/>
        <w:spacing w:before="240" w:beforeAutospacing="off" w:after="240" w:afterAutospacing="off"/>
      </w:pPr>
      <w:r w:rsidRPr="420E856D" w:rsidR="5BF69D6F">
        <w:rPr>
          <w:rFonts w:ascii="Calibri" w:hAnsi="Calibri" w:eastAsia="Calibri" w:cs="Calibri"/>
          <w:noProof w:val="0"/>
          <w:sz w:val="22"/>
          <w:szCs w:val="22"/>
          <w:lang w:val="en-IE"/>
        </w:rPr>
        <w:t xml:space="preserve">Greenberg, A. (2018) 'The untold story of NotPetya, the most devastating cyberattack in history', </w:t>
      </w:r>
      <w:r w:rsidRPr="420E856D" w:rsidR="5BF69D6F">
        <w:rPr>
          <w:rFonts w:ascii="Calibri" w:hAnsi="Calibri" w:eastAsia="Calibri" w:cs="Calibri"/>
          <w:i w:val="1"/>
          <w:iCs w:val="1"/>
          <w:noProof w:val="0"/>
          <w:sz w:val="22"/>
          <w:szCs w:val="22"/>
          <w:lang w:val="en-IE"/>
        </w:rPr>
        <w:t>WIRED</w:t>
      </w:r>
      <w:r w:rsidRPr="420E856D" w:rsidR="5BF69D6F">
        <w:rPr>
          <w:rFonts w:ascii="Calibri" w:hAnsi="Calibri" w:eastAsia="Calibri" w:cs="Calibri"/>
          <w:noProof w:val="0"/>
          <w:sz w:val="22"/>
          <w:szCs w:val="22"/>
          <w:lang w:val="en-IE"/>
        </w:rPr>
        <w:t xml:space="preserve">, 22 August. Available at: </w:t>
      </w:r>
      <w:hyperlink r:id="R60dcbe2297cb4590">
        <w:r w:rsidRPr="420E856D" w:rsidR="5BF69D6F">
          <w:rPr>
            <w:rStyle w:val="Hyperlink"/>
            <w:rFonts w:ascii="Calibri" w:hAnsi="Calibri" w:eastAsia="Calibri" w:cs="Calibri"/>
            <w:noProof w:val="0"/>
            <w:sz w:val="22"/>
            <w:szCs w:val="22"/>
            <w:lang w:val="en-IE"/>
          </w:rPr>
          <w:t>https://www.wired.com/story/notpetya-cyberattack-ukraine-russia-code-crashed-the-world</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2A78A4BB" w14:textId="701E261F">
      <w:pPr>
        <w:bidi w:val="0"/>
        <w:spacing w:before="240" w:beforeAutospacing="off" w:after="240" w:afterAutospacing="off"/>
      </w:pPr>
      <w:r w:rsidRPr="420E856D" w:rsidR="5BF69D6F">
        <w:rPr>
          <w:rFonts w:ascii="Calibri" w:hAnsi="Calibri" w:eastAsia="Calibri" w:cs="Calibri"/>
          <w:noProof w:val="0"/>
          <w:sz w:val="22"/>
          <w:szCs w:val="22"/>
          <w:lang w:val="en-IE"/>
        </w:rPr>
        <w:t xml:space="preserve">Hevner, A. R., March, S. T., Park, J. and Ram, S. (2004) 'Design science in information systems research', </w:t>
      </w:r>
      <w:r w:rsidRPr="420E856D" w:rsidR="5BF69D6F">
        <w:rPr>
          <w:rFonts w:ascii="Calibri" w:hAnsi="Calibri" w:eastAsia="Calibri" w:cs="Calibri"/>
          <w:i w:val="1"/>
          <w:iCs w:val="1"/>
          <w:noProof w:val="0"/>
          <w:sz w:val="22"/>
          <w:szCs w:val="22"/>
          <w:lang w:val="en-IE"/>
        </w:rPr>
        <w:t>MIS Quarterly</w:t>
      </w:r>
      <w:r w:rsidRPr="420E856D" w:rsidR="5BF69D6F">
        <w:rPr>
          <w:rFonts w:ascii="Calibri" w:hAnsi="Calibri" w:eastAsia="Calibri" w:cs="Calibri"/>
          <w:noProof w:val="0"/>
          <w:sz w:val="22"/>
          <w:szCs w:val="22"/>
          <w:lang w:val="en-IE"/>
        </w:rPr>
        <w:t xml:space="preserve">, 28(1), pp. 75–105. Available at: </w:t>
      </w:r>
      <w:hyperlink r:id="R95b35183576a4b2d">
        <w:r w:rsidRPr="420E856D" w:rsidR="5BF69D6F">
          <w:rPr>
            <w:rStyle w:val="Hyperlink"/>
            <w:rFonts w:ascii="Calibri" w:hAnsi="Calibri" w:eastAsia="Calibri" w:cs="Calibri"/>
            <w:noProof w:val="0"/>
            <w:sz w:val="22"/>
            <w:szCs w:val="22"/>
            <w:lang w:val="en-IE"/>
          </w:rPr>
          <w:t>https://doi.org/10.2307/25148625</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439E9879" w14:textId="06148F36">
      <w:pPr>
        <w:bidi w:val="0"/>
        <w:spacing w:before="240" w:beforeAutospacing="off" w:after="240" w:afterAutospacing="off"/>
      </w:pPr>
      <w:r w:rsidRPr="420E856D" w:rsidR="5BF69D6F">
        <w:rPr>
          <w:rFonts w:ascii="Calibri" w:hAnsi="Calibri" w:eastAsia="Calibri" w:cs="Calibri"/>
          <w:noProof w:val="0"/>
          <w:sz w:val="22"/>
          <w:szCs w:val="22"/>
          <w:lang w:val="en-IE"/>
        </w:rPr>
        <w:t xml:space="preserve">Peffers, K., Tuunanen, T., Rothenberger, M. A. and Chatterjee, S. (2007) 'A design science research methodology for information systems research', </w:t>
      </w:r>
      <w:r w:rsidRPr="420E856D" w:rsidR="5BF69D6F">
        <w:rPr>
          <w:rFonts w:ascii="Calibri" w:hAnsi="Calibri" w:eastAsia="Calibri" w:cs="Calibri"/>
          <w:i w:val="1"/>
          <w:iCs w:val="1"/>
          <w:noProof w:val="0"/>
          <w:sz w:val="22"/>
          <w:szCs w:val="22"/>
          <w:lang w:val="en-IE"/>
        </w:rPr>
        <w:t>Journal of Management Information Systems</w:t>
      </w:r>
      <w:r w:rsidRPr="420E856D" w:rsidR="5BF69D6F">
        <w:rPr>
          <w:rFonts w:ascii="Calibri" w:hAnsi="Calibri" w:eastAsia="Calibri" w:cs="Calibri"/>
          <w:noProof w:val="0"/>
          <w:sz w:val="22"/>
          <w:szCs w:val="22"/>
          <w:lang w:val="en-IE"/>
        </w:rPr>
        <w:t xml:space="preserve">, 24(3), pp. 45–77. Available at: </w:t>
      </w:r>
      <w:hyperlink r:id="Rd2089c0437304b1b">
        <w:r w:rsidRPr="420E856D" w:rsidR="5BF69D6F">
          <w:rPr>
            <w:rStyle w:val="Hyperlink"/>
            <w:rFonts w:ascii="Calibri" w:hAnsi="Calibri" w:eastAsia="Calibri" w:cs="Calibri"/>
            <w:noProof w:val="0"/>
            <w:sz w:val="22"/>
            <w:szCs w:val="22"/>
            <w:lang w:val="en-IE"/>
          </w:rPr>
          <w:t>https://doi.org/10.2753/MIS0742-1222240302</w:t>
        </w:r>
      </w:hyperlink>
      <w:r w:rsidRPr="420E856D" w:rsidR="5BF69D6F">
        <w:rPr>
          <w:rFonts w:ascii="Calibri" w:hAnsi="Calibri" w:eastAsia="Calibri" w:cs="Calibri"/>
          <w:noProof w:val="0"/>
          <w:sz w:val="22"/>
          <w:szCs w:val="22"/>
          <w:lang w:val="en-IE"/>
        </w:rPr>
        <w:t xml:space="preserve"> (Accessed: 20 April 2026).</w:t>
      </w:r>
    </w:p>
    <w:p w:rsidRPr="009C4F19" w:rsidR="009C4F19" w:rsidP="420E856D" w:rsidRDefault="009C4F19" w14:paraId="745BDFDD" w14:textId="1750B6DA">
      <w:pPr>
        <w:bidi w:val="0"/>
        <w:spacing w:before="0" w:beforeAutospacing="off" w:after="0" w:afterAutospacing="off"/>
      </w:pPr>
    </w:p>
    <w:p w:rsidRPr="009C4F19" w:rsidR="009C4F19" w:rsidP="009C4F19" w:rsidRDefault="009C4F19" w14:paraId="6827731F" w14:textId="4228A88F"/>
    <w:sectPr w:rsidRPr="009C4F19" w:rsidR="009C4F19" w:rsidSect="00065961">
      <w:pgSz w:w="11906" w:h="16838" w:orient="portrait"/>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7">
    <w:nsid w:val="4896f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a54d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eeb3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3bc4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abaa7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A5C9E"/>
    <w:multiLevelType w:val="multilevel"/>
    <w:tmpl w:val="E7542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A8566A"/>
    <w:multiLevelType w:val="multilevel"/>
    <w:tmpl w:val="BFC8C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5B75D9"/>
    <w:multiLevelType w:val="multilevel"/>
    <w:tmpl w:val="B27E2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993AFB"/>
    <w:multiLevelType w:val="multilevel"/>
    <w:tmpl w:val="D952B3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1826DF"/>
    <w:multiLevelType w:val="multilevel"/>
    <w:tmpl w:val="08A267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1829BB"/>
    <w:multiLevelType w:val="multilevel"/>
    <w:tmpl w:val="6D000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8BC4133"/>
    <w:multiLevelType w:val="multilevel"/>
    <w:tmpl w:val="056A3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4B567E"/>
    <w:multiLevelType w:val="multilevel"/>
    <w:tmpl w:val="F4142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B658F7"/>
    <w:multiLevelType w:val="multilevel"/>
    <w:tmpl w:val="6DA49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E5204E2"/>
    <w:multiLevelType w:val="multilevel"/>
    <w:tmpl w:val="07941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975AA7"/>
    <w:multiLevelType w:val="multilevel"/>
    <w:tmpl w:val="E2E62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3F1364B"/>
    <w:multiLevelType w:val="multilevel"/>
    <w:tmpl w:val="1FD21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AF2C91"/>
    <w:multiLevelType w:val="hybridMultilevel"/>
    <w:tmpl w:val="BEE008E8"/>
    <w:lvl w:ilvl="0" w:tplc="18090001">
      <w:start w:val="1"/>
      <w:numFmt w:val="bullet"/>
      <w:lvlText w:val=""/>
      <w:lvlJc w:val="left"/>
      <w:pPr>
        <w:ind w:left="1080" w:hanging="360"/>
      </w:pPr>
      <w:rPr>
        <w:rFonts w:hint="default" w:ascii="Symbol" w:hAnsi="Symbol"/>
      </w:rPr>
    </w:lvl>
    <w:lvl w:ilvl="1" w:tplc="18090003" w:tentative="1">
      <w:start w:val="1"/>
      <w:numFmt w:val="bullet"/>
      <w:lvlText w:val="o"/>
      <w:lvlJc w:val="left"/>
      <w:pPr>
        <w:ind w:left="1800" w:hanging="360"/>
      </w:pPr>
      <w:rPr>
        <w:rFonts w:hint="default" w:ascii="Courier New" w:hAnsi="Courier New" w:cs="Courier New"/>
      </w:rPr>
    </w:lvl>
    <w:lvl w:ilvl="2" w:tplc="18090005" w:tentative="1">
      <w:start w:val="1"/>
      <w:numFmt w:val="bullet"/>
      <w:lvlText w:val=""/>
      <w:lvlJc w:val="left"/>
      <w:pPr>
        <w:ind w:left="2520" w:hanging="360"/>
      </w:pPr>
      <w:rPr>
        <w:rFonts w:hint="default" w:ascii="Wingdings" w:hAnsi="Wingdings"/>
      </w:rPr>
    </w:lvl>
    <w:lvl w:ilvl="3" w:tplc="18090001" w:tentative="1">
      <w:start w:val="1"/>
      <w:numFmt w:val="bullet"/>
      <w:lvlText w:val=""/>
      <w:lvlJc w:val="left"/>
      <w:pPr>
        <w:ind w:left="3240" w:hanging="360"/>
      </w:pPr>
      <w:rPr>
        <w:rFonts w:hint="default" w:ascii="Symbol" w:hAnsi="Symbol"/>
      </w:rPr>
    </w:lvl>
    <w:lvl w:ilvl="4" w:tplc="18090003" w:tentative="1">
      <w:start w:val="1"/>
      <w:numFmt w:val="bullet"/>
      <w:lvlText w:val="o"/>
      <w:lvlJc w:val="left"/>
      <w:pPr>
        <w:ind w:left="3960" w:hanging="360"/>
      </w:pPr>
      <w:rPr>
        <w:rFonts w:hint="default" w:ascii="Courier New" w:hAnsi="Courier New" w:cs="Courier New"/>
      </w:rPr>
    </w:lvl>
    <w:lvl w:ilvl="5" w:tplc="18090005" w:tentative="1">
      <w:start w:val="1"/>
      <w:numFmt w:val="bullet"/>
      <w:lvlText w:val=""/>
      <w:lvlJc w:val="left"/>
      <w:pPr>
        <w:ind w:left="4680" w:hanging="360"/>
      </w:pPr>
      <w:rPr>
        <w:rFonts w:hint="default" w:ascii="Wingdings" w:hAnsi="Wingdings"/>
      </w:rPr>
    </w:lvl>
    <w:lvl w:ilvl="6" w:tplc="18090001" w:tentative="1">
      <w:start w:val="1"/>
      <w:numFmt w:val="bullet"/>
      <w:lvlText w:val=""/>
      <w:lvlJc w:val="left"/>
      <w:pPr>
        <w:ind w:left="5400" w:hanging="360"/>
      </w:pPr>
      <w:rPr>
        <w:rFonts w:hint="default" w:ascii="Symbol" w:hAnsi="Symbol"/>
      </w:rPr>
    </w:lvl>
    <w:lvl w:ilvl="7" w:tplc="18090003" w:tentative="1">
      <w:start w:val="1"/>
      <w:numFmt w:val="bullet"/>
      <w:lvlText w:val="o"/>
      <w:lvlJc w:val="left"/>
      <w:pPr>
        <w:ind w:left="6120" w:hanging="360"/>
      </w:pPr>
      <w:rPr>
        <w:rFonts w:hint="default" w:ascii="Courier New" w:hAnsi="Courier New" w:cs="Courier New"/>
      </w:rPr>
    </w:lvl>
    <w:lvl w:ilvl="8" w:tplc="18090005" w:tentative="1">
      <w:start w:val="1"/>
      <w:numFmt w:val="bullet"/>
      <w:lvlText w:val=""/>
      <w:lvlJc w:val="left"/>
      <w:pPr>
        <w:ind w:left="6840" w:hanging="360"/>
      </w:pPr>
      <w:rPr>
        <w:rFonts w:hint="default" w:ascii="Wingdings" w:hAnsi="Wingdings"/>
      </w:rPr>
    </w:lvl>
  </w:abstractNum>
  <w:abstractNum w:abstractNumId="13" w15:restartNumberingAfterBreak="0">
    <w:nsid w:val="1E2532A7"/>
    <w:multiLevelType w:val="multilevel"/>
    <w:tmpl w:val="E036F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F070C66"/>
    <w:multiLevelType w:val="multilevel"/>
    <w:tmpl w:val="9676C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1626115"/>
    <w:multiLevelType w:val="multilevel"/>
    <w:tmpl w:val="4A46EA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97F1FF3"/>
    <w:multiLevelType w:val="multilevel"/>
    <w:tmpl w:val="E0560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A03A19"/>
    <w:multiLevelType w:val="multilevel"/>
    <w:tmpl w:val="060A0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3DC29AD"/>
    <w:multiLevelType w:val="multilevel"/>
    <w:tmpl w:val="12C0A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E9C29CA"/>
    <w:multiLevelType w:val="multilevel"/>
    <w:tmpl w:val="A6CA4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E81E71"/>
    <w:multiLevelType w:val="multilevel"/>
    <w:tmpl w:val="31447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A252F09"/>
    <w:multiLevelType w:val="multilevel"/>
    <w:tmpl w:val="514AE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220617"/>
    <w:multiLevelType w:val="multilevel"/>
    <w:tmpl w:val="BC92D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0E51C87"/>
    <w:multiLevelType w:val="multilevel"/>
    <w:tmpl w:val="1744F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5C0BEA"/>
    <w:multiLevelType w:val="multilevel"/>
    <w:tmpl w:val="7D06D618"/>
    <w:lvl w:ilvl="0">
      <w:start w:val="1"/>
      <w:numFmt w:val="decimal"/>
      <w:lvlText w:val="%1"/>
      <w:lvlJc w:val="left"/>
      <w:pPr>
        <w:ind w:left="435" w:hanging="435"/>
      </w:pPr>
      <w:rPr>
        <w:rFonts w:hint="default" w:eastAsiaTheme="majorEastAsia" w:cstheme="majorBidi"/>
        <w:b/>
        <w:color w:val="2F5496" w:themeColor="accent1" w:themeShade="BF"/>
        <w:sz w:val="28"/>
      </w:rPr>
    </w:lvl>
    <w:lvl w:ilvl="1">
      <w:start w:val="1"/>
      <w:numFmt w:val="decimal"/>
      <w:lvlText w:val="%1.%2"/>
      <w:lvlJc w:val="left"/>
      <w:pPr>
        <w:ind w:left="435" w:hanging="435"/>
      </w:pPr>
      <w:rPr>
        <w:rFonts w:hint="default" w:eastAsiaTheme="majorEastAsia" w:cstheme="majorBidi"/>
        <w:b/>
        <w:color w:val="2F5496" w:themeColor="accent1" w:themeShade="BF"/>
        <w:sz w:val="26"/>
        <w:szCs w:val="26"/>
      </w:rPr>
    </w:lvl>
    <w:lvl w:ilvl="2">
      <w:start w:val="1"/>
      <w:numFmt w:val="decimal"/>
      <w:lvlText w:val="%1.%2.%3"/>
      <w:lvlJc w:val="left"/>
      <w:pPr>
        <w:ind w:left="720" w:hanging="720"/>
      </w:pPr>
      <w:rPr>
        <w:rFonts w:hint="default" w:eastAsiaTheme="majorEastAsia" w:cstheme="majorBidi"/>
        <w:b/>
        <w:color w:val="2F5496" w:themeColor="accent1" w:themeShade="BF"/>
        <w:sz w:val="28"/>
      </w:rPr>
    </w:lvl>
    <w:lvl w:ilvl="3">
      <w:start w:val="1"/>
      <w:numFmt w:val="decimal"/>
      <w:lvlText w:val="%1.%2.%3.%4"/>
      <w:lvlJc w:val="left"/>
      <w:pPr>
        <w:ind w:left="720" w:hanging="720"/>
      </w:pPr>
      <w:rPr>
        <w:rFonts w:hint="default" w:eastAsiaTheme="majorEastAsia" w:cstheme="majorBidi"/>
        <w:b/>
        <w:color w:val="2F5496" w:themeColor="accent1" w:themeShade="BF"/>
        <w:sz w:val="28"/>
      </w:rPr>
    </w:lvl>
    <w:lvl w:ilvl="4">
      <w:start w:val="1"/>
      <w:numFmt w:val="decimal"/>
      <w:lvlText w:val="%1.%2.%3.%4.%5"/>
      <w:lvlJc w:val="left"/>
      <w:pPr>
        <w:ind w:left="1080" w:hanging="1080"/>
      </w:pPr>
      <w:rPr>
        <w:rFonts w:hint="default" w:eastAsiaTheme="majorEastAsia" w:cstheme="majorBidi"/>
        <w:b/>
        <w:color w:val="2F5496" w:themeColor="accent1" w:themeShade="BF"/>
        <w:sz w:val="28"/>
      </w:rPr>
    </w:lvl>
    <w:lvl w:ilvl="5">
      <w:start w:val="1"/>
      <w:numFmt w:val="decimal"/>
      <w:lvlText w:val="%1.%2.%3.%4.%5.%6"/>
      <w:lvlJc w:val="left"/>
      <w:pPr>
        <w:ind w:left="1080" w:hanging="1080"/>
      </w:pPr>
      <w:rPr>
        <w:rFonts w:hint="default" w:eastAsiaTheme="majorEastAsia" w:cstheme="majorBidi"/>
        <w:b/>
        <w:color w:val="2F5496" w:themeColor="accent1" w:themeShade="BF"/>
        <w:sz w:val="28"/>
      </w:rPr>
    </w:lvl>
    <w:lvl w:ilvl="6">
      <w:start w:val="1"/>
      <w:numFmt w:val="decimal"/>
      <w:lvlText w:val="%1.%2.%3.%4.%5.%6.%7"/>
      <w:lvlJc w:val="left"/>
      <w:pPr>
        <w:ind w:left="1440" w:hanging="1440"/>
      </w:pPr>
      <w:rPr>
        <w:rFonts w:hint="default" w:eastAsiaTheme="majorEastAsia" w:cstheme="majorBidi"/>
        <w:b/>
        <w:color w:val="2F5496" w:themeColor="accent1" w:themeShade="BF"/>
        <w:sz w:val="28"/>
      </w:rPr>
    </w:lvl>
    <w:lvl w:ilvl="7">
      <w:start w:val="1"/>
      <w:numFmt w:val="decimal"/>
      <w:lvlText w:val="%1.%2.%3.%4.%5.%6.%7.%8"/>
      <w:lvlJc w:val="left"/>
      <w:pPr>
        <w:ind w:left="1440" w:hanging="1440"/>
      </w:pPr>
      <w:rPr>
        <w:rFonts w:hint="default" w:eastAsiaTheme="majorEastAsia" w:cstheme="majorBidi"/>
        <w:b/>
        <w:color w:val="2F5496" w:themeColor="accent1" w:themeShade="BF"/>
        <w:sz w:val="28"/>
      </w:rPr>
    </w:lvl>
    <w:lvl w:ilvl="8">
      <w:start w:val="1"/>
      <w:numFmt w:val="decimal"/>
      <w:lvlText w:val="%1.%2.%3.%4.%5.%6.%7.%8.%9"/>
      <w:lvlJc w:val="left"/>
      <w:pPr>
        <w:ind w:left="1800" w:hanging="1800"/>
      </w:pPr>
      <w:rPr>
        <w:rFonts w:hint="default" w:eastAsiaTheme="majorEastAsia" w:cstheme="majorBidi"/>
        <w:b/>
        <w:color w:val="2F5496" w:themeColor="accent1" w:themeShade="BF"/>
        <w:sz w:val="28"/>
      </w:rPr>
    </w:lvl>
  </w:abstractNum>
  <w:abstractNum w:abstractNumId="25" w15:restartNumberingAfterBreak="0">
    <w:nsid w:val="55A85868"/>
    <w:multiLevelType w:val="multilevel"/>
    <w:tmpl w:val="B2A86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6A12B52"/>
    <w:multiLevelType w:val="multilevel"/>
    <w:tmpl w:val="6C1E4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8463E7F"/>
    <w:multiLevelType w:val="multilevel"/>
    <w:tmpl w:val="888CD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A6B16B3"/>
    <w:multiLevelType w:val="multilevel"/>
    <w:tmpl w:val="FBDA9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AC62058"/>
    <w:multiLevelType w:val="multilevel"/>
    <w:tmpl w:val="23944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B132FAB"/>
    <w:multiLevelType w:val="multilevel"/>
    <w:tmpl w:val="BFB66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F0F198A"/>
    <w:multiLevelType w:val="multilevel"/>
    <w:tmpl w:val="D346A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F7D137B"/>
    <w:multiLevelType w:val="multilevel"/>
    <w:tmpl w:val="20688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0283A07"/>
    <w:multiLevelType w:val="multilevel"/>
    <w:tmpl w:val="CC7E9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1524B40"/>
    <w:multiLevelType w:val="multilevel"/>
    <w:tmpl w:val="31E0E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AD24E70"/>
    <w:multiLevelType w:val="multilevel"/>
    <w:tmpl w:val="BE705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BA90DF3"/>
    <w:multiLevelType w:val="multilevel"/>
    <w:tmpl w:val="9C6E9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CBB038E"/>
    <w:multiLevelType w:val="multilevel"/>
    <w:tmpl w:val="1CF8A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8A22094"/>
    <w:multiLevelType w:val="multilevel"/>
    <w:tmpl w:val="1884E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A6676C8"/>
    <w:multiLevelType w:val="multilevel"/>
    <w:tmpl w:val="3228A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B8A41F5"/>
    <w:multiLevelType w:val="multilevel"/>
    <w:tmpl w:val="41887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BB17E31"/>
    <w:multiLevelType w:val="multilevel"/>
    <w:tmpl w:val="EC588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DCD73B3"/>
    <w:multiLevelType w:val="multilevel"/>
    <w:tmpl w:val="D8ACE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8">
    <w:abstractNumId w:val="47"/>
  </w:num>
  <w:num w:numId="47">
    <w:abstractNumId w:val="46"/>
  </w:num>
  <w:num w:numId="46">
    <w:abstractNumId w:val="45"/>
  </w:num>
  <w:num w:numId="45">
    <w:abstractNumId w:val="44"/>
  </w:num>
  <w:num w:numId="44">
    <w:abstractNumId w:val="43"/>
  </w:num>
  <w:num w:numId="1">
    <w:abstractNumId w:val="32"/>
  </w:num>
  <w:num w:numId="2">
    <w:abstractNumId w:val="15"/>
  </w:num>
  <w:num w:numId="3">
    <w:abstractNumId w:val="5"/>
  </w:num>
  <w:num w:numId="4">
    <w:abstractNumId w:val="29"/>
  </w:num>
  <w:num w:numId="5">
    <w:abstractNumId w:val="20"/>
  </w:num>
  <w:num w:numId="6">
    <w:abstractNumId w:val="0"/>
  </w:num>
  <w:num w:numId="7">
    <w:abstractNumId w:val="28"/>
  </w:num>
  <w:num w:numId="8">
    <w:abstractNumId w:val="8"/>
  </w:num>
  <w:num w:numId="9">
    <w:abstractNumId w:val="39"/>
  </w:num>
  <w:num w:numId="10">
    <w:abstractNumId w:val="25"/>
  </w:num>
  <w:num w:numId="11">
    <w:abstractNumId w:val="10"/>
  </w:num>
  <w:num w:numId="12">
    <w:abstractNumId w:val="7"/>
  </w:num>
  <w:num w:numId="13">
    <w:abstractNumId w:val="42"/>
  </w:num>
  <w:num w:numId="14">
    <w:abstractNumId w:val="1"/>
  </w:num>
  <w:num w:numId="15">
    <w:abstractNumId w:val="26"/>
  </w:num>
  <w:num w:numId="16">
    <w:abstractNumId w:val="9"/>
  </w:num>
  <w:num w:numId="17">
    <w:abstractNumId w:val="21"/>
  </w:num>
  <w:num w:numId="18">
    <w:abstractNumId w:val="37"/>
  </w:num>
  <w:num w:numId="19">
    <w:abstractNumId w:val="19"/>
  </w:num>
  <w:num w:numId="20">
    <w:abstractNumId w:val="18"/>
  </w:num>
  <w:num w:numId="21">
    <w:abstractNumId w:val="35"/>
  </w:num>
  <w:num w:numId="22">
    <w:abstractNumId w:val="30"/>
  </w:num>
  <w:num w:numId="23">
    <w:abstractNumId w:val="2"/>
  </w:num>
  <w:num w:numId="24">
    <w:abstractNumId w:val="36"/>
  </w:num>
  <w:num w:numId="25">
    <w:abstractNumId w:val="16"/>
  </w:num>
  <w:num w:numId="26">
    <w:abstractNumId w:val="13"/>
  </w:num>
  <w:num w:numId="27">
    <w:abstractNumId w:val="14"/>
  </w:num>
  <w:num w:numId="28">
    <w:abstractNumId w:val="34"/>
  </w:num>
  <w:num w:numId="29">
    <w:abstractNumId w:val="41"/>
  </w:num>
  <w:num w:numId="30">
    <w:abstractNumId w:val="3"/>
  </w:num>
  <w:num w:numId="31">
    <w:abstractNumId w:val="40"/>
  </w:num>
  <w:num w:numId="32">
    <w:abstractNumId w:val="4"/>
  </w:num>
  <w:num w:numId="33">
    <w:abstractNumId w:val="22"/>
  </w:num>
  <w:num w:numId="34">
    <w:abstractNumId w:val="23"/>
  </w:num>
  <w:num w:numId="35">
    <w:abstractNumId w:val="11"/>
  </w:num>
  <w:num w:numId="36">
    <w:abstractNumId w:val="38"/>
  </w:num>
  <w:num w:numId="37">
    <w:abstractNumId w:val="31"/>
  </w:num>
  <w:num w:numId="38">
    <w:abstractNumId w:val="27"/>
  </w:num>
  <w:num w:numId="39">
    <w:abstractNumId w:val="33"/>
  </w:num>
  <w:num w:numId="40">
    <w:abstractNumId w:val="12"/>
  </w:num>
  <w:num w:numId="41">
    <w:abstractNumId w:val="6"/>
  </w:num>
  <w:num w:numId="42">
    <w:abstractNumId w:val="17"/>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AB"/>
    <w:rsid w:val="00065961"/>
    <w:rsid w:val="00105193"/>
    <w:rsid w:val="00184AC1"/>
    <w:rsid w:val="003215E9"/>
    <w:rsid w:val="005726BC"/>
    <w:rsid w:val="006456EF"/>
    <w:rsid w:val="0070476C"/>
    <w:rsid w:val="009C4F19"/>
    <w:rsid w:val="00BA075B"/>
    <w:rsid w:val="00BD2851"/>
    <w:rsid w:val="00CE0948"/>
    <w:rsid w:val="00D349AB"/>
    <w:rsid w:val="14D98136"/>
    <w:rsid w:val="1FFF88B0"/>
    <w:rsid w:val="26EAFB07"/>
    <w:rsid w:val="2A4E4FB7"/>
    <w:rsid w:val="2A92B47D"/>
    <w:rsid w:val="32DBAFFF"/>
    <w:rsid w:val="336D79F5"/>
    <w:rsid w:val="3C1CBF53"/>
    <w:rsid w:val="420E856D"/>
    <w:rsid w:val="442E9FC4"/>
    <w:rsid w:val="4EB5A52D"/>
    <w:rsid w:val="5BF69D6F"/>
    <w:rsid w:val="5F4C166F"/>
    <w:rsid w:val="6E088AA1"/>
    <w:rsid w:val="70CC192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DAE6"/>
  <w15:chartTrackingRefBased/>
  <w15:docId w15:val="{578365FD-511F-47C8-B527-7F6E701A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3215E9"/>
    <w:pPr>
      <w:keepNext/>
      <w:keepLines/>
      <w:spacing w:before="240" w:after="0" w:line="276" w:lineRule="auto"/>
      <w:outlineLvl w:val="0"/>
    </w:pPr>
    <w:rPr>
      <w:rFonts w:ascii="Times New Roman" w:hAnsi="Times New Roman" w:cs="Times New Roman" w:eastAsiaTheme="majorEastAsia"/>
      <w:b/>
      <w:sz w:val="32"/>
      <w:szCs w:val="32"/>
    </w:rPr>
  </w:style>
  <w:style w:type="paragraph" w:styleId="Heading2">
    <w:name w:val="heading 2"/>
    <w:basedOn w:val="Normal"/>
    <w:next w:val="Normal"/>
    <w:link w:val="Heading2Char"/>
    <w:autoRedefine/>
    <w:uiPriority w:val="9"/>
    <w:unhideWhenUsed/>
    <w:qFormat/>
    <w:rsid w:val="00184AC1"/>
    <w:pPr>
      <w:keepNext/>
      <w:keepLines/>
      <w:spacing w:before="40" w:after="0"/>
      <w:outlineLvl w:val="1"/>
    </w:pPr>
    <w:rPr>
      <w:rFonts w:ascii="Times New Roman" w:hAnsi="Times New Roman" w:eastAsiaTheme="majorEastAsia" w:cstheme="majorBidi"/>
      <w:b/>
      <w:color w:val="2F5496" w:themeColor="accent1" w:themeShade="BF"/>
      <w:sz w:val="26"/>
      <w:szCs w:val="26"/>
    </w:rPr>
  </w:style>
  <w:style w:type="paragraph" w:styleId="Heading3">
    <w:name w:val="heading 3"/>
    <w:basedOn w:val="Normal"/>
    <w:link w:val="Heading3Char"/>
    <w:autoRedefine/>
    <w:uiPriority w:val="9"/>
    <w:qFormat/>
    <w:rsid w:val="00184AC1"/>
    <w:pPr>
      <w:spacing w:before="100" w:beforeAutospacing="1" w:after="100" w:afterAutospacing="1" w:line="240" w:lineRule="auto"/>
      <w:outlineLvl w:val="2"/>
    </w:pPr>
    <w:rPr>
      <w:rFonts w:ascii="Times New Roman" w:hAnsi="Times New Roman" w:eastAsia="Times New Roman" w:cs="Times New Roman"/>
      <w:b/>
      <w:bCs/>
      <w:sz w:val="24"/>
      <w:szCs w:val="27"/>
      <w:lang w:eastAsia="en-IE"/>
    </w:rPr>
  </w:style>
  <w:style w:type="paragraph" w:styleId="Heading4">
    <w:name w:val="heading 4"/>
    <w:basedOn w:val="Normal"/>
    <w:next w:val="Normal"/>
    <w:link w:val="Heading4Char"/>
    <w:uiPriority w:val="9"/>
    <w:semiHidden/>
    <w:unhideWhenUsed/>
    <w:qFormat/>
    <w:rsid w:val="00BA075B"/>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184AC1"/>
    <w:rPr>
      <w:rFonts w:ascii="Times New Roman" w:hAnsi="Times New Roman" w:eastAsia="Times New Roman" w:cs="Times New Roman"/>
      <w:b/>
      <w:bCs/>
      <w:sz w:val="24"/>
      <w:szCs w:val="27"/>
      <w:lang w:eastAsia="en-IE"/>
    </w:rPr>
  </w:style>
  <w:style w:type="paragraph" w:styleId="NormalWeb">
    <w:name w:val="Normal (Web)"/>
    <w:basedOn w:val="Normal"/>
    <w:link w:val="NormalWebChar"/>
    <w:uiPriority w:val="99"/>
    <w:unhideWhenUsed/>
    <w:rsid w:val="0070476C"/>
    <w:pPr>
      <w:spacing w:before="100" w:beforeAutospacing="1" w:after="100" w:afterAutospacing="1" w:line="240" w:lineRule="auto"/>
    </w:pPr>
    <w:rPr>
      <w:rFonts w:ascii="Times New Roman" w:hAnsi="Times New Roman" w:eastAsia="Times New Roman" w:cs="Times New Roman"/>
      <w:sz w:val="24"/>
      <w:szCs w:val="24"/>
      <w:lang w:eastAsia="en-IE"/>
    </w:rPr>
  </w:style>
  <w:style w:type="character" w:styleId="Heading2Char" w:customStyle="1">
    <w:name w:val="Heading 2 Char"/>
    <w:basedOn w:val="DefaultParagraphFont"/>
    <w:link w:val="Heading2"/>
    <w:uiPriority w:val="9"/>
    <w:rsid w:val="00184AC1"/>
    <w:rPr>
      <w:rFonts w:ascii="Times New Roman" w:hAnsi="Times New Roman" w:eastAsiaTheme="majorEastAsia" w:cstheme="majorBidi"/>
      <w:b/>
      <w:color w:val="2F5496" w:themeColor="accent1" w:themeShade="BF"/>
      <w:sz w:val="26"/>
      <w:szCs w:val="26"/>
    </w:rPr>
  </w:style>
  <w:style w:type="character" w:styleId="Heading1Char" w:customStyle="1">
    <w:name w:val="Heading 1 Char"/>
    <w:basedOn w:val="DefaultParagraphFont"/>
    <w:link w:val="Heading1"/>
    <w:uiPriority w:val="9"/>
    <w:rsid w:val="003215E9"/>
    <w:rPr>
      <w:rFonts w:ascii="Times New Roman" w:hAnsi="Times New Roman" w:cs="Times New Roman" w:eastAsiaTheme="majorEastAsia"/>
      <w:b/>
      <w:sz w:val="32"/>
      <w:szCs w:val="32"/>
    </w:rPr>
  </w:style>
  <w:style w:type="character" w:styleId="Heading4Char" w:customStyle="1">
    <w:name w:val="Heading 4 Char"/>
    <w:basedOn w:val="DefaultParagraphFont"/>
    <w:link w:val="Heading4"/>
    <w:uiPriority w:val="9"/>
    <w:semiHidden/>
    <w:rsid w:val="00BA075B"/>
    <w:rPr>
      <w:rFonts w:asciiTheme="majorHAnsi" w:hAnsiTheme="majorHAnsi" w:eastAsiaTheme="majorEastAsia" w:cstheme="majorBidi"/>
      <w:i/>
      <w:iCs/>
      <w:color w:val="2F5496" w:themeColor="accent1" w:themeShade="BF"/>
    </w:rPr>
  </w:style>
  <w:style w:type="character" w:styleId="Strong">
    <w:name w:val="Strong"/>
    <w:basedOn w:val="DefaultParagraphFont"/>
    <w:uiPriority w:val="22"/>
    <w:rsid w:val="00BA075B"/>
    <w:rPr>
      <w:b/>
      <w:bCs/>
    </w:rPr>
  </w:style>
  <w:style w:type="character" w:styleId="Emphasis">
    <w:name w:val="Emphasis"/>
    <w:basedOn w:val="DefaultParagraphFont"/>
    <w:uiPriority w:val="20"/>
    <w:qFormat/>
    <w:rsid w:val="00CE0948"/>
    <w:rPr>
      <w:i/>
      <w:iCs/>
    </w:rPr>
  </w:style>
  <w:style w:type="character" w:styleId="SubtleEmphasis">
    <w:name w:val="Subtle Emphasis"/>
    <w:basedOn w:val="DefaultParagraphFont"/>
    <w:uiPriority w:val="19"/>
    <w:qFormat/>
    <w:rsid w:val="00CE0948"/>
    <w:rPr>
      <w:i/>
      <w:iCs/>
      <w:color w:val="404040" w:themeColor="text1" w:themeTint="BF"/>
    </w:rPr>
  </w:style>
  <w:style w:type="paragraph" w:styleId="Subtitle">
    <w:name w:val="Subtitle"/>
    <w:basedOn w:val="Normal"/>
    <w:next w:val="Normal"/>
    <w:link w:val="SubtitleChar"/>
    <w:uiPriority w:val="11"/>
    <w:qFormat/>
    <w:rsid w:val="00CE0948"/>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CE0948"/>
    <w:rPr>
      <w:rFonts w:eastAsiaTheme="minorEastAsia"/>
      <w:color w:val="5A5A5A" w:themeColor="text1" w:themeTint="A5"/>
      <w:spacing w:val="15"/>
    </w:rPr>
  </w:style>
  <w:style w:type="paragraph" w:styleId="H1" w:customStyle="1">
    <w:name w:val="H1"/>
    <w:basedOn w:val="NormalWeb"/>
    <w:link w:val="H1Char"/>
    <w:autoRedefine/>
    <w:rsid w:val="00CE0948"/>
    <w:rPr>
      <w:b/>
    </w:rPr>
  </w:style>
  <w:style w:type="character" w:styleId="HTMLCode">
    <w:name w:val="HTML Code"/>
    <w:basedOn w:val="DefaultParagraphFont"/>
    <w:uiPriority w:val="99"/>
    <w:semiHidden/>
    <w:unhideWhenUsed/>
    <w:rsid w:val="00184AC1"/>
    <w:rPr>
      <w:rFonts w:ascii="Courier New" w:hAnsi="Courier New" w:eastAsia="Times New Roman" w:cs="Courier New"/>
      <w:sz w:val="20"/>
      <w:szCs w:val="20"/>
    </w:rPr>
  </w:style>
  <w:style w:type="character" w:styleId="NormalWebChar" w:customStyle="1">
    <w:name w:val="Normal (Web) Char"/>
    <w:basedOn w:val="DefaultParagraphFont"/>
    <w:link w:val="NormalWeb"/>
    <w:uiPriority w:val="99"/>
    <w:rsid w:val="00CE0948"/>
    <w:rPr>
      <w:rFonts w:ascii="Times New Roman" w:hAnsi="Times New Roman" w:eastAsia="Times New Roman" w:cs="Times New Roman"/>
      <w:sz w:val="24"/>
      <w:szCs w:val="24"/>
      <w:lang w:eastAsia="en-IE"/>
    </w:rPr>
  </w:style>
  <w:style w:type="character" w:styleId="H1Char" w:customStyle="1">
    <w:name w:val="H1 Char"/>
    <w:basedOn w:val="NormalWebChar"/>
    <w:link w:val="H1"/>
    <w:rsid w:val="00CE0948"/>
    <w:rPr>
      <w:rFonts w:ascii="Times New Roman" w:hAnsi="Times New Roman" w:eastAsia="Times New Roman" w:cs="Times New Roman"/>
      <w:b/>
      <w:sz w:val="24"/>
      <w:szCs w:val="24"/>
      <w:lang w:eastAsia="en-IE"/>
    </w:rPr>
  </w:style>
  <w:style w:type="paragraph" w:styleId="TOCHeading">
    <w:name w:val="TOC Heading"/>
    <w:basedOn w:val="Heading1"/>
    <w:next w:val="Normal"/>
    <w:uiPriority w:val="39"/>
    <w:unhideWhenUsed/>
    <w:qFormat/>
    <w:rsid w:val="009C4F19"/>
    <w:pPr>
      <w:spacing w:line="259" w:lineRule="auto"/>
      <w:outlineLvl w:val="9"/>
    </w:pPr>
    <w:rPr>
      <w:rFonts w:asciiTheme="majorHAnsi" w:hAnsiTheme="majorHAnsi" w:cstheme="majorBidi"/>
      <w:b w:val="0"/>
      <w:color w:val="2F5496" w:themeColor="accent1" w:themeShade="BF"/>
      <w:lang w:val="en-US"/>
    </w:rPr>
  </w:style>
  <w:style w:type="paragraph" w:styleId="TOC2">
    <w:name w:val="toc 2"/>
    <w:basedOn w:val="Normal"/>
    <w:next w:val="Normal"/>
    <w:autoRedefine/>
    <w:uiPriority w:val="39"/>
    <w:unhideWhenUsed/>
    <w:rsid w:val="009C4F19"/>
    <w:pPr>
      <w:spacing w:after="100"/>
      <w:ind w:left="220"/>
    </w:pPr>
    <w:rPr>
      <w:rFonts w:cs="Times New Roman" w:eastAsiaTheme="minorEastAsia"/>
      <w:lang w:val="en-US"/>
    </w:rPr>
  </w:style>
  <w:style w:type="paragraph" w:styleId="TOC1">
    <w:name w:val="toc 1"/>
    <w:basedOn w:val="Normal"/>
    <w:next w:val="Normal"/>
    <w:autoRedefine/>
    <w:uiPriority w:val="39"/>
    <w:unhideWhenUsed/>
    <w:rsid w:val="009C4F19"/>
    <w:pPr>
      <w:spacing w:after="100"/>
    </w:pPr>
    <w:rPr>
      <w:rFonts w:cs="Times New Roman" w:eastAsiaTheme="minorEastAsia"/>
      <w:lang w:val="en-US"/>
    </w:rPr>
  </w:style>
  <w:style w:type="paragraph" w:styleId="TOC3">
    <w:name w:val="toc 3"/>
    <w:basedOn w:val="Normal"/>
    <w:next w:val="Normal"/>
    <w:autoRedefine/>
    <w:uiPriority w:val="39"/>
    <w:unhideWhenUsed/>
    <w:rsid w:val="009C4F19"/>
    <w:pPr>
      <w:spacing w:after="100"/>
      <w:ind w:left="440"/>
    </w:pPr>
    <w:rPr>
      <w:rFonts w:cs="Times New Roman" w:eastAsiaTheme="minorEastAsia"/>
      <w:lang w:val="en-US"/>
    </w:rPr>
  </w:style>
  <w:style w:type="character" w:styleId="Hyperlink">
    <w:name w:val="Hyperlink"/>
    <w:basedOn w:val="DefaultParagraphFont"/>
    <w:uiPriority w:val="99"/>
    <w:unhideWhenUsed/>
    <w:rsid w:val="009C4F19"/>
    <w:rPr>
      <w:color w:val="0563C1" w:themeColor="hyperlink"/>
      <w:u w:val="single"/>
    </w:rPr>
  </w:style>
  <w:style w:type="paragraph" w:styleId="ListParagraph">
    <w:uiPriority w:val="34"/>
    <w:name w:val="List Paragraph"/>
    <w:basedOn w:val="Normal"/>
    <w:qFormat/>
    <w:rsid w:val="14D9813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1222">
      <w:bodyDiv w:val="1"/>
      <w:marLeft w:val="0"/>
      <w:marRight w:val="0"/>
      <w:marTop w:val="0"/>
      <w:marBottom w:val="0"/>
      <w:divBdr>
        <w:top w:val="none" w:sz="0" w:space="0" w:color="auto"/>
        <w:left w:val="none" w:sz="0" w:space="0" w:color="auto"/>
        <w:bottom w:val="none" w:sz="0" w:space="0" w:color="auto"/>
        <w:right w:val="none" w:sz="0" w:space="0" w:color="auto"/>
      </w:divBdr>
    </w:div>
    <w:div w:id="327680132">
      <w:bodyDiv w:val="1"/>
      <w:marLeft w:val="0"/>
      <w:marRight w:val="0"/>
      <w:marTop w:val="0"/>
      <w:marBottom w:val="0"/>
      <w:divBdr>
        <w:top w:val="none" w:sz="0" w:space="0" w:color="auto"/>
        <w:left w:val="none" w:sz="0" w:space="0" w:color="auto"/>
        <w:bottom w:val="none" w:sz="0" w:space="0" w:color="auto"/>
        <w:right w:val="none" w:sz="0" w:space="0" w:color="auto"/>
      </w:divBdr>
    </w:div>
    <w:div w:id="398940454">
      <w:bodyDiv w:val="1"/>
      <w:marLeft w:val="0"/>
      <w:marRight w:val="0"/>
      <w:marTop w:val="0"/>
      <w:marBottom w:val="0"/>
      <w:divBdr>
        <w:top w:val="none" w:sz="0" w:space="0" w:color="auto"/>
        <w:left w:val="none" w:sz="0" w:space="0" w:color="auto"/>
        <w:bottom w:val="none" w:sz="0" w:space="0" w:color="auto"/>
        <w:right w:val="none" w:sz="0" w:space="0" w:color="auto"/>
      </w:divBdr>
    </w:div>
    <w:div w:id="431976850">
      <w:bodyDiv w:val="1"/>
      <w:marLeft w:val="0"/>
      <w:marRight w:val="0"/>
      <w:marTop w:val="0"/>
      <w:marBottom w:val="0"/>
      <w:divBdr>
        <w:top w:val="none" w:sz="0" w:space="0" w:color="auto"/>
        <w:left w:val="none" w:sz="0" w:space="0" w:color="auto"/>
        <w:bottom w:val="none" w:sz="0" w:space="0" w:color="auto"/>
        <w:right w:val="none" w:sz="0" w:space="0" w:color="auto"/>
      </w:divBdr>
    </w:div>
    <w:div w:id="450511059">
      <w:bodyDiv w:val="1"/>
      <w:marLeft w:val="0"/>
      <w:marRight w:val="0"/>
      <w:marTop w:val="0"/>
      <w:marBottom w:val="0"/>
      <w:divBdr>
        <w:top w:val="none" w:sz="0" w:space="0" w:color="auto"/>
        <w:left w:val="none" w:sz="0" w:space="0" w:color="auto"/>
        <w:bottom w:val="none" w:sz="0" w:space="0" w:color="auto"/>
        <w:right w:val="none" w:sz="0" w:space="0" w:color="auto"/>
      </w:divBdr>
    </w:div>
    <w:div w:id="459735915">
      <w:bodyDiv w:val="1"/>
      <w:marLeft w:val="0"/>
      <w:marRight w:val="0"/>
      <w:marTop w:val="0"/>
      <w:marBottom w:val="0"/>
      <w:divBdr>
        <w:top w:val="none" w:sz="0" w:space="0" w:color="auto"/>
        <w:left w:val="none" w:sz="0" w:space="0" w:color="auto"/>
        <w:bottom w:val="none" w:sz="0" w:space="0" w:color="auto"/>
        <w:right w:val="none" w:sz="0" w:space="0" w:color="auto"/>
      </w:divBdr>
    </w:div>
    <w:div w:id="510990777">
      <w:bodyDiv w:val="1"/>
      <w:marLeft w:val="0"/>
      <w:marRight w:val="0"/>
      <w:marTop w:val="0"/>
      <w:marBottom w:val="0"/>
      <w:divBdr>
        <w:top w:val="none" w:sz="0" w:space="0" w:color="auto"/>
        <w:left w:val="none" w:sz="0" w:space="0" w:color="auto"/>
        <w:bottom w:val="none" w:sz="0" w:space="0" w:color="auto"/>
        <w:right w:val="none" w:sz="0" w:space="0" w:color="auto"/>
      </w:divBdr>
    </w:div>
    <w:div w:id="697850182">
      <w:bodyDiv w:val="1"/>
      <w:marLeft w:val="0"/>
      <w:marRight w:val="0"/>
      <w:marTop w:val="0"/>
      <w:marBottom w:val="0"/>
      <w:divBdr>
        <w:top w:val="none" w:sz="0" w:space="0" w:color="auto"/>
        <w:left w:val="none" w:sz="0" w:space="0" w:color="auto"/>
        <w:bottom w:val="none" w:sz="0" w:space="0" w:color="auto"/>
        <w:right w:val="none" w:sz="0" w:space="0" w:color="auto"/>
      </w:divBdr>
    </w:div>
    <w:div w:id="756825412">
      <w:bodyDiv w:val="1"/>
      <w:marLeft w:val="0"/>
      <w:marRight w:val="0"/>
      <w:marTop w:val="0"/>
      <w:marBottom w:val="0"/>
      <w:divBdr>
        <w:top w:val="none" w:sz="0" w:space="0" w:color="auto"/>
        <w:left w:val="none" w:sz="0" w:space="0" w:color="auto"/>
        <w:bottom w:val="none" w:sz="0" w:space="0" w:color="auto"/>
        <w:right w:val="none" w:sz="0" w:space="0" w:color="auto"/>
      </w:divBdr>
    </w:div>
    <w:div w:id="977564229">
      <w:bodyDiv w:val="1"/>
      <w:marLeft w:val="0"/>
      <w:marRight w:val="0"/>
      <w:marTop w:val="0"/>
      <w:marBottom w:val="0"/>
      <w:divBdr>
        <w:top w:val="none" w:sz="0" w:space="0" w:color="auto"/>
        <w:left w:val="none" w:sz="0" w:space="0" w:color="auto"/>
        <w:bottom w:val="none" w:sz="0" w:space="0" w:color="auto"/>
        <w:right w:val="none" w:sz="0" w:space="0" w:color="auto"/>
      </w:divBdr>
      <w:divsChild>
        <w:div w:id="408114677">
          <w:marLeft w:val="0"/>
          <w:marRight w:val="0"/>
          <w:marTop w:val="0"/>
          <w:marBottom w:val="0"/>
          <w:divBdr>
            <w:top w:val="none" w:sz="0" w:space="0" w:color="auto"/>
            <w:left w:val="none" w:sz="0" w:space="0" w:color="auto"/>
            <w:bottom w:val="none" w:sz="0" w:space="0" w:color="auto"/>
            <w:right w:val="none" w:sz="0" w:space="0" w:color="auto"/>
          </w:divBdr>
          <w:divsChild>
            <w:div w:id="3567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855">
      <w:bodyDiv w:val="1"/>
      <w:marLeft w:val="0"/>
      <w:marRight w:val="0"/>
      <w:marTop w:val="0"/>
      <w:marBottom w:val="0"/>
      <w:divBdr>
        <w:top w:val="none" w:sz="0" w:space="0" w:color="auto"/>
        <w:left w:val="none" w:sz="0" w:space="0" w:color="auto"/>
        <w:bottom w:val="none" w:sz="0" w:space="0" w:color="auto"/>
        <w:right w:val="none" w:sz="0" w:space="0" w:color="auto"/>
      </w:divBdr>
      <w:divsChild>
        <w:div w:id="1959529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92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366758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880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267168">
      <w:bodyDiv w:val="1"/>
      <w:marLeft w:val="0"/>
      <w:marRight w:val="0"/>
      <w:marTop w:val="0"/>
      <w:marBottom w:val="0"/>
      <w:divBdr>
        <w:top w:val="none" w:sz="0" w:space="0" w:color="auto"/>
        <w:left w:val="none" w:sz="0" w:space="0" w:color="auto"/>
        <w:bottom w:val="none" w:sz="0" w:space="0" w:color="auto"/>
        <w:right w:val="none" w:sz="0" w:space="0" w:color="auto"/>
      </w:divBdr>
    </w:div>
    <w:div w:id="1326011787">
      <w:bodyDiv w:val="1"/>
      <w:marLeft w:val="0"/>
      <w:marRight w:val="0"/>
      <w:marTop w:val="0"/>
      <w:marBottom w:val="0"/>
      <w:divBdr>
        <w:top w:val="none" w:sz="0" w:space="0" w:color="auto"/>
        <w:left w:val="none" w:sz="0" w:space="0" w:color="auto"/>
        <w:bottom w:val="none" w:sz="0" w:space="0" w:color="auto"/>
        <w:right w:val="none" w:sz="0" w:space="0" w:color="auto"/>
      </w:divBdr>
    </w:div>
    <w:div w:id="1351032230">
      <w:bodyDiv w:val="1"/>
      <w:marLeft w:val="0"/>
      <w:marRight w:val="0"/>
      <w:marTop w:val="0"/>
      <w:marBottom w:val="0"/>
      <w:divBdr>
        <w:top w:val="none" w:sz="0" w:space="0" w:color="auto"/>
        <w:left w:val="none" w:sz="0" w:space="0" w:color="auto"/>
        <w:bottom w:val="none" w:sz="0" w:space="0" w:color="auto"/>
        <w:right w:val="none" w:sz="0" w:space="0" w:color="auto"/>
      </w:divBdr>
    </w:div>
    <w:div w:id="1457485177">
      <w:bodyDiv w:val="1"/>
      <w:marLeft w:val="0"/>
      <w:marRight w:val="0"/>
      <w:marTop w:val="0"/>
      <w:marBottom w:val="0"/>
      <w:divBdr>
        <w:top w:val="none" w:sz="0" w:space="0" w:color="auto"/>
        <w:left w:val="none" w:sz="0" w:space="0" w:color="auto"/>
        <w:bottom w:val="none" w:sz="0" w:space="0" w:color="auto"/>
        <w:right w:val="none" w:sz="0" w:space="0" w:color="auto"/>
      </w:divBdr>
    </w:div>
    <w:div w:id="1533155351">
      <w:bodyDiv w:val="1"/>
      <w:marLeft w:val="0"/>
      <w:marRight w:val="0"/>
      <w:marTop w:val="0"/>
      <w:marBottom w:val="0"/>
      <w:divBdr>
        <w:top w:val="none" w:sz="0" w:space="0" w:color="auto"/>
        <w:left w:val="none" w:sz="0" w:space="0" w:color="auto"/>
        <w:bottom w:val="none" w:sz="0" w:space="0" w:color="auto"/>
        <w:right w:val="none" w:sz="0" w:space="0" w:color="auto"/>
      </w:divBdr>
    </w:div>
    <w:div w:id="1646734365">
      <w:bodyDiv w:val="1"/>
      <w:marLeft w:val="0"/>
      <w:marRight w:val="0"/>
      <w:marTop w:val="0"/>
      <w:marBottom w:val="0"/>
      <w:divBdr>
        <w:top w:val="none" w:sz="0" w:space="0" w:color="auto"/>
        <w:left w:val="none" w:sz="0" w:space="0" w:color="auto"/>
        <w:bottom w:val="none" w:sz="0" w:space="0" w:color="auto"/>
        <w:right w:val="none" w:sz="0" w:space="0" w:color="auto"/>
      </w:divBdr>
    </w:div>
    <w:div w:id="198673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doi.org/10.1108/JFRC-06-2022-0078" TargetMode="External" Id="R4f04825eb54c41b0" /><Relationship Type="http://schemas.openxmlformats.org/officeDocument/2006/relationships/hyperlink" Target="https://www.centralbank.ie/regulation/digital-operational-resilience-act-dora" TargetMode="External" Id="Rd17cfb54324943db" /><Relationship Type="http://schemas.openxmlformats.org/officeDocument/2006/relationships/hyperlink" Target="https://www.centralbank.ie/financial-system/financial-stability" TargetMode="External" Id="Rd1867dc6f25b4a50" /><Relationship Type="http://schemas.openxmlformats.org/officeDocument/2006/relationships/hyperlink" Target="https://www.cisa.gov/news-events/cybersecurity-advisories/aa23-158a" TargetMode="External" Id="R75946796a3e54791" /><Relationship Type="http://schemas.openxmlformats.org/officeDocument/2006/relationships/hyperlink" Target="https://www.enisa.europa.eu/publications/enisa-threat-landscape-2023" TargetMode="External" Id="Rd9c5ac39b1474efd" /><Relationship Type="http://schemas.openxmlformats.org/officeDocument/2006/relationships/hyperlink" Target="https://www.eba.europa.eu/sites/default/files/2024-01/JC2023-85-Final-report-on-draft-ITS-on-Register-of-Information.pdf" TargetMode="External" Id="Re096717df1d442d3" /><Relationship Type="http://schemas.openxmlformats.org/officeDocument/2006/relationships/hyperlink" Target="https://www.eba.europa.eu/activities/direct-supervision-and-oversight/digital-operational-resilience-act" TargetMode="External" Id="R73f66a978eb7425a" /><Relationship Type="http://schemas.openxmlformats.org/officeDocument/2006/relationships/hyperlink" Target="https://eur-lex.europa.eu/legal-content/EN/TXT/?uri=CELEX%3A32022L2555" TargetMode="External" Id="Rccb2c16a89f14221" /><Relationship Type="http://schemas.openxmlformats.org/officeDocument/2006/relationships/hyperlink" Target="https://eur-lex.europa.eu/legal-content/EN/TXT/?uri=CELEX%3A32022R2554" TargetMode="External" Id="R17c4f0cc16e54b5a" /><Relationship Type="http://schemas.openxmlformats.org/officeDocument/2006/relationships/hyperlink" Target="https://www.esma.europa.eu/sites/default/files/2024-12/ESA_2024_35_DORA_DryRun_exercise_summary_report.pdf" TargetMode="External" Id="R93715b46828447de" /><Relationship Type="http://schemas.openxmlformats.org/officeDocument/2006/relationships/hyperlink" Target="https://www.wired.com/story/notpetya-cyberattack-ukraine-russia-code-crashed-the-world" TargetMode="External" Id="R60dcbe2297cb4590" /><Relationship Type="http://schemas.openxmlformats.org/officeDocument/2006/relationships/hyperlink" Target="https://doi.org/10.2307/25148625" TargetMode="External" Id="R95b35183576a4b2d" /><Relationship Type="http://schemas.openxmlformats.org/officeDocument/2006/relationships/hyperlink" Target="https://doi.org/10.2753/MIS0742-1222240302" TargetMode="External" Id="Rd2089c0437304b1b" /><Relationship Type="http://schemas.openxmlformats.org/officeDocument/2006/relationships/image" Target="/media/image.png" Id="rId12482218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C8279-6A57-41AE-AF78-C30477FE025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Raouf Amir</dc:creator>
  <keywords/>
  <dc:description/>
  <lastModifiedBy>Raouf Amir Boussouf</lastModifiedBy>
  <revision>9</revision>
  <dcterms:created xsi:type="dcterms:W3CDTF">2026-03-12T15:42:00.0000000Z</dcterms:created>
  <dcterms:modified xsi:type="dcterms:W3CDTF">2026-04-21T16:51:24.6006358Z</dcterms:modified>
</coreProperties>
</file>