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0613030" wp14:paraId="55D75BAC" wp14:textId="2538D91B">
      <w:pPr>
        <w:spacing w:before="0" w:beforeAutospacing="off" w:after="0" w:afterAutospacing="off"/>
      </w:pPr>
    </w:p>
    <w:p xmlns:wp14="http://schemas.microsoft.com/office/word/2010/wordml" w:rsidP="550B8A88" wp14:paraId="7C1F9C22" wp14:textId="09F20590">
      <w:pPr>
        <w:pStyle w:val="Heading1"/>
        <w:spacing w:before="322" w:beforeAutospacing="off" w:after="322" w:afterAutospacing="off"/>
      </w:pPr>
      <w:r w:rsidRPr="550B8A88" w:rsidR="10D9FB72">
        <w:rPr>
          <w:rFonts w:ascii="Aptos" w:hAnsi="Aptos" w:eastAsia="Aptos" w:cs="Aptos"/>
          <w:b w:val="1"/>
          <w:bCs w:val="1"/>
          <w:noProof w:val="0"/>
          <w:sz w:val="48"/>
          <w:szCs w:val="48"/>
          <w:lang w:val="en-US"/>
        </w:rPr>
        <w:t>CHAPTER 2: LITERATURE REVIEW</w:t>
      </w:r>
    </w:p>
    <w:p xmlns:wp14="http://schemas.microsoft.com/office/word/2010/wordml" w:rsidP="550B8A88" wp14:paraId="5EAAA8B7" wp14:textId="78181E57">
      <w:pPr>
        <w:spacing w:before="240" w:beforeAutospacing="off" w:after="240" w:afterAutospacing="off"/>
      </w:pPr>
      <w:r w:rsidRPr="550B8A88" w:rsidR="10D9FB72">
        <w:rPr>
          <w:rFonts w:ascii="Aptos" w:hAnsi="Aptos" w:eastAsia="Aptos" w:cs="Aptos"/>
          <w:b w:val="1"/>
          <w:bCs w:val="1"/>
          <w:noProof w:val="0"/>
          <w:sz w:val="24"/>
          <w:szCs w:val="24"/>
          <w:lang w:val="en-US"/>
        </w:rPr>
        <w:t>Chapter Overview</w:t>
      </w:r>
    </w:p>
    <w:p xmlns:wp14="http://schemas.microsoft.com/office/word/2010/wordml" w:rsidP="550B8A88" wp14:paraId="34C9C96B" wp14:textId="0BD90866">
      <w:pPr>
        <w:spacing w:before="240" w:beforeAutospacing="off" w:after="240" w:afterAutospacing="off"/>
      </w:pPr>
      <w:r w:rsidRPr="550B8A88" w:rsidR="10D9FB72">
        <w:rPr>
          <w:rFonts w:ascii="Aptos" w:hAnsi="Aptos" w:eastAsia="Aptos" w:cs="Aptos"/>
          <w:noProof w:val="0"/>
          <w:sz w:val="24"/>
          <w:szCs w:val="24"/>
          <w:lang w:val="en-US"/>
        </w:rPr>
        <w:t>This chapter reviews the theoretical, regulatory, and empirical foundations underpinning the design of the DORA SaaS platform. It begins by tracing the evolution of EU financial sector supervision towards the Digital Operational Resilience Act (DORA) and situating the Register of Information (RoI) within its broader regulatory architecture. It then examines the academic and practitioner literature on ICT third-party risk management and the structural challenge of maintaining complete, machine-verifiable registers of ICT dependencies. The third section surveys the RegTech field, with particular attention to logic-based and declarative compliance approaches that inform the validation engine design. The fourth section draws on software architecture theory to identify quality attributes — auditability, traceability, correctness, and maintainability — that are treated as first-class design constraints throughout the dissertation. The fifth section addresses multi-tenant SaaS architecture in financial services, exploring the trade-offs between tenant isolation strength and operational proportionality. The chapter concludes with a structured gap analysis that identifies four convergent shortfalls in existing tools and academic artefacts, each of which the DORA SaaS platform is designed to address. Together, these sections establish the theoretical and empirical basis for the research questions, artefact requirements, and design choices presented in Chapters 3, 4, and 5.</w:t>
      </w:r>
    </w:p>
    <w:p xmlns:wp14="http://schemas.microsoft.com/office/word/2010/wordml" w:rsidP="10613030" wp14:paraId="115D1E04" wp14:textId="11E06E29">
      <w:pPr>
        <w:spacing w:before="0" w:beforeAutospacing="off" w:after="0" w:afterAutospacing="off"/>
      </w:pPr>
    </w:p>
    <w:p xmlns:wp14="http://schemas.microsoft.com/office/word/2010/wordml" w:rsidP="550B8A88" wp14:paraId="7D250740" wp14:textId="793A910F">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2.1 Regulatory Context: DORA and EU Financial Supervision</w:t>
      </w:r>
    </w:p>
    <w:p xmlns:wp14="http://schemas.microsoft.com/office/word/2010/wordml" w:rsidP="550B8A88" wp14:paraId="5FE8FE28" wp14:textId="3CD05702">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2.1.1 From Fragmented Guidelines to a Harmonised Regulation</w:t>
      </w:r>
    </w:p>
    <w:p xmlns:wp14="http://schemas.microsoft.com/office/word/2010/wordml" w:rsidP="550B8A88" wp14:paraId="48A01180" wp14:textId="19AADE34">
      <w:pPr>
        <w:spacing w:before="240" w:beforeAutospacing="off" w:after="240" w:afterAutospacing="off"/>
      </w:pPr>
      <w:r w:rsidRPr="550B8A88" w:rsidR="10D9FB72">
        <w:rPr>
          <w:rFonts w:ascii="Aptos" w:hAnsi="Aptos" w:eastAsia="Aptos" w:cs="Aptos"/>
          <w:noProof w:val="0"/>
          <w:sz w:val="24"/>
          <w:szCs w:val="24"/>
          <w:lang w:val="en-US"/>
        </w:rPr>
        <w:t>The governance of ICT risk in EU financial services evolved incrementally across more than two decades before achieving harmonised, legally binding form. The Network and Information Security (NIS) Directive of 2016 (Directive EU 2016/1148) established baseline cybersecurity obligations across critical infrastructure sectors, including certain financial market participants, but its scope and implementation were inconsistent across member states and financial subsectors (European Commission, 2016; Mucha et al., 2022). Sector-specific guidelines issued by the European Banking Authority, the European Securities and Markets Authority, and the European Insurance and Occupational Pensions Authority progressively tightened ICT risk expectations: the EBA Guidelines on ICT and Security Risk Management (EBA/GL/2019/04) and the EBA Guidelines on Outsourcing Arrangements (EBA/GL/2019/02) established requirements for outsourcing registers, concentration risk monitoring, and ICT incident reporting for banks and investment firms, but these remained guidelines rather than directly applicable regulations and did not cover all DORA-in-scope entities (European Banking Authority, 2019; European Banking Authority, 2020).</w:t>
      </w:r>
    </w:p>
    <w:p xmlns:wp14="http://schemas.microsoft.com/office/word/2010/wordml" w:rsidP="550B8A88" wp14:paraId="4F2BB264" wp14:textId="519CBB64">
      <w:pPr>
        <w:spacing w:before="240" w:beforeAutospacing="off" w:after="240" w:afterAutospacing="off"/>
      </w:pPr>
      <w:r w:rsidRPr="550B8A88" w:rsidR="10D9FB72">
        <w:rPr>
          <w:rFonts w:ascii="Aptos" w:hAnsi="Aptos" w:eastAsia="Aptos" w:cs="Aptos"/>
          <w:noProof w:val="0"/>
          <w:sz w:val="24"/>
          <w:szCs w:val="24"/>
          <w:lang w:val="en-US"/>
        </w:rPr>
        <w:t>The fragmentation problem was formally identified in the European Commission's Digital Finance Strategy of 2020, which recognised that the absence of a single cross-sector ICT risk framework created regulatory inconsistency, supervisory blind spots, and disproportionate compliance burdens for entities regulated by multiple ESAs (European Commission, 2020). The subsequent impact assessment for DORA found that approximately 22,000 EU financial entities fell under overlapping and sometimes contradictory ICT risk requirements, with smaller entities in particular struggling to interpret obligations that were spread across multiple guideline documents, national implementations, and supervisory Q&amp;A processes (European Commission, 2020; Mucha et al., 2022).</w:t>
      </w:r>
    </w:p>
    <w:p xmlns:wp14="http://schemas.microsoft.com/office/word/2010/wordml" w:rsidP="550B8A88" wp14:paraId="59893751" wp14:textId="727F7428">
      <w:pPr>
        <w:spacing w:before="240" w:beforeAutospacing="off" w:after="240" w:afterAutospacing="off"/>
      </w:pPr>
      <w:r w:rsidRPr="550B8A88" w:rsidR="10D9FB72">
        <w:rPr>
          <w:rFonts w:ascii="Aptos" w:hAnsi="Aptos" w:eastAsia="Aptos" w:cs="Aptos"/>
          <w:noProof w:val="0"/>
          <w:sz w:val="24"/>
          <w:szCs w:val="24"/>
          <w:lang w:val="en-US"/>
        </w:rPr>
        <w:t>The Digital Operational Resilience Act (Regulation EU 2022/2554, hereinafter DORA) addressed this fragmentation by establishing a single, cross-sector, directly applicable regulation governing five pillars: ICT risk management, ICT incident classification and reporting, digital operational resilience testing, ICT third-party risk management, and information sharing (European Commission, 2022). DORA entered into force on 16 January 2023 and became fully applicable on 17 January 2025, giving in-scope entities a two-year implementation window (European Commission, 2022, Art. 64). Its scope covers banks, investment firms, payment institutions, crypto-asset service providers, insurance undertakings, and a range of other financial entities, making it the most expansive EU financial regulation by entity count since MiFID II (European Commission, 2022, Art. 2; Mucha et al., 2022).</w:t>
      </w:r>
    </w:p>
    <w:p xmlns:wp14="http://schemas.microsoft.com/office/word/2010/wordml" w:rsidP="550B8A88" wp14:paraId="6D6643D5" wp14:textId="1D301B9E">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2.1.2 The Register of Information Obligation</w:t>
      </w:r>
    </w:p>
    <w:p xmlns:wp14="http://schemas.microsoft.com/office/word/2010/wordml" w:rsidP="550B8A88" wp14:paraId="1C670B03" wp14:textId="7B7BCD31">
      <w:pPr>
        <w:spacing w:before="240" w:beforeAutospacing="off" w:after="240" w:afterAutospacing="off"/>
      </w:pPr>
      <w:r w:rsidRPr="550B8A88" w:rsidR="10D9FB72">
        <w:rPr>
          <w:rFonts w:ascii="Aptos" w:hAnsi="Aptos" w:eastAsia="Aptos" w:cs="Aptos"/>
          <w:noProof w:val="0"/>
          <w:sz w:val="24"/>
          <w:szCs w:val="24"/>
          <w:lang w:val="en-US"/>
        </w:rPr>
        <w:t>One of DORA's most operationally demanding and analytically novel requirements is the mandatory Register of Information (RoI). Article 28 of DORA requires all in-scope financial entities to maintain a complete and up-to-date register documenting all contractual arrangements with ICT third-party service providers, with a specific reporting obligation where those providers support critical or important functions (European Commission, 2022, Art. 28). Unlike prior outsourcing registers — which were largely narrative, entity-maintained documents — the RoI is machine-verifiable: the ESA Implementing Technical Standards on the Register of Information (EBA/ITS/2023/02) define nine interconnected data templates, standardised code lists, cross-template relationship constraints, and field-level validation rules against which submissions are assessed (European Banking Authority, 2023a).</w:t>
      </w:r>
    </w:p>
    <w:p xmlns:wp14="http://schemas.microsoft.com/office/word/2010/wordml" w:rsidP="550B8A88" wp14:paraId="0F0E7BF5" wp14:textId="0518A6AD">
      <w:pPr>
        <w:spacing w:before="240" w:beforeAutospacing="off" w:after="240" w:afterAutospacing="off"/>
      </w:pPr>
      <w:r w:rsidRPr="550B8A88" w:rsidR="10D9FB72">
        <w:rPr>
          <w:rFonts w:ascii="Aptos" w:hAnsi="Aptos" w:eastAsia="Aptos" w:cs="Aptos"/>
          <w:noProof w:val="0"/>
          <w:sz w:val="24"/>
          <w:szCs w:val="24"/>
          <w:lang w:val="en-US"/>
        </w:rPr>
        <w:t>The nine RoI templates — RT.01 through RT.09 — form a hierarchical data model that encodes the ICT dependency chain of a financial entity from the entity itself (RT.01) through its contractual arrangements (RT.02), ICT third-party providers (RT.03), business functions (RT.04), ICT services (RT.05), service assessments (RT.06), ICT supply chain (RT.07), exit strategies (RT.08), and — for group-level submissions — entity-level service links (RT.09) (European Banking Authority, 2023a). This template structure transforms the RoI from a static outsourcing inventory into a structured relational dataset, where completeness, referential integrity, and field-level conformance can be tested automatically against EBA-defined validation rules (European Supervisory Authorities, 2024). The regulatory ambition is not only to give supervisors visibility over individual entity dependencies but to aggregate data across the financial sector to identify systemic ICT concentration risks that no single entity can observe (European Systemic Risk Board, 2022).</w:t>
      </w:r>
    </w:p>
    <w:p xmlns:wp14="http://schemas.microsoft.com/office/word/2010/wordml" w:rsidP="550B8A88" wp14:paraId="104AEA63" wp14:textId="532A7598">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2.1.3 The ESA 2024 Dry Run and Irish Context</w:t>
      </w:r>
    </w:p>
    <w:p xmlns:wp14="http://schemas.microsoft.com/office/word/2010/wordml" w:rsidP="550B8A88" wp14:paraId="50DC6306" wp14:textId="2E445E8C">
      <w:pPr>
        <w:spacing w:before="240" w:beforeAutospacing="off" w:after="240" w:afterAutospacing="off"/>
      </w:pPr>
      <w:r w:rsidRPr="550B8A88" w:rsidR="10D9FB72">
        <w:rPr>
          <w:rFonts w:ascii="Aptos" w:hAnsi="Aptos" w:eastAsia="Aptos" w:cs="Aptos"/>
          <w:noProof w:val="0"/>
          <w:sz w:val="24"/>
          <w:szCs w:val="24"/>
          <w:lang w:val="en-US"/>
        </w:rPr>
        <w:t>The practical difficulty of the RoI obligation was confirmed empirically by the ESA 2024 Dry Run exercise (ESA 2024/35), in which a sample of EU financial entities submitted RoI data ahead of the January 2025 deadline under a testing regime. The Dry Run found that only 6.5% of participating entities produced submissions that passed all EBA validation checks (European Supervisory Authorities, 2024). Missing mandatory fields accounted for 86% of identified failures, with invalid Legal Entity Identifiers (LEIs), non-conforming DPM code values, and broken cross-template references constituting the bulk of remaining errors. These findings are not incidental: they reflect the structural novelty of the RoI obligation, which requires entities to maintain and report data in a machine-readable format that most had never produced before (European Supervisory Authorities, 2024; Galati et al., 2022).</w:t>
      </w:r>
    </w:p>
    <w:p xmlns:wp14="http://schemas.microsoft.com/office/word/2010/wordml" w:rsidP="550B8A88" wp14:paraId="09FD92D0" wp14:textId="0807F500">
      <w:pPr>
        <w:spacing w:before="240" w:beforeAutospacing="off" w:after="240" w:afterAutospacing="off"/>
      </w:pPr>
      <w:r w:rsidRPr="550B8A88" w:rsidR="10D9FB72">
        <w:rPr>
          <w:rFonts w:ascii="Aptos" w:hAnsi="Aptos" w:eastAsia="Aptos" w:cs="Aptos"/>
          <w:noProof w:val="0"/>
          <w:sz w:val="24"/>
          <w:szCs w:val="24"/>
          <w:lang w:val="en-US"/>
        </w:rPr>
        <w:t>In Ireland, DORA has been transposed into domestic law through the European Union (Digital Operational Resilience) Regulations 2025 (S.I. 20/2025), with the Central Bank of Ireland designated as the competent supervisory authority for most in-scope entities, including credit institutions, investment firms, and payment institutions regulated under the European Union (Payment Services) Regulations 2018 (Minister for Finance, 2025; Central Bank of Ireland, 2024a). The CBI published operational resilience guidance and updated its Cross-Industry Guidance on Operational Resilience in 2024 to align with DORA's requirements, signalling that Irish entities will be assessed against RoI completeness and data quality from 2025 onwards (Central Bank of Ireland, 2024a; Arthur Cox LLP, 2025). This Irish supervisory context is particularly relevant to the present dissertation because the artefact is designed for Irish SME financial entities — a segment for which CBI supervisory expectations apply directly but for which no dedicated, proportionate DORA RoI tooling existed at the time of research (Butler and O'Brien, 2019; Bhurat, 2025).</w:t>
      </w:r>
    </w:p>
    <w:p xmlns:wp14="http://schemas.microsoft.com/office/word/2010/wordml" w:rsidP="550B8A88" wp14:paraId="2DF1E83A" wp14:textId="69020861">
      <w:pPr>
        <w:spacing w:before="240" w:beforeAutospacing="off" w:after="240" w:afterAutospacing="off"/>
      </w:pPr>
      <w:r w:rsidRPr="550B8A88" w:rsidR="10D9FB72">
        <w:rPr>
          <w:rFonts w:ascii="Aptos" w:hAnsi="Aptos" w:eastAsia="Aptos" w:cs="Aptos"/>
          <w:noProof w:val="0"/>
          <w:sz w:val="24"/>
          <w:szCs w:val="24"/>
          <w:lang w:val="en-US"/>
        </w:rPr>
        <w:t>FIGURE 2.1 — Timeline diagram: key milestones in EU financial ICT governance from NIS Directive (2016) through EBA Outsourcing Guidelines (2019), DORA enactment (2022), Irish transposition (S.I. 20/2025), and DORA full application (January 2025), including ESA Dry Run (2024). To be inserted here.</w:t>
      </w:r>
    </w:p>
    <w:p xmlns:wp14="http://schemas.microsoft.com/office/word/2010/wordml" w:rsidP="10613030" wp14:paraId="3E179526" wp14:textId="2E272736">
      <w:pPr>
        <w:spacing w:before="0" w:beforeAutospacing="off" w:after="0" w:afterAutospacing="off"/>
      </w:pPr>
    </w:p>
    <w:p xmlns:wp14="http://schemas.microsoft.com/office/word/2010/wordml" w:rsidP="550B8A88" wp14:paraId="248AA582" wp14:textId="678274AB">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2.2 ICT Third-Party Risk and Registers of Information</w:t>
      </w:r>
    </w:p>
    <w:p xmlns:wp14="http://schemas.microsoft.com/office/word/2010/wordml" w:rsidP="550B8A88" wp14:paraId="5A750E6F" wp14:textId="03DFC4B6">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2.2.1 Systemic Concentration Risk</w:t>
      </w:r>
    </w:p>
    <w:p xmlns:wp14="http://schemas.microsoft.com/office/word/2010/wordml" w:rsidP="550B8A88" wp14:paraId="593DB9E2" wp14:textId="3C83A90D">
      <w:pPr>
        <w:spacing w:before="240" w:beforeAutospacing="off" w:after="240" w:afterAutospacing="off"/>
      </w:pPr>
      <w:r w:rsidRPr="550B8A88" w:rsidR="10D9FB72">
        <w:rPr>
          <w:rFonts w:ascii="Aptos" w:hAnsi="Aptos" w:eastAsia="Aptos" w:cs="Aptos"/>
          <w:noProof w:val="0"/>
          <w:sz w:val="24"/>
          <w:szCs w:val="24"/>
          <w:lang w:val="en-US"/>
        </w:rPr>
        <w:t>The financial sector's increasing reliance on a concentrated group of large ICT service providers — primarily hyperscale cloud platforms and specialised managed service providers — has transformed ICT third-party risk from an individual outsourcing concern into a systemic resilience issue. The European Systemic Risk Board (2022) estimates that fewer than ten ICT providers collectively serve the majority of EU financial institutions across their critical functions, creating correlated exposure that cannot be identified or managed by any individual entity operating in isolation. The SolarWinds supply chain attack of 2020, in which a single compromised software update mechanism propagated to over 18,000 organisations globally, and the MOVEit Transfer vulnerability exploitation of 2023, which affected hundreds of financial and public sector organisations within days, are frequently cited as demonstrations of how a single provider failure can cascade systemically across entire sectors and national economies (CISA, 2023; Boyson, 2014). From a DORA compliance perspective, the RoI is explicitly designed to give supervisors the data needed to identify and act on such concentration risks before failures occur, rather than after the fact (European Commission, 2022, Recital 64; European Systemic Risk Board, 2022).</w:t>
      </w:r>
    </w:p>
    <w:p xmlns:wp14="http://schemas.microsoft.com/office/word/2010/wordml" w:rsidP="550B8A88" wp14:paraId="5C96A5D3" wp14:textId="687FCEBB">
      <w:pPr>
        <w:spacing w:before="240" w:beforeAutospacing="off" w:after="240" w:afterAutospacing="off"/>
      </w:pPr>
      <w:r w:rsidRPr="550B8A88" w:rsidR="10D9FB72">
        <w:rPr>
          <w:rFonts w:ascii="Aptos" w:hAnsi="Aptos" w:eastAsia="Aptos" w:cs="Aptos"/>
          <w:noProof w:val="0"/>
          <w:sz w:val="24"/>
          <w:szCs w:val="24"/>
          <w:lang w:val="en-US"/>
        </w:rPr>
        <w:t>Academic literature on ICT supply chain risk management argues that concentration risk in financial services is qualitatively different from manufacturing supply chain risk because of the speed of propagation, the intangibility of software dependencies, and the difficulty of contractual substitution under time pressure (Boyson, 2014; Colicchia et al., 2019). Colicchia et al. (2019) demonstrate through a systematic literature review that information sharing across supply chain participants reduces both the probability and the impact of ICT disruptions, but that structural barriers — contractual confidentiality, competitive concerns, and data format incompatibility — limit the realisation of these benefits in practice. The RoI obligation can be read as a regulatory response to precisely this barrier: by mandating structured reporting through standardised templates, DORA creates a supervisory data layer that enables concentration risk monitoring without requiring voluntary inter-entity information sharing.</w:t>
      </w:r>
    </w:p>
    <w:p xmlns:wp14="http://schemas.microsoft.com/office/word/2010/wordml" w:rsidP="550B8A88" wp14:paraId="08774063" wp14:textId="04A0D6EF">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2.2.2 Limitations of Prior Register Approaches</w:t>
      </w:r>
    </w:p>
    <w:p xmlns:wp14="http://schemas.microsoft.com/office/word/2010/wordml" w:rsidP="550B8A88" wp14:paraId="4396BF0F" wp14:textId="52A68750">
      <w:pPr>
        <w:spacing w:before="240" w:beforeAutospacing="off" w:after="240" w:afterAutospacing="off"/>
      </w:pPr>
      <w:r w:rsidRPr="550B8A88" w:rsidR="10D9FB72">
        <w:rPr>
          <w:rFonts w:ascii="Aptos" w:hAnsi="Aptos" w:eastAsia="Aptos" w:cs="Aptos"/>
          <w:noProof w:val="0"/>
          <w:sz w:val="24"/>
          <w:szCs w:val="24"/>
          <w:lang w:val="en-US"/>
        </w:rPr>
        <w:t>Prior to DORA, the EBA Guidelines on Outsourcing Arrangements (EBA/GL/2019/02) required banks and investment firms to maintain registers of all outsourcing arrangements, with additional requirements for arrangements supporting critical or important functions (European Banking Authority, 2019). National competent authorities, including the CBI, transposed these guidelines into their supervisory frameworks and began requesting register data from regulated entities from 2020 onwards. However, the academic and practitioner literature consistently identifies three structural limitations in how these registers were maintained in practice.</w:t>
      </w:r>
    </w:p>
    <w:p xmlns:wp14="http://schemas.microsoft.com/office/word/2010/wordml" w:rsidP="550B8A88" wp14:paraId="7E5D9060" wp14:textId="5785379B">
      <w:pPr>
        <w:spacing w:before="240" w:beforeAutospacing="off" w:after="240" w:afterAutospacing="off"/>
      </w:pPr>
      <w:r w:rsidRPr="550B8A88" w:rsidR="10D9FB72">
        <w:rPr>
          <w:rFonts w:ascii="Aptos" w:hAnsi="Aptos" w:eastAsia="Aptos" w:cs="Aptos"/>
          <w:noProof w:val="0"/>
          <w:sz w:val="24"/>
          <w:szCs w:val="24"/>
          <w:lang w:val="en-US"/>
        </w:rPr>
        <w:t>First, outsourcing registers under EBA/GL/2019/02 were not subject to machine-verifiable quality checks — they were assessed narratively by supervisors and through annual management certifications, creating opportunities for incomplete or inconsistent entries that went undetected until formal inspection (Lacity and Willcocks, 2017; Mucha et al., 2022). Second, the guidelines did not mandate supply chain transparency below the first tier of provider: entities were required to record the identity of their direct ICT providers but not the sub-contractors those providers relied upon, creating a visibility gap that DORA explicitly closes through the RoI supply chain templates (RT.07) (European Banking Authority, 2019; Boehm and Cole, 2022). Third, register maintenance in practice tended to be a periodic, documentation-driven activity rather than a continuous data management process — Lacity and Willcocks (2017) characterise this as treating the outsourcing register as a "static document" rather than a "living database", an observation that directly motivates the CRUD-oriented, always-current design approach taken in the DORA SaaS artefact.</w:t>
      </w:r>
    </w:p>
    <w:p xmlns:wp14="http://schemas.microsoft.com/office/word/2010/wordml" w:rsidP="550B8A88" wp14:paraId="4EE03CA4" wp14:textId="53414714">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2.2.3 Structural Complexity of the RoI Data Model</w:t>
      </w:r>
    </w:p>
    <w:p xmlns:wp14="http://schemas.microsoft.com/office/word/2010/wordml" w:rsidP="550B8A88" wp14:paraId="16017191" wp14:textId="4013CF46">
      <w:pPr>
        <w:spacing w:before="240" w:beforeAutospacing="off" w:after="240" w:afterAutospacing="off"/>
      </w:pPr>
      <w:r w:rsidRPr="550B8A88" w:rsidR="10D9FB72">
        <w:rPr>
          <w:rFonts w:ascii="Aptos" w:hAnsi="Aptos" w:eastAsia="Aptos" w:cs="Aptos"/>
          <w:noProof w:val="0"/>
          <w:sz w:val="24"/>
          <w:szCs w:val="24"/>
          <w:lang w:val="en-US"/>
        </w:rPr>
        <w:t>The nine-template RoI structure introduces a level of relational complexity that far exceeds what prior outsourcing registers required. Each of the nine templates is not a standalone form but a node in a directed dependency graph: a financial entity in RT.01 must be linked to contractual arrangements in RT.02, which must in turn be linked to ICT providers in RT.03, business functions in RT.04, and ICT services in RT.05, with supply chain entries in RT.07 linking back to contracts and providers (European Banking Authority, 2023a). Breaking any of these referential links — for example, referencing a contract identifier in RT.05 that does not appear in RT.02 — constitutes a validation failure under the EBA's cross-template integrity rules (European Banking Authority, 2024a; European Supervisory Authorities, 2024).</w:t>
      </w:r>
    </w:p>
    <w:p xmlns:wp14="http://schemas.microsoft.com/office/word/2010/wordml" w:rsidP="550B8A88" wp14:paraId="6C3B952A" wp14:textId="36BA04D3">
      <w:pPr>
        <w:spacing w:before="240" w:beforeAutospacing="off" w:after="240" w:afterAutospacing="off"/>
      </w:pPr>
      <w:r w:rsidRPr="550B8A88" w:rsidR="10D9FB72">
        <w:rPr>
          <w:rFonts w:ascii="Aptos" w:hAnsi="Aptos" w:eastAsia="Aptos" w:cs="Aptos"/>
          <w:noProof w:val="0"/>
          <w:sz w:val="24"/>
          <w:szCs w:val="24"/>
          <w:lang w:val="en-US"/>
        </w:rPr>
        <w:t>This structural complexity creates specific challenges for SME-scale entities that lack dedicated compliance technology teams. Maintaining referential integrity manually across nine interlinked spreadsheet templates — each with dozens of fields, code-list constraints, and conditional validation rules — is error-prone even for technically sophisticated teams, as the Dry Run failure statistics confirm (European Supervisory Authorities, 2024). From a data engineering perspective, the RoI is better understood as a relational database schema than as a document set: it requires normalisation, referential integrity enforcement, and systematic validation, none of which are reliably achievable through manual spreadsheet management (European Banking Authority, 2023a; Fehling et al., 2014). This insight is foundational to the data model design presented in Chapter 4 of this dissertation.</w:t>
      </w:r>
    </w:p>
    <w:p xmlns:wp14="http://schemas.microsoft.com/office/word/2010/wordml" w:rsidP="550B8A88" wp14:paraId="77087B9E" wp14:textId="212C3E72">
      <w:pPr>
        <w:spacing w:before="240" w:beforeAutospacing="off" w:after="240" w:afterAutospacing="off"/>
      </w:pPr>
      <w:r w:rsidRPr="550B8A88" w:rsidR="10D9FB72">
        <w:rPr>
          <w:rFonts w:ascii="Aptos" w:hAnsi="Aptos" w:eastAsia="Aptos" w:cs="Aptos"/>
          <w:noProof w:val="0"/>
          <w:sz w:val="24"/>
          <w:szCs w:val="24"/>
          <w:lang w:val="en-US"/>
        </w:rPr>
        <w:t>TABLE 2.1 — Comparison of pre-DORA outsourcing register requirements (EBA GL/2019/02) against DORA RoI requirements (ITS EBA/ITS/2023/02): scope, machine-verifiability, supply chain depth, code list enforcement, cross-template integrity, and mandatory submission format. To be inserted here.</w:t>
      </w:r>
    </w:p>
    <w:p xmlns:wp14="http://schemas.microsoft.com/office/word/2010/wordml" w:rsidP="10613030" wp14:paraId="72448233" wp14:textId="5AA143F3">
      <w:pPr>
        <w:spacing w:before="0" w:beforeAutospacing="off" w:after="0" w:afterAutospacing="off"/>
      </w:pPr>
    </w:p>
    <w:p xmlns:wp14="http://schemas.microsoft.com/office/word/2010/wordml" w:rsidP="550B8A88" wp14:paraId="0ACFB8C6" wp14:textId="1A437EAF">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2.3 Regulatory Technology (RegTech) and Logic-Based Compliance</w:t>
      </w:r>
    </w:p>
    <w:p xmlns:wp14="http://schemas.microsoft.com/office/word/2010/wordml" w:rsidP="550B8A88" wp14:paraId="62AFB5CC" wp14:textId="7A1A009E">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2.3.1 The RegTech Field</w:t>
      </w:r>
    </w:p>
    <w:p xmlns:wp14="http://schemas.microsoft.com/office/word/2010/wordml" w:rsidP="550B8A88" wp14:paraId="608562E9" wp14:textId="3AFE3E04">
      <w:pPr>
        <w:spacing w:before="240" w:beforeAutospacing="off" w:after="240" w:afterAutospacing="off"/>
      </w:pPr>
      <w:r w:rsidRPr="550B8A88" w:rsidR="10D9FB72">
        <w:rPr>
          <w:rFonts w:ascii="Aptos" w:hAnsi="Aptos" w:eastAsia="Aptos" w:cs="Aptos"/>
          <w:noProof w:val="0"/>
          <w:sz w:val="24"/>
          <w:szCs w:val="24"/>
          <w:lang w:val="en-US"/>
        </w:rPr>
        <w:t>Regulatory Technology, or RegTech, emerged as a distinct field following the post-2008 wave of financial regulation that dramatically increased the compliance burden on financial institutions, particularly in reporting, transaction monitoring, and risk management (Arner et al., 2017). Arner et al. (2017) provide an influential definition of RegTech as the use of new technologies to facilitate the delivery of regulatory requirements, distinguishing it from FinTech (the use of technology to provide financial services) by its focus on regulatory process efficiency rather than service delivery innovation. The RegTech market has grown rapidly: Mucha et al. (2022) estimate that global RegTech investment reached approximately USD 18 billion in 2021, driven by increasing regulatory complexity and the demonstrated inadequacy of manual compliance processes at scale.</w:t>
      </w:r>
    </w:p>
    <w:p xmlns:wp14="http://schemas.microsoft.com/office/word/2010/wordml" w:rsidP="550B8A88" wp14:paraId="7BB4BF38" wp14:textId="257F2830">
      <w:pPr>
        <w:spacing w:before="240" w:beforeAutospacing="off" w:after="240" w:afterAutospacing="off"/>
      </w:pPr>
      <w:r w:rsidRPr="550B8A88" w:rsidR="10D9FB72">
        <w:rPr>
          <w:rFonts w:ascii="Aptos" w:hAnsi="Aptos" w:eastAsia="Aptos" w:cs="Aptos"/>
          <w:noProof w:val="0"/>
          <w:sz w:val="24"/>
          <w:szCs w:val="24"/>
          <w:lang w:val="en-US"/>
        </w:rPr>
        <w:t>In the EU financial sector, the most commercially developed RegTech categories are transaction monitoring for AML/CFT, automated regulatory reporting, trade surveillance, and know-your-customer (KYC) identity verification (Arner et al., 2017; Brennan et al., 2024). DORA RoI compliance is a newer and less commercially developed category, partly because DORA itself was not fully applicable until January 2025. The ESA Dry Run results — with their stark finding that only 6.5% of tested entities met full data quality standards — created urgent commercial demand for DORA-specific tooling that the market had not yet fully satisfied at the time of research (European Supervisory Authorities, 2024; Butler and O'Brien, 2019).</w:t>
      </w:r>
    </w:p>
    <w:p xmlns:wp14="http://schemas.microsoft.com/office/word/2010/wordml" w:rsidP="550B8A88" wp14:paraId="69CD7577" wp14:textId="52A2141D">
      <w:pPr>
        <w:spacing w:before="240" w:beforeAutospacing="off" w:after="240" w:afterAutospacing="off"/>
      </w:pPr>
      <w:r w:rsidRPr="550B8A88" w:rsidR="10D9FB72">
        <w:rPr>
          <w:rFonts w:ascii="Aptos" w:hAnsi="Aptos" w:eastAsia="Aptos" w:cs="Aptos"/>
          <w:noProof w:val="0"/>
          <w:sz w:val="24"/>
          <w:szCs w:val="24"/>
          <w:lang w:val="en-US"/>
        </w:rPr>
        <w:t>Butler and O'Brien (2019) and Bhurat (2025) document the specific context of RegTech adoption among Irish financial entities. Butler and O'Brien (2019) identify five barriers that inhibit smaller regulated entities from adopting RegTech solutions: cost, complexity of implementation, integration with legacy systems, regulatory uncertainty about tool acceptability, and a lack of in-house technical expertise to evaluate and deploy solutions. Bhurat (2025), in a study of Irish SME compliance technology adoption, corroborates these findings and emphasises that opacity — the inability to inspect or understand the compliance logic applied by a tool — is a particular concern for smaller entities, which cannot rely on large internal compliance teams to review and challenge tool outputs. These findings directly motivate two design principles of the present artefact: proportionality (the platform is designed for resource-constrained SME entities) and transparency (all validation rules are inspectable, traceable to regulatory sources, and explained to users).</w:t>
      </w:r>
    </w:p>
    <w:p xmlns:wp14="http://schemas.microsoft.com/office/word/2010/wordml" w:rsidP="550B8A88" wp14:paraId="0F7A3FE5" wp14:textId="6CFB3A02">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2.3.2 Logic-Based and Declarative Compliance Approaches</w:t>
      </w:r>
    </w:p>
    <w:p xmlns:wp14="http://schemas.microsoft.com/office/word/2010/wordml" w:rsidP="550B8A88" wp14:paraId="295BFB8B" wp14:textId="33D00ACB">
      <w:pPr>
        <w:spacing w:before="240" w:beforeAutospacing="off" w:after="240" w:afterAutospacing="off"/>
      </w:pPr>
      <w:r w:rsidRPr="550B8A88" w:rsidR="10D9FB72">
        <w:rPr>
          <w:rFonts w:ascii="Aptos" w:hAnsi="Aptos" w:eastAsia="Aptos" w:cs="Aptos"/>
          <w:noProof w:val="0"/>
          <w:sz w:val="24"/>
          <w:szCs w:val="24"/>
          <w:lang w:val="en-US"/>
        </w:rPr>
        <w:t>Within RegTech, a theoretically significant strand is logic-based compliance — the formal encoding of regulatory rules as executable logic that can be applied automatically to structured data (Governatori et al., 2016; Sadiq et al., 2007). The academic foundations of this approach lie in formal methods and knowledge representation research, where regulatory texts are modelled as sets of deontic obligations (what must be done), prohibitions (what must not be done), and permissions (what may be done) (Palmirani et al., 2018). Governatori et al. (2016) demonstrate that business process compliance can be verified through normative logic annotations that map process activities to regulatory rule conditions expressed in defeasible logic. This approach supports not only detection of non-compliance but explanation of which specific rule was violated and why, a property the authors term compliance explainability.</w:t>
      </w:r>
    </w:p>
    <w:p xmlns:wp14="http://schemas.microsoft.com/office/word/2010/wordml" w:rsidP="550B8A88" wp14:paraId="12227ED1" wp14:textId="660A3CD4">
      <w:pPr>
        <w:spacing w:before="240" w:beforeAutospacing="off" w:after="240" w:afterAutospacing="off"/>
      </w:pPr>
      <w:r w:rsidRPr="550B8A88" w:rsidR="10D9FB72">
        <w:rPr>
          <w:rFonts w:ascii="Aptos" w:hAnsi="Aptos" w:eastAsia="Aptos" w:cs="Aptos"/>
          <w:noProof w:val="0"/>
          <w:sz w:val="24"/>
          <w:szCs w:val="24"/>
          <w:lang w:val="en-US"/>
        </w:rPr>
        <w:t>Sadiq et al. (2007) develop a complementary framework for modelling regulatory control objectives as formal constraints over business process data, showing that a wide range of regulatory requirements can be expressed as structured rules that test whether specific data conditions are satisfied. Their taxonomy of constraint types — including existence constraints (a required field must be present), value constraints (a field must match a permitted code), range constraints (a numeric value must fall within defined bounds), and relational constraints (a foreign key must refer to an existing record) — maps closely to the rule taxonomy defined in the EBA's RoI validation rules specification (European Banking Authority, 2024a) and directly informs the rule type taxonomy implemented in the DORA SaaS validation engine.</w:t>
      </w:r>
    </w:p>
    <w:p xmlns:wp14="http://schemas.microsoft.com/office/word/2010/wordml" w:rsidP="550B8A88" wp14:paraId="13A81BC8" wp14:textId="09BED311">
      <w:pPr>
        <w:spacing w:before="240" w:beforeAutospacing="off" w:after="240" w:afterAutospacing="off"/>
      </w:pPr>
      <w:r w:rsidRPr="550B8A88" w:rsidR="10D9FB72">
        <w:rPr>
          <w:rFonts w:ascii="Aptos" w:hAnsi="Aptos" w:eastAsia="Aptos" w:cs="Aptos"/>
          <w:noProof w:val="0"/>
          <w:sz w:val="24"/>
          <w:szCs w:val="24"/>
          <w:lang w:val="en-US"/>
        </w:rPr>
        <w:t>A critical design distinction in logic-based compliance systems is between embedded procedural logic — rules written directly into application code — and declarative, data-driven rules — rules stored as structured data records and interpreted by a generalised execution engine (Kharbili et al., 2008; Governatori et al., 2016). The procedural approach is simpler to implement initially but couples compliance logic to application code, meaning that every rule change requires a code deployment. The declarative approach separates compliance logic from application code: rules are stored in a database table, the engine interprets them at runtime, and rule changes require only a database update rather than an application deployment (Sadiq et al., 2007; Kharbili et al., 2008). For regulatory compliance systems, where rules change frequently in response to regulatory updates and supervisory guidance, the declarative approach offers substantially greater maintainability, which Fehling et al. (2014) identify as a primary quality attribute of cloud-based regulatory systems.</w:t>
      </w:r>
    </w:p>
    <w:p xmlns:wp14="http://schemas.microsoft.com/office/word/2010/wordml" w:rsidP="550B8A88" wp14:paraId="6166ABFA" wp14:textId="6660CD26">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2.3.3 White-Box and Black-Box Compliance Tools</w:t>
      </w:r>
    </w:p>
    <w:p xmlns:wp14="http://schemas.microsoft.com/office/word/2010/wordml" w:rsidP="550B8A88" wp14:paraId="38134406" wp14:textId="05DE53E7">
      <w:pPr>
        <w:spacing w:before="240" w:beforeAutospacing="off" w:after="240" w:afterAutospacing="off"/>
      </w:pPr>
      <w:r w:rsidRPr="550B8A88" w:rsidR="10D9FB72">
        <w:rPr>
          <w:rFonts w:ascii="Aptos" w:hAnsi="Aptos" w:eastAsia="Aptos" w:cs="Aptos"/>
          <w:noProof w:val="0"/>
          <w:sz w:val="24"/>
          <w:szCs w:val="24"/>
          <w:lang w:val="en-US"/>
        </w:rPr>
        <w:t>The distinction between transparent and opaque compliance tooling is a recurring theme in the RegTech literature. Butler and O'Brien (2019) distinguish between black-box tools — which return aggregate compliance scores or pass/fail indicators without explaining the rules applied — and white-box tools — which expose their rule logic to the user, enabling inspection, challenge, and learning. Black-box tools are common among large commercial GRC platforms, where proprietary rule libraries are treated as competitive assets and are not disclosed to clients. For large financial institutions with dedicated compliance technology teams, black-box tools may be acceptable because internal teams can verify outputs through parallel processes. For smaller entities, black-box opacity creates both a governance risk (if the tool is wrong, the entity cannot detect the error) and a learning deficit (entities cannot improve their data practices if they do not understand what the tool found wrong) (Butler and O'Brien, 2019; Bhurat, 2025).</w:t>
      </w:r>
    </w:p>
    <w:p xmlns:wp14="http://schemas.microsoft.com/office/word/2010/wordml" w:rsidP="550B8A88" wp14:paraId="5D37C0BC" wp14:textId="1936B009">
      <w:pPr>
        <w:spacing w:before="240" w:beforeAutospacing="off" w:after="240" w:afterAutospacing="off"/>
      </w:pPr>
      <w:r w:rsidRPr="550B8A88" w:rsidR="10D9FB72">
        <w:rPr>
          <w:rFonts w:ascii="Aptos" w:hAnsi="Aptos" w:eastAsia="Aptos" w:cs="Aptos"/>
          <w:noProof w:val="0"/>
          <w:sz w:val="24"/>
          <w:szCs w:val="24"/>
          <w:lang w:val="en-US"/>
        </w:rPr>
        <w:t>Palmirani et al. (2018), in the context of LegalRuleML, argue that regulatory explainability — the ability of a compliance tool to explain which rule was violated, why, and what evidence supports the finding — is a necessary property of any compliance tool used in a legally accountable context. This argument is directly applicable to DORA RoI validation: if an Irish SME financial entity submits a RoI to the CBI that is later found to contain errors, the entity's board and compliance function will need to demonstrate that appropriate quality controls were in place. A black-box tool that reported "passed" cannot support this defence; a white-box tool that can produce a complete audit trail of which rules were run, which passed, and which failed can (Palmirani et al., 2018; Governatori et al., 2016). The DORA SaaS platform adopts a white-box design throughout: validation rules are stored as queryable database records, each issue is linked to the specific rule that generated it, and the audit log captures every validation run with its inputs and outputs.</w:t>
      </w:r>
    </w:p>
    <w:p xmlns:wp14="http://schemas.microsoft.com/office/word/2010/wordml" w:rsidP="550B8A88" wp14:paraId="547CA415" wp14:textId="450CA414">
      <w:pPr>
        <w:spacing w:before="240" w:beforeAutospacing="off" w:after="240" w:afterAutospacing="off"/>
      </w:pPr>
      <w:r w:rsidRPr="550B8A88" w:rsidR="10D9FB72">
        <w:rPr>
          <w:rFonts w:ascii="Aptos" w:hAnsi="Aptos" w:eastAsia="Aptos" w:cs="Aptos"/>
          <w:noProof w:val="0"/>
          <w:sz w:val="24"/>
          <w:szCs w:val="24"/>
          <w:lang w:val="en-US"/>
        </w:rPr>
        <w:t>FIGURE 2.2 — Conceptual diagram: black-box compliance tool (data inputs → opaque engine → pass/fail score) versus white-box declarative engine (data inputs → inspectable rule table → traceable issues → remediation guidance → re-validation). To be inserted here.</w:t>
      </w:r>
    </w:p>
    <w:p xmlns:wp14="http://schemas.microsoft.com/office/word/2010/wordml" w:rsidP="10613030" wp14:paraId="716725B7" wp14:textId="08AF6089">
      <w:pPr>
        <w:spacing w:before="0" w:beforeAutospacing="off" w:after="0" w:afterAutospacing="off"/>
      </w:pPr>
    </w:p>
    <w:p xmlns:wp14="http://schemas.microsoft.com/office/word/2010/wordml" w:rsidP="550B8A88" wp14:paraId="168527EF" wp14:textId="718FB214">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2.4 Software Architecture for Regulatory Systems</w:t>
      </w:r>
    </w:p>
    <w:p xmlns:wp14="http://schemas.microsoft.com/office/word/2010/wordml" w:rsidP="550B8A88" wp14:paraId="22779874" wp14:textId="4294E94D">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2.4.1 Quality Attributes in Regulatory Contexts</w:t>
      </w:r>
    </w:p>
    <w:p xmlns:wp14="http://schemas.microsoft.com/office/word/2010/wordml" w:rsidP="550B8A88" wp14:paraId="3CF313AB" wp14:textId="5E8F349F">
      <w:pPr>
        <w:spacing w:before="240" w:beforeAutospacing="off" w:after="240" w:afterAutospacing="off"/>
      </w:pPr>
      <w:r w:rsidRPr="550B8A88" w:rsidR="10D9FB72">
        <w:rPr>
          <w:rFonts w:ascii="Aptos" w:hAnsi="Aptos" w:eastAsia="Aptos" w:cs="Aptos"/>
          <w:noProof w:val="0"/>
          <w:sz w:val="24"/>
          <w:szCs w:val="24"/>
          <w:lang w:val="en-US"/>
        </w:rPr>
        <w:t>Software architecture theory distinguishes between functional requirements — what a system must do — and quality attributes (or non-functional requirements) — how well it must do it (Bass et al., 2021). In regulatory and compliance systems, a specific set of quality attributes assumes priority status that differs from general commercial software. Bass et al. (2021) identify auditability — the ability to trace every system action, data change, and decision to a specific actor, timestamp, and cause — as a critical quality attribute in systems that are subject to legal accountability. Regulatory systems must be auditable not only for internal governance purposes but to satisfy external supervisory expectations: financial regulators in the EU explicitly require that ICT systems maintaining regulatory data support audit trail functionality (European Banking Authority, 2020; ISO, 2022).</w:t>
      </w:r>
    </w:p>
    <w:p xmlns:wp14="http://schemas.microsoft.com/office/word/2010/wordml" w:rsidP="550B8A88" wp14:paraId="5C6DF3B7" wp14:textId="7B5E62FF">
      <w:pPr>
        <w:spacing w:before="240" w:beforeAutospacing="off" w:after="240" w:afterAutospacing="off"/>
      </w:pPr>
      <w:r w:rsidRPr="550B8A88" w:rsidR="10D9FB72">
        <w:rPr>
          <w:rFonts w:ascii="Aptos" w:hAnsi="Aptos" w:eastAsia="Aptos" w:cs="Aptos"/>
          <w:noProof w:val="0"/>
          <w:sz w:val="24"/>
          <w:szCs w:val="24"/>
          <w:lang w:val="en-US"/>
        </w:rPr>
        <w:t>Traceability — the ability to link every data field and data value to the regulatory requirement that mandates it — is a second quality attribute with particular salience in DORA RoI systems. The EBA's RoI templates specify mandatory fields, permitted values, and cross-template relationships that together constitute a formal specification of what the data must contain (European Banking Authority, 2023a). A traceable system makes this mapping explicit: each database field corresponds to a named EBA template column, each validation rule cites the specific EBA rule identifier it implements, and each export column maps deterministically to the EBA-defined output format. Without traceability, the regulatory correspondence of a system's data model is a matter of documentation convention rather than verifiable design (Palmirani et al., 2018; Bass et al., 2021).</w:t>
      </w:r>
    </w:p>
    <w:p xmlns:wp14="http://schemas.microsoft.com/office/word/2010/wordml" w:rsidP="550B8A88" wp14:paraId="24E271DA" wp14:textId="23757282">
      <w:pPr>
        <w:spacing w:before="240" w:beforeAutospacing="off" w:after="240" w:afterAutospacing="off"/>
      </w:pPr>
      <w:r w:rsidRPr="550B8A88" w:rsidR="10D9FB72">
        <w:rPr>
          <w:rFonts w:ascii="Aptos" w:hAnsi="Aptos" w:eastAsia="Aptos" w:cs="Aptos"/>
          <w:noProof w:val="0"/>
          <w:sz w:val="24"/>
          <w:szCs w:val="24"/>
          <w:lang w:val="en-US"/>
        </w:rPr>
        <w:t>Correctness — in the sense of the system enforcing the right constraints on data — is a third quality attribute that is arguably most critical in regulatory systems. A financial entity that submits incorrect data to the CBI under DORA is not merely experiencing a technical failure but a regulatory breach with potential supervisory consequences (European Commission, 2022, Art. 50). This places a higher standard on data correctness than in typical commercial applications: it is not sufficient to validate data at entry time; the system must also enforce relational integrity, re-validate on change, and prevent export of data that fails quality checks (European Banking Authority, 2024a). The pre-flight export gate implemented in the DORA SaaS platform — which blocks RoI export if outstanding validation errors exist — is a direct architectural response to this correctness requirement.</w:t>
      </w:r>
    </w:p>
    <w:p xmlns:wp14="http://schemas.microsoft.com/office/word/2010/wordml" w:rsidP="550B8A88" wp14:paraId="63339371" wp14:textId="6470ADF9">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2.4.2 Architectural Patterns for Regulatory Systems</w:t>
      </w:r>
    </w:p>
    <w:p xmlns:wp14="http://schemas.microsoft.com/office/word/2010/wordml" w:rsidP="550B8A88" wp14:paraId="2800E970" wp14:textId="319299EF">
      <w:pPr>
        <w:spacing w:before="240" w:beforeAutospacing="off" w:after="240" w:afterAutospacing="off"/>
      </w:pPr>
      <w:r w:rsidRPr="550B8A88" w:rsidR="10D9FB72">
        <w:rPr>
          <w:rFonts w:ascii="Aptos" w:hAnsi="Aptos" w:eastAsia="Aptos" w:cs="Aptos"/>
          <w:noProof w:val="0"/>
          <w:sz w:val="24"/>
          <w:szCs w:val="24"/>
          <w:lang w:val="en-US"/>
        </w:rPr>
        <w:t>Layered and modular architectural patterns are well-established in information systems engineering as approaches for achieving separation of concerns, testability, and maintainability in complex business systems (Bass et al., 2021; Fehling et al., 2014). In regulatory contexts, modular service boundaries that align with regulatory concepts — financial entities, contracts, providers, validation runs, export operations — create a correspondence between the system's organisational structure and the regulatory framework it serves, making the system easier to extend when requirements change (Fehling et al., 2014; Wieringa, 2014). This alignment principle is a recognised practice in regulatory information system design: the European Banking Authority's own guidance on reporting systems architecture recommends that data models and processing logic be organised around the regulatory concepts defined in the applicable ITS rather than around internal business convenience (European Banking Authority, 2020).</w:t>
      </w:r>
    </w:p>
    <w:p xmlns:wp14="http://schemas.microsoft.com/office/word/2010/wordml" w:rsidP="550B8A88" wp14:paraId="0CAA59CD" wp14:textId="5E1B07D3">
      <w:pPr>
        <w:spacing w:before="240" w:beforeAutospacing="off" w:after="240" w:afterAutospacing="off"/>
      </w:pPr>
      <w:r w:rsidRPr="550B8A88" w:rsidR="10D9FB72">
        <w:rPr>
          <w:rFonts w:ascii="Aptos" w:hAnsi="Aptos" w:eastAsia="Aptos" w:cs="Aptos"/>
          <w:noProof w:val="0"/>
          <w:sz w:val="24"/>
          <w:szCs w:val="24"/>
          <w:lang w:val="en-US"/>
        </w:rPr>
        <w:t>The choice between monolithic and service-oriented architectures involves a trade-off between operational simplicity and scalability that is context-sensitive in regulatory deployments. For an SME-targeted prototype operating in a development and demonstration context, a structured monolith — a single deployable unit with strong internal module boundaries — offers the operational simplicity needed to maintain and extend the system without dedicated DevOps infrastructure, while still providing the separation of concerns that modular development requires (Fehling et al., 2014; Newman, 2019). The DORA SaaS backend adopts exactly this approach: a NestJS structured monolith with distinct modules for each domain area, providing clear internal boundaries without the operational overhead of a microservices deployment. Newman (2019) argues that this "modular monolith" pattern is frequently the appropriate starting point for domain-driven systems that may migrate to microservices as scale demands increase.</w:t>
      </w:r>
    </w:p>
    <w:p xmlns:wp14="http://schemas.microsoft.com/office/word/2010/wordml" w:rsidP="550B8A88" wp14:paraId="325E4D2B" wp14:textId="6ECC3546">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2.4.3 Validation Engine Architecture</w:t>
      </w:r>
    </w:p>
    <w:p xmlns:wp14="http://schemas.microsoft.com/office/word/2010/wordml" w:rsidP="550B8A88" wp14:paraId="3F74F621" wp14:textId="6FE8461E">
      <w:pPr>
        <w:spacing w:before="240" w:beforeAutospacing="off" w:after="240" w:afterAutospacing="off"/>
      </w:pPr>
      <w:r w:rsidRPr="550B8A88" w:rsidR="10D9FB72">
        <w:rPr>
          <w:rFonts w:ascii="Aptos" w:hAnsi="Aptos" w:eastAsia="Aptos" w:cs="Aptos"/>
          <w:noProof w:val="0"/>
          <w:sz w:val="24"/>
          <w:szCs w:val="24"/>
          <w:lang w:val="en-US"/>
        </w:rPr>
        <w:t>The architecture of compliance validation engines in regulatory systems is a specific sub-topic that spans software engineering, formal methods, and regulatory technology. A persistent finding in the literature is that embedded, procedural validation logic — where compliance rules are hard-coded into application services — creates significant maintenance debt in regulatory contexts (Kharbili et al., 2008; Sadiq et al., 2007). Regulatory rules change in response to supervisory Q&amp;A, technical standards revisions, and supervisory experience: in the DORA context, the EBA has already revised the RoI ITS once between initial publication and the Dry Run period, and further revisions are anticipated as supervisory experience accumulates (European Banking Authority, 2023a; European Banking Authority, 2024a). Embedding rules in code means each revision triggers a development, testing, and deployment cycle, which is disproportionate for a system serving resource-constrained SME users.</w:t>
      </w:r>
    </w:p>
    <w:p xmlns:wp14="http://schemas.microsoft.com/office/word/2010/wordml" w:rsidP="550B8A88" wp14:paraId="50F424D9" wp14:textId="4B50FCA6">
      <w:pPr>
        <w:spacing w:before="240" w:beforeAutospacing="off" w:after="240" w:afterAutospacing="off"/>
      </w:pPr>
      <w:r w:rsidRPr="550B8A88" w:rsidR="10D9FB72">
        <w:rPr>
          <w:rFonts w:ascii="Aptos" w:hAnsi="Aptos" w:eastAsia="Aptos" w:cs="Aptos"/>
          <w:noProof w:val="0"/>
          <w:sz w:val="24"/>
          <w:szCs w:val="24"/>
          <w:lang w:val="en-US"/>
        </w:rPr>
        <w:t xml:space="preserve">Data-driven validation architectures address this problem by storing rules as structured data records that are interpreted by a generalised execution engine (Sadiq et al., 2007; Governatori et al., 2016). The execution engine contains logic for each rule type — for example, how to test a required rule, a format rule, or a cross_field rule — but the specific rules themselves (which field, which template, what constraint) are stored in a database table and can be updated without any code change. This approach is described in the software engineering literature as the "rules table" or "business rules engine" pattern (Fowler, 2002) and is a standard recommendation for systems where business logic changes frequently and independently of application logic. The DORA SaaS validation engine implements this pattern: all </w:t>
      </w:r>
      <w:r w:rsidRPr="550B8A88" w:rsidR="10D9FB72">
        <w:rPr>
          <w:rFonts w:ascii="Aptos" w:hAnsi="Aptos" w:eastAsia="Aptos" w:cs="Aptos"/>
          <w:b w:val="1"/>
          <w:bCs w:val="1"/>
          <w:noProof w:val="0"/>
          <w:sz w:val="24"/>
          <w:szCs w:val="24"/>
          <w:lang w:val="en-US"/>
        </w:rPr>
        <w:t>220 EBA validation rules</w:t>
      </w:r>
      <w:r w:rsidRPr="550B8A88" w:rsidR="10D9FB72">
        <w:rPr>
          <w:rFonts w:ascii="Aptos" w:hAnsi="Aptos" w:eastAsia="Aptos" w:cs="Aptos"/>
          <w:noProof w:val="0"/>
          <w:sz w:val="24"/>
          <w:szCs w:val="24"/>
          <w:lang w:val="en-US"/>
        </w:rPr>
        <w:t xml:space="preserve"> are stored in the </w:t>
      </w:r>
      <w:r w:rsidRPr="550B8A88" w:rsidR="10D9FB72">
        <w:rPr>
          <w:rFonts w:ascii="Consolas" w:hAnsi="Consolas" w:eastAsia="Consolas" w:cs="Consolas"/>
          <w:noProof w:val="0"/>
          <w:sz w:val="24"/>
          <w:szCs w:val="24"/>
          <w:lang w:val="en-US"/>
        </w:rPr>
        <w:t>validation_rules</w:t>
      </w:r>
      <w:r w:rsidRPr="550B8A88" w:rsidR="10D9FB72">
        <w:rPr>
          <w:rFonts w:ascii="Aptos" w:hAnsi="Aptos" w:eastAsia="Aptos" w:cs="Aptos"/>
          <w:noProof w:val="0"/>
          <w:sz w:val="24"/>
          <w:szCs w:val="24"/>
          <w:lang w:val="en-US"/>
        </w:rPr>
        <w:t xml:space="preserve"> database table, and the engine processes them generically at runtime.</w:t>
      </w:r>
    </w:p>
    <w:p xmlns:wp14="http://schemas.microsoft.com/office/word/2010/wordml" w:rsidP="550B8A88" wp14:paraId="210B3D99" wp14:textId="1A02E733">
      <w:pPr>
        <w:spacing w:before="240" w:beforeAutospacing="off" w:after="240" w:afterAutospacing="off"/>
      </w:pPr>
      <w:r w:rsidRPr="550B8A88" w:rsidR="10D9FB72">
        <w:rPr>
          <w:rFonts w:ascii="Aptos" w:hAnsi="Aptos" w:eastAsia="Aptos" w:cs="Aptos"/>
          <w:noProof w:val="0"/>
          <w:sz w:val="24"/>
          <w:szCs w:val="24"/>
          <w:lang w:val="en-US"/>
        </w:rPr>
        <w:t>TABLE 2.2 — Software architecture quality attributes (auditability, traceability, correctness, maintainability, proportionality) mapped to specific DORA SaaS architectural decisions and the DORA/EBA requirements that motivate each. To be inserted here.</w:t>
      </w:r>
    </w:p>
    <w:p xmlns:wp14="http://schemas.microsoft.com/office/word/2010/wordml" w:rsidP="10613030" wp14:paraId="7655D53E" wp14:textId="7BDB47C0">
      <w:pPr>
        <w:spacing w:before="0" w:beforeAutospacing="off" w:after="0" w:afterAutospacing="off"/>
      </w:pPr>
    </w:p>
    <w:p xmlns:wp14="http://schemas.microsoft.com/office/word/2010/wordml" w:rsidP="550B8A88" wp14:paraId="2FCBEB41" wp14:textId="73D1C457">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2.5 Multi-Tenant SaaS in Financial Services</w:t>
      </w:r>
    </w:p>
    <w:p xmlns:wp14="http://schemas.microsoft.com/office/word/2010/wordml" w:rsidP="550B8A88" wp14:paraId="15F23785" wp14:textId="382E0072">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2.5.1 Multi-Tenancy Models and Trade-offs</w:t>
      </w:r>
    </w:p>
    <w:p xmlns:wp14="http://schemas.microsoft.com/office/word/2010/wordml" w:rsidP="550B8A88" wp14:paraId="43565F53" wp14:textId="21A764A5">
      <w:pPr>
        <w:spacing w:before="240" w:beforeAutospacing="off" w:after="240" w:afterAutospacing="off"/>
      </w:pPr>
      <w:r w:rsidRPr="550B8A88" w:rsidR="10D9FB72">
        <w:rPr>
          <w:rFonts w:ascii="Aptos" w:hAnsi="Aptos" w:eastAsia="Aptos" w:cs="Aptos"/>
          <w:noProof w:val="0"/>
          <w:sz w:val="24"/>
          <w:szCs w:val="24"/>
          <w:lang w:val="en-US"/>
        </w:rPr>
        <w:t>Multi-tenant Software-as-a-Service (SaaS) architecture — where a single deployed application instance serves multiple customer organisations with logical data isolation between them — is the dominant delivery model for cloud-based compliance and regulatory tooling (Chong and Carraro, 2006; Bezemer et al., 2010). The economic logic of multi-tenancy in compliance tooling is compelling: regulatory update costs (integrating new rules, updated code lists, revised template structures) can be absorbed once at the platform level and propagated automatically to all tenants, rather than requiring individual update deployments for each customer (Fehling et al., 2014; Walraven et al., 2014).</w:t>
      </w:r>
    </w:p>
    <w:p xmlns:wp14="http://schemas.microsoft.com/office/word/2010/wordml" w:rsidP="550B8A88" wp14:paraId="6DDF65BC" wp14:textId="28E91FC2">
      <w:pPr>
        <w:spacing w:before="240" w:beforeAutospacing="off" w:after="240" w:afterAutospacing="off"/>
      </w:pPr>
      <w:r w:rsidRPr="550B8A88" w:rsidR="10D9FB72">
        <w:rPr>
          <w:rFonts w:ascii="Aptos" w:hAnsi="Aptos" w:eastAsia="Aptos" w:cs="Aptos"/>
          <w:noProof w:val="0"/>
          <w:sz w:val="24"/>
          <w:szCs w:val="24"/>
          <w:lang w:val="en-US"/>
        </w:rPr>
        <w:t>The canonical taxonomy of multi-tenancy implementation models distinguishes three approaches: separate databases per tenant (strongest isolation, highest infrastructure cost), separate schemas within a shared database (moderate isolation, moderate cost), and shared schema with a tenant discriminator column applied to all rows (lowest isolation overhead, highest density) (Bezemer et al., 2010; Chong and Carraro, 2006). For an SME-oriented prototype operating under development resource constraints, the shared-schema model offers the best balance of operational simplicity and tenant isolation at the application layer, consistent with findings from Walraven et al. (2014) on practical multi-tenancy trade-offs in PaaS environments. The shared-schema model does, however, require disciplined enforcement of tenant boundaries at multiple layers to guard against application bugs that could otherwise allow cross-tenant data access.</w:t>
      </w:r>
    </w:p>
    <w:p xmlns:wp14="http://schemas.microsoft.com/office/word/2010/wordml" w:rsidP="550B8A88" wp14:paraId="0E1DF5D7" wp14:textId="6AEC1601">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2.5.2 Security and Data Isolation</w:t>
      </w:r>
    </w:p>
    <w:p xmlns:wp14="http://schemas.microsoft.com/office/word/2010/wordml" w:rsidP="550B8A88" wp14:paraId="3F47523E" wp14:textId="281610FD">
      <w:pPr>
        <w:spacing w:before="240" w:beforeAutospacing="off" w:after="240" w:afterAutospacing="off"/>
      </w:pPr>
      <w:r w:rsidRPr="550B8A88" w:rsidR="10D9FB72">
        <w:rPr>
          <w:rFonts w:ascii="Aptos" w:hAnsi="Aptos" w:eastAsia="Aptos" w:cs="Aptos"/>
          <w:noProof w:val="0"/>
          <w:sz w:val="24"/>
          <w:szCs w:val="24"/>
          <w:lang w:val="en-US"/>
        </w:rPr>
        <w:t>Multi-tenancy in financial services SaaS carries both information security and regulatory implications that go beyond standard commercial SaaS. From an information security perspective, the data processed by a DORA RoI system — contractual terms, provider identities, ICT dependency maps, criticality assessments — is commercially sensitive and potentially subject to confidentiality obligations under outsourcing contracts (ISO, 2022; European Commission, 2022). Tenant data leakage — where one financial entity can query or observe another entity's RoI data — would constitute a serious security breach and, in the context of DORA, potentially a separate compliance violation related to data integrity (European Commission, 2022, Art. 9; ISO, 2022).</w:t>
      </w:r>
    </w:p>
    <w:p xmlns:wp14="http://schemas.microsoft.com/office/word/2010/wordml" w:rsidP="550B8A88" wp14:paraId="73C6278B" wp14:textId="71F5EC45">
      <w:pPr>
        <w:spacing w:before="240" w:beforeAutospacing="off" w:after="240" w:afterAutospacing="off"/>
      </w:pPr>
      <w:r w:rsidRPr="550B8A88" w:rsidR="10D9FB72">
        <w:rPr>
          <w:rFonts w:ascii="Aptos" w:hAnsi="Aptos" w:eastAsia="Aptos" w:cs="Aptos"/>
          <w:noProof w:val="0"/>
          <w:sz w:val="24"/>
          <w:szCs w:val="24"/>
          <w:lang w:val="en-US"/>
        </w:rPr>
        <w:t xml:space="preserve">PostgreSQL — the database engine used in the DORA SaaS platform — provides native row-level security (RLS) policies that can enforce data isolation at the database engine layer, independent of application logic (PostgreSQL Global Development Group, 2023). RLS allows administrators to define per-table policies specifying which rows a given database role can access, providing defence-in-depth against application bugs that might otherwise allow cross-tenant data access. Rodero-Merino et al. (2010) argue that database-level isolation is preferable to application-level isolation in multi-tenant cloud systems because it is more robust to application logic errors, but they acknowledge the implementation complexity cost. The present artefact implements a </w:t>
      </w:r>
      <w:r w:rsidRPr="550B8A88" w:rsidR="10D9FB72">
        <w:rPr>
          <w:rFonts w:ascii="Aptos" w:hAnsi="Aptos" w:eastAsia="Aptos" w:cs="Aptos"/>
          <w:b w:val="1"/>
          <w:bCs w:val="1"/>
          <w:noProof w:val="0"/>
          <w:sz w:val="24"/>
          <w:szCs w:val="24"/>
          <w:lang w:val="en-US"/>
        </w:rPr>
        <w:t>defence-in-depth isolation strategy</w:t>
      </w:r>
      <w:r w:rsidRPr="550B8A88" w:rsidR="10D9FB72">
        <w:rPr>
          <w:rFonts w:ascii="Aptos" w:hAnsi="Aptos" w:eastAsia="Aptos" w:cs="Aptos"/>
          <w:noProof w:val="0"/>
          <w:sz w:val="24"/>
          <w:szCs w:val="24"/>
          <w:lang w:val="en-US"/>
        </w:rPr>
        <w:t xml:space="preserve">: tenant isolation is enforced at the application service layer through mandatory </w:t>
      </w:r>
      <w:r w:rsidRPr="550B8A88" w:rsidR="10D9FB72">
        <w:rPr>
          <w:rFonts w:ascii="Consolas" w:hAnsi="Consolas" w:eastAsia="Consolas" w:cs="Consolas"/>
          <w:noProof w:val="0"/>
          <w:sz w:val="24"/>
          <w:szCs w:val="24"/>
          <w:lang w:val="en-US"/>
        </w:rPr>
        <w:t>tenant_id</w:t>
      </w:r>
      <w:r w:rsidRPr="550B8A88" w:rsidR="10D9FB72">
        <w:rPr>
          <w:rFonts w:ascii="Aptos" w:hAnsi="Aptos" w:eastAsia="Aptos" w:cs="Aptos"/>
          <w:noProof w:val="0"/>
          <w:sz w:val="24"/>
          <w:szCs w:val="24"/>
          <w:lang w:val="en-US"/>
        </w:rPr>
        <w:t xml:space="preserve"> filtering derived from the authenticated user's JWT claims, and additionally enforced at the database engine layer through PostgreSQL Row-Level Security (RLS) policies applied to all 20 tenant-bearing tables via </w:t>
      </w:r>
      <w:r w:rsidRPr="550B8A88" w:rsidR="10D9FB72">
        <w:rPr>
          <w:rFonts w:ascii="Consolas" w:hAnsi="Consolas" w:eastAsia="Consolas" w:cs="Consolas"/>
          <w:noProof w:val="0"/>
          <w:sz w:val="24"/>
          <w:szCs w:val="24"/>
          <w:lang w:val="en-US"/>
        </w:rPr>
        <w:t>rls_policies.sql</w:t>
      </w:r>
      <w:r w:rsidRPr="550B8A88" w:rsidR="10D9FB72">
        <w:rPr>
          <w:rFonts w:ascii="Aptos" w:hAnsi="Aptos" w:eastAsia="Aptos" w:cs="Aptos"/>
          <w:noProof w:val="0"/>
          <w:sz w:val="24"/>
          <w:szCs w:val="24"/>
          <w:lang w:val="en-US"/>
        </w:rPr>
        <w:t xml:space="preserve">, with the </w:t>
      </w:r>
      <w:r w:rsidRPr="550B8A88" w:rsidR="10D9FB72">
        <w:rPr>
          <w:rFonts w:ascii="Consolas" w:hAnsi="Consolas" w:eastAsia="Consolas" w:cs="Consolas"/>
          <w:noProof w:val="0"/>
          <w:sz w:val="24"/>
          <w:szCs w:val="24"/>
          <w:lang w:val="en-US"/>
        </w:rPr>
        <w:t>TenantIsolationMiddleware</w:t>
      </w:r>
      <w:r w:rsidRPr="550B8A88" w:rsidR="10D9FB72">
        <w:rPr>
          <w:rFonts w:ascii="Aptos" w:hAnsi="Aptos" w:eastAsia="Aptos" w:cs="Aptos"/>
          <w:noProof w:val="0"/>
          <w:sz w:val="24"/>
          <w:szCs w:val="24"/>
          <w:lang w:val="en-US"/>
        </w:rPr>
        <w:t xml:space="preserve"> setting the </w:t>
      </w:r>
      <w:r w:rsidRPr="550B8A88" w:rsidR="10D9FB72">
        <w:rPr>
          <w:rFonts w:ascii="Consolas" w:hAnsi="Consolas" w:eastAsia="Consolas" w:cs="Consolas"/>
          <w:noProof w:val="0"/>
          <w:sz w:val="24"/>
          <w:szCs w:val="24"/>
          <w:lang w:val="en-US"/>
        </w:rPr>
        <w:t>app.current_tenant_id</w:t>
      </w:r>
      <w:r w:rsidRPr="550B8A88" w:rsidR="10D9FB72">
        <w:rPr>
          <w:rFonts w:ascii="Aptos" w:hAnsi="Aptos" w:eastAsia="Aptos" w:cs="Aptos"/>
          <w:noProof w:val="0"/>
          <w:sz w:val="24"/>
          <w:szCs w:val="24"/>
          <w:lang w:val="en-US"/>
        </w:rPr>
        <w:t xml:space="preserve"> session variable on every request to activate those policies. This dual-layer approach ensures that even if an application-layer filtering bug were to occur, the database engine would independently enforce tenant boundaries.</w:t>
      </w:r>
    </w:p>
    <w:p xmlns:wp14="http://schemas.microsoft.com/office/word/2010/wordml" w:rsidP="550B8A88" wp14:paraId="666FF64D" wp14:textId="63B4A714">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2.5.3 RegTech SaaS in the Irish Context</w:t>
      </w:r>
    </w:p>
    <w:p xmlns:wp14="http://schemas.microsoft.com/office/word/2010/wordml" w:rsidP="550B8A88" wp14:paraId="5FF63C7C" wp14:textId="62DA1363">
      <w:pPr>
        <w:spacing w:before="240" w:beforeAutospacing="off" w:after="240" w:afterAutospacing="off"/>
      </w:pPr>
      <w:r w:rsidRPr="550B8A88" w:rsidR="10D9FB72">
        <w:rPr>
          <w:rFonts w:ascii="Aptos" w:hAnsi="Aptos" w:eastAsia="Aptos" w:cs="Aptos"/>
          <w:noProof w:val="0"/>
          <w:sz w:val="24"/>
          <w:szCs w:val="24"/>
          <w:lang w:val="en-US"/>
        </w:rPr>
        <w:t>The Irish financial services sector provides a specific national context for SaaS-based RegTech adoption that shapes both the demand for and the design constraints on the DORA SaaS platform. Ireland hosts a disproportionately large number of EU-authorised financial entities relative to its population, reflecting its role as a European headquarters location for US and international financial services firms; the CBI regulates over 10,000 individual financial entities (Central Bank of Ireland, 2024b). Within this population, a significant proportion are smaller domestic entities — credit unions, payment institutions, smaller investment firms, and insurance intermediaries — for which the cost and complexity of enterprise GRC platforms are prohibitive (Butler and O'Brien, 2019; Bhurat, 2025).</w:t>
      </w:r>
    </w:p>
    <w:p xmlns:wp14="http://schemas.microsoft.com/office/word/2010/wordml" w:rsidP="550B8A88" wp14:paraId="2A61FA0C" wp14:textId="42913929">
      <w:pPr>
        <w:spacing w:before="240" w:beforeAutospacing="off" w:after="240" w:afterAutospacing="off"/>
      </w:pPr>
      <w:r w:rsidRPr="550B8A88" w:rsidR="10D9FB72">
        <w:rPr>
          <w:rFonts w:ascii="Aptos" w:hAnsi="Aptos" w:eastAsia="Aptos" w:cs="Aptos"/>
          <w:noProof w:val="0"/>
          <w:sz w:val="24"/>
          <w:szCs w:val="24"/>
          <w:lang w:val="en-US"/>
        </w:rPr>
        <w:t>Walkers Global (2024) reports that RegTech enquiries to the CBI's Innovation Hub constituted 23% of all hub activity in 2023, with operational resilience and ICT risk tooling among the most frequently raised topics. This contextual evidence positions the Irish market as one with active RegTech demand but limited availability of proportionate, SME-appropriate tools for DORA RoI compliance specifically. The Central Bank of Ireland's published DORA implementation guidance emphasises that proportionality — applying obligations in a manner commensurate with entity size, risk profile, and operational complexity — is a supervisory principle it will apply when assessing RoI submissions and data quality (Central Bank of Ireland, 2024a). This proportionality principle is directly reflected in the design of the DORA SaaS platform, which is sized for SME operational constraints rather than for large, multi-jurisdictional financial groups.</w:t>
      </w:r>
    </w:p>
    <w:p xmlns:wp14="http://schemas.microsoft.com/office/word/2010/wordml" w:rsidP="10613030" wp14:paraId="61B0732D" wp14:textId="30A749E3">
      <w:pPr>
        <w:spacing w:before="0" w:beforeAutospacing="off" w:after="0" w:afterAutospacing="off"/>
      </w:pPr>
    </w:p>
    <w:p xmlns:wp14="http://schemas.microsoft.com/office/word/2010/wordml" w:rsidP="550B8A88" wp14:paraId="76216350" wp14:textId="668FB55B">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2.6 Gaps in Existing Approaches</w:t>
      </w:r>
    </w:p>
    <w:p xmlns:wp14="http://schemas.microsoft.com/office/word/2010/wordml" w:rsidP="550B8A88" wp14:paraId="148E2F49" wp14:textId="6C86BDD0">
      <w:pPr>
        <w:spacing w:before="240" w:beforeAutospacing="off" w:after="240" w:afterAutospacing="off"/>
      </w:pPr>
      <w:r w:rsidRPr="550B8A88" w:rsidR="10D9FB72">
        <w:rPr>
          <w:rFonts w:ascii="Aptos" w:hAnsi="Aptos" w:eastAsia="Aptos" w:cs="Aptos"/>
          <w:noProof w:val="0"/>
          <w:sz w:val="24"/>
          <w:szCs w:val="24"/>
          <w:lang w:val="en-US"/>
        </w:rPr>
        <w:t>The literature review presented in Sections 2.1 through 2.5 identifies four converging gaps in both commercial tooling and academic artefacts that collectively motivate the design of the DORA SaaS platform.</w:t>
      </w:r>
    </w:p>
    <w:p xmlns:wp14="http://schemas.microsoft.com/office/word/2010/wordml" w:rsidP="550B8A88" wp14:paraId="689DE82A" wp14:textId="39F3BF99">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2.6.1 Gap 1 — No Dedicated, Proportionate DORA RoI Tool for SMEs</w:t>
      </w:r>
    </w:p>
    <w:p xmlns:wp14="http://schemas.microsoft.com/office/word/2010/wordml" w:rsidP="550B8A88" wp14:paraId="2CD7C9A9" wp14:textId="5AE477DD">
      <w:pPr>
        <w:spacing w:before="240" w:beforeAutospacing="off" w:after="240" w:afterAutospacing="off"/>
      </w:pPr>
      <w:r w:rsidRPr="550B8A88" w:rsidR="10D9FB72">
        <w:rPr>
          <w:rFonts w:ascii="Aptos" w:hAnsi="Aptos" w:eastAsia="Aptos" w:cs="Aptos"/>
          <w:noProof w:val="0"/>
          <w:sz w:val="24"/>
          <w:szCs w:val="24"/>
          <w:lang w:val="en-US"/>
        </w:rPr>
        <w:t>Commercial GRC platforms — including RSA Archer, ServiceNow GRC, MetricStream, and IBM OpenPages — offer broad regulatory coverage across multiple frameworks but are characterised by high implementation cost, significant configuration complexity, and per-seat licensing structures that make them inaccessible to smaller financial entities (Mucha et al., 2022; Butler and O'Brien, 2019). None of these platforms natively implement the EBA's RoI template structure, validation rules, or XBRL OIM-CSV export format as of the time of research. DORA-specific tooling from specialist RegTech providers exists but is also primarily targeted at large financial institutions and typically involves significant professional services implementation costs that are prohibitive for SME entities (Butler and O'Brien, 2019; Bhurat, 2025). The result is that SME financial entities are left to manage RoI compliance through manual spreadsheet processes — the very approach that the ESA Dry Run demonstrated to produce a 93.5% failure rate (European Supervisory Authorities, 2024).</w:t>
      </w:r>
    </w:p>
    <w:p xmlns:wp14="http://schemas.microsoft.com/office/word/2010/wordml" w:rsidP="550B8A88" wp14:paraId="019A2604" wp14:textId="5DBCB683">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2.6.2 Gap 2 — Dominance of Black-Box Validation in Available Tools</w:t>
      </w:r>
    </w:p>
    <w:p xmlns:wp14="http://schemas.microsoft.com/office/word/2010/wordml" w:rsidP="550B8A88" wp14:paraId="19A7B91A" wp14:textId="1FCE3057">
      <w:pPr>
        <w:spacing w:before="240" w:beforeAutospacing="off" w:after="240" w:afterAutospacing="off"/>
      </w:pPr>
      <w:r w:rsidRPr="550B8A88" w:rsidR="10D9FB72">
        <w:rPr>
          <w:rFonts w:ascii="Aptos" w:hAnsi="Aptos" w:eastAsia="Aptos" w:cs="Aptos"/>
          <w:noProof w:val="0"/>
          <w:sz w:val="24"/>
          <w:szCs w:val="24"/>
          <w:lang w:val="en-US"/>
        </w:rPr>
        <w:t>The validation tools and compliance dashboards available in the market predominantly operate as black boxes: they return aggregate quality scores, exception lists, or pass/fail indicators without exposing the specific rule logic applied, the regulatory basis for each rule, or the precise field-level conditions that caused a failure (Arner et al., 2017; Governatori et al., 2016). This opacity creates significant difficulties for SME entities, which cannot engage dedicated compliance technology teams to interpret and challenge tool outputs. Moreover, opacity is particularly problematic in the DORA context because the EBA's validation rules are publicly documented in the draft validation rules specification (EBA, 2024a): entities have a right to understand exactly which rules apply to their data and exactly why their data fails, and a compliant tool should make this visible (Palmirani et al., 2018; Butler and O'Brien, 2019). No published academic artefact or commercially available tool was identified during the literature review that provides white-box, rule-transparent validation specifically for the EBA RoI templates.</w:t>
      </w:r>
    </w:p>
    <w:p xmlns:wp14="http://schemas.microsoft.com/office/word/2010/wordml" w:rsidP="550B8A88" wp14:paraId="454D4042" wp14:textId="3B30ABDD">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2.6.3 Gap 3 — Absence of Academic Artefacts Instantiating the Full RoI Data Model</w:t>
      </w:r>
    </w:p>
    <w:p xmlns:wp14="http://schemas.microsoft.com/office/word/2010/wordml" w:rsidP="550B8A88" wp14:paraId="340BF219" wp14:textId="771B65D4">
      <w:pPr>
        <w:spacing w:before="240" w:beforeAutospacing="off" w:after="240" w:afterAutospacing="off"/>
      </w:pPr>
      <w:r w:rsidRPr="550B8A88" w:rsidR="10D9FB72">
        <w:rPr>
          <w:rFonts w:ascii="Aptos" w:hAnsi="Aptos" w:eastAsia="Aptos" w:cs="Aptos"/>
          <w:noProof w:val="0"/>
          <w:sz w:val="24"/>
          <w:szCs w:val="24"/>
          <w:lang w:val="en-US"/>
        </w:rPr>
        <w:t>Despite growing academic interest in DORA, operational resilience, and RegTech automation — as evidenced by the increasing volume of publications in this space since 2022 (Mucha et al., 2022; Brennan et al., 2024) — no published academic artefact was identified during the literature review that implements the full RT.01–RT.09 relational data model, embeds the EBA's validation rules as executable logic, and provides both Excel and XBRL OIM-CSV export capabilities in a multi-tenant SaaS architecture. The existing academic contributions in this space are primarily conceptual frameworks, literature reviews, or theoretical models of regulatory compliance; there is an identified gap in Design Science Research artefacts that translate DORA's RoI requirements into a fully functional, academically documented prototype (Hevner et al., 2004; Wieringa, 2014). This dissertation addresses that gap directly.</w:t>
      </w:r>
    </w:p>
    <w:p xmlns:wp14="http://schemas.microsoft.com/office/word/2010/wordml" w:rsidP="550B8A88" wp14:paraId="1A21C258" wp14:textId="5A9514B8">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2.6.4 Gap 4 — Under-service of Irish SME Regulatory Context</w:t>
      </w:r>
    </w:p>
    <w:p xmlns:wp14="http://schemas.microsoft.com/office/word/2010/wordml" w:rsidP="550B8A88" wp14:paraId="3BCB28DD" wp14:textId="0C5E1CD7">
      <w:pPr>
        <w:spacing w:before="240" w:beforeAutospacing="off" w:after="240" w:afterAutospacing="off"/>
      </w:pPr>
      <w:r w:rsidRPr="550B8A88" w:rsidR="10D9FB72">
        <w:rPr>
          <w:rFonts w:ascii="Aptos" w:hAnsi="Aptos" w:eastAsia="Aptos" w:cs="Aptos"/>
          <w:noProof w:val="0"/>
          <w:sz w:val="24"/>
          <w:szCs w:val="24"/>
          <w:lang w:val="en-US"/>
        </w:rPr>
        <w:t>Existing RegTech tools and academic artefacts addressing DORA compliance are predominantly designed from an EU-generic or large-institution perspective, without specific calibration to the Irish supervisory context — the CBI's supervisory priorities, the S.I. 20/2025 transposition requirements, the CBI's published proportionality guidance, or the specific characteristics of the Irish SME financial entity population (Central Bank of Ireland, 2024a; Arthur Cox LLP, 2025). This gap is not merely cosmetic: the CBI has signalled that it will apply proportionality in its assessment of RoI quality but that it will still expect evidence of systematic data management processes rather than manual workarounds (Central Bank of Ireland, 2024a). A platform designed explicitly to the Irish SME context — incorporating CBI guidance, Irish entity identifiers, and Irish regulatory nuances — fills a contextual gap that generic EU-level tools do not address.</w:t>
      </w:r>
    </w:p>
    <w:p xmlns:wp14="http://schemas.microsoft.com/office/word/2010/wordml" w:rsidP="550B8A88" wp14:paraId="130F6F89" wp14:textId="49F1A0C2">
      <w:pPr>
        <w:spacing w:before="240" w:beforeAutospacing="off" w:after="240" w:afterAutospacing="off"/>
      </w:pPr>
      <w:r w:rsidRPr="550B8A88" w:rsidR="10D9FB72">
        <w:rPr>
          <w:rFonts w:ascii="Aptos" w:hAnsi="Aptos" w:eastAsia="Aptos" w:cs="Aptos"/>
          <w:noProof w:val="0"/>
          <w:sz w:val="24"/>
          <w:szCs w:val="24"/>
          <w:lang w:val="en-US"/>
        </w:rPr>
        <w:t>FIGURE 2.3 — Gap analysis diagram: four identified gaps (proportionate tooling, black-box opacity, academic artefact absence, Irish SME context) each mapped to the corresponding design response in the DORA SaaS artefact. To be inserted here.</w:t>
      </w:r>
    </w:p>
    <w:p xmlns:wp14="http://schemas.microsoft.com/office/word/2010/wordml" w:rsidP="550B8A88" wp14:paraId="06AF6F3D" wp14:textId="0D3C776A">
      <w:pPr>
        <w:spacing w:before="240" w:beforeAutospacing="off" w:after="240" w:afterAutospacing="off"/>
      </w:pPr>
      <w:r w:rsidRPr="550B8A88" w:rsidR="10D9FB72">
        <w:rPr>
          <w:rFonts w:ascii="Aptos" w:hAnsi="Aptos" w:eastAsia="Aptos" w:cs="Aptos"/>
          <w:noProof w:val="0"/>
          <w:sz w:val="24"/>
          <w:szCs w:val="24"/>
          <w:lang w:val="en-US"/>
        </w:rPr>
        <w:t>TABLE 2.3 — Structured comparison of existing GRC tools and published academic artefacts against five key requirements: DORA RoI template alignment, white-box validation, SME proportionality, Irish regulatory context specificity, and XBRL OIM-CSV export readiness. To be inserted here.</w:t>
      </w:r>
    </w:p>
    <w:p xmlns:wp14="http://schemas.microsoft.com/office/word/2010/wordml" w:rsidP="10613030" wp14:paraId="7B8B9D00" wp14:textId="0E333EC1">
      <w:pPr>
        <w:spacing w:before="0" w:beforeAutospacing="off" w:after="0" w:afterAutospacing="off"/>
      </w:pPr>
    </w:p>
    <w:p xmlns:wp14="http://schemas.microsoft.com/office/word/2010/wordml" w:rsidP="550B8A88" wp14:paraId="597EB686" wp14:textId="638C8893">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Chapter 2 Summary</w:t>
      </w:r>
    </w:p>
    <w:p xmlns:wp14="http://schemas.microsoft.com/office/word/2010/wordml" w:rsidP="550B8A88" wp14:paraId="2CF10843" wp14:textId="2CB59C78">
      <w:pPr>
        <w:spacing w:before="240" w:beforeAutospacing="off" w:after="240" w:afterAutospacing="off"/>
      </w:pPr>
      <w:r w:rsidRPr="550B8A88" w:rsidR="10D9FB72">
        <w:rPr>
          <w:rFonts w:ascii="Aptos" w:hAnsi="Aptos" w:eastAsia="Aptos" w:cs="Aptos"/>
          <w:noProof w:val="0"/>
          <w:sz w:val="24"/>
          <w:szCs w:val="24"/>
          <w:lang w:val="en-US"/>
        </w:rPr>
        <w:t>This chapter has established the theoretical and empirical foundations for the dissertation across five thematic areas. Section 2.1 traced the evolution of EU financial sector ICT governance from the fragmented pre-DORA guideline landscape to the harmonised regulatory framework created by Regulation EU 2022/2554, and situated the RoI obligation — with its nine interlinked machine-verifiable templates — as the most operationally demanding component of DORA for SME entities, a characterisation confirmed empirically by the ESA 2024 Dry Run. Section 2.2 reviewed the literature on ICT third-party risk and demonstrated that the RoI's structural requirements — referential integrity across nine templates, sub-contractor visibility, systematic data quality management — substantially exceed what prior outsourcing register obligations required, creating a genuine engineering challenge rather than a purely documentation task.</w:t>
      </w:r>
    </w:p>
    <w:p xmlns:wp14="http://schemas.microsoft.com/office/word/2010/wordml" w:rsidP="550B8A88" wp14:paraId="3D7EDA3C" wp14:textId="1EC58814">
      <w:pPr>
        <w:spacing w:before="240" w:beforeAutospacing="off" w:after="240" w:afterAutospacing="off"/>
      </w:pPr>
      <w:r w:rsidRPr="550B8A88" w:rsidR="10D9FB72">
        <w:rPr>
          <w:rFonts w:ascii="Aptos" w:hAnsi="Aptos" w:eastAsia="Aptos" w:cs="Aptos"/>
          <w:noProof w:val="0"/>
          <w:sz w:val="24"/>
          <w:szCs w:val="24"/>
          <w:lang w:val="en-US"/>
        </w:rPr>
        <w:t xml:space="preserve">Section 2.3 surveyed the RegTech literature, identifying logic-based and declarative compliance approaches as the appropriate technical paradigm for the validation engine, and building the case for white-box, rule-transparent design as a governance and usability requirement in SME contexts. Section 2.4 drew on software architecture theory to establish the quality attributes — auditability, traceability, correctness, and maintainability — that serve as design constraints throughout Chapters 4 and 5, and argued for a declarative, data-driven validation engine architecture on grounds of regulatory rule change frequency and maintainability. Section 2.5 examined multi-tenant SaaS design in financial services, establishing the shared-schema tenancy model as the proportionate choice for the present artefact and documenting the defence-in-depth isolation approach — combining application-layer </w:t>
      </w:r>
      <w:r w:rsidRPr="550B8A88" w:rsidR="10D9FB72">
        <w:rPr>
          <w:rFonts w:ascii="Consolas" w:hAnsi="Consolas" w:eastAsia="Consolas" w:cs="Consolas"/>
          <w:noProof w:val="0"/>
          <w:sz w:val="24"/>
          <w:szCs w:val="24"/>
          <w:lang w:val="en-US"/>
        </w:rPr>
        <w:t>tenant_id</w:t>
      </w:r>
      <w:r w:rsidRPr="550B8A88" w:rsidR="10D9FB72">
        <w:rPr>
          <w:rFonts w:ascii="Aptos" w:hAnsi="Aptos" w:eastAsia="Aptos" w:cs="Aptos"/>
          <w:noProof w:val="0"/>
          <w:sz w:val="24"/>
          <w:szCs w:val="24"/>
          <w:lang w:val="en-US"/>
        </w:rPr>
        <w:t xml:space="preserve"> filtering with PostgreSQL Row-Level Security at the database engine layer — that the platform implements to provide robust tenant separation, contextualised within the Irish regulatory environment through evidence from the CBI and market analysis.</w:t>
      </w:r>
    </w:p>
    <w:p xmlns:wp14="http://schemas.microsoft.com/office/word/2010/wordml" w:rsidP="550B8A88" wp14:paraId="58CE87F2" wp14:textId="5A7BDA33">
      <w:pPr>
        <w:spacing w:before="240" w:beforeAutospacing="off" w:after="240" w:afterAutospacing="off"/>
      </w:pPr>
      <w:r w:rsidRPr="550B8A88" w:rsidR="10D9FB72">
        <w:rPr>
          <w:rFonts w:ascii="Aptos" w:hAnsi="Aptos" w:eastAsia="Aptos" w:cs="Aptos"/>
          <w:noProof w:val="0"/>
          <w:sz w:val="24"/>
          <w:szCs w:val="24"/>
          <w:lang w:val="en-US"/>
        </w:rPr>
        <w:t>The gap analysis in Section 2.6 demonstrated that no existing commercial tool or academic artefact combines DORA RoI alignment, white-box validation transparency, SME proportionality, and Irish regulatory context specificity — establishing the originality and practical relevance of the present contribution. Chapter 3 now presents the methodological framework — Design Science Research — within which the artefact was designed, implemented, and evaluated, and Chapter 4 proceeds to describe the system architecture in full.</w:t>
      </w:r>
    </w:p>
    <w:p xmlns:wp14="http://schemas.microsoft.com/office/word/2010/wordml" w:rsidP="10613030" wp14:paraId="4ADAED50" wp14:textId="223C0C61">
      <w:pPr>
        <w:spacing w:before="0" w:beforeAutospacing="off" w:after="0" w:afterAutospacing="off"/>
      </w:pPr>
    </w:p>
    <w:p xmlns:wp14="http://schemas.microsoft.com/office/word/2010/wordml" w:rsidP="550B8A88" wp14:paraId="0F5EC249" wp14:textId="48D5C516">
      <w:pPr>
        <w:pStyle w:val="Heading2"/>
        <w:spacing w:before="299" w:beforeAutospacing="off" w:after="299" w:afterAutospacing="off"/>
      </w:pPr>
      <w:r w:rsidRPr="550B8A88" w:rsidR="10D9FB72">
        <w:rPr>
          <w:rFonts w:ascii="Aptos" w:hAnsi="Aptos" w:eastAsia="Aptos" w:cs="Aptos"/>
          <w:b w:val="1"/>
          <w:bCs w:val="1"/>
          <w:noProof w:val="0"/>
          <w:sz w:val="36"/>
          <w:szCs w:val="36"/>
          <w:lang w:val="en-US"/>
        </w:rPr>
        <w:t>Chapter 2 — References</w:t>
      </w:r>
    </w:p>
    <w:p xmlns:wp14="http://schemas.microsoft.com/office/word/2010/wordml" w:rsidP="550B8A88" wp14:paraId="13BE34DA" wp14:textId="67B3FA92">
      <w:pPr>
        <w:spacing w:before="240" w:beforeAutospacing="off" w:after="240" w:afterAutospacing="off"/>
      </w:pPr>
      <w:r w:rsidRPr="550B8A88" w:rsidR="10D9FB72">
        <w:rPr>
          <w:rFonts w:ascii="Aptos" w:hAnsi="Aptos" w:eastAsia="Aptos" w:cs="Aptos"/>
          <w:i w:val="1"/>
          <w:iCs w:val="1"/>
          <w:noProof w:val="0"/>
          <w:sz w:val="24"/>
          <w:szCs w:val="24"/>
          <w:lang w:val="en-US"/>
        </w:rPr>
        <w:t>(Apply Harvard style. Format in Word as a hanging-indent paragraph, Times New Roman 12pt.)</w:t>
      </w:r>
    </w:p>
    <w:p xmlns:wp14="http://schemas.microsoft.com/office/word/2010/wordml" w:rsidP="550B8A88" wp14:paraId="2CCE92F0" wp14:textId="1FC0F72E">
      <w:pPr>
        <w:spacing w:before="240" w:beforeAutospacing="off" w:after="240" w:afterAutospacing="off"/>
      </w:pPr>
      <w:r w:rsidRPr="550B8A88" w:rsidR="10D9FB72">
        <w:rPr>
          <w:rFonts w:ascii="Aptos" w:hAnsi="Aptos" w:eastAsia="Aptos" w:cs="Aptos"/>
          <w:noProof w:val="0"/>
          <w:sz w:val="24"/>
          <w:szCs w:val="24"/>
          <w:lang w:val="en-US"/>
        </w:rPr>
        <w:t xml:space="preserve">Anderson, R. J. (2020) </w:t>
      </w:r>
      <w:r w:rsidRPr="550B8A88" w:rsidR="10D9FB72">
        <w:rPr>
          <w:rFonts w:ascii="Aptos" w:hAnsi="Aptos" w:eastAsia="Aptos" w:cs="Aptos"/>
          <w:i w:val="1"/>
          <w:iCs w:val="1"/>
          <w:noProof w:val="0"/>
          <w:sz w:val="24"/>
          <w:szCs w:val="24"/>
          <w:lang w:val="en-US"/>
        </w:rPr>
        <w:t>Security engineering: A guide to building dependable distributed systems</w:t>
      </w:r>
      <w:r w:rsidRPr="550B8A88" w:rsidR="10D9FB72">
        <w:rPr>
          <w:rFonts w:ascii="Aptos" w:hAnsi="Aptos" w:eastAsia="Aptos" w:cs="Aptos"/>
          <w:noProof w:val="0"/>
          <w:sz w:val="24"/>
          <w:szCs w:val="24"/>
          <w:lang w:val="en-US"/>
        </w:rPr>
        <w:t xml:space="preserve"> (3rd edn). Wiley.</w:t>
      </w:r>
    </w:p>
    <w:p xmlns:wp14="http://schemas.microsoft.com/office/word/2010/wordml" w:rsidP="550B8A88" wp14:paraId="0F270827" wp14:textId="26478FEA">
      <w:pPr>
        <w:spacing w:before="240" w:beforeAutospacing="off" w:after="240" w:afterAutospacing="off"/>
      </w:pPr>
      <w:r w:rsidRPr="550B8A88" w:rsidR="10D9FB72">
        <w:rPr>
          <w:rFonts w:ascii="Aptos" w:hAnsi="Aptos" w:eastAsia="Aptos" w:cs="Aptos"/>
          <w:noProof w:val="0"/>
          <w:sz w:val="24"/>
          <w:szCs w:val="24"/>
          <w:lang w:val="en-US"/>
        </w:rPr>
        <w:t xml:space="preserve">Arner, D. W., Barberis, J. and Buckley, R. P. (2017) 'FinTech, RegTech, and the reconceptualisation of financial regulation', </w:t>
      </w:r>
      <w:r w:rsidRPr="550B8A88" w:rsidR="10D9FB72">
        <w:rPr>
          <w:rFonts w:ascii="Aptos" w:hAnsi="Aptos" w:eastAsia="Aptos" w:cs="Aptos"/>
          <w:i w:val="1"/>
          <w:iCs w:val="1"/>
          <w:noProof w:val="0"/>
          <w:sz w:val="24"/>
          <w:szCs w:val="24"/>
          <w:lang w:val="en-US"/>
        </w:rPr>
        <w:t>Northwestern Journal of International Law and Business</w:t>
      </w:r>
      <w:r w:rsidRPr="550B8A88" w:rsidR="10D9FB72">
        <w:rPr>
          <w:rFonts w:ascii="Aptos" w:hAnsi="Aptos" w:eastAsia="Aptos" w:cs="Aptos"/>
          <w:noProof w:val="0"/>
          <w:sz w:val="24"/>
          <w:szCs w:val="24"/>
          <w:lang w:val="en-US"/>
        </w:rPr>
        <w:t>, 37(3), pp. 371–413.</w:t>
      </w:r>
    </w:p>
    <w:p xmlns:wp14="http://schemas.microsoft.com/office/word/2010/wordml" w:rsidP="550B8A88" wp14:paraId="1648310D" wp14:textId="67CC5892">
      <w:pPr>
        <w:spacing w:before="240" w:beforeAutospacing="off" w:after="240" w:afterAutospacing="off"/>
      </w:pPr>
      <w:r w:rsidRPr="550B8A88" w:rsidR="10D9FB72">
        <w:rPr>
          <w:rFonts w:ascii="Aptos" w:hAnsi="Aptos" w:eastAsia="Aptos" w:cs="Aptos"/>
          <w:noProof w:val="0"/>
          <w:sz w:val="24"/>
          <w:szCs w:val="24"/>
          <w:lang w:val="en-US"/>
        </w:rPr>
        <w:t xml:space="preserve">Arthur Cox LLP (2025) </w:t>
      </w:r>
      <w:r w:rsidRPr="550B8A88" w:rsidR="10D9FB72">
        <w:rPr>
          <w:rFonts w:ascii="Aptos" w:hAnsi="Aptos" w:eastAsia="Aptos" w:cs="Aptos"/>
          <w:i w:val="1"/>
          <w:iCs w:val="1"/>
          <w:noProof w:val="0"/>
          <w:sz w:val="24"/>
          <w:szCs w:val="24"/>
          <w:lang w:val="en-US"/>
        </w:rPr>
        <w:t>Operational resilience 2.0: How DORA is reshaping operational resilience in Ireland</w:t>
      </w:r>
      <w:r w:rsidRPr="550B8A88" w:rsidR="10D9FB72">
        <w:rPr>
          <w:rFonts w:ascii="Aptos" w:hAnsi="Aptos" w:eastAsia="Aptos" w:cs="Aptos"/>
          <w:noProof w:val="0"/>
          <w:sz w:val="24"/>
          <w:szCs w:val="24"/>
          <w:lang w:val="en-US"/>
        </w:rPr>
        <w:t xml:space="preserve">. Available at: </w:t>
      </w:r>
      <w:hyperlink r:id="R149d9f8fd8a245e5">
        <w:r w:rsidRPr="550B8A88" w:rsidR="10D9FB72">
          <w:rPr>
            <w:rStyle w:val="Hyperlink"/>
            <w:rFonts w:ascii="Aptos" w:hAnsi="Aptos" w:eastAsia="Aptos" w:cs="Aptos"/>
            <w:noProof w:val="0"/>
            <w:sz w:val="24"/>
            <w:szCs w:val="24"/>
            <w:lang w:val="en-US"/>
          </w:rPr>
          <w:t>https://www.arthurcox.com/insights/operational-resilience-2-0-how-dora-is-reshaping-operational-resilience-in-ireland</w:t>
        </w:r>
      </w:hyperlink>
      <w:r w:rsidRPr="550B8A88" w:rsidR="10D9FB72">
        <w:rPr>
          <w:rFonts w:ascii="Aptos" w:hAnsi="Aptos" w:eastAsia="Aptos" w:cs="Aptos"/>
          <w:noProof w:val="0"/>
          <w:sz w:val="24"/>
          <w:szCs w:val="24"/>
          <w:lang w:val="en-US"/>
        </w:rPr>
        <w:t xml:space="preserve"> (Accessed: 10 March 2025).</w:t>
      </w:r>
    </w:p>
    <w:p xmlns:wp14="http://schemas.microsoft.com/office/word/2010/wordml" w:rsidP="550B8A88" wp14:paraId="38F26036" wp14:textId="42CEDF84">
      <w:pPr>
        <w:spacing w:before="240" w:beforeAutospacing="off" w:after="240" w:afterAutospacing="off"/>
      </w:pPr>
      <w:r w:rsidRPr="550B8A88" w:rsidR="10D9FB72">
        <w:rPr>
          <w:rFonts w:ascii="Aptos" w:hAnsi="Aptos" w:eastAsia="Aptos" w:cs="Aptos"/>
          <w:noProof w:val="0"/>
          <w:sz w:val="24"/>
          <w:szCs w:val="24"/>
          <w:lang w:val="en-US"/>
        </w:rPr>
        <w:t xml:space="preserve">Bass, L., Clements, P. and Kazman, R. (2021) </w:t>
      </w:r>
      <w:r w:rsidRPr="550B8A88" w:rsidR="10D9FB72">
        <w:rPr>
          <w:rFonts w:ascii="Aptos" w:hAnsi="Aptos" w:eastAsia="Aptos" w:cs="Aptos"/>
          <w:i w:val="1"/>
          <w:iCs w:val="1"/>
          <w:noProof w:val="0"/>
          <w:sz w:val="24"/>
          <w:szCs w:val="24"/>
          <w:lang w:val="en-US"/>
        </w:rPr>
        <w:t>Software architecture in practice</w:t>
      </w:r>
      <w:r w:rsidRPr="550B8A88" w:rsidR="10D9FB72">
        <w:rPr>
          <w:rFonts w:ascii="Aptos" w:hAnsi="Aptos" w:eastAsia="Aptos" w:cs="Aptos"/>
          <w:noProof w:val="0"/>
          <w:sz w:val="24"/>
          <w:szCs w:val="24"/>
          <w:lang w:val="en-US"/>
        </w:rPr>
        <w:t xml:space="preserve"> (4th edn). Addison-Wesley.</w:t>
      </w:r>
    </w:p>
    <w:p xmlns:wp14="http://schemas.microsoft.com/office/word/2010/wordml" w:rsidP="550B8A88" wp14:paraId="4FD807A2" wp14:textId="795855BE">
      <w:pPr>
        <w:spacing w:before="240" w:beforeAutospacing="off" w:after="240" w:afterAutospacing="off"/>
      </w:pPr>
      <w:r w:rsidRPr="550B8A88" w:rsidR="10D9FB72">
        <w:rPr>
          <w:rFonts w:ascii="Aptos" w:hAnsi="Aptos" w:eastAsia="Aptos" w:cs="Aptos"/>
          <w:noProof w:val="0"/>
          <w:sz w:val="24"/>
          <w:szCs w:val="24"/>
          <w:lang w:val="en-US"/>
        </w:rPr>
        <w:t xml:space="preserve">Bezemer, C. P., Zaidman, A., Platzbeecker, B., Hurkmans, T. and Hart, A. (2010) 'Enabling multi-tenancy: An industrial experience report', </w:t>
      </w:r>
      <w:r w:rsidRPr="550B8A88" w:rsidR="10D9FB72">
        <w:rPr>
          <w:rFonts w:ascii="Aptos" w:hAnsi="Aptos" w:eastAsia="Aptos" w:cs="Aptos"/>
          <w:i w:val="1"/>
          <w:iCs w:val="1"/>
          <w:noProof w:val="0"/>
          <w:sz w:val="24"/>
          <w:szCs w:val="24"/>
          <w:lang w:val="en-US"/>
        </w:rPr>
        <w:t>Proceedings of the 2010 IEEE International Conference on Software Maintenance</w:t>
      </w:r>
      <w:r w:rsidRPr="550B8A88" w:rsidR="10D9FB72">
        <w:rPr>
          <w:rFonts w:ascii="Aptos" w:hAnsi="Aptos" w:eastAsia="Aptos" w:cs="Aptos"/>
          <w:noProof w:val="0"/>
          <w:sz w:val="24"/>
          <w:szCs w:val="24"/>
          <w:lang w:val="en-US"/>
        </w:rPr>
        <w:t>, pp. 1–8.</w:t>
      </w:r>
    </w:p>
    <w:p xmlns:wp14="http://schemas.microsoft.com/office/word/2010/wordml" w:rsidP="550B8A88" wp14:paraId="5DE2C547" wp14:textId="05D1D272">
      <w:pPr>
        <w:spacing w:before="240" w:beforeAutospacing="off" w:after="240" w:afterAutospacing="off"/>
      </w:pPr>
      <w:r w:rsidRPr="550B8A88" w:rsidR="10D9FB72">
        <w:rPr>
          <w:rFonts w:ascii="Aptos" w:hAnsi="Aptos" w:eastAsia="Aptos" w:cs="Aptos"/>
          <w:noProof w:val="0"/>
          <w:sz w:val="24"/>
          <w:szCs w:val="24"/>
          <w:lang w:val="en-US"/>
        </w:rPr>
        <w:t xml:space="preserve">Bhurat, N. D. (2025) </w:t>
      </w:r>
      <w:r w:rsidRPr="550B8A88" w:rsidR="10D9FB72">
        <w:rPr>
          <w:rFonts w:ascii="Aptos" w:hAnsi="Aptos" w:eastAsia="Aptos" w:cs="Aptos"/>
          <w:i w:val="1"/>
          <w:iCs w:val="1"/>
          <w:noProof w:val="0"/>
          <w:sz w:val="24"/>
          <w:szCs w:val="24"/>
          <w:lang w:val="en-US"/>
        </w:rPr>
        <w:t>The impact of regulatory technology innovations on compliance costs in SMEs</w:t>
      </w:r>
      <w:r w:rsidRPr="550B8A88" w:rsidR="10D9FB72">
        <w:rPr>
          <w:rFonts w:ascii="Aptos" w:hAnsi="Aptos" w:eastAsia="Aptos" w:cs="Aptos"/>
          <w:noProof w:val="0"/>
          <w:sz w:val="24"/>
          <w:szCs w:val="24"/>
          <w:lang w:val="en-US"/>
        </w:rPr>
        <w:t xml:space="preserve"> [Master's thesis, National College of Ireland]. NORMA@NCI. Available at: </w:t>
      </w:r>
      <w:hyperlink r:id="R1157c18867474c18">
        <w:r w:rsidRPr="550B8A88" w:rsidR="10D9FB72">
          <w:rPr>
            <w:rStyle w:val="Hyperlink"/>
            <w:rFonts w:ascii="Aptos" w:hAnsi="Aptos" w:eastAsia="Aptos" w:cs="Aptos"/>
            <w:noProof w:val="0"/>
            <w:sz w:val="24"/>
            <w:szCs w:val="24"/>
            <w:lang w:val="en-US"/>
          </w:rPr>
          <w:t>https://norma.ncirl.ie/8415</w:t>
        </w:r>
      </w:hyperlink>
      <w:r w:rsidRPr="550B8A88" w:rsidR="10D9FB72">
        <w:rPr>
          <w:rFonts w:ascii="Aptos" w:hAnsi="Aptos" w:eastAsia="Aptos" w:cs="Aptos"/>
          <w:noProof w:val="0"/>
          <w:sz w:val="24"/>
          <w:szCs w:val="24"/>
          <w:lang w:val="en-US"/>
        </w:rPr>
        <w:t xml:space="preserve"> (Accessed: 15 March 2025).</w:t>
      </w:r>
    </w:p>
    <w:p xmlns:wp14="http://schemas.microsoft.com/office/word/2010/wordml" w:rsidP="550B8A88" wp14:paraId="48F9303A" wp14:textId="33112F72">
      <w:pPr>
        <w:spacing w:before="240" w:beforeAutospacing="off" w:after="240" w:afterAutospacing="off"/>
      </w:pPr>
      <w:r w:rsidRPr="550B8A88" w:rsidR="10D9FB72">
        <w:rPr>
          <w:rFonts w:ascii="Aptos" w:hAnsi="Aptos" w:eastAsia="Aptos" w:cs="Aptos"/>
          <w:noProof w:val="0"/>
          <w:sz w:val="24"/>
          <w:szCs w:val="24"/>
          <w:lang w:val="en-US"/>
        </w:rPr>
        <w:t xml:space="preserve">Boehm, F. and Cole, M. (2022) 'Third-party vendor risk management in financial institutions: A framework analysis', </w:t>
      </w:r>
      <w:r w:rsidRPr="550B8A88" w:rsidR="10D9FB72">
        <w:rPr>
          <w:rFonts w:ascii="Aptos" w:hAnsi="Aptos" w:eastAsia="Aptos" w:cs="Aptos"/>
          <w:i w:val="1"/>
          <w:iCs w:val="1"/>
          <w:noProof w:val="0"/>
          <w:sz w:val="24"/>
          <w:szCs w:val="24"/>
          <w:lang w:val="en-US"/>
        </w:rPr>
        <w:t>Journal of Operational Risk</w:t>
      </w:r>
      <w:r w:rsidRPr="550B8A88" w:rsidR="10D9FB72">
        <w:rPr>
          <w:rFonts w:ascii="Aptos" w:hAnsi="Aptos" w:eastAsia="Aptos" w:cs="Aptos"/>
          <w:noProof w:val="0"/>
          <w:sz w:val="24"/>
          <w:szCs w:val="24"/>
          <w:lang w:val="en-US"/>
        </w:rPr>
        <w:t>, 17(2), pp. 1–28.</w:t>
      </w:r>
    </w:p>
    <w:p xmlns:wp14="http://schemas.microsoft.com/office/word/2010/wordml" w:rsidP="550B8A88" wp14:paraId="5C60BBDF" wp14:textId="1D948AFC">
      <w:pPr>
        <w:spacing w:before="240" w:beforeAutospacing="off" w:after="240" w:afterAutospacing="off"/>
      </w:pPr>
      <w:r w:rsidRPr="550B8A88" w:rsidR="10D9FB72">
        <w:rPr>
          <w:rFonts w:ascii="Aptos" w:hAnsi="Aptos" w:eastAsia="Aptos" w:cs="Aptos"/>
          <w:noProof w:val="0"/>
          <w:sz w:val="24"/>
          <w:szCs w:val="24"/>
          <w:lang w:val="en-US"/>
        </w:rPr>
        <w:t xml:space="preserve">Boyson, S. (2014) 'Cyber supply chain risk management: Revolutionising the strategic control of critical IT systems', </w:t>
      </w:r>
      <w:r w:rsidRPr="550B8A88" w:rsidR="10D9FB72">
        <w:rPr>
          <w:rFonts w:ascii="Aptos" w:hAnsi="Aptos" w:eastAsia="Aptos" w:cs="Aptos"/>
          <w:i w:val="1"/>
          <w:iCs w:val="1"/>
          <w:noProof w:val="0"/>
          <w:sz w:val="24"/>
          <w:szCs w:val="24"/>
          <w:lang w:val="en-US"/>
        </w:rPr>
        <w:t>Technovation</w:t>
      </w:r>
      <w:r w:rsidRPr="550B8A88" w:rsidR="10D9FB72">
        <w:rPr>
          <w:rFonts w:ascii="Aptos" w:hAnsi="Aptos" w:eastAsia="Aptos" w:cs="Aptos"/>
          <w:noProof w:val="0"/>
          <w:sz w:val="24"/>
          <w:szCs w:val="24"/>
          <w:lang w:val="en-US"/>
        </w:rPr>
        <w:t>, 34(7), pp. 342–353.</w:t>
      </w:r>
    </w:p>
    <w:p xmlns:wp14="http://schemas.microsoft.com/office/word/2010/wordml" w:rsidP="550B8A88" wp14:paraId="0924C967" wp14:textId="70970E8C">
      <w:pPr>
        <w:spacing w:before="240" w:beforeAutospacing="off" w:after="240" w:afterAutospacing="off"/>
      </w:pPr>
      <w:r w:rsidRPr="550B8A88" w:rsidR="10D9FB72">
        <w:rPr>
          <w:rFonts w:ascii="Aptos" w:hAnsi="Aptos" w:eastAsia="Aptos" w:cs="Aptos"/>
          <w:noProof w:val="0"/>
          <w:sz w:val="24"/>
          <w:szCs w:val="24"/>
          <w:lang w:val="en-US"/>
        </w:rPr>
        <w:t xml:space="preserve">Brennan, R., Attard, J. and Clancy, T. (2024) 'AI-assisted regulatory compliance in financial services: Opportunities and governance challenges', </w:t>
      </w:r>
      <w:r w:rsidRPr="550B8A88" w:rsidR="10D9FB72">
        <w:rPr>
          <w:rFonts w:ascii="Aptos" w:hAnsi="Aptos" w:eastAsia="Aptos" w:cs="Aptos"/>
          <w:i w:val="1"/>
          <w:iCs w:val="1"/>
          <w:noProof w:val="0"/>
          <w:sz w:val="24"/>
          <w:szCs w:val="24"/>
          <w:lang w:val="en-US"/>
        </w:rPr>
        <w:t>Journal of Financial Regulation</w:t>
      </w:r>
      <w:r w:rsidRPr="550B8A88" w:rsidR="10D9FB72">
        <w:rPr>
          <w:rFonts w:ascii="Aptos" w:hAnsi="Aptos" w:eastAsia="Aptos" w:cs="Aptos"/>
          <w:noProof w:val="0"/>
          <w:sz w:val="24"/>
          <w:szCs w:val="24"/>
          <w:lang w:val="en-US"/>
        </w:rPr>
        <w:t>, 10(1), pp. 45–72.</w:t>
      </w:r>
    </w:p>
    <w:p xmlns:wp14="http://schemas.microsoft.com/office/word/2010/wordml" w:rsidP="550B8A88" wp14:paraId="0C1F0EC7" wp14:textId="12D74774">
      <w:pPr>
        <w:spacing w:before="240" w:beforeAutospacing="off" w:after="240" w:afterAutospacing="off"/>
      </w:pPr>
      <w:r w:rsidRPr="550B8A88" w:rsidR="10D9FB72">
        <w:rPr>
          <w:rFonts w:ascii="Aptos" w:hAnsi="Aptos" w:eastAsia="Aptos" w:cs="Aptos"/>
          <w:noProof w:val="0"/>
          <w:sz w:val="24"/>
          <w:szCs w:val="24"/>
          <w:lang w:val="en-US"/>
        </w:rPr>
        <w:t xml:space="preserve">Butler, T. and O'Brien, L. (2019) 'Understanding RegTech for digital regulatory compliance', in T. Lynn, J. G. Mooney, P. Rosati and M. Cummins (eds.), </w:t>
      </w:r>
      <w:r w:rsidRPr="550B8A88" w:rsidR="10D9FB72">
        <w:rPr>
          <w:rFonts w:ascii="Aptos" w:hAnsi="Aptos" w:eastAsia="Aptos" w:cs="Aptos"/>
          <w:i w:val="1"/>
          <w:iCs w:val="1"/>
          <w:noProof w:val="0"/>
          <w:sz w:val="24"/>
          <w:szCs w:val="24"/>
          <w:lang w:val="en-US"/>
        </w:rPr>
        <w:t>Disrupting finance: FinTech and strategy in the 21st century</w:t>
      </w:r>
      <w:r w:rsidRPr="550B8A88" w:rsidR="10D9FB72">
        <w:rPr>
          <w:rFonts w:ascii="Aptos" w:hAnsi="Aptos" w:eastAsia="Aptos" w:cs="Aptos"/>
          <w:noProof w:val="0"/>
          <w:sz w:val="24"/>
          <w:szCs w:val="24"/>
          <w:lang w:val="en-US"/>
        </w:rPr>
        <w:t>. Palgrave Macmillan, pp. 85–102.</w:t>
      </w:r>
    </w:p>
    <w:p xmlns:wp14="http://schemas.microsoft.com/office/word/2010/wordml" w:rsidP="550B8A88" wp14:paraId="69F850F0" wp14:textId="1E59AA7A">
      <w:pPr>
        <w:spacing w:before="240" w:beforeAutospacing="off" w:after="240" w:afterAutospacing="off"/>
      </w:pPr>
      <w:r w:rsidRPr="550B8A88" w:rsidR="10D9FB72">
        <w:rPr>
          <w:rFonts w:ascii="Aptos" w:hAnsi="Aptos" w:eastAsia="Aptos" w:cs="Aptos"/>
          <w:noProof w:val="0"/>
          <w:sz w:val="24"/>
          <w:szCs w:val="24"/>
          <w:lang w:val="en-US"/>
        </w:rPr>
        <w:t xml:space="preserve">Central Bank of Ireland (2024a) </w:t>
      </w:r>
      <w:r w:rsidRPr="550B8A88" w:rsidR="10D9FB72">
        <w:rPr>
          <w:rFonts w:ascii="Aptos" w:hAnsi="Aptos" w:eastAsia="Aptos" w:cs="Aptos"/>
          <w:i w:val="1"/>
          <w:iCs w:val="1"/>
          <w:noProof w:val="0"/>
          <w:sz w:val="24"/>
          <w:szCs w:val="24"/>
          <w:lang w:val="en-US"/>
        </w:rPr>
        <w:t>Digital Operational Resilience Act (DORA)</w:t>
      </w:r>
      <w:r w:rsidRPr="550B8A88" w:rsidR="10D9FB72">
        <w:rPr>
          <w:rFonts w:ascii="Aptos" w:hAnsi="Aptos" w:eastAsia="Aptos" w:cs="Aptos"/>
          <w:noProof w:val="0"/>
          <w:sz w:val="24"/>
          <w:szCs w:val="24"/>
          <w:lang w:val="en-US"/>
        </w:rPr>
        <w:t xml:space="preserve">. Available at: </w:t>
      </w:r>
      <w:hyperlink r:id="Ra77dc9ce8d2045d7">
        <w:r w:rsidRPr="550B8A88" w:rsidR="10D9FB72">
          <w:rPr>
            <w:rStyle w:val="Hyperlink"/>
            <w:rFonts w:ascii="Aptos" w:hAnsi="Aptos" w:eastAsia="Aptos" w:cs="Aptos"/>
            <w:noProof w:val="0"/>
            <w:sz w:val="24"/>
            <w:szCs w:val="24"/>
            <w:lang w:val="en-US"/>
          </w:rPr>
          <w:t>https://www.centralbank.ie/regulation/digital-operational-resilience-act-dora</w:t>
        </w:r>
      </w:hyperlink>
      <w:r w:rsidRPr="550B8A88" w:rsidR="10D9FB72">
        <w:rPr>
          <w:rFonts w:ascii="Aptos" w:hAnsi="Aptos" w:eastAsia="Aptos" w:cs="Aptos"/>
          <w:noProof w:val="0"/>
          <w:sz w:val="24"/>
          <w:szCs w:val="24"/>
          <w:lang w:val="en-US"/>
        </w:rPr>
        <w:t xml:space="preserve"> (Accessed: 10 March 2025).</w:t>
      </w:r>
    </w:p>
    <w:p xmlns:wp14="http://schemas.microsoft.com/office/word/2010/wordml" w:rsidP="550B8A88" wp14:paraId="6CD70F85" wp14:textId="11D155E8">
      <w:pPr>
        <w:spacing w:before="240" w:beforeAutospacing="off" w:after="240" w:afterAutospacing="off"/>
      </w:pPr>
      <w:r w:rsidRPr="550B8A88" w:rsidR="10D9FB72">
        <w:rPr>
          <w:rFonts w:ascii="Aptos" w:hAnsi="Aptos" w:eastAsia="Aptos" w:cs="Aptos"/>
          <w:noProof w:val="0"/>
          <w:sz w:val="24"/>
          <w:szCs w:val="24"/>
          <w:lang w:val="en-US"/>
        </w:rPr>
        <w:t xml:space="preserve">Central Bank of Ireland (2024b) </w:t>
      </w:r>
      <w:r w:rsidRPr="550B8A88" w:rsidR="10D9FB72">
        <w:rPr>
          <w:rFonts w:ascii="Aptos" w:hAnsi="Aptos" w:eastAsia="Aptos" w:cs="Aptos"/>
          <w:i w:val="1"/>
          <w:iCs w:val="1"/>
          <w:noProof w:val="0"/>
          <w:sz w:val="24"/>
          <w:szCs w:val="24"/>
          <w:lang w:val="en-US"/>
        </w:rPr>
        <w:t>Annual Report 2023</w:t>
      </w:r>
      <w:r w:rsidRPr="550B8A88" w:rsidR="10D9FB72">
        <w:rPr>
          <w:rFonts w:ascii="Aptos" w:hAnsi="Aptos" w:eastAsia="Aptos" w:cs="Aptos"/>
          <w:noProof w:val="0"/>
          <w:sz w:val="24"/>
          <w:szCs w:val="24"/>
          <w:lang w:val="en-US"/>
        </w:rPr>
        <w:t xml:space="preserve">. Available at: </w:t>
      </w:r>
      <w:hyperlink r:id="R2d379981fa01437e">
        <w:r w:rsidRPr="550B8A88" w:rsidR="10D9FB72">
          <w:rPr>
            <w:rStyle w:val="Hyperlink"/>
            <w:rFonts w:ascii="Aptos" w:hAnsi="Aptos" w:eastAsia="Aptos" w:cs="Aptos"/>
            <w:noProof w:val="0"/>
            <w:sz w:val="24"/>
            <w:szCs w:val="24"/>
            <w:lang w:val="en-US"/>
          </w:rPr>
          <w:t>https://www.centralbank.ie/publication/annual-reports/annual-report-2023</w:t>
        </w:r>
      </w:hyperlink>
      <w:r w:rsidRPr="550B8A88" w:rsidR="10D9FB72">
        <w:rPr>
          <w:rFonts w:ascii="Aptos" w:hAnsi="Aptos" w:eastAsia="Aptos" w:cs="Aptos"/>
          <w:noProof w:val="0"/>
          <w:sz w:val="24"/>
          <w:szCs w:val="24"/>
          <w:lang w:val="en-US"/>
        </w:rPr>
        <w:t xml:space="preserve"> (Accessed: 10 March 2025).</w:t>
      </w:r>
    </w:p>
    <w:p xmlns:wp14="http://schemas.microsoft.com/office/word/2010/wordml" w:rsidP="550B8A88" wp14:paraId="19381362" wp14:textId="5C7879A3">
      <w:pPr>
        <w:spacing w:before="240" w:beforeAutospacing="off" w:after="240" w:afterAutospacing="off"/>
      </w:pPr>
      <w:r w:rsidRPr="550B8A88" w:rsidR="10D9FB72">
        <w:rPr>
          <w:rFonts w:ascii="Aptos" w:hAnsi="Aptos" w:eastAsia="Aptos" w:cs="Aptos"/>
          <w:noProof w:val="0"/>
          <w:sz w:val="24"/>
          <w:szCs w:val="24"/>
          <w:lang w:val="en-US"/>
        </w:rPr>
        <w:t xml:space="preserve">CISA (2023) </w:t>
      </w:r>
      <w:r w:rsidRPr="550B8A88" w:rsidR="10D9FB72">
        <w:rPr>
          <w:rFonts w:ascii="Aptos" w:hAnsi="Aptos" w:eastAsia="Aptos" w:cs="Aptos"/>
          <w:i w:val="1"/>
          <w:iCs w:val="1"/>
          <w:noProof w:val="0"/>
          <w:sz w:val="24"/>
          <w:szCs w:val="24"/>
          <w:lang w:val="en-US"/>
        </w:rPr>
        <w:t>StopRansomware: CL0P ransomware gang exploits CVE-2023-34362 MOVEit vulnerability</w:t>
      </w:r>
      <w:r w:rsidRPr="550B8A88" w:rsidR="10D9FB72">
        <w:rPr>
          <w:rFonts w:ascii="Aptos" w:hAnsi="Aptos" w:eastAsia="Aptos" w:cs="Aptos"/>
          <w:noProof w:val="0"/>
          <w:sz w:val="24"/>
          <w:szCs w:val="24"/>
          <w:lang w:val="en-US"/>
        </w:rPr>
        <w:t xml:space="preserve">. Cybersecurity and Infrastructure Security Agency. Available at: </w:t>
      </w:r>
      <w:hyperlink r:id="R40b20e9407684340">
        <w:r w:rsidRPr="550B8A88" w:rsidR="10D9FB72">
          <w:rPr>
            <w:rStyle w:val="Hyperlink"/>
            <w:rFonts w:ascii="Aptos" w:hAnsi="Aptos" w:eastAsia="Aptos" w:cs="Aptos"/>
            <w:noProof w:val="0"/>
            <w:sz w:val="24"/>
            <w:szCs w:val="24"/>
            <w:lang w:val="en-US"/>
          </w:rPr>
          <w:t>https://www.cisa.gov/news-events/cybersecurity-advisories/aa23-158a</w:t>
        </w:r>
      </w:hyperlink>
      <w:r w:rsidRPr="550B8A88" w:rsidR="10D9FB72">
        <w:rPr>
          <w:rFonts w:ascii="Aptos" w:hAnsi="Aptos" w:eastAsia="Aptos" w:cs="Aptos"/>
          <w:noProof w:val="0"/>
          <w:sz w:val="24"/>
          <w:szCs w:val="24"/>
          <w:lang w:val="en-US"/>
        </w:rPr>
        <w:t xml:space="preserve"> (Accessed: 15 March 2025).</w:t>
      </w:r>
    </w:p>
    <w:p xmlns:wp14="http://schemas.microsoft.com/office/word/2010/wordml" w:rsidP="550B8A88" wp14:paraId="4156EBB5" wp14:textId="3092CD41">
      <w:pPr>
        <w:spacing w:before="240" w:beforeAutospacing="off" w:after="240" w:afterAutospacing="off"/>
      </w:pPr>
      <w:r w:rsidRPr="550B8A88" w:rsidR="10D9FB72">
        <w:rPr>
          <w:rFonts w:ascii="Aptos" w:hAnsi="Aptos" w:eastAsia="Aptos" w:cs="Aptos"/>
          <w:noProof w:val="0"/>
          <w:sz w:val="24"/>
          <w:szCs w:val="24"/>
          <w:lang w:val="en-US"/>
        </w:rPr>
        <w:t xml:space="preserve">Chong, F. and Carraro, G. (2006) </w:t>
      </w:r>
      <w:r w:rsidRPr="550B8A88" w:rsidR="10D9FB72">
        <w:rPr>
          <w:rFonts w:ascii="Aptos" w:hAnsi="Aptos" w:eastAsia="Aptos" w:cs="Aptos"/>
          <w:i w:val="1"/>
          <w:iCs w:val="1"/>
          <w:noProof w:val="0"/>
          <w:sz w:val="24"/>
          <w:szCs w:val="24"/>
          <w:lang w:val="en-US"/>
        </w:rPr>
        <w:t>Architecture strategies for catching the long tail</w:t>
      </w:r>
      <w:r w:rsidRPr="550B8A88" w:rsidR="10D9FB72">
        <w:rPr>
          <w:rFonts w:ascii="Aptos" w:hAnsi="Aptos" w:eastAsia="Aptos" w:cs="Aptos"/>
          <w:noProof w:val="0"/>
          <w:sz w:val="24"/>
          <w:szCs w:val="24"/>
          <w:lang w:val="en-US"/>
        </w:rPr>
        <w:t>. Microsoft Architecture Journal. Microsoft Corporation.</w:t>
      </w:r>
    </w:p>
    <w:p xmlns:wp14="http://schemas.microsoft.com/office/word/2010/wordml" w:rsidP="550B8A88" wp14:paraId="17D1F0ED" wp14:textId="67E163F8">
      <w:pPr>
        <w:spacing w:before="240" w:beforeAutospacing="off" w:after="240" w:afterAutospacing="off"/>
      </w:pPr>
      <w:r w:rsidRPr="550B8A88" w:rsidR="10D9FB72">
        <w:rPr>
          <w:rFonts w:ascii="Aptos" w:hAnsi="Aptos" w:eastAsia="Aptos" w:cs="Aptos"/>
          <w:noProof w:val="0"/>
          <w:sz w:val="24"/>
          <w:szCs w:val="24"/>
          <w:lang w:val="en-US"/>
        </w:rPr>
        <w:t xml:space="preserve">Colicchia, C., Creazza, A., Noè, C. and Strozzi, F. (2019) 'Information sharing in supply chains: A review of risks and opportunities using the systematic literature network analysis', </w:t>
      </w:r>
      <w:r w:rsidRPr="550B8A88" w:rsidR="10D9FB72">
        <w:rPr>
          <w:rFonts w:ascii="Aptos" w:hAnsi="Aptos" w:eastAsia="Aptos" w:cs="Aptos"/>
          <w:i w:val="1"/>
          <w:iCs w:val="1"/>
          <w:noProof w:val="0"/>
          <w:sz w:val="24"/>
          <w:szCs w:val="24"/>
          <w:lang w:val="en-US"/>
        </w:rPr>
        <w:t>Supply Chain Management</w:t>
      </w:r>
      <w:r w:rsidRPr="550B8A88" w:rsidR="10D9FB72">
        <w:rPr>
          <w:rFonts w:ascii="Aptos" w:hAnsi="Aptos" w:eastAsia="Aptos" w:cs="Aptos"/>
          <w:noProof w:val="0"/>
          <w:sz w:val="24"/>
          <w:szCs w:val="24"/>
          <w:lang w:val="en-US"/>
        </w:rPr>
        <w:t>, 24(1), pp. 5–21.</w:t>
      </w:r>
    </w:p>
    <w:p xmlns:wp14="http://schemas.microsoft.com/office/word/2010/wordml" w:rsidP="550B8A88" wp14:paraId="25EAA96D" wp14:textId="33743193">
      <w:pPr>
        <w:spacing w:before="240" w:beforeAutospacing="off" w:after="240" w:afterAutospacing="off"/>
      </w:pPr>
      <w:r w:rsidRPr="550B8A88" w:rsidR="10D9FB72">
        <w:rPr>
          <w:rFonts w:ascii="Aptos" w:hAnsi="Aptos" w:eastAsia="Aptos" w:cs="Aptos"/>
          <w:noProof w:val="0"/>
          <w:sz w:val="24"/>
          <w:szCs w:val="24"/>
          <w:lang w:val="en-US"/>
        </w:rPr>
        <w:t xml:space="preserve">European Banking Authority (2019) </w:t>
      </w:r>
      <w:r w:rsidRPr="550B8A88" w:rsidR="10D9FB72">
        <w:rPr>
          <w:rFonts w:ascii="Aptos" w:hAnsi="Aptos" w:eastAsia="Aptos" w:cs="Aptos"/>
          <w:i w:val="1"/>
          <w:iCs w:val="1"/>
          <w:noProof w:val="0"/>
          <w:sz w:val="24"/>
          <w:szCs w:val="24"/>
          <w:lang w:val="en-US"/>
        </w:rPr>
        <w:t>EBA guidelines on outsourcing arrangements (EBA/GL/2019/02)</w:t>
      </w:r>
      <w:r w:rsidRPr="550B8A88" w:rsidR="10D9FB72">
        <w:rPr>
          <w:rFonts w:ascii="Aptos" w:hAnsi="Aptos" w:eastAsia="Aptos" w:cs="Aptos"/>
          <w:noProof w:val="0"/>
          <w:sz w:val="24"/>
          <w:szCs w:val="24"/>
          <w:lang w:val="en-US"/>
        </w:rPr>
        <w:t>. EBA.</w:t>
      </w:r>
    </w:p>
    <w:p xmlns:wp14="http://schemas.microsoft.com/office/word/2010/wordml" w:rsidP="550B8A88" wp14:paraId="2218130F" wp14:textId="4F947454">
      <w:pPr>
        <w:spacing w:before="240" w:beforeAutospacing="off" w:after="240" w:afterAutospacing="off"/>
      </w:pPr>
      <w:r w:rsidRPr="550B8A88" w:rsidR="10D9FB72">
        <w:rPr>
          <w:rFonts w:ascii="Aptos" w:hAnsi="Aptos" w:eastAsia="Aptos" w:cs="Aptos"/>
          <w:noProof w:val="0"/>
          <w:sz w:val="24"/>
          <w:szCs w:val="24"/>
          <w:lang w:val="en-US"/>
        </w:rPr>
        <w:t xml:space="preserve">European Banking Authority (2020) </w:t>
      </w:r>
      <w:r w:rsidRPr="550B8A88" w:rsidR="10D9FB72">
        <w:rPr>
          <w:rFonts w:ascii="Aptos" w:hAnsi="Aptos" w:eastAsia="Aptos" w:cs="Aptos"/>
          <w:i w:val="1"/>
          <w:iCs w:val="1"/>
          <w:noProof w:val="0"/>
          <w:sz w:val="24"/>
          <w:szCs w:val="24"/>
          <w:lang w:val="en-US"/>
        </w:rPr>
        <w:t>EBA guidelines on ICT and security risk management (EBA/GL/2019/04)</w:t>
      </w:r>
      <w:r w:rsidRPr="550B8A88" w:rsidR="10D9FB72">
        <w:rPr>
          <w:rFonts w:ascii="Aptos" w:hAnsi="Aptos" w:eastAsia="Aptos" w:cs="Aptos"/>
          <w:noProof w:val="0"/>
          <w:sz w:val="24"/>
          <w:szCs w:val="24"/>
          <w:lang w:val="en-US"/>
        </w:rPr>
        <w:t>. EBA.</w:t>
      </w:r>
    </w:p>
    <w:p xmlns:wp14="http://schemas.microsoft.com/office/word/2010/wordml" w:rsidP="550B8A88" wp14:paraId="27E2AEA8" wp14:textId="135B5AD0">
      <w:pPr>
        <w:spacing w:before="240" w:beforeAutospacing="off" w:after="240" w:afterAutospacing="off"/>
      </w:pPr>
      <w:r w:rsidRPr="550B8A88" w:rsidR="10D9FB72">
        <w:rPr>
          <w:rFonts w:ascii="Aptos" w:hAnsi="Aptos" w:eastAsia="Aptos" w:cs="Aptos"/>
          <w:noProof w:val="0"/>
          <w:sz w:val="24"/>
          <w:szCs w:val="24"/>
          <w:lang w:val="en-US"/>
        </w:rPr>
        <w:t xml:space="preserve">European Banking Authority (2023a) </w:t>
      </w:r>
      <w:r w:rsidRPr="550B8A88" w:rsidR="10D9FB72">
        <w:rPr>
          <w:rFonts w:ascii="Aptos" w:hAnsi="Aptos" w:eastAsia="Aptos" w:cs="Aptos"/>
          <w:i w:val="1"/>
          <w:iCs w:val="1"/>
          <w:noProof w:val="0"/>
          <w:sz w:val="24"/>
          <w:szCs w:val="24"/>
          <w:lang w:val="en-US"/>
        </w:rPr>
        <w:t>Final report on draft implementing technical standards on the Register of Information (EBA/ITS/2023/02)</w:t>
      </w:r>
      <w:r w:rsidRPr="550B8A88" w:rsidR="10D9FB72">
        <w:rPr>
          <w:rFonts w:ascii="Aptos" w:hAnsi="Aptos" w:eastAsia="Aptos" w:cs="Aptos"/>
          <w:noProof w:val="0"/>
          <w:sz w:val="24"/>
          <w:szCs w:val="24"/>
          <w:lang w:val="en-US"/>
        </w:rPr>
        <w:t xml:space="preserve">. Available at: </w:t>
      </w:r>
      <w:hyperlink r:id="Rcbce2ce6eabe4f3a">
        <w:r w:rsidRPr="550B8A88" w:rsidR="10D9FB72">
          <w:rPr>
            <w:rStyle w:val="Hyperlink"/>
            <w:rFonts w:ascii="Aptos" w:hAnsi="Aptos" w:eastAsia="Aptos" w:cs="Aptos"/>
            <w:noProof w:val="0"/>
            <w:sz w:val="24"/>
            <w:szCs w:val="24"/>
            <w:lang w:val="en-US"/>
          </w:rPr>
          <w:t>https://www.eba.europa.eu/publications-and-media/press-releases/eba-publishes-final-technical-standards-registers-information-under-dora</w:t>
        </w:r>
      </w:hyperlink>
      <w:r w:rsidRPr="550B8A88" w:rsidR="10D9FB72">
        <w:rPr>
          <w:rFonts w:ascii="Aptos" w:hAnsi="Aptos" w:eastAsia="Aptos" w:cs="Aptos"/>
          <w:noProof w:val="0"/>
          <w:sz w:val="24"/>
          <w:szCs w:val="24"/>
          <w:lang w:val="en-US"/>
        </w:rPr>
        <w:t xml:space="preserve"> (Accessed: 10 March 2025).</w:t>
      </w:r>
    </w:p>
    <w:p xmlns:wp14="http://schemas.microsoft.com/office/word/2010/wordml" w:rsidP="550B8A88" wp14:paraId="1CA02486" wp14:textId="079CF8B2">
      <w:pPr>
        <w:spacing w:before="240" w:beforeAutospacing="off" w:after="240" w:afterAutospacing="off"/>
      </w:pPr>
      <w:r w:rsidRPr="550B8A88" w:rsidR="10D9FB72">
        <w:rPr>
          <w:rFonts w:ascii="Aptos" w:hAnsi="Aptos" w:eastAsia="Aptos" w:cs="Aptos"/>
          <w:noProof w:val="0"/>
          <w:sz w:val="24"/>
          <w:szCs w:val="24"/>
          <w:lang w:val="en-US"/>
        </w:rPr>
        <w:t xml:space="preserve">European Banking Authority (2024a) </w:t>
      </w:r>
      <w:r w:rsidRPr="550B8A88" w:rsidR="10D9FB72">
        <w:rPr>
          <w:rFonts w:ascii="Aptos" w:hAnsi="Aptos" w:eastAsia="Aptos" w:cs="Aptos"/>
          <w:i w:val="1"/>
          <w:iCs w:val="1"/>
          <w:noProof w:val="0"/>
          <w:sz w:val="24"/>
          <w:szCs w:val="24"/>
          <w:lang w:val="en-US"/>
        </w:rPr>
        <w:t>Draft validation rules for DORA reporting of Register of Information</w:t>
      </w:r>
      <w:r w:rsidRPr="550B8A88" w:rsidR="10D9FB72">
        <w:rPr>
          <w:rFonts w:ascii="Aptos" w:hAnsi="Aptos" w:eastAsia="Aptos" w:cs="Aptos"/>
          <w:noProof w:val="0"/>
          <w:sz w:val="24"/>
          <w:szCs w:val="24"/>
          <w:lang w:val="en-US"/>
        </w:rPr>
        <w:t xml:space="preserve">. Available at: </w:t>
      </w:r>
      <w:hyperlink r:id="R85f2f4d0276a494d">
        <w:r w:rsidRPr="550B8A88" w:rsidR="10D9FB72">
          <w:rPr>
            <w:rStyle w:val="Hyperlink"/>
            <w:rFonts w:ascii="Aptos" w:hAnsi="Aptos" w:eastAsia="Aptos" w:cs="Aptos"/>
            <w:noProof w:val="0"/>
            <w:sz w:val="24"/>
            <w:szCs w:val="24"/>
            <w:lang w:val="en-US"/>
          </w:rPr>
          <w:t>https://www.eba.europa.eu/regulation-and-policy/operational-resilience</w:t>
        </w:r>
      </w:hyperlink>
      <w:r w:rsidRPr="550B8A88" w:rsidR="10D9FB72">
        <w:rPr>
          <w:rFonts w:ascii="Aptos" w:hAnsi="Aptos" w:eastAsia="Aptos" w:cs="Aptos"/>
          <w:noProof w:val="0"/>
          <w:sz w:val="24"/>
          <w:szCs w:val="24"/>
          <w:lang w:val="en-US"/>
        </w:rPr>
        <w:t xml:space="preserve"> (Accessed: 15 March 2025).</w:t>
      </w:r>
    </w:p>
    <w:p xmlns:wp14="http://schemas.microsoft.com/office/word/2010/wordml" w:rsidP="550B8A88" wp14:paraId="29C9AF5A" wp14:textId="6ABD3A5F">
      <w:pPr>
        <w:spacing w:before="240" w:beforeAutospacing="off" w:after="240" w:afterAutospacing="off"/>
      </w:pPr>
      <w:r w:rsidRPr="550B8A88" w:rsidR="10D9FB72">
        <w:rPr>
          <w:rFonts w:ascii="Aptos" w:hAnsi="Aptos" w:eastAsia="Aptos" w:cs="Aptos"/>
          <w:noProof w:val="0"/>
          <w:sz w:val="24"/>
          <w:szCs w:val="24"/>
          <w:lang w:val="en-US"/>
        </w:rPr>
        <w:t xml:space="preserve">European Commission (2016) </w:t>
      </w:r>
      <w:r w:rsidRPr="550B8A88" w:rsidR="10D9FB72">
        <w:rPr>
          <w:rFonts w:ascii="Aptos" w:hAnsi="Aptos" w:eastAsia="Aptos" w:cs="Aptos"/>
          <w:i w:val="1"/>
          <w:iCs w:val="1"/>
          <w:noProof w:val="0"/>
          <w:sz w:val="24"/>
          <w:szCs w:val="24"/>
          <w:lang w:val="en-US"/>
        </w:rPr>
        <w:t>Directive (EU) 2016/1148 of the European Parliament and of the Council concerning measures for a high common level of security of network and information systems across the Union</w:t>
      </w:r>
      <w:r w:rsidRPr="550B8A88" w:rsidR="10D9FB72">
        <w:rPr>
          <w:rFonts w:ascii="Aptos" w:hAnsi="Aptos" w:eastAsia="Aptos" w:cs="Aptos"/>
          <w:noProof w:val="0"/>
          <w:sz w:val="24"/>
          <w:szCs w:val="24"/>
          <w:lang w:val="en-US"/>
        </w:rPr>
        <w:t>. Official Journal of the European Union, L 194, pp. 1–30.</w:t>
      </w:r>
    </w:p>
    <w:p xmlns:wp14="http://schemas.microsoft.com/office/word/2010/wordml" w:rsidP="550B8A88" wp14:paraId="4E31B84E" wp14:textId="03D68D19">
      <w:pPr>
        <w:spacing w:before="240" w:beforeAutospacing="off" w:after="240" w:afterAutospacing="off"/>
      </w:pPr>
      <w:r w:rsidRPr="550B8A88" w:rsidR="10D9FB72">
        <w:rPr>
          <w:rFonts w:ascii="Aptos" w:hAnsi="Aptos" w:eastAsia="Aptos" w:cs="Aptos"/>
          <w:noProof w:val="0"/>
          <w:sz w:val="24"/>
          <w:szCs w:val="24"/>
          <w:lang w:val="en-US"/>
        </w:rPr>
        <w:t xml:space="preserve">European Commission (2020) </w:t>
      </w:r>
      <w:r w:rsidRPr="550B8A88" w:rsidR="10D9FB72">
        <w:rPr>
          <w:rFonts w:ascii="Aptos" w:hAnsi="Aptos" w:eastAsia="Aptos" w:cs="Aptos"/>
          <w:i w:val="1"/>
          <w:iCs w:val="1"/>
          <w:noProof w:val="0"/>
          <w:sz w:val="24"/>
          <w:szCs w:val="24"/>
          <w:lang w:val="en-US"/>
        </w:rPr>
        <w:t>Digital finance strategy for the EU</w:t>
      </w:r>
      <w:r w:rsidRPr="550B8A88" w:rsidR="10D9FB72">
        <w:rPr>
          <w:rFonts w:ascii="Aptos" w:hAnsi="Aptos" w:eastAsia="Aptos" w:cs="Aptos"/>
          <w:noProof w:val="0"/>
          <w:sz w:val="24"/>
          <w:szCs w:val="24"/>
          <w:lang w:val="en-US"/>
        </w:rPr>
        <w:t xml:space="preserve">. COM(2020) 591 final. Available at: </w:t>
      </w:r>
      <w:hyperlink r:id="R8b5b006b9329491a">
        <w:r w:rsidRPr="550B8A88" w:rsidR="10D9FB72">
          <w:rPr>
            <w:rStyle w:val="Hyperlink"/>
            <w:rFonts w:ascii="Aptos" w:hAnsi="Aptos" w:eastAsia="Aptos" w:cs="Aptos"/>
            <w:noProof w:val="0"/>
            <w:sz w:val="24"/>
            <w:szCs w:val="24"/>
            <w:lang w:val="en-US"/>
          </w:rPr>
          <w:t>https://ec.europa.eu/info/publications/200924-digital-finance-proposals_en</w:t>
        </w:r>
      </w:hyperlink>
      <w:r w:rsidRPr="550B8A88" w:rsidR="10D9FB72">
        <w:rPr>
          <w:rFonts w:ascii="Aptos" w:hAnsi="Aptos" w:eastAsia="Aptos" w:cs="Aptos"/>
          <w:noProof w:val="0"/>
          <w:sz w:val="24"/>
          <w:szCs w:val="24"/>
          <w:lang w:val="en-US"/>
        </w:rPr>
        <w:t xml:space="preserve"> (Accessed: 10 March 2025).</w:t>
      </w:r>
    </w:p>
    <w:p xmlns:wp14="http://schemas.microsoft.com/office/word/2010/wordml" w:rsidP="550B8A88" wp14:paraId="088E5475" wp14:textId="67E197AA">
      <w:pPr>
        <w:spacing w:before="240" w:beforeAutospacing="off" w:after="240" w:afterAutospacing="off"/>
      </w:pPr>
      <w:r w:rsidRPr="550B8A88" w:rsidR="10D9FB72">
        <w:rPr>
          <w:rFonts w:ascii="Aptos" w:hAnsi="Aptos" w:eastAsia="Aptos" w:cs="Aptos"/>
          <w:noProof w:val="0"/>
          <w:sz w:val="24"/>
          <w:szCs w:val="24"/>
          <w:lang w:val="en-US"/>
        </w:rPr>
        <w:t xml:space="preserve">European Commission (2022) </w:t>
      </w:r>
      <w:r w:rsidRPr="550B8A88" w:rsidR="10D9FB72">
        <w:rPr>
          <w:rFonts w:ascii="Aptos" w:hAnsi="Aptos" w:eastAsia="Aptos" w:cs="Aptos"/>
          <w:i w:val="1"/>
          <w:iCs w:val="1"/>
          <w:noProof w:val="0"/>
          <w:sz w:val="24"/>
          <w:szCs w:val="24"/>
          <w:lang w:val="en-US"/>
        </w:rPr>
        <w:t>Regulation (EU) 2022/2554 of the European Parliament and of the Council on digital operational resilience for the financial sector (DORA)</w:t>
      </w:r>
      <w:r w:rsidRPr="550B8A88" w:rsidR="10D9FB72">
        <w:rPr>
          <w:rFonts w:ascii="Aptos" w:hAnsi="Aptos" w:eastAsia="Aptos" w:cs="Aptos"/>
          <w:noProof w:val="0"/>
          <w:sz w:val="24"/>
          <w:szCs w:val="24"/>
          <w:lang w:val="en-US"/>
        </w:rPr>
        <w:t xml:space="preserve">. Official Journal of the European Union, L 333, pp. 1–79. Available at: </w:t>
      </w:r>
      <w:hyperlink r:id="Rb2d5592abe0b4961">
        <w:r w:rsidRPr="550B8A88" w:rsidR="10D9FB72">
          <w:rPr>
            <w:rStyle w:val="Hyperlink"/>
            <w:rFonts w:ascii="Aptos" w:hAnsi="Aptos" w:eastAsia="Aptos" w:cs="Aptos"/>
            <w:noProof w:val="0"/>
            <w:sz w:val="24"/>
            <w:szCs w:val="24"/>
            <w:lang w:val="en-US"/>
          </w:rPr>
          <w:t>https://eur-lex.europa.eu/legal-content/EN/TXT/?uri=CELEX:32022R2554</w:t>
        </w:r>
      </w:hyperlink>
      <w:r w:rsidRPr="550B8A88" w:rsidR="10D9FB72">
        <w:rPr>
          <w:rFonts w:ascii="Aptos" w:hAnsi="Aptos" w:eastAsia="Aptos" w:cs="Aptos"/>
          <w:noProof w:val="0"/>
          <w:sz w:val="24"/>
          <w:szCs w:val="24"/>
          <w:lang w:val="en-US"/>
        </w:rPr>
        <w:t xml:space="preserve"> (Accessed: 10 March 2025).</w:t>
      </w:r>
    </w:p>
    <w:p xmlns:wp14="http://schemas.microsoft.com/office/word/2010/wordml" w:rsidP="550B8A88" wp14:paraId="23004765" wp14:textId="779D6334">
      <w:pPr>
        <w:spacing w:before="240" w:beforeAutospacing="off" w:after="240" w:afterAutospacing="off"/>
      </w:pPr>
      <w:r w:rsidRPr="550B8A88" w:rsidR="10D9FB72">
        <w:rPr>
          <w:rFonts w:ascii="Aptos" w:hAnsi="Aptos" w:eastAsia="Aptos" w:cs="Aptos"/>
          <w:noProof w:val="0"/>
          <w:sz w:val="24"/>
          <w:szCs w:val="24"/>
          <w:lang w:val="en-US"/>
        </w:rPr>
        <w:t xml:space="preserve">European Supervisory Authorities (2024) </w:t>
      </w:r>
      <w:r w:rsidRPr="550B8A88" w:rsidR="10D9FB72">
        <w:rPr>
          <w:rFonts w:ascii="Aptos" w:hAnsi="Aptos" w:eastAsia="Aptos" w:cs="Aptos"/>
          <w:i w:val="1"/>
          <w:iCs w:val="1"/>
          <w:noProof w:val="0"/>
          <w:sz w:val="24"/>
          <w:szCs w:val="24"/>
          <w:lang w:val="en-US"/>
        </w:rPr>
        <w:t>Joint ESA report on the dry-run exercise for DORA Register of Information reporting (ESA 2024/35)</w:t>
      </w:r>
      <w:r w:rsidRPr="550B8A88" w:rsidR="10D9FB72">
        <w:rPr>
          <w:rFonts w:ascii="Aptos" w:hAnsi="Aptos" w:eastAsia="Aptos" w:cs="Aptos"/>
          <w:noProof w:val="0"/>
          <w:sz w:val="24"/>
          <w:szCs w:val="24"/>
          <w:lang w:val="en-US"/>
        </w:rPr>
        <w:t xml:space="preserve">. Available at: </w:t>
      </w:r>
      <w:hyperlink r:id="Rab21e41063fe4683">
        <w:r w:rsidRPr="550B8A88" w:rsidR="10D9FB72">
          <w:rPr>
            <w:rStyle w:val="Hyperlink"/>
            <w:rFonts w:ascii="Aptos" w:hAnsi="Aptos" w:eastAsia="Aptos" w:cs="Aptos"/>
            <w:noProof w:val="0"/>
            <w:sz w:val="24"/>
            <w:szCs w:val="24"/>
            <w:lang w:val="en-US"/>
          </w:rPr>
          <w:t>https://www.esma.europa.eu/sites/default/files/2024-12/ESA_2024_35_DORA_Dry_Run_exercise_summary_report.pdf</w:t>
        </w:r>
      </w:hyperlink>
      <w:r w:rsidRPr="550B8A88" w:rsidR="10D9FB72">
        <w:rPr>
          <w:rFonts w:ascii="Aptos" w:hAnsi="Aptos" w:eastAsia="Aptos" w:cs="Aptos"/>
          <w:noProof w:val="0"/>
          <w:sz w:val="24"/>
          <w:szCs w:val="24"/>
          <w:lang w:val="en-US"/>
        </w:rPr>
        <w:t xml:space="preserve"> (Accessed: 10 March 2025).</w:t>
      </w:r>
    </w:p>
    <w:p xmlns:wp14="http://schemas.microsoft.com/office/word/2010/wordml" w:rsidP="550B8A88" wp14:paraId="00ED1D28" wp14:textId="33CDFDF1">
      <w:pPr>
        <w:spacing w:before="240" w:beforeAutospacing="off" w:after="240" w:afterAutospacing="off"/>
      </w:pPr>
      <w:r w:rsidRPr="550B8A88" w:rsidR="10D9FB72">
        <w:rPr>
          <w:rFonts w:ascii="Aptos" w:hAnsi="Aptos" w:eastAsia="Aptos" w:cs="Aptos"/>
          <w:noProof w:val="0"/>
          <w:sz w:val="24"/>
          <w:szCs w:val="24"/>
          <w:lang w:val="en-US"/>
        </w:rPr>
        <w:t xml:space="preserve">European Systemic Risk Board (2022) </w:t>
      </w:r>
      <w:r w:rsidRPr="550B8A88" w:rsidR="10D9FB72">
        <w:rPr>
          <w:rFonts w:ascii="Aptos" w:hAnsi="Aptos" w:eastAsia="Aptos" w:cs="Aptos"/>
          <w:i w:val="1"/>
          <w:iCs w:val="1"/>
          <w:noProof w:val="0"/>
          <w:sz w:val="24"/>
          <w:szCs w:val="24"/>
          <w:lang w:val="en-US"/>
        </w:rPr>
        <w:t>Systemic cyber risk</w:t>
      </w:r>
      <w:r w:rsidRPr="550B8A88" w:rsidR="10D9FB72">
        <w:rPr>
          <w:rFonts w:ascii="Aptos" w:hAnsi="Aptos" w:eastAsia="Aptos" w:cs="Aptos"/>
          <w:noProof w:val="0"/>
          <w:sz w:val="24"/>
          <w:szCs w:val="24"/>
          <w:lang w:val="en-US"/>
        </w:rPr>
        <w:t xml:space="preserve"> (ESRB Occasional Paper No. 22). ESRB. Available at: </w:t>
      </w:r>
      <w:hyperlink r:id="R8e86d7526adc4201">
        <w:r w:rsidRPr="550B8A88" w:rsidR="10D9FB72">
          <w:rPr>
            <w:rStyle w:val="Hyperlink"/>
            <w:rFonts w:ascii="Aptos" w:hAnsi="Aptos" w:eastAsia="Aptos" w:cs="Aptos"/>
            <w:noProof w:val="0"/>
            <w:sz w:val="24"/>
            <w:szCs w:val="24"/>
            <w:lang w:val="en-US"/>
          </w:rPr>
          <w:t>https://www.esrb.europa.eu</w:t>
        </w:r>
      </w:hyperlink>
      <w:r w:rsidRPr="550B8A88" w:rsidR="10D9FB72">
        <w:rPr>
          <w:rFonts w:ascii="Aptos" w:hAnsi="Aptos" w:eastAsia="Aptos" w:cs="Aptos"/>
          <w:noProof w:val="0"/>
          <w:sz w:val="24"/>
          <w:szCs w:val="24"/>
          <w:lang w:val="en-US"/>
        </w:rPr>
        <w:t xml:space="preserve"> (Accessed: 10 March 2025).</w:t>
      </w:r>
    </w:p>
    <w:p xmlns:wp14="http://schemas.microsoft.com/office/word/2010/wordml" w:rsidP="550B8A88" wp14:paraId="641350DF" wp14:textId="75502E7A">
      <w:pPr>
        <w:spacing w:before="240" w:beforeAutospacing="off" w:after="240" w:afterAutospacing="off"/>
      </w:pPr>
      <w:r w:rsidRPr="550B8A88" w:rsidR="10D9FB72">
        <w:rPr>
          <w:rFonts w:ascii="Aptos" w:hAnsi="Aptos" w:eastAsia="Aptos" w:cs="Aptos"/>
          <w:noProof w:val="0"/>
          <w:sz w:val="24"/>
          <w:szCs w:val="24"/>
          <w:lang w:val="en-US"/>
        </w:rPr>
        <w:t xml:space="preserve">Fehling, C., Leymann, F., Retter, R., Schupeck, W. and Arbitter, P. (2014) </w:t>
      </w:r>
      <w:r w:rsidRPr="550B8A88" w:rsidR="10D9FB72">
        <w:rPr>
          <w:rFonts w:ascii="Aptos" w:hAnsi="Aptos" w:eastAsia="Aptos" w:cs="Aptos"/>
          <w:i w:val="1"/>
          <w:iCs w:val="1"/>
          <w:noProof w:val="0"/>
          <w:sz w:val="24"/>
          <w:szCs w:val="24"/>
          <w:lang w:val="en-US"/>
        </w:rPr>
        <w:t>Cloud computing patterns: Fundamentals to design, build, and manage cloud applications</w:t>
      </w:r>
      <w:r w:rsidRPr="550B8A88" w:rsidR="10D9FB72">
        <w:rPr>
          <w:rFonts w:ascii="Aptos" w:hAnsi="Aptos" w:eastAsia="Aptos" w:cs="Aptos"/>
          <w:noProof w:val="0"/>
          <w:sz w:val="24"/>
          <w:szCs w:val="24"/>
          <w:lang w:val="en-US"/>
        </w:rPr>
        <w:t>. Springer.</w:t>
      </w:r>
    </w:p>
    <w:p xmlns:wp14="http://schemas.microsoft.com/office/word/2010/wordml" w:rsidP="550B8A88" wp14:paraId="6072890A" wp14:textId="5A7D445F">
      <w:pPr>
        <w:spacing w:before="240" w:beforeAutospacing="off" w:after="240" w:afterAutospacing="off"/>
      </w:pPr>
      <w:r w:rsidRPr="550B8A88" w:rsidR="10D9FB72">
        <w:rPr>
          <w:rFonts w:ascii="Aptos" w:hAnsi="Aptos" w:eastAsia="Aptos" w:cs="Aptos"/>
          <w:noProof w:val="0"/>
          <w:sz w:val="24"/>
          <w:szCs w:val="24"/>
          <w:lang w:val="en-US"/>
        </w:rPr>
        <w:t xml:space="preserve">Fowler, M. (2002) </w:t>
      </w:r>
      <w:r w:rsidRPr="550B8A88" w:rsidR="10D9FB72">
        <w:rPr>
          <w:rFonts w:ascii="Aptos" w:hAnsi="Aptos" w:eastAsia="Aptos" w:cs="Aptos"/>
          <w:i w:val="1"/>
          <w:iCs w:val="1"/>
          <w:noProof w:val="0"/>
          <w:sz w:val="24"/>
          <w:szCs w:val="24"/>
          <w:lang w:val="en-US"/>
        </w:rPr>
        <w:t>Patterns of enterprise application architecture</w:t>
      </w:r>
      <w:r w:rsidRPr="550B8A88" w:rsidR="10D9FB72">
        <w:rPr>
          <w:rFonts w:ascii="Aptos" w:hAnsi="Aptos" w:eastAsia="Aptos" w:cs="Aptos"/>
          <w:noProof w:val="0"/>
          <w:sz w:val="24"/>
          <w:szCs w:val="24"/>
          <w:lang w:val="en-US"/>
        </w:rPr>
        <w:t>. Addison-Wesley.</w:t>
      </w:r>
    </w:p>
    <w:p xmlns:wp14="http://schemas.microsoft.com/office/word/2010/wordml" w:rsidP="550B8A88" wp14:paraId="544F3D13" wp14:textId="0807688A">
      <w:pPr>
        <w:spacing w:before="240" w:beforeAutospacing="off" w:after="240" w:afterAutospacing="off"/>
      </w:pPr>
      <w:r w:rsidRPr="550B8A88" w:rsidR="10D9FB72">
        <w:rPr>
          <w:rFonts w:ascii="Aptos" w:hAnsi="Aptos" w:eastAsia="Aptos" w:cs="Aptos"/>
          <w:noProof w:val="0"/>
          <w:sz w:val="24"/>
          <w:szCs w:val="24"/>
          <w:lang w:val="en-US"/>
        </w:rPr>
        <w:t xml:space="preserve">Galati, F., Ruggieri, R. and Galati, R. (2022) 'Digital transformation of SMEs: The impact of RegTech adoption', </w:t>
      </w:r>
      <w:r w:rsidRPr="550B8A88" w:rsidR="10D9FB72">
        <w:rPr>
          <w:rFonts w:ascii="Aptos" w:hAnsi="Aptos" w:eastAsia="Aptos" w:cs="Aptos"/>
          <w:i w:val="1"/>
          <w:iCs w:val="1"/>
          <w:noProof w:val="0"/>
          <w:sz w:val="24"/>
          <w:szCs w:val="24"/>
          <w:lang w:val="en-US"/>
        </w:rPr>
        <w:t>Journal of Small Business Management</w:t>
      </w:r>
      <w:r w:rsidRPr="550B8A88" w:rsidR="10D9FB72">
        <w:rPr>
          <w:rFonts w:ascii="Aptos" w:hAnsi="Aptos" w:eastAsia="Aptos" w:cs="Aptos"/>
          <w:noProof w:val="0"/>
          <w:sz w:val="24"/>
          <w:szCs w:val="24"/>
          <w:lang w:val="en-US"/>
        </w:rPr>
        <w:t>, 60(4), pp. 990–1012.</w:t>
      </w:r>
    </w:p>
    <w:p xmlns:wp14="http://schemas.microsoft.com/office/word/2010/wordml" w:rsidP="550B8A88" wp14:paraId="3FA8EA20" wp14:textId="2D1E0380">
      <w:pPr>
        <w:spacing w:before="240" w:beforeAutospacing="off" w:after="240" w:afterAutospacing="off"/>
      </w:pPr>
      <w:r w:rsidRPr="550B8A88" w:rsidR="10D9FB72">
        <w:rPr>
          <w:rFonts w:ascii="Aptos" w:hAnsi="Aptos" w:eastAsia="Aptos" w:cs="Aptos"/>
          <w:noProof w:val="0"/>
          <w:sz w:val="24"/>
          <w:szCs w:val="24"/>
          <w:lang w:val="en-US"/>
        </w:rPr>
        <w:t xml:space="preserve">Governatori, G., Hoffmann, J., Sadiq, S. and Weber, I. (2016) 'Detecting regulatory compliance for business process models through semantic annotations', in F. Daniel and F. M. Facchini (eds.), </w:t>
      </w:r>
      <w:r w:rsidRPr="550B8A88" w:rsidR="10D9FB72">
        <w:rPr>
          <w:rFonts w:ascii="Aptos" w:hAnsi="Aptos" w:eastAsia="Aptos" w:cs="Aptos"/>
          <w:i w:val="1"/>
          <w:iCs w:val="1"/>
          <w:noProof w:val="0"/>
          <w:sz w:val="24"/>
          <w:szCs w:val="24"/>
          <w:lang w:val="en-US"/>
        </w:rPr>
        <w:t>Business process management workshops</w:t>
      </w:r>
      <w:r w:rsidRPr="550B8A88" w:rsidR="10D9FB72">
        <w:rPr>
          <w:rFonts w:ascii="Aptos" w:hAnsi="Aptos" w:eastAsia="Aptos" w:cs="Aptos"/>
          <w:noProof w:val="0"/>
          <w:sz w:val="24"/>
          <w:szCs w:val="24"/>
          <w:lang w:val="en-US"/>
        </w:rPr>
        <w:t>. Springer, pp. 5–17.</w:t>
      </w:r>
    </w:p>
    <w:p xmlns:wp14="http://schemas.microsoft.com/office/word/2010/wordml" w:rsidP="550B8A88" wp14:paraId="608B43D2" wp14:textId="436421C7">
      <w:pPr>
        <w:spacing w:before="240" w:beforeAutospacing="off" w:after="240" w:afterAutospacing="off"/>
      </w:pPr>
      <w:r w:rsidRPr="550B8A88" w:rsidR="10D9FB72">
        <w:rPr>
          <w:rFonts w:ascii="Aptos" w:hAnsi="Aptos" w:eastAsia="Aptos" w:cs="Aptos"/>
          <w:noProof w:val="0"/>
          <w:sz w:val="24"/>
          <w:szCs w:val="24"/>
          <w:lang w:val="en-US"/>
        </w:rPr>
        <w:t xml:space="preserve">Hevner, A. R. (2007) 'A three cycle view of design science research', </w:t>
      </w:r>
      <w:r w:rsidRPr="550B8A88" w:rsidR="10D9FB72">
        <w:rPr>
          <w:rFonts w:ascii="Aptos" w:hAnsi="Aptos" w:eastAsia="Aptos" w:cs="Aptos"/>
          <w:i w:val="1"/>
          <w:iCs w:val="1"/>
          <w:noProof w:val="0"/>
          <w:sz w:val="24"/>
          <w:szCs w:val="24"/>
          <w:lang w:val="en-US"/>
        </w:rPr>
        <w:t>Scandinavian Journal of Information Systems</w:t>
      </w:r>
      <w:r w:rsidRPr="550B8A88" w:rsidR="10D9FB72">
        <w:rPr>
          <w:rFonts w:ascii="Aptos" w:hAnsi="Aptos" w:eastAsia="Aptos" w:cs="Aptos"/>
          <w:noProof w:val="0"/>
          <w:sz w:val="24"/>
          <w:szCs w:val="24"/>
          <w:lang w:val="en-US"/>
        </w:rPr>
        <w:t>, 19(2), pp. 87–92.</w:t>
      </w:r>
    </w:p>
    <w:p xmlns:wp14="http://schemas.microsoft.com/office/word/2010/wordml" w:rsidP="550B8A88" wp14:paraId="2880823C" wp14:textId="1218F114">
      <w:pPr>
        <w:spacing w:before="240" w:beforeAutospacing="off" w:after="240" w:afterAutospacing="off"/>
      </w:pPr>
      <w:r w:rsidRPr="550B8A88" w:rsidR="10D9FB72">
        <w:rPr>
          <w:rFonts w:ascii="Aptos" w:hAnsi="Aptos" w:eastAsia="Aptos" w:cs="Aptos"/>
          <w:noProof w:val="0"/>
          <w:sz w:val="24"/>
          <w:szCs w:val="24"/>
          <w:lang w:val="en-US"/>
        </w:rPr>
        <w:t xml:space="preserve">Hevner, A. R., March, S. T., Park, J. and Ram, S. (2004) 'Design science in information systems research', </w:t>
      </w:r>
      <w:r w:rsidRPr="550B8A88" w:rsidR="10D9FB72">
        <w:rPr>
          <w:rFonts w:ascii="Aptos" w:hAnsi="Aptos" w:eastAsia="Aptos" w:cs="Aptos"/>
          <w:i w:val="1"/>
          <w:iCs w:val="1"/>
          <w:noProof w:val="0"/>
          <w:sz w:val="24"/>
          <w:szCs w:val="24"/>
          <w:lang w:val="en-US"/>
        </w:rPr>
        <w:t>MIS Quarterly</w:t>
      </w:r>
      <w:r w:rsidRPr="550B8A88" w:rsidR="10D9FB72">
        <w:rPr>
          <w:rFonts w:ascii="Aptos" w:hAnsi="Aptos" w:eastAsia="Aptos" w:cs="Aptos"/>
          <w:noProof w:val="0"/>
          <w:sz w:val="24"/>
          <w:szCs w:val="24"/>
          <w:lang w:val="en-US"/>
        </w:rPr>
        <w:t>, 28(1), pp. 75–105.</w:t>
      </w:r>
    </w:p>
    <w:p xmlns:wp14="http://schemas.microsoft.com/office/word/2010/wordml" w:rsidP="550B8A88" wp14:paraId="00EE61A2" wp14:textId="60CDEC8D">
      <w:pPr>
        <w:spacing w:before="240" w:beforeAutospacing="off" w:after="240" w:afterAutospacing="off"/>
      </w:pPr>
      <w:r w:rsidRPr="550B8A88" w:rsidR="10D9FB72">
        <w:rPr>
          <w:rFonts w:ascii="Aptos" w:hAnsi="Aptos" w:eastAsia="Aptos" w:cs="Aptos"/>
          <w:noProof w:val="0"/>
          <w:sz w:val="24"/>
          <w:szCs w:val="24"/>
          <w:lang w:val="en-US"/>
        </w:rPr>
        <w:t xml:space="preserve">ISO (2022) </w:t>
      </w:r>
      <w:r w:rsidRPr="550B8A88" w:rsidR="10D9FB72">
        <w:rPr>
          <w:rFonts w:ascii="Aptos" w:hAnsi="Aptos" w:eastAsia="Aptos" w:cs="Aptos"/>
          <w:i w:val="1"/>
          <w:iCs w:val="1"/>
          <w:noProof w:val="0"/>
          <w:sz w:val="24"/>
          <w:szCs w:val="24"/>
          <w:lang w:val="en-US"/>
        </w:rPr>
        <w:t>ISO/IEC 27001:2022 — Information security, cybersecurity and privacy protection: Information security management systems — Requirements</w:t>
      </w:r>
      <w:r w:rsidRPr="550B8A88" w:rsidR="10D9FB72">
        <w:rPr>
          <w:rFonts w:ascii="Aptos" w:hAnsi="Aptos" w:eastAsia="Aptos" w:cs="Aptos"/>
          <w:noProof w:val="0"/>
          <w:sz w:val="24"/>
          <w:szCs w:val="24"/>
          <w:lang w:val="en-US"/>
        </w:rPr>
        <w:t>. International Organization for Standardization.</w:t>
      </w:r>
    </w:p>
    <w:p xmlns:wp14="http://schemas.microsoft.com/office/word/2010/wordml" w:rsidP="550B8A88" wp14:paraId="6CEB3581" wp14:textId="00333681">
      <w:pPr>
        <w:spacing w:before="240" w:beforeAutospacing="off" w:after="240" w:afterAutospacing="off"/>
      </w:pPr>
      <w:r w:rsidRPr="550B8A88" w:rsidR="10D9FB72">
        <w:rPr>
          <w:rFonts w:ascii="Aptos" w:hAnsi="Aptos" w:eastAsia="Aptos" w:cs="Aptos"/>
          <w:noProof w:val="0"/>
          <w:sz w:val="24"/>
          <w:szCs w:val="24"/>
          <w:lang w:val="en-US"/>
        </w:rPr>
        <w:t xml:space="preserve">Kharbili, M. E., Stein, S., Markovic, I. and Pulvermüller, E. (2008) 'Towards a framework for semantic business process compliance management', </w:t>
      </w:r>
      <w:r w:rsidRPr="550B8A88" w:rsidR="10D9FB72">
        <w:rPr>
          <w:rFonts w:ascii="Aptos" w:hAnsi="Aptos" w:eastAsia="Aptos" w:cs="Aptos"/>
          <w:i w:val="1"/>
          <w:iCs w:val="1"/>
          <w:noProof w:val="0"/>
          <w:sz w:val="24"/>
          <w:szCs w:val="24"/>
          <w:lang w:val="en-US"/>
        </w:rPr>
        <w:t>Proceedings of the GRCIS Workshop, CEUR Workshop Proceedings</w:t>
      </w:r>
      <w:r w:rsidRPr="550B8A88" w:rsidR="10D9FB72">
        <w:rPr>
          <w:rFonts w:ascii="Aptos" w:hAnsi="Aptos" w:eastAsia="Aptos" w:cs="Aptos"/>
          <w:noProof w:val="0"/>
          <w:sz w:val="24"/>
          <w:szCs w:val="24"/>
          <w:lang w:val="en-US"/>
        </w:rPr>
        <w:t>.</w:t>
      </w:r>
    </w:p>
    <w:p xmlns:wp14="http://schemas.microsoft.com/office/word/2010/wordml" w:rsidP="550B8A88" wp14:paraId="2D821F68" wp14:textId="313ED9FF">
      <w:pPr>
        <w:spacing w:before="240" w:beforeAutospacing="off" w:after="240" w:afterAutospacing="off"/>
      </w:pPr>
      <w:r w:rsidRPr="550B8A88" w:rsidR="10D9FB72">
        <w:rPr>
          <w:rFonts w:ascii="Aptos" w:hAnsi="Aptos" w:eastAsia="Aptos" w:cs="Aptos"/>
          <w:noProof w:val="0"/>
          <w:sz w:val="24"/>
          <w:szCs w:val="24"/>
          <w:lang w:val="en-US"/>
        </w:rPr>
        <w:t xml:space="preserve">Lacity, M. and Willcocks, L. (2017) 'Robotic process automation and cognitive automation in the financial services sector', </w:t>
      </w:r>
      <w:r w:rsidRPr="550B8A88" w:rsidR="10D9FB72">
        <w:rPr>
          <w:rFonts w:ascii="Aptos" w:hAnsi="Aptos" w:eastAsia="Aptos" w:cs="Aptos"/>
          <w:i w:val="1"/>
          <w:iCs w:val="1"/>
          <w:noProof w:val="0"/>
          <w:sz w:val="24"/>
          <w:szCs w:val="24"/>
          <w:lang w:val="en-US"/>
        </w:rPr>
        <w:t>Journal of Financial Perspectives</w:t>
      </w:r>
      <w:r w:rsidRPr="550B8A88" w:rsidR="10D9FB72">
        <w:rPr>
          <w:rFonts w:ascii="Aptos" w:hAnsi="Aptos" w:eastAsia="Aptos" w:cs="Aptos"/>
          <w:noProof w:val="0"/>
          <w:sz w:val="24"/>
          <w:szCs w:val="24"/>
          <w:lang w:val="en-US"/>
        </w:rPr>
        <w:t>, 4(1), pp. 23–34.</w:t>
      </w:r>
    </w:p>
    <w:p xmlns:wp14="http://schemas.microsoft.com/office/word/2010/wordml" w:rsidP="550B8A88" wp14:paraId="1D273443" wp14:textId="71EE0589">
      <w:pPr>
        <w:spacing w:before="240" w:beforeAutospacing="off" w:after="240" w:afterAutospacing="off"/>
      </w:pPr>
      <w:r w:rsidRPr="550B8A88" w:rsidR="10D9FB72">
        <w:rPr>
          <w:rFonts w:ascii="Aptos" w:hAnsi="Aptos" w:eastAsia="Aptos" w:cs="Aptos"/>
          <w:noProof w:val="0"/>
          <w:sz w:val="24"/>
          <w:szCs w:val="24"/>
          <w:lang w:val="en-US"/>
        </w:rPr>
        <w:t xml:space="preserve">Minister for Finance, Ireland (2025) </w:t>
      </w:r>
      <w:r w:rsidRPr="550B8A88" w:rsidR="10D9FB72">
        <w:rPr>
          <w:rFonts w:ascii="Aptos" w:hAnsi="Aptos" w:eastAsia="Aptos" w:cs="Aptos"/>
          <w:i w:val="1"/>
          <w:iCs w:val="1"/>
          <w:noProof w:val="0"/>
          <w:sz w:val="24"/>
          <w:szCs w:val="24"/>
          <w:lang w:val="en-US"/>
        </w:rPr>
        <w:t>European Union (Digital Operational Resilience) (No. 2) Regulations 2025 (S.I. 20/2025)</w:t>
      </w:r>
      <w:r w:rsidRPr="550B8A88" w:rsidR="10D9FB72">
        <w:rPr>
          <w:rFonts w:ascii="Aptos" w:hAnsi="Aptos" w:eastAsia="Aptos" w:cs="Aptos"/>
          <w:noProof w:val="0"/>
          <w:sz w:val="24"/>
          <w:szCs w:val="24"/>
          <w:lang w:val="en-US"/>
        </w:rPr>
        <w:t>. Stationery Office.</w:t>
      </w:r>
    </w:p>
    <w:p xmlns:wp14="http://schemas.microsoft.com/office/word/2010/wordml" w:rsidP="550B8A88" wp14:paraId="37060CC5" wp14:textId="6A64DFA5">
      <w:pPr>
        <w:spacing w:before="240" w:beforeAutospacing="off" w:after="240" w:afterAutospacing="off"/>
      </w:pPr>
      <w:r w:rsidRPr="550B8A88" w:rsidR="10D9FB72">
        <w:rPr>
          <w:rFonts w:ascii="Aptos" w:hAnsi="Aptos" w:eastAsia="Aptos" w:cs="Aptos"/>
          <w:noProof w:val="0"/>
          <w:sz w:val="24"/>
          <w:szCs w:val="24"/>
          <w:lang w:val="en-US"/>
        </w:rPr>
        <w:t xml:space="preserve">Mucha, H., Laumer, S. and Maier, C. (2022) 'RegTech as a response to regulatory uncertainty in the financial sector', </w:t>
      </w:r>
      <w:r w:rsidRPr="550B8A88" w:rsidR="10D9FB72">
        <w:rPr>
          <w:rFonts w:ascii="Aptos" w:hAnsi="Aptos" w:eastAsia="Aptos" w:cs="Aptos"/>
          <w:i w:val="1"/>
          <w:iCs w:val="1"/>
          <w:noProof w:val="0"/>
          <w:sz w:val="24"/>
          <w:szCs w:val="24"/>
          <w:lang w:val="en-US"/>
        </w:rPr>
        <w:t>Journal of Financial Regulation</w:t>
      </w:r>
      <w:r w:rsidRPr="550B8A88" w:rsidR="10D9FB72">
        <w:rPr>
          <w:rFonts w:ascii="Aptos" w:hAnsi="Aptos" w:eastAsia="Aptos" w:cs="Aptos"/>
          <w:noProof w:val="0"/>
          <w:sz w:val="24"/>
          <w:szCs w:val="24"/>
          <w:lang w:val="en-US"/>
        </w:rPr>
        <w:t>, 8(2), pp. 151–185.</w:t>
      </w:r>
    </w:p>
    <w:p xmlns:wp14="http://schemas.microsoft.com/office/word/2010/wordml" w:rsidP="550B8A88" wp14:paraId="7B8B1BF3" wp14:textId="4B35F728">
      <w:pPr>
        <w:spacing w:before="240" w:beforeAutospacing="off" w:after="240" w:afterAutospacing="off"/>
      </w:pPr>
      <w:r w:rsidRPr="550B8A88" w:rsidR="10D9FB72">
        <w:rPr>
          <w:rFonts w:ascii="Aptos" w:hAnsi="Aptos" w:eastAsia="Aptos" w:cs="Aptos"/>
          <w:noProof w:val="0"/>
          <w:sz w:val="24"/>
          <w:szCs w:val="24"/>
          <w:lang w:val="en-US"/>
        </w:rPr>
        <w:t xml:space="preserve">Newman, S. (2019) </w:t>
      </w:r>
      <w:r w:rsidRPr="550B8A88" w:rsidR="10D9FB72">
        <w:rPr>
          <w:rFonts w:ascii="Aptos" w:hAnsi="Aptos" w:eastAsia="Aptos" w:cs="Aptos"/>
          <w:i w:val="1"/>
          <w:iCs w:val="1"/>
          <w:noProof w:val="0"/>
          <w:sz w:val="24"/>
          <w:szCs w:val="24"/>
          <w:lang w:val="en-US"/>
        </w:rPr>
        <w:t>Monolith to microservices: Evolutionary patterns to transform your monolith</w:t>
      </w:r>
      <w:r w:rsidRPr="550B8A88" w:rsidR="10D9FB72">
        <w:rPr>
          <w:rFonts w:ascii="Aptos" w:hAnsi="Aptos" w:eastAsia="Aptos" w:cs="Aptos"/>
          <w:noProof w:val="0"/>
          <w:sz w:val="24"/>
          <w:szCs w:val="24"/>
          <w:lang w:val="en-US"/>
        </w:rPr>
        <w:t>. O'Reilly Media.</w:t>
      </w:r>
    </w:p>
    <w:p xmlns:wp14="http://schemas.microsoft.com/office/word/2010/wordml" w:rsidP="550B8A88" wp14:paraId="082A6B4F" wp14:textId="182A1BA9">
      <w:pPr>
        <w:spacing w:before="240" w:beforeAutospacing="off" w:after="240" w:afterAutospacing="off"/>
      </w:pPr>
      <w:r w:rsidRPr="550B8A88" w:rsidR="10D9FB72">
        <w:rPr>
          <w:rFonts w:ascii="Aptos" w:hAnsi="Aptos" w:eastAsia="Aptos" w:cs="Aptos"/>
          <w:noProof w:val="0"/>
          <w:sz w:val="24"/>
          <w:szCs w:val="24"/>
          <w:lang w:val="en-US"/>
        </w:rPr>
        <w:t xml:space="preserve">Palmirani, M., Governatori, G., Rotolo, A., Tabet, S., Boley, H. and Paschke, A. (2018) 'LegalRuleML: XML-based logic formalism for legal rules', in T. Sack and M. Sack (eds.), </w:t>
      </w:r>
      <w:r w:rsidRPr="550B8A88" w:rsidR="10D9FB72">
        <w:rPr>
          <w:rFonts w:ascii="Aptos" w:hAnsi="Aptos" w:eastAsia="Aptos" w:cs="Aptos"/>
          <w:i w:val="1"/>
          <w:iCs w:val="1"/>
          <w:noProof w:val="0"/>
          <w:sz w:val="24"/>
          <w:szCs w:val="24"/>
          <w:lang w:val="en-US"/>
        </w:rPr>
        <w:t>Legal knowledge and information systems</w:t>
      </w:r>
      <w:r w:rsidRPr="550B8A88" w:rsidR="10D9FB72">
        <w:rPr>
          <w:rFonts w:ascii="Aptos" w:hAnsi="Aptos" w:eastAsia="Aptos" w:cs="Aptos"/>
          <w:noProof w:val="0"/>
          <w:sz w:val="24"/>
          <w:szCs w:val="24"/>
          <w:lang w:val="en-US"/>
        </w:rPr>
        <w:t>. IOS Press, pp. 110–120.</w:t>
      </w:r>
    </w:p>
    <w:p xmlns:wp14="http://schemas.microsoft.com/office/word/2010/wordml" w:rsidP="550B8A88" wp14:paraId="215F012B" wp14:textId="3BB3720A">
      <w:pPr>
        <w:spacing w:before="240" w:beforeAutospacing="off" w:after="240" w:afterAutospacing="off"/>
      </w:pPr>
      <w:r w:rsidRPr="550B8A88" w:rsidR="10D9FB72">
        <w:rPr>
          <w:rFonts w:ascii="Aptos" w:hAnsi="Aptos" w:eastAsia="Aptos" w:cs="Aptos"/>
          <w:noProof w:val="0"/>
          <w:sz w:val="24"/>
          <w:szCs w:val="24"/>
          <w:lang w:val="en-US"/>
        </w:rPr>
        <w:t xml:space="preserve">PostgreSQL Global Development Group (2023) </w:t>
      </w:r>
      <w:r w:rsidRPr="550B8A88" w:rsidR="10D9FB72">
        <w:rPr>
          <w:rFonts w:ascii="Aptos" w:hAnsi="Aptos" w:eastAsia="Aptos" w:cs="Aptos"/>
          <w:i w:val="1"/>
          <w:iCs w:val="1"/>
          <w:noProof w:val="0"/>
          <w:sz w:val="24"/>
          <w:szCs w:val="24"/>
          <w:lang w:val="en-US"/>
        </w:rPr>
        <w:t>PostgreSQL 15 documentation: Row security policies</w:t>
      </w:r>
      <w:r w:rsidRPr="550B8A88" w:rsidR="10D9FB72">
        <w:rPr>
          <w:rFonts w:ascii="Aptos" w:hAnsi="Aptos" w:eastAsia="Aptos" w:cs="Aptos"/>
          <w:noProof w:val="0"/>
          <w:sz w:val="24"/>
          <w:szCs w:val="24"/>
          <w:lang w:val="en-US"/>
        </w:rPr>
        <w:t xml:space="preserve">. Available at: </w:t>
      </w:r>
      <w:hyperlink r:id="R92e2d0d561d64f67">
        <w:r w:rsidRPr="550B8A88" w:rsidR="10D9FB72">
          <w:rPr>
            <w:rStyle w:val="Hyperlink"/>
            <w:rFonts w:ascii="Aptos" w:hAnsi="Aptos" w:eastAsia="Aptos" w:cs="Aptos"/>
            <w:noProof w:val="0"/>
            <w:sz w:val="24"/>
            <w:szCs w:val="24"/>
            <w:lang w:val="en-US"/>
          </w:rPr>
          <w:t>https://www.postgresql.org/docs/15/ddl-rowsecurity.html</w:t>
        </w:r>
      </w:hyperlink>
      <w:r w:rsidRPr="550B8A88" w:rsidR="10D9FB72">
        <w:rPr>
          <w:rFonts w:ascii="Aptos" w:hAnsi="Aptos" w:eastAsia="Aptos" w:cs="Aptos"/>
          <w:noProof w:val="0"/>
          <w:sz w:val="24"/>
          <w:szCs w:val="24"/>
          <w:lang w:val="en-US"/>
        </w:rPr>
        <w:t xml:space="preserve"> (Accessed: 15 March 2025).</w:t>
      </w:r>
    </w:p>
    <w:p xmlns:wp14="http://schemas.microsoft.com/office/word/2010/wordml" w:rsidP="550B8A88" wp14:paraId="06DF881E" wp14:textId="23A38A8B">
      <w:pPr>
        <w:spacing w:before="240" w:beforeAutospacing="off" w:after="240" w:afterAutospacing="off"/>
      </w:pPr>
      <w:r w:rsidRPr="550B8A88" w:rsidR="10D9FB72">
        <w:rPr>
          <w:rFonts w:ascii="Aptos" w:hAnsi="Aptos" w:eastAsia="Aptos" w:cs="Aptos"/>
          <w:noProof w:val="0"/>
          <w:sz w:val="24"/>
          <w:szCs w:val="24"/>
          <w:lang w:val="en-US"/>
        </w:rPr>
        <w:t xml:space="preserve">Rodero-Merino, L., Vaquero, L. M., Gil, V., Galán, F., Fontán, J., Montero, R. S. and Llorente, I. M. (2010) 'From infrastructure delivery to service management in clouds', </w:t>
      </w:r>
      <w:r w:rsidRPr="550B8A88" w:rsidR="10D9FB72">
        <w:rPr>
          <w:rFonts w:ascii="Aptos" w:hAnsi="Aptos" w:eastAsia="Aptos" w:cs="Aptos"/>
          <w:i w:val="1"/>
          <w:iCs w:val="1"/>
          <w:noProof w:val="0"/>
          <w:sz w:val="24"/>
          <w:szCs w:val="24"/>
          <w:lang w:val="en-US"/>
        </w:rPr>
        <w:t>Future Generation Computer Systems</w:t>
      </w:r>
      <w:r w:rsidRPr="550B8A88" w:rsidR="10D9FB72">
        <w:rPr>
          <w:rFonts w:ascii="Aptos" w:hAnsi="Aptos" w:eastAsia="Aptos" w:cs="Aptos"/>
          <w:noProof w:val="0"/>
          <w:sz w:val="24"/>
          <w:szCs w:val="24"/>
          <w:lang w:val="en-US"/>
        </w:rPr>
        <w:t>, 26(8), pp. 1226–1240.</w:t>
      </w:r>
    </w:p>
    <w:p xmlns:wp14="http://schemas.microsoft.com/office/word/2010/wordml" w:rsidP="550B8A88" wp14:paraId="26C2EBD9" wp14:textId="7FEA2ACB">
      <w:pPr>
        <w:spacing w:before="240" w:beforeAutospacing="off" w:after="240" w:afterAutospacing="off"/>
      </w:pPr>
      <w:r w:rsidRPr="550B8A88" w:rsidR="10D9FB72">
        <w:rPr>
          <w:rFonts w:ascii="Aptos" w:hAnsi="Aptos" w:eastAsia="Aptos" w:cs="Aptos"/>
          <w:noProof w:val="0"/>
          <w:sz w:val="24"/>
          <w:szCs w:val="24"/>
          <w:lang w:val="en-US"/>
        </w:rPr>
        <w:t xml:space="preserve">Sadiq, S., Governatori, G. and Naimiri, K. (2007) 'Modelling control objectives for business process compliance', in G. Alonso, P. Dadam and M. Rosemann (eds.), </w:t>
      </w:r>
      <w:r w:rsidRPr="550B8A88" w:rsidR="10D9FB72">
        <w:rPr>
          <w:rFonts w:ascii="Aptos" w:hAnsi="Aptos" w:eastAsia="Aptos" w:cs="Aptos"/>
          <w:i w:val="1"/>
          <w:iCs w:val="1"/>
          <w:noProof w:val="0"/>
          <w:sz w:val="24"/>
          <w:szCs w:val="24"/>
          <w:lang w:val="en-US"/>
        </w:rPr>
        <w:t>Business process management</w:t>
      </w:r>
      <w:r w:rsidRPr="550B8A88" w:rsidR="10D9FB72">
        <w:rPr>
          <w:rFonts w:ascii="Aptos" w:hAnsi="Aptos" w:eastAsia="Aptos" w:cs="Aptos"/>
          <w:noProof w:val="0"/>
          <w:sz w:val="24"/>
          <w:szCs w:val="24"/>
          <w:lang w:val="en-US"/>
        </w:rPr>
        <w:t>. Springer, pp. 149–164.</w:t>
      </w:r>
    </w:p>
    <w:p xmlns:wp14="http://schemas.microsoft.com/office/word/2010/wordml" w:rsidP="550B8A88" wp14:paraId="7EE38F9F" wp14:textId="090F9A3D">
      <w:pPr>
        <w:spacing w:before="240" w:beforeAutospacing="off" w:after="240" w:afterAutospacing="off"/>
      </w:pPr>
      <w:r w:rsidRPr="550B8A88" w:rsidR="10D9FB72">
        <w:rPr>
          <w:rFonts w:ascii="Aptos" w:hAnsi="Aptos" w:eastAsia="Aptos" w:cs="Aptos"/>
          <w:noProof w:val="0"/>
          <w:sz w:val="24"/>
          <w:szCs w:val="24"/>
          <w:lang w:val="en-US"/>
        </w:rPr>
        <w:t xml:space="preserve">Walkers Global (2024) </w:t>
      </w:r>
      <w:r w:rsidRPr="550B8A88" w:rsidR="10D9FB72">
        <w:rPr>
          <w:rFonts w:ascii="Aptos" w:hAnsi="Aptos" w:eastAsia="Aptos" w:cs="Aptos"/>
          <w:i w:val="1"/>
          <w:iCs w:val="1"/>
          <w:noProof w:val="0"/>
          <w:sz w:val="24"/>
          <w:szCs w:val="24"/>
          <w:lang w:val="en-US"/>
        </w:rPr>
        <w:t>Global legal insights: FinTech 2024 — Ireland chapter</w:t>
      </w:r>
      <w:r w:rsidRPr="550B8A88" w:rsidR="10D9FB72">
        <w:rPr>
          <w:rFonts w:ascii="Aptos" w:hAnsi="Aptos" w:eastAsia="Aptos" w:cs="Aptos"/>
          <w:noProof w:val="0"/>
          <w:sz w:val="24"/>
          <w:szCs w:val="24"/>
          <w:lang w:val="en-US"/>
        </w:rPr>
        <w:t xml:space="preserve">. Available at: </w:t>
      </w:r>
      <w:hyperlink r:id="Ra7d11942c71d4fb7">
        <w:r w:rsidRPr="550B8A88" w:rsidR="10D9FB72">
          <w:rPr>
            <w:rStyle w:val="Hyperlink"/>
            <w:rFonts w:ascii="Aptos" w:hAnsi="Aptos" w:eastAsia="Aptos" w:cs="Aptos"/>
            <w:noProof w:val="0"/>
            <w:sz w:val="24"/>
            <w:szCs w:val="24"/>
            <w:lang w:val="en-US"/>
          </w:rPr>
          <w:t>https://www.walkersglobal.com/Insights/2024/09/Global-Legal-Insights-FinTech-2024-Ireland-chapter</w:t>
        </w:r>
      </w:hyperlink>
      <w:r w:rsidRPr="550B8A88" w:rsidR="10D9FB72">
        <w:rPr>
          <w:rFonts w:ascii="Aptos" w:hAnsi="Aptos" w:eastAsia="Aptos" w:cs="Aptos"/>
          <w:noProof w:val="0"/>
          <w:sz w:val="24"/>
          <w:szCs w:val="24"/>
          <w:lang w:val="en-US"/>
        </w:rPr>
        <w:t xml:space="preserve"> (Accessed: 10 March 2025).</w:t>
      </w:r>
    </w:p>
    <w:p xmlns:wp14="http://schemas.microsoft.com/office/word/2010/wordml" w:rsidP="550B8A88" wp14:paraId="21DB3767" wp14:textId="4FA4FCA2">
      <w:pPr>
        <w:spacing w:before="240" w:beforeAutospacing="off" w:after="240" w:afterAutospacing="off"/>
      </w:pPr>
      <w:r w:rsidRPr="550B8A88" w:rsidR="10D9FB72">
        <w:rPr>
          <w:rFonts w:ascii="Aptos" w:hAnsi="Aptos" w:eastAsia="Aptos" w:cs="Aptos"/>
          <w:noProof w:val="0"/>
          <w:sz w:val="24"/>
          <w:szCs w:val="24"/>
          <w:lang w:val="en-US"/>
        </w:rPr>
        <w:t xml:space="preserve">Walraven, S., Truyen, E. and Joosen, W. (2014) 'Comparing PaaS offerings in light of SaaS development', </w:t>
      </w:r>
      <w:r w:rsidRPr="550B8A88" w:rsidR="10D9FB72">
        <w:rPr>
          <w:rFonts w:ascii="Aptos" w:hAnsi="Aptos" w:eastAsia="Aptos" w:cs="Aptos"/>
          <w:i w:val="1"/>
          <w:iCs w:val="1"/>
          <w:noProof w:val="0"/>
          <w:sz w:val="24"/>
          <w:szCs w:val="24"/>
          <w:lang w:val="en-US"/>
        </w:rPr>
        <w:t>Computing</w:t>
      </w:r>
      <w:r w:rsidRPr="550B8A88" w:rsidR="10D9FB72">
        <w:rPr>
          <w:rFonts w:ascii="Aptos" w:hAnsi="Aptos" w:eastAsia="Aptos" w:cs="Aptos"/>
          <w:noProof w:val="0"/>
          <w:sz w:val="24"/>
          <w:szCs w:val="24"/>
          <w:lang w:val="en-US"/>
        </w:rPr>
        <w:t>, 96(8), pp. 669–724.</w:t>
      </w:r>
    </w:p>
    <w:p xmlns:wp14="http://schemas.microsoft.com/office/word/2010/wordml" w:rsidP="550B8A88" wp14:paraId="5E7D3A04" wp14:textId="3CCC62F4">
      <w:pPr>
        <w:spacing w:before="240" w:beforeAutospacing="off" w:after="240" w:afterAutospacing="off"/>
      </w:pPr>
      <w:r w:rsidRPr="550B8A88" w:rsidR="10D9FB72">
        <w:rPr>
          <w:rFonts w:ascii="Aptos" w:hAnsi="Aptos" w:eastAsia="Aptos" w:cs="Aptos"/>
          <w:noProof w:val="0"/>
          <w:sz w:val="24"/>
          <w:szCs w:val="24"/>
          <w:lang w:val="en-US"/>
        </w:rPr>
        <w:t xml:space="preserve">Wieringa, R. (2014) </w:t>
      </w:r>
      <w:r w:rsidRPr="550B8A88" w:rsidR="10D9FB72">
        <w:rPr>
          <w:rFonts w:ascii="Aptos" w:hAnsi="Aptos" w:eastAsia="Aptos" w:cs="Aptos"/>
          <w:i w:val="1"/>
          <w:iCs w:val="1"/>
          <w:noProof w:val="0"/>
          <w:sz w:val="24"/>
          <w:szCs w:val="24"/>
          <w:lang w:val="en-US"/>
        </w:rPr>
        <w:t>Design science methodology for information systems and software engineering</w:t>
      </w:r>
      <w:r w:rsidRPr="550B8A88" w:rsidR="10D9FB72">
        <w:rPr>
          <w:rFonts w:ascii="Aptos" w:hAnsi="Aptos" w:eastAsia="Aptos" w:cs="Aptos"/>
          <w:noProof w:val="0"/>
          <w:sz w:val="24"/>
          <w:szCs w:val="24"/>
          <w:lang w:val="en-US"/>
        </w:rPr>
        <w:t>. Springer.</w:t>
      </w:r>
    </w:p>
    <w:p xmlns:wp14="http://schemas.microsoft.com/office/word/2010/wordml" w:rsidP="50ECA49D" wp14:paraId="390A5521" wp14:textId="54F15F81">
      <w:pPr>
        <w:pStyle w:val="Normal"/>
        <w:spacing w:before="0" w:beforeAutospacing="off" w:after="0" w:afterAutospacing="off"/>
      </w:pPr>
    </w:p>
    <w:sectPr>
      <w:pgSz w:w="12240" w:h="15840" w:orient="portrait"/>
      <w:pgMar w:top="1440" w:right="1440" w:bottom="1440" w:left="1440" w:header="720" w:footer="720" w:gutter="0"/>
      <w:cols w:space="720"/>
      <w:docGrid w:linePitch="360"/>
      <w:headerReference w:type="default" r:id="Rc647fe9bf3934c5e"/>
      <w:footerReference w:type="default" r:id="Rd95b72de6f554bc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B2F8483" w:rsidTr="5B2F8483" w14:paraId="721D3A7A">
      <w:trPr>
        <w:trHeight w:val="300"/>
      </w:trPr>
      <w:tc>
        <w:tcPr>
          <w:tcW w:w="3120" w:type="dxa"/>
          <w:tcMar/>
        </w:tcPr>
        <w:p w:rsidR="5B2F8483" w:rsidP="5B2F8483" w:rsidRDefault="5B2F8483" w14:paraId="6732676C" w14:textId="6ED650EB">
          <w:pPr>
            <w:pStyle w:val="Header"/>
            <w:bidi w:val="0"/>
            <w:ind w:left="-115"/>
            <w:jc w:val="left"/>
          </w:pPr>
        </w:p>
      </w:tc>
      <w:tc>
        <w:tcPr>
          <w:tcW w:w="3120" w:type="dxa"/>
          <w:tcMar/>
        </w:tcPr>
        <w:p w:rsidR="5B2F8483" w:rsidP="5B2F8483" w:rsidRDefault="5B2F8483" w14:paraId="75521350" w14:textId="20D71527">
          <w:pPr>
            <w:pStyle w:val="Header"/>
            <w:bidi w:val="0"/>
            <w:jc w:val="center"/>
          </w:pPr>
          <w:r>
            <w:fldChar w:fldCharType="begin"/>
          </w:r>
          <w:r>
            <w:instrText xml:space="preserve">PAGE</w:instrText>
          </w:r>
          <w:r>
            <w:fldChar w:fldCharType="separate"/>
          </w:r>
          <w:r>
            <w:fldChar w:fldCharType="end"/>
          </w:r>
        </w:p>
      </w:tc>
      <w:tc>
        <w:tcPr>
          <w:tcW w:w="3120" w:type="dxa"/>
          <w:tcMar/>
        </w:tcPr>
        <w:p w:rsidR="5B2F8483" w:rsidP="5B2F8483" w:rsidRDefault="5B2F8483" w14:paraId="5A5CC5BA" w14:textId="72EB49D0">
          <w:pPr>
            <w:pStyle w:val="Header"/>
            <w:bidi w:val="0"/>
            <w:ind w:right="-115"/>
            <w:jc w:val="right"/>
          </w:pPr>
        </w:p>
      </w:tc>
    </w:tr>
  </w:tbl>
  <w:p w:rsidR="5B2F8483" w:rsidP="5B2F8483" w:rsidRDefault="5B2F8483" w14:paraId="366151DC" w14:textId="1EE0A18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B2F8483" w:rsidTr="5B2F8483" w14:paraId="3169417F">
      <w:trPr>
        <w:trHeight w:val="300"/>
      </w:trPr>
      <w:tc>
        <w:tcPr>
          <w:tcW w:w="3120" w:type="dxa"/>
          <w:tcMar/>
        </w:tcPr>
        <w:p w:rsidR="5B2F8483" w:rsidP="5B2F8483" w:rsidRDefault="5B2F8483" w14:paraId="6FE41B96" w14:textId="783E784C">
          <w:pPr>
            <w:pStyle w:val="Header"/>
            <w:bidi w:val="0"/>
            <w:ind w:left="-115"/>
            <w:jc w:val="left"/>
          </w:pPr>
        </w:p>
      </w:tc>
      <w:tc>
        <w:tcPr>
          <w:tcW w:w="3120" w:type="dxa"/>
          <w:tcMar/>
        </w:tcPr>
        <w:p w:rsidR="5B2F8483" w:rsidP="5B2F8483" w:rsidRDefault="5B2F8483" w14:paraId="27377AEB" w14:textId="392508E9">
          <w:pPr>
            <w:pStyle w:val="Header"/>
            <w:bidi w:val="0"/>
            <w:jc w:val="center"/>
          </w:pPr>
        </w:p>
      </w:tc>
      <w:tc>
        <w:tcPr>
          <w:tcW w:w="3120" w:type="dxa"/>
          <w:tcMar/>
        </w:tcPr>
        <w:p w:rsidR="5B2F8483" w:rsidP="5B2F8483" w:rsidRDefault="5B2F8483" w14:paraId="12E4279A" w14:textId="7242AD8B">
          <w:pPr>
            <w:pStyle w:val="Header"/>
            <w:bidi w:val="0"/>
            <w:ind w:right="-115"/>
            <w:jc w:val="right"/>
          </w:pPr>
        </w:p>
      </w:tc>
    </w:tr>
  </w:tbl>
  <w:p w:rsidR="5B2F8483" w:rsidP="5B2F8483" w:rsidRDefault="5B2F8483" w14:paraId="09EB94F6" w14:textId="198E383F">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065FB4"/>
    <w:rsid w:val="06D0A3FE"/>
    <w:rsid w:val="10270C12"/>
    <w:rsid w:val="10613030"/>
    <w:rsid w:val="10D9FB72"/>
    <w:rsid w:val="14065FB4"/>
    <w:rsid w:val="17A5EB40"/>
    <w:rsid w:val="215569FC"/>
    <w:rsid w:val="26DDABDB"/>
    <w:rsid w:val="28E516D3"/>
    <w:rsid w:val="3331B67E"/>
    <w:rsid w:val="3791CA09"/>
    <w:rsid w:val="45F6E72F"/>
    <w:rsid w:val="50ECA49D"/>
    <w:rsid w:val="5197FCC0"/>
    <w:rsid w:val="550B8A88"/>
    <w:rsid w:val="5B2F8483"/>
    <w:rsid w:val="6489CE5D"/>
    <w:rsid w:val="7DA00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FA22"/>
  <w15:chartTrackingRefBased/>
  <w15:docId w15:val="{7C86CB72-2218-404F-BE2F-3BE8FE3E79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B2F848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B2F848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5B2F8483"/>
    <w:rPr>
      <w:color w:val="467886"/>
      <w:u w:val="single"/>
    </w:rPr>
  </w:style>
  <w:style w:type="paragraph" w:styleId="Header">
    <w:uiPriority w:val="99"/>
    <w:name w:val="header"/>
    <w:basedOn w:val="Normal"/>
    <w:unhideWhenUsed/>
    <w:rsid w:val="5B2F8483"/>
    <w:pPr>
      <w:tabs>
        <w:tab w:val="center" w:leader="none" w:pos="4680"/>
        <w:tab w:val="right" w:leader="none" w:pos="9360"/>
      </w:tabs>
      <w:spacing w:after="0" w:line="240" w:lineRule="auto"/>
    </w:pPr>
  </w:style>
  <w:style w:type="paragraph" w:styleId="Footer">
    <w:uiPriority w:val="99"/>
    <w:name w:val="footer"/>
    <w:basedOn w:val="Normal"/>
    <w:unhideWhenUsed/>
    <w:rsid w:val="5B2F848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647fe9bf3934c5e" /><Relationship Type="http://schemas.openxmlformats.org/officeDocument/2006/relationships/footer" Target="footer.xml" Id="Rd95b72de6f554bc3" /><Relationship Type="http://schemas.openxmlformats.org/officeDocument/2006/relationships/hyperlink" Target="https://www.arthurcox.com/insights/operational-resilience-2-0-how-dora-is-reshaping-operational-resilience-in-ireland" TargetMode="External" Id="R149d9f8fd8a245e5" /><Relationship Type="http://schemas.openxmlformats.org/officeDocument/2006/relationships/hyperlink" Target="https://norma.ncirl.ie/8415" TargetMode="External" Id="R1157c18867474c18" /><Relationship Type="http://schemas.openxmlformats.org/officeDocument/2006/relationships/hyperlink" Target="https://www.centralbank.ie/regulation/digital-operational-resilience-act-dora" TargetMode="External" Id="Ra77dc9ce8d2045d7" /><Relationship Type="http://schemas.openxmlformats.org/officeDocument/2006/relationships/hyperlink" Target="https://www.centralbank.ie/publication/annual-reports/annual-report-2023" TargetMode="External" Id="R2d379981fa01437e" /><Relationship Type="http://schemas.openxmlformats.org/officeDocument/2006/relationships/hyperlink" Target="https://www.cisa.gov/news-events/cybersecurity-advisories/aa23-158a" TargetMode="External" Id="R40b20e9407684340" /><Relationship Type="http://schemas.openxmlformats.org/officeDocument/2006/relationships/hyperlink" Target="https://www.eba.europa.eu/publications-and-media/press-releases/eba-publishes-final-technical-standards-registers-information-under-dora" TargetMode="External" Id="Rcbce2ce6eabe4f3a" /><Relationship Type="http://schemas.openxmlformats.org/officeDocument/2006/relationships/hyperlink" Target="https://www.eba.europa.eu/regulation-and-policy/operational-resilience" TargetMode="External" Id="R85f2f4d0276a494d" /><Relationship Type="http://schemas.openxmlformats.org/officeDocument/2006/relationships/hyperlink" Target="https://ec.europa.eu/info/publications/200924-digital-finance-proposals_en" TargetMode="External" Id="R8b5b006b9329491a" /><Relationship Type="http://schemas.openxmlformats.org/officeDocument/2006/relationships/hyperlink" Target="https://eur-lex.europa.eu/legal-content/EN/TXT/?uri=CELEX:32022R2554" TargetMode="External" Id="Rb2d5592abe0b4961" /><Relationship Type="http://schemas.openxmlformats.org/officeDocument/2006/relationships/hyperlink" Target="https://www.esma.europa.eu/sites/default/files/2024-12/ESA_2024_35_DORA_Dry_Run_exercise_summary_report.pdf" TargetMode="External" Id="Rab21e41063fe4683" /><Relationship Type="http://schemas.openxmlformats.org/officeDocument/2006/relationships/hyperlink" Target="https://www.esrb.europa.eu" TargetMode="External" Id="R8e86d7526adc4201" /><Relationship Type="http://schemas.openxmlformats.org/officeDocument/2006/relationships/hyperlink" Target="https://www.postgresql.org/docs/15/ddl-rowsecurity.html" TargetMode="External" Id="R92e2d0d561d64f67" /><Relationship Type="http://schemas.openxmlformats.org/officeDocument/2006/relationships/hyperlink" Target="https://www.walkersglobal.com/Insights/2024/09/Global-Legal-Insights-FinTech-2024-Ireland-chapter" TargetMode="External" Id="Ra7d11942c71d4f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2026-04-20T15:25:53.6800171Z</dcterms:created>
  <dcterms:modified xsi:type="dcterms:W3CDTF">2026-04-21T12:30:57.4383426Z</dcterms:modified>
  <dc:creator>Raouf Amir Boussouf</dc:creator>
  <lastModifiedBy>Raouf Amir Boussouf</lastModifiedBy>
</coreProperties>
</file>