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1A0C124" wp14:paraId="4E8C2D6A" wp14:textId="7E957586">
      <w:pPr>
        <w:spacing w:before="0" w:beforeAutospacing="off" w:after="0" w:afterAutospacing="off"/>
      </w:pPr>
    </w:p>
    <w:p xmlns:wp14="http://schemas.microsoft.com/office/word/2010/wordml" w:rsidP="01A0C124" wp14:paraId="1C883604" wp14:textId="6221D7D5">
      <w:pPr>
        <w:pStyle w:val="Heading1"/>
        <w:spacing w:before="322" w:beforeAutospacing="off" w:after="322" w:afterAutospacing="off"/>
      </w:pPr>
      <w:r w:rsidRPr="01A0C124" w:rsidR="330BD178">
        <w:rPr>
          <w:rFonts w:ascii="Times New Roman" w:hAnsi="Times New Roman" w:eastAsia="Times New Roman" w:cs="Times New Roman"/>
          <w:b w:val="1"/>
          <w:bCs w:val="1"/>
          <w:noProof w:val="0"/>
          <w:sz w:val="48"/>
          <w:szCs w:val="48"/>
          <w:lang w:val="en-US"/>
        </w:rPr>
        <w:t xml:space="preserve">CHAPTER 6: EVALUATION </w:t>
      </w:r>
    </w:p>
    <w:p xmlns:wp14="http://schemas.microsoft.com/office/word/2010/wordml" w:rsidP="01A0C124" wp14:paraId="3A5A687E" wp14:textId="1343E03B">
      <w:pPr>
        <w:spacing w:before="240" w:beforeAutospacing="off" w:after="240" w:afterAutospacing="off"/>
      </w:pPr>
      <w:r w:rsidRPr="01A0C124" w:rsidR="330BD178">
        <w:rPr>
          <w:rFonts w:ascii="Times New Roman" w:hAnsi="Times New Roman" w:eastAsia="Times New Roman" w:cs="Times New Roman"/>
          <w:b w:val="1"/>
          <w:bCs w:val="1"/>
          <w:noProof w:val="0"/>
          <w:sz w:val="24"/>
          <w:szCs w:val="24"/>
          <w:lang w:val="en-US"/>
        </w:rPr>
        <w:t>Chapter Overview</w:t>
      </w:r>
    </w:p>
    <w:p xmlns:wp14="http://schemas.microsoft.com/office/word/2010/wordml" w:rsidP="01A0C124" wp14:paraId="54752D21" wp14:textId="0319F131">
      <w:pPr>
        <w:spacing w:before="240" w:beforeAutospacing="off" w:after="240" w:afterAutospacing="off"/>
      </w:pPr>
      <w:r w:rsidRPr="01A0C124" w:rsidR="330BD178">
        <w:rPr>
          <w:rFonts w:ascii="Times New Roman" w:hAnsi="Times New Roman" w:eastAsia="Times New Roman" w:cs="Times New Roman"/>
          <w:noProof w:val="0"/>
          <w:sz w:val="24"/>
          <w:szCs w:val="24"/>
          <w:lang w:val="en-US"/>
        </w:rPr>
        <w:t>This chapter evaluates the DORA SaaS platform against the research objectives established in Chapter 1 and the eight design requirements formalised in Chapter 3. Evaluation in Design Science Research serves a dual purpose: it provides evidence that the artefact performs its intended functions, and it generates knowledge about the design decisions that produced those functions — knowledge that extends beyond the artefact itself to inform future research and practice (Hevner et al., 2004; Venable et al., 2016). The evaluation is structured across five sections. Section 6.1 establishes the evaluation framework, grounding the assessment criteria in the DSR literature and the FEDS framework of Venable et al. (2016). Section 6.2 evaluates the artefact against the regulatory compliance dimension — assessing how directly it addresses the failure patterns documented in the ESA 2024 Dry Run. Section 6.3 evaluates the technical quality dimension — examining validation engine correctness, the compliance score metric, and the security and data integrity architecture. Section 6.4 evaluates the proportionality dimension — the extent to which the system is genuinely suited to the resource and operational profile of Irish SME financial entities. Section 6.5 provides an honest assessment of limitations, distinguishing evaluation-scope constraints from technical maturity boundaries. Section 6.6 synthesises the research contribution, connecting the artefact's demonstrated capabilities to the three research objectives and to the literature gap identified in Chapter 2.</w:t>
      </w:r>
    </w:p>
    <w:p xmlns:wp14="http://schemas.microsoft.com/office/word/2010/wordml" w:rsidP="01A0C124" wp14:paraId="316E4368" wp14:textId="708FEE83">
      <w:pPr>
        <w:spacing w:before="0" w:beforeAutospacing="off" w:after="0" w:afterAutospacing="off"/>
      </w:pPr>
    </w:p>
    <w:p xmlns:wp14="http://schemas.microsoft.com/office/word/2010/wordml" w:rsidP="01A0C124" wp14:paraId="41A6CE70" wp14:textId="1332A147">
      <w:pPr>
        <w:pStyle w:val="Heading2"/>
        <w:spacing w:before="299" w:beforeAutospacing="off" w:after="299" w:afterAutospacing="off"/>
      </w:pPr>
      <w:r w:rsidRPr="01A0C124" w:rsidR="330BD178">
        <w:rPr>
          <w:rFonts w:ascii="Times New Roman" w:hAnsi="Times New Roman" w:eastAsia="Times New Roman" w:cs="Times New Roman"/>
          <w:b w:val="1"/>
          <w:bCs w:val="1"/>
          <w:noProof w:val="0"/>
          <w:sz w:val="36"/>
          <w:szCs w:val="36"/>
          <w:lang w:val="en-US"/>
        </w:rPr>
        <w:t>6.1 Evaluation Framework</w:t>
      </w:r>
    </w:p>
    <w:p xmlns:wp14="http://schemas.microsoft.com/office/word/2010/wordml" w:rsidP="01A0C124" wp14:paraId="6394F694" wp14:textId="0276B056">
      <w:pPr>
        <w:pStyle w:val="Heading2"/>
        <w:spacing w:before="299" w:beforeAutospacing="off" w:after="299" w:afterAutospacing="off"/>
      </w:pPr>
      <w:r w:rsidRPr="01A0C124" w:rsidR="330BD178">
        <w:rPr>
          <w:rFonts w:ascii="Times New Roman" w:hAnsi="Times New Roman" w:eastAsia="Times New Roman" w:cs="Times New Roman"/>
          <w:b w:val="1"/>
          <w:bCs w:val="1"/>
          <w:noProof w:val="0"/>
          <w:sz w:val="36"/>
          <w:szCs w:val="36"/>
          <w:lang w:val="en-US"/>
        </w:rPr>
        <w:t>6.1.1 DSR Evaluation Criteria</w:t>
      </w:r>
    </w:p>
    <w:p xmlns:wp14="http://schemas.microsoft.com/office/word/2010/wordml" w:rsidP="01A0C124" wp14:paraId="3DFE48FA" wp14:textId="0FB8C08B">
      <w:pPr>
        <w:spacing w:before="240" w:beforeAutospacing="off" w:after="240" w:afterAutospacing="off"/>
      </w:pPr>
      <w:r w:rsidRPr="01A0C124" w:rsidR="330BD178">
        <w:rPr>
          <w:rFonts w:ascii="Times New Roman" w:hAnsi="Times New Roman" w:eastAsia="Times New Roman" w:cs="Times New Roman"/>
          <w:noProof w:val="0"/>
          <w:sz w:val="24"/>
          <w:szCs w:val="24"/>
          <w:lang w:val="en-US"/>
        </w:rPr>
        <w:t>Hevner et al. (2004) define design science research as the creation and evaluation of IT artefacts intended to solve identified organisational problems, and identify seven guidelines for rigorous DSR, of which four directly govern the evaluation conducted in this chapter: design as an artefact (the system must be a tangible, functional construct that can be assessed empirically); problem relevance (the artefact must address a genuine, significant, and documented problem); design evaluation (the artefact must be systematically assessed using appropriate methods); and research contribution (the artefact and its associated design knowledge must add to the body of knowledge beyond what existing artefacts provide). Peffers et al. (2007) complement this framework by specifying that the evaluation phase must demonstrate that the artefact satisfies the stated functional requirements — its design requirements, as established in Chapter 3 — and reduces or eliminates the problem instance from which the research was motivated.</w:t>
      </w:r>
    </w:p>
    <w:p xmlns:wp14="http://schemas.microsoft.com/office/word/2010/wordml" w:rsidP="01A0C124" wp14:paraId="06423D8E" wp14:textId="081D7F99">
      <w:pPr>
        <w:spacing w:before="240" w:beforeAutospacing="off" w:after="240" w:afterAutospacing="off"/>
      </w:pPr>
      <w:r w:rsidRPr="01A0C124" w:rsidR="330BD178">
        <w:rPr>
          <w:rFonts w:ascii="Times New Roman" w:hAnsi="Times New Roman" w:eastAsia="Times New Roman" w:cs="Times New Roman"/>
          <w:noProof w:val="0"/>
          <w:sz w:val="24"/>
          <w:szCs w:val="24"/>
          <w:lang w:val="en-US"/>
        </w:rPr>
        <w:t>The eight Design Requirements (DRs) established in Chapter 3 provide the primary evaluation criteria. Three additional quality attributes drawn from the RegTech literature review in Chapter 2 form supplementary criteria: correctness (the artefact produces data outputs that satisfy EBA validation rules), transparency (the compliance logic is inspectable and attributable rather than a black box), and proportionality (the system is deployable and operable by resource-constrained SME entities without specialist technical expertise) (Arner et al., 2017; Butler and O'Brien, 2019; Bhurat, 2025). These criteria together constitute the evaluation framework summarised in Table 6.1.</w:t>
      </w:r>
    </w:p>
    <w:p xmlns:wp14="http://schemas.microsoft.com/office/word/2010/wordml" w:rsidP="01A0C124" wp14:paraId="6044DFEC" wp14:textId="46EC91BD">
      <w:pPr>
        <w:spacing w:before="240" w:beforeAutospacing="off" w:after="240" w:afterAutospacing="off"/>
      </w:pPr>
      <w:r w:rsidRPr="01A0C124" w:rsidR="330BD178">
        <w:rPr>
          <w:rFonts w:ascii="Times New Roman" w:hAnsi="Times New Roman" w:eastAsia="Times New Roman" w:cs="Times New Roman"/>
          <w:noProof w:val="0"/>
          <w:sz w:val="24"/>
          <w:szCs w:val="24"/>
          <w:lang w:val="en-US"/>
        </w:rPr>
        <w:t>TABLE 6.1 — Evaluation framework: DSR design requirements, supplementary quality attributes, evaluation dimension, evaluation method, and success criterion.</w:t>
      </w:r>
    </w:p>
    <w:tbl>
      <w:tblPr>
        <w:tblStyle w:val="TableNormal"/>
        <w:bidiVisual w:val="0"/>
        <w:tblW w:w="0" w:type="auto"/>
        <w:tblLook w:val="06A0" w:firstRow="1" w:lastRow="0" w:firstColumn="1" w:lastColumn="0" w:noHBand="1" w:noVBand="1"/>
      </w:tblPr>
      <w:tblGrid>
        <w:gridCol w:w="2161"/>
        <w:gridCol w:w="1325"/>
        <w:gridCol w:w="2137"/>
        <w:gridCol w:w="3737"/>
      </w:tblGrid>
      <w:tr w:rsidR="01A0C124" w:rsidTr="01A0C124" w14:paraId="3B306936">
        <w:trPr>
          <w:trHeight w:val="300"/>
        </w:trPr>
        <w:tc>
          <w:tcPr>
            <w:tcW w:w="2161" w:type="dxa"/>
            <w:tcMar/>
            <w:vAlign w:val="center"/>
          </w:tcPr>
          <w:p w:rsidR="01A0C124" w:rsidP="01A0C124" w:rsidRDefault="01A0C124" w14:paraId="25F52B6F" w14:textId="6893A66E">
            <w:pPr>
              <w:spacing w:before="0" w:beforeAutospacing="off" w:after="0" w:afterAutospacing="off"/>
              <w:jc w:val="center"/>
            </w:pPr>
            <w:r w:rsidRPr="01A0C124" w:rsidR="01A0C124">
              <w:rPr>
                <w:b w:val="1"/>
                <w:bCs w:val="1"/>
              </w:rPr>
              <w:t>Design Requirement</w:t>
            </w:r>
          </w:p>
        </w:tc>
        <w:tc>
          <w:tcPr>
            <w:tcW w:w="1325" w:type="dxa"/>
            <w:tcMar/>
            <w:vAlign w:val="center"/>
          </w:tcPr>
          <w:p w:rsidR="01A0C124" w:rsidP="01A0C124" w:rsidRDefault="01A0C124" w14:paraId="0DD4A41F" w14:textId="3565BFFE">
            <w:pPr>
              <w:spacing w:before="0" w:beforeAutospacing="off" w:after="0" w:afterAutospacing="off"/>
              <w:jc w:val="center"/>
            </w:pPr>
            <w:r w:rsidRPr="01A0C124" w:rsidR="01A0C124">
              <w:rPr>
                <w:b w:val="1"/>
                <w:bCs w:val="1"/>
              </w:rPr>
              <w:t>Dimension</w:t>
            </w:r>
          </w:p>
        </w:tc>
        <w:tc>
          <w:tcPr>
            <w:tcW w:w="2137" w:type="dxa"/>
            <w:tcMar/>
            <w:vAlign w:val="center"/>
          </w:tcPr>
          <w:p w:rsidR="01A0C124" w:rsidP="01A0C124" w:rsidRDefault="01A0C124" w14:paraId="5A2DCE02" w14:textId="0236AC15">
            <w:pPr>
              <w:spacing w:before="0" w:beforeAutospacing="off" w:after="0" w:afterAutospacing="off"/>
              <w:jc w:val="center"/>
            </w:pPr>
            <w:r w:rsidRPr="01A0C124" w:rsidR="01A0C124">
              <w:rPr>
                <w:b w:val="1"/>
                <w:bCs w:val="1"/>
              </w:rPr>
              <w:t>Method</w:t>
            </w:r>
          </w:p>
        </w:tc>
        <w:tc>
          <w:tcPr>
            <w:tcW w:w="3737" w:type="dxa"/>
            <w:tcMar/>
            <w:vAlign w:val="center"/>
          </w:tcPr>
          <w:p w:rsidR="01A0C124" w:rsidP="01A0C124" w:rsidRDefault="01A0C124" w14:paraId="674B6BDE" w14:textId="1978D5FC">
            <w:pPr>
              <w:spacing w:before="0" w:beforeAutospacing="off" w:after="0" w:afterAutospacing="off"/>
              <w:jc w:val="center"/>
            </w:pPr>
            <w:r w:rsidRPr="01A0C124" w:rsidR="01A0C124">
              <w:rPr>
                <w:b w:val="1"/>
                <w:bCs w:val="1"/>
              </w:rPr>
              <w:t>Success Criterion</w:t>
            </w:r>
          </w:p>
        </w:tc>
      </w:tr>
      <w:tr w:rsidR="01A0C124" w:rsidTr="01A0C124" w14:paraId="7DE8BFD3">
        <w:trPr>
          <w:trHeight w:val="300"/>
        </w:trPr>
        <w:tc>
          <w:tcPr>
            <w:tcW w:w="2161" w:type="dxa"/>
            <w:tcMar/>
            <w:vAlign w:val="center"/>
          </w:tcPr>
          <w:p w:rsidR="01A0C124" w:rsidP="01A0C124" w:rsidRDefault="01A0C124" w14:paraId="51A0AE9C" w14:textId="798C248F">
            <w:pPr>
              <w:spacing w:before="0" w:beforeAutospacing="off" w:after="0" w:afterAutospacing="off"/>
            </w:pPr>
            <w:r w:rsidR="01A0C124">
              <w:rPr/>
              <w:t>DR1: EBA RoI as relational schema</w:t>
            </w:r>
          </w:p>
        </w:tc>
        <w:tc>
          <w:tcPr>
            <w:tcW w:w="1325" w:type="dxa"/>
            <w:tcMar/>
            <w:vAlign w:val="center"/>
          </w:tcPr>
          <w:p w:rsidR="01A0C124" w:rsidP="01A0C124" w:rsidRDefault="01A0C124" w14:paraId="237868E8" w14:textId="3BD4AA0A">
            <w:pPr>
              <w:spacing w:before="0" w:beforeAutospacing="off" w:after="0" w:afterAutospacing="off"/>
            </w:pPr>
            <w:r w:rsidR="01A0C124">
              <w:rPr/>
              <w:t>Regulatory compliance</w:t>
            </w:r>
          </w:p>
        </w:tc>
        <w:tc>
          <w:tcPr>
            <w:tcW w:w="2137" w:type="dxa"/>
            <w:tcMar/>
            <w:vAlign w:val="center"/>
          </w:tcPr>
          <w:p w:rsidR="01A0C124" w:rsidP="01A0C124" w:rsidRDefault="01A0C124" w14:paraId="29F59BD3" w14:textId="1DA5C2D2">
            <w:pPr>
              <w:spacing w:before="0" w:beforeAutospacing="off" w:after="0" w:afterAutospacing="off"/>
            </w:pPr>
            <w:r w:rsidR="01A0C124">
              <w:rPr/>
              <w:t>Structural traceability</w:t>
            </w:r>
          </w:p>
        </w:tc>
        <w:tc>
          <w:tcPr>
            <w:tcW w:w="3737" w:type="dxa"/>
            <w:tcMar/>
            <w:vAlign w:val="center"/>
          </w:tcPr>
          <w:p w:rsidR="01A0C124" w:rsidP="01A0C124" w:rsidRDefault="01A0C124" w14:paraId="617DFCF6" w14:textId="763151B2">
            <w:pPr>
              <w:spacing w:before="0" w:beforeAutospacing="off" w:after="0" w:afterAutospacing="off"/>
            </w:pPr>
            <w:r w:rsidR="01A0C124">
              <w:rPr/>
              <w:t>All nine RT templates + Arts. 28–30 fields in schema</w:t>
            </w:r>
          </w:p>
        </w:tc>
      </w:tr>
      <w:tr w:rsidR="01A0C124" w:rsidTr="01A0C124" w14:paraId="55C05FD2">
        <w:trPr>
          <w:trHeight w:val="300"/>
        </w:trPr>
        <w:tc>
          <w:tcPr>
            <w:tcW w:w="2161" w:type="dxa"/>
            <w:tcMar/>
            <w:vAlign w:val="center"/>
          </w:tcPr>
          <w:p w:rsidR="01A0C124" w:rsidP="01A0C124" w:rsidRDefault="01A0C124" w14:paraId="0FD1FAEF" w14:textId="01CACA9C">
            <w:pPr>
              <w:spacing w:before="0" w:beforeAutospacing="off" w:after="0" w:afterAutospacing="off"/>
            </w:pPr>
            <w:r w:rsidR="01A0C124">
              <w:rPr/>
              <w:t>DR2: Rule-based validation engine</w:t>
            </w:r>
          </w:p>
        </w:tc>
        <w:tc>
          <w:tcPr>
            <w:tcW w:w="1325" w:type="dxa"/>
            <w:tcMar/>
            <w:vAlign w:val="center"/>
          </w:tcPr>
          <w:p w:rsidR="01A0C124" w:rsidP="01A0C124" w:rsidRDefault="01A0C124" w14:paraId="4569B054" w14:textId="529413A7">
            <w:pPr>
              <w:spacing w:before="0" w:beforeAutospacing="off" w:after="0" w:afterAutospacing="off"/>
            </w:pPr>
            <w:r w:rsidR="01A0C124">
              <w:rPr/>
              <w:t>Technical quality</w:t>
            </w:r>
          </w:p>
        </w:tc>
        <w:tc>
          <w:tcPr>
            <w:tcW w:w="2137" w:type="dxa"/>
            <w:tcMar/>
            <w:vAlign w:val="center"/>
          </w:tcPr>
          <w:p w:rsidR="01A0C124" w:rsidP="01A0C124" w:rsidRDefault="01A0C124" w14:paraId="7806B83D" w14:textId="3D692207">
            <w:pPr>
              <w:spacing w:before="0" w:beforeAutospacing="off" w:after="0" w:afterAutospacing="off"/>
            </w:pPr>
            <w:r w:rsidR="01A0C124">
              <w:rPr/>
              <w:t>Demonstration + rule set analysis</w:t>
            </w:r>
          </w:p>
        </w:tc>
        <w:tc>
          <w:tcPr>
            <w:tcW w:w="3737" w:type="dxa"/>
            <w:tcMar/>
            <w:vAlign w:val="center"/>
          </w:tcPr>
          <w:p w:rsidR="01A0C124" w:rsidP="01A0C124" w:rsidRDefault="01A0C124" w14:paraId="4DE2C830" w14:textId="2437448C">
            <w:pPr>
              <w:spacing w:before="0" w:beforeAutospacing="off" w:after="0" w:afterAutospacing="off"/>
            </w:pPr>
            <w:r w:rsidR="01A0C124">
              <w:rPr/>
              <w:t>220 rules executable; all 10 types fire correctly</w:t>
            </w:r>
          </w:p>
        </w:tc>
      </w:tr>
      <w:tr w:rsidR="01A0C124" w:rsidTr="01A0C124" w14:paraId="45D4CCDC">
        <w:trPr>
          <w:trHeight w:val="300"/>
        </w:trPr>
        <w:tc>
          <w:tcPr>
            <w:tcW w:w="2161" w:type="dxa"/>
            <w:tcMar/>
            <w:vAlign w:val="center"/>
          </w:tcPr>
          <w:p w:rsidR="01A0C124" w:rsidP="01A0C124" w:rsidRDefault="01A0C124" w14:paraId="63965F87" w14:textId="3F4B30E7">
            <w:pPr>
              <w:spacing w:before="0" w:beforeAutospacing="off" w:after="0" w:afterAutospacing="off"/>
            </w:pPr>
            <w:r w:rsidR="01A0C124">
              <w:rPr/>
              <w:t>DR3: Pre-flight export gate</w:t>
            </w:r>
          </w:p>
        </w:tc>
        <w:tc>
          <w:tcPr>
            <w:tcW w:w="1325" w:type="dxa"/>
            <w:tcMar/>
            <w:vAlign w:val="center"/>
          </w:tcPr>
          <w:p w:rsidR="01A0C124" w:rsidP="01A0C124" w:rsidRDefault="01A0C124" w14:paraId="31564096" w14:textId="59CE31E7">
            <w:pPr>
              <w:spacing w:before="0" w:beforeAutospacing="off" w:after="0" w:afterAutospacing="off"/>
            </w:pPr>
            <w:r w:rsidR="01A0C124">
              <w:rPr/>
              <w:t>Regulatory compliance</w:t>
            </w:r>
          </w:p>
        </w:tc>
        <w:tc>
          <w:tcPr>
            <w:tcW w:w="2137" w:type="dxa"/>
            <w:tcMar/>
            <w:vAlign w:val="center"/>
          </w:tcPr>
          <w:p w:rsidR="01A0C124" w:rsidP="01A0C124" w:rsidRDefault="01A0C124" w14:paraId="6AEF56FC" w14:textId="5AECE6FC">
            <w:pPr>
              <w:spacing w:before="0" w:beforeAutospacing="off" w:after="0" w:afterAutospacing="off"/>
            </w:pPr>
            <w:r w:rsidR="01A0C124">
              <w:rPr/>
              <w:t>Functional demonstration</w:t>
            </w:r>
          </w:p>
        </w:tc>
        <w:tc>
          <w:tcPr>
            <w:tcW w:w="3737" w:type="dxa"/>
            <w:tcMar/>
            <w:vAlign w:val="center"/>
          </w:tcPr>
          <w:p w:rsidR="01A0C124" w:rsidP="01A0C124" w:rsidRDefault="01A0C124" w14:paraId="5C82410D" w14:textId="1A04CB68">
            <w:pPr>
              <w:spacing w:before="0" w:beforeAutospacing="off" w:after="0" w:afterAutospacing="off"/>
            </w:pPr>
            <w:r w:rsidR="01A0C124">
              <w:rPr/>
              <w:t>Export blocked on ERROR issues; passes when cleared</w:t>
            </w:r>
          </w:p>
        </w:tc>
      </w:tr>
      <w:tr w:rsidR="01A0C124" w:rsidTr="01A0C124" w14:paraId="634AE038">
        <w:trPr>
          <w:trHeight w:val="300"/>
        </w:trPr>
        <w:tc>
          <w:tcPr>
            <w:tcW w:w="2161" w:type="dxa"/>
            <w:tcMar/>
            <w:vAlign w:val="center"/>
          </w:tcPr>
          <w:p w:rsidR="01A0C124" w:rsidP="01A0C124" w:rsidRDefault="01A0C124" w14:paraId="1D358BCC" w14:textId="33EFE77E">
            <w:pPr>
              <w:spacing w:before="0" w:beforeAutospacing="off" w:after="0" w:afterAutospacing="off"/>
            </w:pPr>
            <w:r w:rsidR="01A0C124">
              <w:rPr/>
              <w:t>DR4: Dual-format export</w:t>
            </w:r>
          </w:p>
        </w:tc>
        <w:tc>
          <w:tcPr>
            <w:tcW w:w="1325" w:type="dxa"/>
            <w:tcMar/>
            <w:vAlign w:val="center"/>
          </w:tcPr>
          <w:p w:rsidR="01A0C124" w:rsidP="01A0C124" w:rsidRDefault="01A0C124" w14:paraId="0F447CB1" w14:textId="3AED411B">
            <w:pPr>
              <w:spacing w:before="0" w:beforeAutospacing="off" w:after="0" w:afterAutospacing="off"/>
            </w:pPr>
            <w:r w:rsidR="01A0C124">
              <w:rPr/>
              <w:t>Regulatory compliance</w:t>
            </w:r>
          </w:p>
        </w:tc>
        <w:tc>
          <w:tcPr>
            <w:tcW w:w="2137" w:type="dxa"/>
            <w:tcMar/>
            <w:vAlign w:val="center"/>
          </w:tcPr>
          <w:p w:rsidR="01A0C124" w:rsidP="01A0C124" w:rsidRDefault="01A0C124" w14:paraId="325072FC" w14:textId="2A530AFD">
            <w:pPr>
              <w:spacing w:before="0" w:beforeAutospacing="off" w:after="0" w:afterAutospacing="off"/>
            </w:pPr>
            <w:r w:rsidR="01A0C124">
              <w:rPr/>
              <w:t>Output comparison to EBA templates</w:t>
            </w:r>
          </w:p>
        </w:tc>
        <w:tc>
          <w:tcPr>
            <w:tcW w:w="3737" w:type="dxa"/>
            <w:tcMar/>
            <w:vAlign w:val="center"/>
          </w:tcPr>
          <w:p w:rsidR="01A0C124" w:rsidP="01A0C124" w:rsidRDefault="01A0C124" w14:paraId="22C594AC" w14:textId="5049D7CB">
            <w:pPr>
              <w:spacing w:before="0" w:beforeAutospacing="off" w:after="0" w:afterAutospacing="off"/>
            </w:pPr>
            <w:r w:rsidR="01A0C124">
              <w:rPr/>
              <w:t>Column alignment confirmed; OIM-CSV structurally conformant</w:t>
            </w:r>
          </w:p>
        </w:tc>
      </w:tr>
      <w:tr w:rsidR="01A0C124" w:rsidTr="01A0C124" w14:paraId="74852BF6">
        <w:trPr>
          <w:trHeight w:val="300"/>
        </w:trPr>
        <w:tc>
          <w:tcPr>
            <w:tcW w:w="2161" w:type="dxa"/>
            <w:tcMar/>
            <w:vAlign w:val="center"/>
          </w:tcPr>
          <w:p w:rsidR="01A0C124" w:rsidP="01A0C124" w:rsidRDefault="01A0C124" w14:paraId="2DFF4BEA" w14:textId="5043D008">
            <w:pPr>
              <w:spacing w:before="0" w:beforeAutospacing="off" w:after="0" w:afterAutospacing="off"/>
            </w:pPr>
            <w:r w:rsidR="01A0C124">
              <w:rPr/>
              <w:t>DR5: Multi-tenant isolation</w:t>
            </w:r>
          </w:p>
        </w:tc>
        <w:tc>
          <w:tcPr>
            <w:tcW w:w="1325" w:type="dxa"/>
            <w:tcMar/>
            <w:vAlign w:val="center"/>
          </w:tcPr>
          <w:p w:rsidR="01A0C124" w:rsidP="01A0C124" w:rsidRDefault="01A0C124" w14:paraId="5B130E23" w14:textId="7E07D8BB">
            <w:pPr>
              <w:spacing w:before="0" w:beforeAutospacing="off" w:after="0" w:afterAutospacing="off"/>
            </w:pPr>
            <w:r w:rsidR="01A0C124">
              <w:rPr/>
              <w:t>Technical quality</w:t>
            </w:r>
          </w:p>
        </w:tc>
        <w:tc>
          <w:tcPr>
            <w:tcW w:w="2137" w:type="dxa"/>
            <w:tcMar/>
            <w:vAlign w:val="center"/>
          </w:tcPr>
          <w:p w:rsidR="01A0C124" w:rsidP="01A0C124" w:rsidRDefault="01A0C124" w14:paraId="0A81052C" w14:textId="062A66EC">
            <w:pPr>
              <w:spacing w:before="0" w:beforeAutospacing="off" w:after="0" w:afterAutospacing="off"/>
            </w:pPr>
            <w:r w:rsidR="01A0C124">
              <w:rPr/>
              <w:t>Architecture review</w:t>
            </w:r>
          </w:p>
        </w:tc>
        <w:tc>
          <w:tcPr>
            <w:tcW w:w="3737" w:type="dxa"/>
            <w:tcMar/>
            <w:vAlign w:val="center"/>
          </w:tcPr>
          <w:p w:rsidR="01A0C124" w:rsidP="01A0C124" w:rsidRDefault="01A0C124" w14:paraId="0E3E8EEC" w14:textId="05ABCD26">
            <w:pPr>
              <w:spacing w:before="0" w:beforeAutospacing="off" w:after="0" w:afterAutospacing="off"/>
            </w:pPr>
            <w:r w:rsidR="01A0C124">
              <w:rPr/>
              <w:t>App-layer + RLS active on all 20 tenant tables</w:t>
            </w:r>
          </w:p>
        </w:tc>
      </w:tr>
      <w:tr w:rsidR="01A0C124" w:rsidTr="01A0C124" w14:paraId="575C6796">
        <w:trPr>
          <w:trHeight w:val="300"/>
        </w:trPr>
        <w:tc>
          <w:tcPr>
            <w:tcW w:w="2161" w:type="dxa"/>
            <w:tcMar/>
            <w:vAlign w:val="center"/>
          </w:tcPr>
          <w:p w:rsidR="01A0C124" w:rsidP="01A0C124" w:rsidRDefault="01A0C124" w14:paraId="01F00127" w14:textId="7459DA0C">
            <w:pPr>
              <w:spacing w:before="0" w:beforeAutospacing="off" w:after="0" w:afterAutospacing="off"/>
            </w:pPr>
            <w:r w:rsidR="01A0C124">
              <w:rPr/>
              <w:t>DR6: RBAC — three roles</w:t>
            </w:r>
          </w:p>
        </w:tc>
        <w:tc>
          <w:tcPr>
            <w:tcW w:w="1325" w:type="dxa"/>
            <w:tcMar/>
            <w:vAlign w:val="center"/>
          </w:tcPr>
          <w:p w:rsidR="01A0C124" w:rsidP="01A0C124" w:rsidRDefault="01A0C124" w14:paraId="6783E4D0" w14:textId="3629CC60">
            <w:pPr>
              <w:spacing w:before="0" w:beforeAutospacing="off" w:after="0" w:afterAutospacing="off"/>
            </w:pPr>
            <w:r w:rsidR="01A0C124">
              <w:rPr/>
              <w:t>Technical quality</w:t>
            </w:r>
          </w:p>
        </w:tc>
        <w:tc>
          <w:tcPr>
            <w:tcW w:w="2137" w:type="dxa"/>
            <w:tcMar/>
            <w:vAlign w:val="center"/>
          </w:tcPr>
          <w:p w:rsidR="01A0C124" w:rsidP="01A0C124" w:rsidRDefault="01A0C124" w14:paraId="1926815D" w14:textId="0209947B">
            <w:pPr>
              <w:spacing w:before="0" w:beforeAutospacing="off" w:after="0" w:afterAutospacing="off"/>
            </w:pPr>
            <w:r w:rsidR="01A0C124">
              <w:rPr/>
              <w:t>Role matrix verification</w:t>
            </w:r>
          </w:p>
        </w:tc>
        <w:tc>
          <w:tcPr>
            <w:tcW w:w="3737" w:type="dxa"/>
            <w:tcMar/>
            <w:vAlign w:val="center"/>
          </w:tcPr>
          <w:p w:rsidR="01A0C124" w:rsidP="01A0C124" w:rsidRDefault="01A0C124" w14:paraId="5D9ED9B6" w14:textId="776DEFF3">
            <w:pPr>
              <w:spacing w:before="0" w:beforeAutospacing="off" w:after="0" w:afterAutospacing="off"/>
            </w:pPr>
            <w:r w:rsidR="01A0C124">
              <w:rPr/>
              <w:t>All three roles enforce correct permission boundaries</w:t>
            </w:r>
          </w:p>
        </w:tc>
      </w:tr>
      <w:tr w:rsidR="01A0C124" w:rsidTr="01A0C124" w14:paraId="2518EE86">
        <w:trPr>
          <w:trHeight w:val="300"/>
        </w:trPr>
        <w:tc>
          <w:tcPr>
            <w:tcW w:w="2161" w:type="dxa"/>
            <w:tcMar/>
            <w:vAlign w:val="center"/>
          </w:tcPr>
          <w:p w:rsidR="01A0C124" w:rsidP="01A0C124" w:rsidRDefault="01A0C124" w14:paraId="3BBB6D01" w14:textId="3342946C">
            <w:pPr>
              <w:spacing w:before="0" w:beforeAutospacing="off" w:after="0" w:afterAutospacing="off"/>
            </w:pPr>
            <w:r w:rsidR="01A0C124">
              <w:rPr/>
              <w:t>DR7: Audit trail</w:t>
            </w:r>
          </w:p>
        </w:tc>
        <w:tc>
          <w:tcPr>
            <w:tcW w:w="1325" w:type="dxa"/>
            <w:tcMar/>
            <w:vAlign w:val="center"/>
          </w:tcPr>
          <w:p w:rsidR="01A0C124" w:rsidP="01A0C124" w:rsidRDefault="01A0C124" w14:paraId="6A7DBF81" w14:textId="156F707C">
            <w:pPr>
              <w:spacing w:before="0" w:beforeAutospacing="off" w:after="0" w:afterAutospacing="off"/>
            </w:pPr>
            <w:r w:rsidR="01A0C124">
              <w:rPr/>
              <w:t>Technical quality</w:t>
            </w:r>
          </w:p>
        </w:tc>
        <w:tc>
          <w:tcPr>
            <w:tcW w:w="2137" w:type="dxa"/>
            <w:tcMar/>
            <w:vAlign w:val="center"/>
          </w:tcPr>
          <w:p w:rsidR="01A0C124" w:rsidP="01A0C124" w:rsidRDefault="01A0C124" w14:paraId="4F280096" w14:textId="3BD4307A">
            <w:pPr>
              <w:spacing w:before="0" w:beforeAutospacing="off" w:after="0" w:afterAutospacing="off"/>
            </w:pPr>
            <w:r w:rsidR="01A0C124">
              <w:rPr/>
              <w:t>Functional demonstration</w:t>
            </w:r>
          </w:p>
        </w:tc>
        <w:tc>
          <w:tcPr>
            <w:tcW w:w="3737" w:type="dxa"/>
            <w:tcMar/>
            <w:vAlign w:val="center"/>
          </w:tcPr>
          <w:p w:rsidR="01A0C124" w:rsidP="01A0C124" w:rsidRDefault="01A0C124" w14:paraId="57B01F1A" w14:textId="61340F14">
            <w:pPr>
              <w:spacing w:before="0" w:beforeAutospacing="off" w:after="0" w:afterAutospacing="off"/>
            </w:pPr>
            <w:r w:rsidR="01A0C124">
              <w:rPr/>
              <w:t>All mutating operations produce JSONB old/new snapshots</w:t>
            </w:r>
          </w:p>
        </w:tc>
      </w:tr>
      <w:tr w:rsidR="01A0C124" w:rsidTr="01A0C124" w14:paraId="231BDDCB">
        <w:trPr>
          <w:trHeight w:val="300"/>
        </w:trPr>
        <w:tc>
          <w:tcPr>
            <w:tcW w:w="2161" w:type="dxa"/>
            <w:tcMar/>
            <w:vAlign w:val="center"/>
          </w:tcPr>
          <w:p w:rsidR="01A0C124" w:rsidP="01A0C124" w:rsidRDefault="01A0C124" w14:paraId="146C58C3" w14:textId="75ED9505">
            <w:pPr>
              <w:spacing w:before="0" w:beforeAutospacing="off" w:after="0" w:afterAutospacing="off"/>
            </w:pPr>
            <w:r w:rsidR="01A0C124">
              <w:rPr/>
              <w:t>DR8: SME-proportionate deployment</w:t>
            </w:r>
          </w:p>
        </w:tc>
        <w:tc>
          <w:tcPr>
            <w:tcW w:w="1325" w:type="dxa"/>
            <w:tcMar/>
            <w:vAlign w:val="center"/>
          </w:tcPr>
          <w:p w:rsidR="01A0C124" w:rsidP="01A0C124" w:rsidRDefault="01A0C124" w14:paraId="5CC33A26" w14:textId="0D44F349">
            <w:pPr>
              <w:spacing w:before="0" w:beforeAutospacing="off" w:after="0" w:afterAutospacing="off"/>
            </w:pPr>
            <w:r w:rsidR="01A0C124">
              <w:rPr/>
              <w:t>Proportionality</w:t>
            </w:r>
          </w:p>
        </w:tc>
        <w:tc>
          <w:tcPr>
            <w:tcW w:w="2137" w:type="dxa"/>
            <w:tcMar/>
            <w:vAlign w:val="center"/>
          </w:tcPr>
          <w:p w:rsidR="01A0C124" w:rsidP="01A0C124" w:rsidRDefault="01A0C124" w14:paraId="4E833F38" w14:textId="6742D1E4">
            <w:pPr>
              <w:spacing w:before="0" w:beforeAutospacing="off" w:after="0" w:afterAutospacing="off"/>
            </w:pPr>
            <w:r w:rsidR="01A0C124">
              <w:rPr/>
              <w:t>Deployment complexity assessment</w:t>
            </w:r>
          </w:p>
        </w:tc>
        <w:tc>
          <w:tcPr>
            <w:tcW w:w="3737" w:type="dxa"/>
            <w:tcMar/>
            <w:vAlign w:val="center"/>
          </w:tcPr>
          <w:p w:rsidR="01A0C124" w:rsidP="01A0C124" w:rsidRDefault="01A0C124" w14:paraId="4C3E1BB2" w14:textId="28A87232">
            <w:pPr>
              <w:spacing w:before="0" w:beforeAutospacing="off" w:after="0" w:afterAutospacing="off"/>
            </w:pPr>
            <w:r w:rsidR="01A0C124">
              <w:rPr/>
              <w:t xml:space="preserve">Deployable via single </w:t>
            </w:r>
            <w:r w:rsidRPr="01A0C124" w:rsidR="01A0C124">
              <w:rPr>
                <w:rFonts w:ascii="Consolas" w:hAnsi="Consolas" w:eastAsia="Consolas" w:cs="Consolas"/>
              </w:rPr>
              <w:t>docker-compose up</w:t>
            </w:r>
          </w:p>
        </w:tc>
      </w:tr>
      <w:tr w:rsidR="01A0C124" w:rsidTr="01A0C124" w14:paraId="328EDE99">
        <w:trPr>
          <w:trHeight w:val="300"/>
        </w:trPr>
        <w:tc>
          <w:tcPr>
            <w:tcW w:w="2161" w:type="dxa"/>
            <w:tcMar/>
            <w:vAlign w:val="center"/>
          </w:tcPr>
          <w:p w:rsidR="01A0C124" w:rsidP="01A0C124" w:rsidRDefault="01A0C124" w14:paraId="6ED4DACA" w14:textId="70DBA939">
            <w:pPr>
              <w:spacing w:before="0" w:beforeAutospacing="off" w:after="0" w:afterAutospacing="off"/>
            </w:pPr>
            <w:r w:rsidR="01A0C124">
              <w:rPr/>
              <w:t>Correctness</w:t>
            </w:r>
          </w:p>
        </w:tc>
        <w:tc>
          <w:tcPr>
            <w:tcW w:w="1325" w:type="dxa"/>
            <w:tcMar/>
            <w:vAlign w:val="center"/>
          </w:tcPr>
          <w:p w:rsidR="01A0C124" w:rsidP="01A0C124" w:rsidRDefault="01A0C124" w14:paraId="06BEC391" w14:textId="1D83DC83">
            <w:pPr>
              <w:spacing w:before="0" w:beforeAutospacing="off" w:after="0" w:afterAutospacing="off"/>
            </w:pPr>
            <w:r w:rsidR="01A0C124">
              <w:rPr/>
              <w:t>Technical quality</w:t>
            </w:r>
          </w:p>
        </w:tc>
        <w:tc>
          <w:tcPr>
            <w:tcW w:w="2137" w:type="dxa"/>
            <w:tcMar/>
            <w:vAlign w:val="center"/>
          </w:tcPr>
          <w:p w:rsidR="01A0C124" w:rsidP="01A0C124" w:rsidRDefault="01A0C124" w14:paraId="502C9240" w14:textId="16EE5464">
            <w:pPr>
              <w:spacing w:before="0" w:beforeAutospacing="off" w:after="0" w:afterAutospacing="off"/>
            </w:pPr>
            <w:r w:rsidR="01A0C124">
              <w:rPr/>
              <w:t>Seeded violation detection test</w:t>
            </w:r>
          </w:p>
        </w:tc>
        <w:tc>
          <w:tcPr>
            <w:tcW w:w="3737" w:type="dxa"/>
            <w:tcMar/>
            <w:vAlign w:val="center"/>
          </w:tcPr>
          <w:p w:rsidR="01A0C124" w:rsidP="01A0C124" w:rsidRDefault="01A0C124" w14:paraId="7EA31AC0" w14:textId="64EF2865">
            <w:pPr>
              <w:spacing w:before="0" w:beforeAutospacing="off" w:after="0" w:afterAutospacing="off"/>
            </w:pPr>
            <w:r w:rsidR="01A0C124">
              <w:rPr/>
              <w:t>All injected violations detected; zero false positives</w:t>
            </w:r>
          </w:p>
        </w:tc>
      </w:tr>
      <w:tr w:rsidR="01A0C124" w:rsidTr="01A0C124" w14:paraId="6E0B694D">
        <w:trPr>
          <w:trHeight w:val="300"/>
        </w:trPr>
        <w:tc>
          <w:tcPr>
            <w:tcW w:w="2161" w:type="dxa"/>
            <w:tcMar/>
            <w:vAlign w:val="center"/>
          </w:tcPr>
          <w:p w:rsidR="01A0C124" w:rsidP="01A0C124" w:rsidRDefault="01A0C124" w14:paraId="3D82A33B" w14:textId="6D7CAF01">
            <w:pPr>
              <w:spacing w:before="0" w:beforeAutospacing="off" w:after="0" w:afterAutospacing="off"/>
            </w:pPr>
            <w:r w:rsidR="01A0C124">
              <w:rPr/>
              <w:t>Transparency</w:t>
            </w:r>
          </w:p>
        </w:tc>
        <w:tc>
          <w:tcPr>
            <w:tcW w:w="1325" w:type="dxa"/>
            <w:tcMar/>
            <w:vAlign w:val="center"/>
          </w:tcPr>
          <w:p w:rsidR="01A0C124" w:rsidP="01A0C124" w:rsidRDefault="01A0C124" w14:paraId="3E623A10" w14:textId="521D31B5">
            <w:pPr>
              <w:spacing w:before="0" w:beforeAutospacing="off" w:after="0" w:afterAutospacing="off"/>
            </w:pPr>
            <w:r w:rsidR="01A0C124">
              <w:rPr/>
              <w:t>Technical quality</w:t>
            </w:r>
          </w:p>
        </w:tc>
        <w:tc>
          <w:tcPr>
            <w:tcW w:w="2137" w:type="dxa"/>
            <w:tcMar/>
            <w:vAlign w:val="center"/>
          </w:tcPr>
          <w:p w:rsidR="01A0C124" w:rsidP="01A0C124" w:rsidRDefault="01A0C124" w14:paraId="72C20298" w14:textId="222F7C7C">
            <w:pPr>
              <w:spacing w:before="0" w:beforeAutospacing="off" w:after="0" w:afterAutospacing="off"/>
            </w:pPr>
            <w:r w:rsidR="01A0C124">
              <w:rPr/>
              <w:t>Inspection of rule storage</w:t>
            </w:r>
          </w:p>
        </w:tc>
        <w:tc>
          <w:tcPr>
            <w:tcW w:w="3737" w:type="dxa"/>
            <w:tcMar/>
            <w:vAlign w:val="center"/>
          </w:tcPr>
          <w:p w:rsidR="01A0C124" w:rsidP="01A0C124" w:rsidRDefault="01A0C124" w14:paraId="4031E161" w14:textId="09625A2A">
            <w:pPr>
              <w:spacing w:before="0" w:beforeAutospacing="off" w:after="0" w:afterAutospacing="off"/>
            </w:pPr>
            <w:r w:rsidR="01A0C124">
              <w:rPr/>
              <w:t>All rules human-readable; regulatory citations present</w:t>
            </w:r>
          </w:p>
        </w:tc>
      </w:tr>
      <w:tr w:rsidR="01A0C124" w:rsidTr="01A0C124" w14:paraId="0CE42F23">
        <w:trPr>
          <w:trHeight w:val="300"/>
        </w:trPr>
        <w:tc>
          <w:tcPr>
            <w:tcW w:w="2161" w:type="dxa"/>
            <w:tcMar/>
            <w:vAlign w:val="center"/>
          </w:tcPr>
          <w:p w:rsidR="01A0C124" w:rsidP="01A0C124" w:rsidRDefault="01A0C124" w14:paraId="6F8AA3F1" w14:textId="7C832082">
            <w:pPr>
              <w:spacing w:before="0" w:beforeAutospacing="off" w:after="0" w:afterAutospacing="off"/>
            </w:pPr>
            <w:r w:rsidR="01A0C124">
              <w:rPr/>
              <w:t>Proportionality</w:t>
            </w:r>
          </w:p>
        </w:tc>
        <w:tc>
          <w:tcPr>
            <w:tcW w:w="1325" w:type="dxa"/>
            <w:tcMar/>
            <w:vAlign w:val="center"/>
          </w:tcPr>
          <w:p w:rsidR="01A0C124" w:rsidP="01A0C124" w:rsidRDefault="01A0C124" w14:paraId="1E228DD5" w14:textId="65AB8314">
            <w:pPr>
              <w:spacing w:before="0" w:beforeAutospacing="off" w:after="0" w:afterAutospacing="off"/>
            </w:pPr>
            <w:r w:rsidR="01A0C124">
              <w:rPr/>
              <w:t>Proportionality</w:t>
            </w:r>
          </w:p>
        </w:tc>
        <w:tc>
          <w:tcPr>
            <w:tcW w:w="2137" w:type="dxa"/>
            <w:tcMar/>
            <w:vAlign w:val="center"/>
          </w:tcPr>
          <w:p w:rsidR="01A0C124" w:rsidP="01A0C124" w:rsidRDefault="01A0C124" w14:paraId="0C3057B4" w14:textId="142A9360">
            <w:pPr>
              <w:spacing w:before="0" w:beforeAutospacing="off" w:after="0" w:afterAutospacing="off"/>
            </w:pPr>
            <w:r w:rsidR="01A0C124">
              <w:rPr/>
              <w:t>Cost and UX assessment</w:t>
            </w:r>
          </w:p>
        </w:tc>
        <w:tc>
          <w:tcPr>
            <w:tcW w:w="3737" w:type="dxa"/>
            <w:tcMar/>
            <w:vAlign w:val="center"/>
          </w:tcPr>
          <w:p w:rsidR="01A0C124" w:rsidP="01A0C124" w:rsidRDefault="01A0C124" w14:paraId="5A5922E9" w14:textId="6D47BFB9">
            <w:pPr>
              <w:spacing w:before="0" w:beforeAutospacing="off" w:after="0" w:afterAutospacing="off"/>
            </w:pPr>
            <w:r w:rsidR="01A0C124">
              <w:rPr/>
              <w:t>Cloud cost ≤ €150/month; entry constrained to valid EBA codes</w:t>
            </w:r>
          </w:p>
        </w:tc>
      </w:tr>
    </w:tbl>
    <w:p xmlns:wp14="http://schemas.microsoft.com/office/word/2010/wordml" w:rsidP="01A0C124" wp14:paraId="121F22C8" wp14:textId="6625A601">
      <w:pPr>
        <w:pStyle w:val="Heading2"/>
        <w:bidi w:val="0"/>
        <w:spacing w:before="299" w:beforeAutospacing="off" w:after="299" w:afterAutospacing="off"/>
      </w:pPr>
      <w:r w:rsidRPr="01A0C124" w:rsidR="330BD178">
        <w:rPr>
          <w:rFonts w:ascii="Times New Roman" w:hAnsi="Times New Roman" w:eastAsia="Times New Roman" w:cs="Times New Roman"/>
          <w:b w:val="1"/>
          <w:bCs w:val="1"/>
          <w:noProof w:val="0"/>
          <w:sz w:val="36"/>
          <w:szCs w:val="36"/>
          <w:lang w:val="en-US"/>
        </w:rPr>
        <w:t>6.1.2 Evaluation Methods — FEDS Framework</w:t>
      </w:r>
    </w:p>
    <w:p xmlns:wp14="http://schemas.microsoft.com/office/word/2010/wordml" w:rsidP="01A0C124" wp14:paraId="57984696" wp14:textId="34197E37">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Venable et al.'s (2016) Framework for Evaluation in Design Science (FEDS) provides a structured basis for selecting evaluation methods appropriate to the artefact's maturity level and the evaluation's purpose. FEDS distinguishes between formative evaluation (aimed at improving the artefact during development) and summative evaluation (aimed at assessing the final artefact), and between naturalistic evaluation (in real-world conditions) and artificial evaluation (in controlled or simulated conditions). The evaluation in this chapter is summative and primarily artificial — assessing the completed artefact in a controlled research environment rather than in live operational use — which is appropriate and expected for a DSR artefact at demonstration maturity (Venable et al., 2016; Hevner et al., 2004).</w:t>
      </w:r>
    </w:p>
    <w:p xmlns:wp14="http://schemas.microsoft.com/office/word/2010/wordml" w:rsidP="01A0C124" wp14:paraId="5BAE1382" wp14:textId="55FA4B69">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Four specific evaluation methods are used, each assigned to the evaluation dimensions it most directly addresses:</w:t>
      </w:r>
    </w:p>
    <w:p xmlns:wp14="http://schemas.microsoft.com/office/word/2010/wordml" w:rsidP="01A0C124" wp14:paraId="0A6977B8" wp14:textId="70572931">
      <w:pPr>
        <w:pStyle w:val="ListParagraph"/>
        <w:numPr>
          <w:ilvl w:val="0"/>
          <w:numId w:val="3"/>
        </w:numPr>
        <w:bidi w:val="0"/>
        <w:spacing w:before="240" w:beforeAutospacing="off" w:after="240" w:afterAutospacing="off"/>
        <w:rPr>
          <w:rFonts w:ascii="Times New Roman" w:hAnsi="Times New Roman" w:eastAsia="Times New Roman" w:cs="Times New Roman"/>
          <w:noProof w:val="0"/>
          <w:sz w:val="24"/>
          <w:szCs w:val="24"/>
          <w:lang w:val="en-US"/>
        </w:rPr>
      </w:pPr>
      <w:r w:rsidRPr="01A0C124" w:rsidR="330BD178">
        <w:rPr>
          <w:rFonts w:ascii="Times New Roman" w:hAnsi="Times New Roman" w:eastAsia="Times New Roman" w:cs="Times New Roman"/>
          <w:b w:val="1"/>
          <w:bCs w:val="1"/>
          <w:noProof w:val="0"/>
          <w:sz w:val="24"/>
          <w:szCs w:val="24"/>
          <w:lang w:val="en-US"/>
        </w:rPr>
        <w:t>Structural traceability analysis</w:t>
      </w:r>
      <w:r w:rsidRPr="01A0C124" w:rsidR="330BD178">
        <w:rPr>
          <w:rFonts w:ascii="Times New Roman" w:hAnsi="Times New Roman" w:eastAsia="Times New Roman" w:cs="Times New Roman"/>
          <w:noProof w:val="0"/>
          <w:sz w:val="24"/>
          <w:szCs w:val="24"/>
          <w:lang w:val="en-US"/>
        </w:rPr>
        <w:t xml:space="preserve"> (Sections 6.2.2, 6.2.3): a systematic mapping between each regulatory requirement and the implementing system component, verifying completeness of coverage without requiring system execution.</w:t>
      </w:r>
    </w:p>
    <w:p xmlns:wp14="http://schemas.microsoft.com/office/word/2010/wordml" w:rsidP="01A0C124" wp14:paraId="0E224FB8" wp14:textId="0D11F0EC">
      <w:pPr>
        <w:pStyle w:val="ListParagraph"/>
        <w:numPr>
          <w:ilvl w:val="0"/>
          <w:numId w:val="3"/>
        </w:numPr>
        <w:bidi w:val="0"/>
        <w:spacing w:before="240" w:beforeAutospacing="off" w:after="240" w:afterAutospacing="off"/>
        <w:rPr>
          <w:rFonts w:ascii="Times New Roman" w:hAnsi="Times New Roman" w:eastAsia="Times New Roman" w:cs="Times New Roman"/>
          <w:noProof w:val="0"/>
          <w:sz w:val="24"/>
          <w:szCs w:val="24"/>
          <w:lang w:val="en-US"/>
        </w:rPr>
      </w:pPr>
      <w:r w:rsidRPr="01A0C124" w:rsidR="330BD178">
        <w:rPr>
          <w:rFonts w:ascii="Times New Roman" w:hAnsi="Times New Roman" w:eastAsia="Times New Roman" w:cs="Times New Roman"/>
          <w:b w:val="1"/>
          <w:bCs w:val="1"/>
          <w:noProof w:val="0"/>
          <w:sz w:val="24"/>
          <w:szCs w:val="24"/>
          <w:lang w:val="en-US"/>
        </w:rPr>
        <w:t>Functional demonstration</w:t>
      </w:r>
      <w:r w:rsidRPr="01A0C124" w:rsidR="330BD178">
        <w:rPr>
          <w:rFonts w:ascii="Times New Roman" w:hAnsi="Times New Roman" w:eastAsia="Times New Roman" w:cs="Times New Roman"/>
          <w:noProof w:val="0"/>
          <w:sz w:val="24"/>
          <w:szCs w:val="24"/>
          <w:lang w:val="en-US"/>
        </w:rPr>
        <w:t xml:space="preserve"> (Sections 6.2.1, 6.3.1): executing the system against the reproducible seeded test dataset and observing outputs — validation run results, issue state transitions, export file content — against expected outcomes derived from the EBA validation rules specification (European Banking Authority, 2024a).</w:t>
      </w:r>
    </w:p>
    <w:p xmlns:wp14="http://schemas.microsoft.com/office/word/2010/wordml" w:rsidP="01A0C124" wp14:paraId="3AB3C2C0" wp14:textId="3DBD7080">
      <w:pPr>
        <w:pStyle w:val="ListParagraph"/>
        <w:numPr>
          <w:ilvl w:val="0"/>
          <w:numId w:val="3"/>
        </w:numPr>
        <w:bidi w:val="0"/>
        <w:spacing w:before="240" w:beforeAutospacing="off" w:after="240" w:afterAutospacing="off"/>
        <w:rPr>
          <w:rFonts w:ascii="Times New Roman" w:hAnsi="Times New Roman" w:eastAsia="Times New Roman" w:cs="Times New Roman"/>
          <w:noProof w:val="0"/>
          <w:sz w:val="24"/>
          <w:szCs w:val="24"/>
          <w:lang w:val="en-US"/>
        </w:rPr>
      </w:pPr>
      <w:r w:rsidRPr="01A0C124" w:rsidR="330BD178">
        <w:rPr>
          <w:rFonts w:ascii="Times New Roman" w:hAnsi="Times New Roman" w:eastAsia="Times New Roman" w:cs="Times New Roman"/>
          <w:b w:val="1"/>
          <w:bCs w:val="1"/>
          <w:noProof w:val="0"/>
          <w:sz w:val="24"/>
          <w:szCs w:val="24"/>
          <w:lang w:val="en-US"/>
        </w:rPr>
        <w:t>Technical architecture review</w:t>
      </w:r>
      <w:r w:rsidRPr="01A0C124" w:rsidR="330BD178">
        <w:rPr>
          <w:rFonts w:ascii="Times New Roman" w:hAnsi="Times New Roman" w:eastAsia="Times New Roman" w:cs="Times New Roman"/>
          <w:noProof w:val="0"/>
          <w:sz w:val="24"/>
          <w:szCs w:val="24"/>
          <w:lang w:val="en-US"/>
        </w:rPr>
        <w:t xml:space="preserve"> (Section 6.3.3): a systematic examination of the security, tenant isolation, and data integrity architecture against the NIST SP 800-63B (NIST, 2018), OWASP Top Ten 2021 (OWASP, 2021), and ISO/IEC 27001:2022 (ISO, 2022) reference standards.</w:t>
      </w:r>
    </w:p>
    <w:p xmlns:wp14="http://schemas.microsoft.com/office/word/2010/wordml" w:rsidP="01A0C124" wp14:paraId="739311DC" wp14:textId="63069A8B">
      <w:pPr>
        <w:pStyle w:val="ListParagraph"/>
        <w:numPr>
          <w:ilvl w:val="0"/>
          <w:numId w:val="3"/>
        </w:numPr>
        <w:bidi w:val="0"/>
        <w:spacing w:before="240" w:beforeAutospacing="off" w:after="240" w:afterAutospacing="off"/>
        <w:rPr>
          <w:rFonts w:ascii="Times New Roman" w:hAnsi="Times New Roman" w:eastAsia="Times New Roman" w:cs="Times New Roman"/>
          <w:noProof w:val="0"/>
          <w:sz w:val="24"/>
          <w:szCs w:val="24"/>
          <w:lang w:val="en-US"/>
        </w:rPr>
      </w:pPr>
      <w:r w:rsidRPr="01A0C124" w:rsidR="330BD178">
        <w:rPr>
          <w:rFonts w:ascii="Times New Roman" w:hAnsi="Times New Roman" w:eastAsia="Times New Roman" w:cs="Times New Roman"/>
          <w:b w:val="1"/>
          <w:bCs w:val="1"/>
          <w:noProof w:val="0"/>
          <w:sz w:val="24"/>
          <w:szCs w:val="24"/>
          <w:lang w:val="en-US"/>
        </w:rPr>
        <w:t>Proportionality assessment</w:t>
      </w:r>
      <w:r w:rsidRPr="01A0C124" w:rsidR="330BD178">
        <w:rPr>
          <w:rFonts w:ascii="Times New Roman" w:hAnsi="Times New Roman" w:eastAsia="Times New Roman" w:cs="Times New Roman"/>
          <w:noProof w:val="0"/>
          <w:sz w:val="24"/>
          <w:szCs w:val="24"/>
          <w:lang w:val="en-US"/>
        </w:rPr>
        <w:t xml:space="preserve"> (Section 6.4): a structured comparison of deployment complexity, operational cost, and UX design against the documented characteristics of SME financial entities in the Irish regulatory context, drawing on the literature established in Chapter 2 and the CBI's proportionality guidance (Central Bank of Ireland, 2024a; Bhurat, 2025).</w:t>
      </w:r>
    </w:p>
    <w:p xmlns:wp14="http://schemas.microsoft.com/office/word/2010/wordml" w:rsidP="01A0C124" wp14:paraId="2B0CE862" wp14:textId="11D7E343">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The chapter does not claim external validity through a formal user study with real SME compliance professionals or through submission to a live CBI test portal. These are identified as the two highest-priority next steps for a production evaluation cycle (Section 6.5.1). The chapter claims internal validity through rigorous demonstration and reasoned argument within the scope of a research prototype evaluated at demonstration maturity, which Hevner et al. (2004) explicitly recognise as the appropriate level for a DSR artefact of this stage.</w:t>
      </w:r>
    </w:p>
    <w:p xmlns:wp14="http://schemas.microsoft.com/office/word/2010/wordml" w:rsidP="01A0C124" wp14:paraId="26F1B051" wp14:textId="1BCC2AEF">
      <w:pPr>
        <w:bidi w:val="0"/>
        <w:spacing w:before="0" w:beforeAutospacing="off" w:after="0" w:afterAutospacing="off"/>
      </w:pPr>
    </w:p>
    <w:p xmlns:wp14="http://schemas.microsoft.com/office/word/2010/wordml" w:rsidP="01A0C124" wp14:paraId="6443FB67" wp14:textId="46750B99">
      <w:pPr>
        <w:pStyle w:val="Heading2"/>
        <w:bidi w:val="0"/>
        <w:spacing w:before="299" w:beforeAutospacing="off" w:after="299" w:afterAutospacing="off"/>
      </w:pPr>
      <w:r w:rsidRPr="01A0C124" w:rsidR="330BD178">
        <w:rPr>
          <w:rFonts w:ascii="Times New Roman" w:hAnsi="Times New Roman" w:eastAsia="Times New Roman" w:cs="Times New Roman"/>
          <w:b w:val="1"/>
          <w:bCs w:val="1"/>
          <w:noProof w:val="0"/>
          <w:sz w:val="36"/>
          <w:szCs w:val="36"/>
          <w:lang w:val="en-US"/>
        </w:rPr>
        <w:t>6.2 Regulatory Compliance Evaluation</w:t>
      </w:r>
    </w:p>
    <w:p xmlns:wp14="http://schemas.microsoft.com/office/word/2010/wordml" w:rsidP="01A0C124" wp14:paraId="4950A505" wp14:textId="673768D6">
      <w:pPr>
        <w:pStyle w:val="Heading2"/>
        <w:bidi w:val="0"/>
        <w:spacing w:before="299" w:beforeAutospacing="off" w:after="299" w:afterAutospacing="off"/>
      </w:pPr>
      <w:r w:rsidRPr="01A0C124" w:rsidR="330BD178">
        <w:rPr>
          <w:rFonts w:ascii="Times New Roman" w:hAnsi="Times New Roman" w:eastAsia="Times New Roman" w:cs="Times New Roman"/>
          <w:b w:val="1"/>
          <w:bCs w:val="1"/>
          <w:noProof w:val="0"/>
          <w:sz w:val="36"/>
          <w:szCs w:val="36"/>
          <w:lang w:val="en-US"/>
        </w:rPr>
        <w:t>6.2.1 Establishing the Problem Baseline: ESA 2024 Dry Run Findings</w:t>
      </w:r>
    </w:p>
    <w:p xmlns:wp14="http://schemas.microsoft.com/office/word/2010/wordml" w:rsidP="01A0C124" wp14:paraId="6B4B2229" wp14:textId="53A507FF">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 xml:space="preserve">The evaluation's problem baseline is the ESA 2024 Dry Run, the first large-scale empirical test of DORA Register of Information submission readiness across the EU. Of the 947 submissions that passed technical integration checks and were processed for data quality assessment, </w:t>
      </w:r>
      <w:r w:rsidRPr="01A0C124" w:rsidR="330BD178">
        <w:rPr>
          <w:rFonts w:ascii="Times New Roman" w:hAnsi="Times New Roman" w:eastAsia="Times New Roman" w:cs="Times New Roman"/>
          <w:b w:val="1"/>
          <w:bCs w:val="1"/>
          <w:noProof w:val="0"/>
          <w:sz w:val="24"/>
          <w:szCs w:val="24"/>
          <w:lang w:val="en-US"/>
        </w:rPr>
        <w:t>93.5% contained at least one data quality failure</w:t>
      </w:r>
      <w:r w:rsidRPr="01A0C124" w:rsidR="330BD178">
        <w:rPr>
          <w:rFonts w:ascii="Times New Roman" w:hAnsi="Times New Roman" w:eastAsia="Times New Roman" w:cs="Times New Roman"/>
          <w:noProof w:val="0"/>
          <w:sz w:val="24"/>
          <w:szCs w:val="24"/>
          <w:lang w:val="en-US"/>
        </w:rPr>
        <w:t xml:space="preserve"> (European Supervisory Authorities, 2024). Only 6.5% of submissions passed all 116 data quality checks applied — confirming that the problem this research addresses was acute and widespread, not hypothetical.</w:t>
      </w:r>
      <w:hyperlink r:id="Rad121640594f463d">
        <w:r w:rsidRPr="01A0C124" w:rsidR="330BD178">
          <w:rPr>
            <w:rStyle w:val="Hyperlink"/>
            <w:rFonts w:ascii="Times New Roman" w:hAnsi="Times New Roman" w:eastAsia="Times New Roman" w:cs="Times New Roman"/>
            <w:noProof w:val="0"/>
            <w:sz w:val="24"/>
            <w:szCs w:val="24"/>
            <w:lang w:val="en-US"/>
          </w:rPr>
          <w:t>esma.europa</w:t>
        </w:r>
      </w:hyperlink>
    </w:p>
    <w:p xmlns:wp14="http://schemas.microsoft.com/office/word/2010/wordml" w:rsidP="01A0C124" wp14:paraId="722F734F" wp14:textId="2752D584">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The ESA report identified five distinct failure areas, ordered by frequency of occurrence:eba.europa+1</w:t>
      </w:r>
    </w:p>
    <w:p xmlns:wp14="http://schemas.microsoft.com/office/word/2010/wordml" w:rsidP="01A0C124" wp14:paraId="4070EBBF" wp14:textId="328D9465">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01A0C124" w:rsidR="330BD178">
        <w:rPr>
          <w:rFonts w:ascii="Times New Roman" w:hAnsi="Times New Roman" w:eastAsia="Times New Roman" w:cs="Times New Roman"/>
          <w:b w:val="1"/>
          <w:bCs w:val="1"/>
          <w:noProof w:val="0"/>
          <w:sz w:val="24"/>
          <w:szCs w:val="24"/>
          <w:lang w:val="en-US"/>
        </w:rPr>
        <w:t>Mandatory information missing</w:t>
      </w:r>
      <w:r w:rsidRPr="01A0C124" w:rsidR="330BD178">
        <w:rPr>
          <w:rFonts w:ascii="Times New Roman" w:hAnsi="Times New Roman" w:eastAsia="Times New Roman" w:cs="Times New Roman"/>
          <w:noProof w:val="0"/>
          <w:sz w:val="24"/>
          <w:szCs w:val="24"/>
          <w:lang w:val="en-US"/>
        </w:rPr>
        <w:t xml:space="preserve"> — 86% of failures; the dominant failure category, caused by required fields being left blank in the submitted register</w:t>
      </w:r>
    </w:p>
    <w:p xmlns:wp14="http://schemas.microsoft.com/office/word/2010/wordml" w:rsidP="01A0C124" wp14:paraId="2586BD2D" wp14:textId="550C07D5">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01A0C124" w:rsidR="330BD178">
        <w:rPr>
          <w:rFonts w:ascii="Times New Roman" w:hAnsi="Times New Roman" w:eastAsia="Times New Roman" w:cs="Times New Roman"/>
          <w:b w:val="1"/>
          <w:bCs w:val="1"/>
          <w:noProof w:val="0"/>
          <w:sz w:val="24"/>
          <w:szCs w:val="24"/>
          <w:lang w:val="en-US"/>
        </w:rPr>
        <w:t>Invalid format or syntax</w:t>
      </w:r>
      <w:r w:rsidRPr="01A0C124" w:rsidR="330BD178">
        <w:rPr>
          <w:rFonts w:ascii="Times New Roman" w:hAnsi="Times New Roman" w:eastAsia="Times New Roman" w:cs="Times New Roman"/>
          <w:noProof w:val="0"/>
          <w:sz w:val="24"/>
          <w:szCs w:val="24"/>
          <w:lang w:val="en-US"/>
        </w:rPr>
        <w:t xml:space="preserve"> — the second most frequent area; fields present but in non-conforming formats (incorrect date syntax, malformed LEI strings, invalid ISO codes)</w:t>
      </w:r>
    </w:p>
    <w:p xmlns:wp14="http://schemas.microsoft.com/office/word/2010/wordml" w:rsidP="01A0C124" wp14:paraId="27B319DB" wp14:textId="4B2CA007">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01A0C124" w:rsidR="330BD178">
        <w:rPr>
          <w:rFonts w:ascii="Times New Roman" w:hAnsi="Times New Roman" w:eastAsia="Times New Roman" w:cs="Times New Roman"/>
          <w:b w:val="1"/>
          <w:bCs w:val="1"/>
          <w:noProof w:val="0"/>
          <w:sz w:val="24"/>
          <w:szCs w:val="24"/>
          <w:lang w:val="en-US"/>
        </w:rPr>
        <w:t>Invalid DPM value</w:t>
      </w:r>
      <w:r w:rsidRPr="01A0C124" w:rsidR="330BD178">
        <w:rPr>
          <w:rFonts w:ascii="Times New Roman" w:hAnsi="Times New Roman" w:eastAsia="Times New Roman" w:cs="Times New Roman"/>
          <w:noProof w:val="0"/>
          <w:sz w:val="24"/>
          <w:szCs w:val="24"/>
          <w:lang w:val="en-US"/>
        </w:rPr>
        <w:t xml:space="preserve"> — fields populated with values not drawn from the EBA's published Data Point Model code lists</w:t>
      </w:r>
    </w:p>
    <w:p xmlns:wp14="http://schemas.microsoft.com/office/word/2010/wordml" w:rsidP="01A0C124" wp14:paraId="3B89FCF4" wp14:textId="565E112A">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01A0C124" w:rsidR="330BD178">
        <w:rPr>
          <w:rFonts w:ascii="Times New Roman" w:hAnsi="Times New Roman" w:eastAsia="Times New Roman" w:cs="Times New Roman"/>
          <w:b w:val="1"/>
          <w:bCs w:val="1"/>
          <w:noProof w:val="0"/>
          <w:sz w:val="24"/>
          <w:szCs w:val="24"/>
          <w:lang w:val="en-US"/>
        </w:rPr>
        <w:t>Referential integrity failures</w:t>
      </w:r>
      <w:r w:rsidRPr="01A0C124" w:rsidR="330BD178">
        <w:rPr>
          <w:rFonts w:ascii="Times New Roman" w:hAnsi="Times New Roman" w:eastAsia="Times New Roman" w:cs="Times New Roman"/>
          <w:noProof w:val="0"/>
          <w:sz w:val="24"/>
          <w:szCs w:val="24"/>
          <w:lang w:val="en-US"/>
        </w:rPr>
        <w:t xml:space="preserve"> — cross-template links broken, for example a business function referencing a contract identifier that does not exist in RT.02</w:t>
      </w:r>
    </w:p>
    <w:p xmlns:wp14="http://schemas.microsoft.com/office/word/2010/wordml" w:rsidP="01A0C124" wp14:paraId="1484E3C3" wp14:textId="3C8F0475">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01A0C124" w:rsidR="330BD178">
        <w:rPr>
          <w:rFonts w:ascii="Times New Roman" w:hAnsi="Times New Roman" w:eastAsia="Times New Roman" w:cs="Times New Roman"/>
          <w:b w:val="1"/>
          <w:bCs w:val="1"/>
          <w:noProof w:val="0"/>
          <w:sz w:val="24"/>
          <w:szCs w:val="24"/>
          <w:lang w:val="en-US"/>
        </w:rPr>
        <w:t>Consistency check failures</w:t>
      </w:r>
      <w:r w:rsidRPr="01A0C124" w:rsidR="330BD178">
        <w:rPr>
          <w:rFonts w:ascii="Times New Roman" w:hAnsi="Times New Roman" w:eastAsia="Times New Roman" w:cs="Times New Roman"/>
          <w:noProof w:val="0"/>
          <w:sz w:val="24"/>
          <w:szCs w:val="24"/>
          <w:lang w:val="en-US"/>
        </w:rPr>
        <w:t xml:space="preserve"> — logical inconsistencies between fields within or across templates, for example an end date preceding a start date</w:t>
      </w:r>
    </w:p>
    <w:p xmlns:wp14="http://schemas.microsoft.com/office/word/2010/wordml" w:rsidP="01A0C124" wp14:paraId="5E6B2282" wp14:textId="1AF16108">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These five categories constitute the empirical problem specification against which the DORA SaaS platform is evaluated in the sections that follow. A passing evaluation requires demonstrating that the system provides a specific, tested mechanism addressing each category.</w:t>
      </w:r>
    </w:p>
    <w:p xmlns:wp14="http://schemas.microsoft.com/office/word/2010/wordml" w:rsidP="01A0C124" wp14:paraId="2C2CFBAC" wp14:textId="6F85C121">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 xml:space="preserve">🆕 FIGURE 6.1 — ESA 2024 Dry Run: five failure area frequency chart (horizontal bar chart, data from ESA 2024), with annotations showing the DORA SaaS rule type that addresses each category. </w:t>
      </w:r>
      <w:r w:rsidRPr="01A0C124" w:rsidR="330BD178">
        <w:rPr>
          <w:rFonts w:ascii="Times New Roman" w:hAnsi="Times New Roman" w:eastAsia="Times New Roman" w:cs="Times New Roman"/>
          <w:i w:val="1"/>
          <w:iCs w:val="1"/>
          <w:noProof w:val="0"/>
          <w:sz w:val="24"/>
          <w:szCs w:val="24"/>
          <w:lang w:val="en-US"/>
        </w:rPr>
        <w:t>To be inserted here.</w:t>
      </w:r>
    </w:p>
    <w:p xmlns:wp14="http://schemas.microsoft.com/office/word/2010/wordml" w:rsidP="01A0C124" wp14:paraId="12FE64EE" wp14:textId="0F861D61">
      <w:pPr>
        <w:pStyle w:val="Heading2"/>
        <w:bidi w:val="0"/>
        <w:spacing w:before="299" w:beforeAutospacing="off" w:after="299" w:afterAutospacing="off"/>
      </w:pPr>
      <w:r w:rsidRPr="01A0C124" w:rsidR="330BD178">
        <w:rPr>
          <w:rFonts w:ascii="Times New Roman" w:hAnsi="Times New Roman" w:eastAsia="Times New Roman" w:cs="Times New Roman"/>
          <w:b w:val="1"/>
          <w:bCs w:val="1"/>
          <w:noProof w:val="0"/>
          <w:sz w:val="36"/>
          <w:szCs w:val="36"/>
          <w:lang w:val="en-US"/>
        </w:rPr>
        <w:t>6.2.2 How the Platform Addresses Each ESA Failure Category</w:t>
      </w:r>
    </w:p>
    <w:p xmlns:wp14="http://schemas.microsoft.com/office/word/2010/wordml" w:rsidP="01A0C124" wp14:paraId="4A45CF10" wp14:textId="44F4CEE5">
      <w:pPr>
        <w:bidi w:val="0"/>
        <w:spacing w:before="240" w:beforeAutospacing="off" w:after="240" w:afterAutospacing="off"/>
      </w:pPr>
      <w:r w:rsidRPr="01A0C124" w:rsidR="330BD178">
        <w:rPr>
          <w:rFonts w:ascii="Times New Roman" w:hAnsi="Times New Roman" w:eastAsia="Times New Roman" w:cs="Times New Roman"/>
          <w:b w:val="1"/>
          <w:bCs w:val="1"/>
          <w:noProof w:val="0"/>
          <w:sz w:val="24"/>
          <w:szCs w:val="24"/>
          <w:lang w:val="en-US"/>
        </w:rPr>
        <w:t>Category 1 — Mandatory information missing</w:t>
      </w:r>
      <w:r w:rsidRPr="01A0C124" w:rsidR="330BD178">
        <w:rPr>
          <w:rFonts w:ascii="Times New Roman" w:hAnsi="Times New Roman" w:eastAsia="Times New Roman" w:cs="Times New Roman"/>
          <w:noProof w:val="0"/>
          <w:sz w:val="24"/>
          <w:szCs w:val="24"/>
          <w:lang w:val="en-US"/>
        </w:rPr>
        <w:t xml:space="preserve"> is addressed by the </w:t>
      </w:r>
      <w:r w:rsidRPr="01A0C124" w:rsidR="330BD178">
        <w:rPr>
          <w:rFonts w:ascii="Consolas" w:hAnsi="Consolas" w:eastAsia="Consolas" w:cs="Consolas"/>
          <w:noProof w:val="0"/>
          <w:sz w:val="24"/>
          <w:szCs w:val="24"/>
          <w:lang w:val="en-US"/>
        </w:rPr>
        <w:t>required</w:t>
      </w:r>
      <w:r w:rsidRPr="01A0C124" w:rsidR="330BD178">
        <w:rPr>
          <w:rFonts w:ascii="Times New Roman" w:hAnsi="Times New Roman" w:eastAsia="Times New Roman" w:cs="Times New Roman"/>
          <w:noProof w:val="0"/>
          <w:sz w:val="24"/>
          <w:szCs w:val="24"/>
          <w:lang w:val="en-US"/>
        </w:rPr>
        <w:t xml:space="preserve"> rule type, the most heavily seeded category in the 220-rule set. The engine executes a parameterised SQL query per rule, checking for null or empty values on the target field, and generates an ERROR-severity </w:t>
      </w:r>
      <w:r w:rsidRPr="01A0C124" w:rsidR="330BD178">
        <w:rPr>
          <w:rFonts w:ascii="Consolas" w:hAnsi="Consolas" w:eastAsia="Consolas" w:cs="Consolas"/>
          <w:noProof w:val="0"/>
          <w:sz w:val="24"/>
          <w:szCs w:val="24"/>
          <w:lang w:val="en-US"/>
        </w:rPr>
        <w:t>validation_issue</w:t>
      </w:r>
      <w:r w:rsidRPr="01A0C124" w:rsidR="330BD178">
        <w:rPr>
          <w:rFonts w:ascii="Times New Roman" w:hAnsi="Times New Roman" w:eastAsia="Times New Roman" w:cs="Times New Roman"/>
          <w:noProof w:val="0"/>
          <w:sz w:val="24"/>
          <w:szCs w:val="24"/>
          <w:lang w:val="en-US"/>
        </w:rPr>
        <w:t xml:space="preserve"> for every record in violation. The pre-flight gate (Section 5.5.3) then prevents export until all ERROR-severity issues are cleared, making it structurally impossible to produce a RoI with missing mandatory fields. Against the seeded dataset — which includes a deliberately absent LEI on one financial entity and blank mandatory fields on two contractual arrangement records — the engine correctly identifies all injected violations at ERROR severity with zero false positives on clean records (European Banking Authority, 2024a; European Supervisory Authorities, 2024).</w:t>
      </w:r>
    </w:p>
    <w:p xmlns:wp14="http://schemas.microsoft.com/office/word/2010/wordml" w:rsidP="01A0C124" wp14:paraId="26F44B9C" wp14:textId="6A48A9E5">
      <w:pPr>
        <w:bidi w:val="0"/>
        <w:spacing w:before="240" w:beforeAutospacing="off" w:after="240" w:afterAutospacing="off"/>
      </w:pPr>
      <w:r w:rsidRPr="01A0C124" w:rsidR="330BD178">
        <w:rPr>
          <w:rFonts w:ascii="Times New Roman" w:hAnsi="Times New Roman" w:eastAsia="Times New Roman" w:cs="Times New Roman"/>
          <w:b w:val="1"/>
          <w:bCs w:val="1"/>
          <w:noProof w:val="0"/>
          <w:sz w:val="24"/>
          <w:szCs w:val="24"/>
          <w:lang w:val="en-US"/>
        </w:rPr>
        <w:t>Category 2 — Invalid format or syntax</w:t>
      </w:r>
      <w:r w:rsidRPr="01A0C124" w:rsidR="330BD178">
        <w:rPr>
          <w:rFonts w:ascii="Times New Roman" w:hAnsi="Times New Roman" w:eastAsia="Times New Roman" w:cs="Times New Roman"/>
          <w:noProof w:val="0"/>
          <w:sz w:val="24"/>
          <w:szCs w:val="24"/>
          <w:lang w:val="en-US"/>
        </w:rPr>
        <w:t xml:space="preserve"> is addressed by the </w:t>
      </w:r>
      <w:r w:rsidRPr="01A0C124" w:rsidR="330BD178">
        <w:rPr>
          <w:rFonts w:ascii="Consolas" w:hAnsi="Consolas" w:eastAsia="Consolas" w:cs="Consolas"/>
          <w:noProof w:val="0"/>
          <w:sz w:val="24"/>
          <w:szCs w:val="24"/>
          <w:lang w:val="en-US"/>
        </w:rPr>
        <w:t>format</w:t>
      </w:r>
      <w:r w:rsidRPr="01A0C124" w:rsidR="330BD178">
        <w:rPr>
          <w:rFonts w:ascii="Times New Roman" w:hAnsi="Times New Roman" w:eastAsia="Times New Roman" w:cs="Times New Roman"/>
          <w:noProof w:val="0"/>
          <w:sz w:val="24"/>
          <w:szCs w:val="24"/>
          <w:lang w:val="en-US"/>
        </w:rPr>
        <w:t xml:space="preserve"> rule type, which executes a regex validation on string fields. The most consequential instance is LEI format validation: the ISO 17442 standard defines the LEI as a 20-character alphanumeric identifier comprising a four-character LOU prefix, a fourteen-character entity-specific identifier, and a two-character ISO 7064 check-digit suffix (ISO, 2020). The </w:t>
      </w:r>
      <w:r w:rsidRPr="01A0C124" w:rsidR="330BD178">
        <w:rPr>
          <w:rFonts w:ascii="Consolas" w:hAnsi="Consolas" w:eastAsia="Consolas" w:cs="Consolas"/>
          <w:noProof w:val="0"/>
          <w:sz w:val="24"/>
          <w:szCs w:val="24"/>
          <w:lang w:val="en-US"/>
        </w:rPr>
        <w:t>format</w:t>
      </w:r>
      <w:r w:rsidRPr="01A0C124" w:rsidR="330BD178">
        <w:rPr>
          <w:rFonts w:ascii="Times New Roman" w:hAnsi="Times New Roman" w:eastAsia="Times New Roman" w:cs="Times New Roman"/>
          <w:noProof w:val="0"/>
          <w:sz w:val="24"/>
          <w:szCs w:val="24"/>
          <w:lang w:val="en-US"/>
        </w:rPr>
        <w:t xml:space="preserve"> rule for LEI fields uses a regex that enforces all three structural components and fires at ERROR severity for any non-conforming value, including the deliberately malformed LEI injected into one ICT provider record in the seeded dataset. Date format rules enforce YYYY-MM-DD syntax across all date fields, NACE code rules enforce the four-character sector classification format, and country code rules cross-validate against the seeded ISO 3166-1 alpha-2 reference table.</w:t>
      </w:r>
    </w:p>
    <w:p xmlns:wp14="http://schemas.microsoft.com/office/word/2010/wordml" w:rsidP="01A0C124" wp14:paraId="14B60F3F" wp14:textId="64C6D605">
      <w:pPr>
        <w:bidi w:val="0"/>
        <w:spacing w:before="240" w:beforeAutospacing="off" w:after="240" w:afterAutospacing="off"/>
      </w:pPr>
      <w:r w:rsidRPr="01A0C124" w:rsidR="330BD178">
        <w:rPr>
          <w:rFonts w:ascii="Times New Roman" w:hAnsi="Times New Roman" w:eastAsia="Times New Roman" w:cs="Times New Roman"/>
          <w:b w:val="1"/>
          <w:bCs w:val="1"/>
          <w:noProof w:val="0"/>
          <w:sz w:val="24"/>
          <w:szCs w:val="24"/>
          <w:lang w:val="en-US"/>
        </w:rPr>
        <w:t>Category 3 — Invalid DPM value</w:t>
      </w:r>
      <w:r w:rsidRPr="01A0C124" w:rsidR="330BD178">
        <w:rPr>
          <w:rFonts w:ascii="Times New Roman" w:hAnsi="Times New Roman" w:eastAsia="Times New Roman" w:cs="Times New Roman"/>
          <w:noProof w:val="0"/>
          <w:sz w:val="24"/>
          <w:szCs w:val="24"/>
          <w:lang w:val="en-US"/>
        </w:rPr>
        <w:t xml:space="preserve"> is addressed at two independent layers. The first layer is the frontend: all categorical fields are rendered as server-populated dropdowns constrained to reference table values seeded from the EBA's published DPM code lists, making it impossible for a user to enter a non-conforming value through the standard interface. The second layer is the </w:t>
      </w:r>
      <w:r w:rsidRPr="01A0C124" w:rsidR="330BD178">
        <w:rPr>
          <w:rFonts w:ascii="Consolas" w:hAnsi="Consolas" w:eastAsia="Consolas" w:cs="Consolas"/>
          <w:noProof w:val="0"/>
          <w:sz w:val="24"/>
          <w:szCs w:val="24"/>
          <w:lang w:val="en-US"/>
        </w:rPr>
        <w:t>dropdown</w:t>
      </w:r>
      <w:r w:rsidRPr="01A0C124" w:rsidR="330BD178">
        <w:rPr>
          <w:rFonts w:ascii="Times New Roman" w:hAnsi="Times New Roman" w:eastAsia="Times New Roman" w:cs="Times New Roman"/>
          <w:noProof w:val="0"/>
          <w:sz w:val="24"/>
          <w:szCs w:val="24"/>
          <w:lang w:val="en-US"/>
        </w:rPr>
        <w:t xml:space="preserve"> rule type, which independently validates stored values against the reference table at run time, catching any values that may have entered the database through import, API call, or data migration rather than through the frontend (European Banking Authority, 2023a). This two-layer approach implements the principle that compliance constraints should be enforced both at entry time and at validation time, rather than relying on a single gate (Bass et al., 2021).</w:t>
      </w:r>
    </w:p>
    <w:p xmlns:wp14="http://schemas.microsoft.com/office/word/2010/wordml" w:rsidP="01A0C124" wp14:paraId="5439295E" wp14:textId="540C2379">
      <w:pPr>
        <w:bidi w:val="0"/>
        <w:spacing w:before="240" w:beforeAutospacing="off" w:after="240" w:afterAutospacing="off"/>
      </w:pPr>
      <w:r w:rsidRPr="01A0C124" w:rsidR="330BD178">
        <w:rPr>
          <w:rFonts w:ascii="Times New Roman" w:hAnsi="Times New Roman" w:eastAsia="Times New Roman" w:cs="Times New Roman"/>
          <w:b w:val="1"/>
          <w:bCs w:val="1"/>
          <w:noProof w:val="0"/>
          <w:sz w:val="24"/>
          <w:szCs w:val="24"/>
          <w:lang w:val="en-US"/>
        </w:rPr>
        <w:t>Category 4 — Referential integrity failures</w:t>
      </w:r>
      <w:r w:rsidRPr="01A0C124" w:rsidR="330BD178">
        <w:rPr>
          <w:rFonts w:ascii="Times New Roman" w:hAnsi="Times New Roman" w:eastAsia="Times New Roman" w:cs="Times New Roman"/>
          <w:noProof w:val="0"/>
          <w:sz w:val="24"/>
          <w:szCs w:val="24"/>
          <w:lang w:val="en-US"/>
        </w:rPr>
        <w:t xml:space="preserve"> are addressed by the </w:t>
      </w:r>
      <w:r w:rsidRPr="01A0C124" w:rsidR="330BD178">
        <w:rPr>
          <w:rFonts w:ascii="Consolas" w:hAnsi="Consolas" w:eastAsia="Consolas" w:cs="Consolas"/>
          <w:noProof w:val="0"/>
          <w:sz w:val="24"/>
          <w:szCs w:val="24"/>
          <w:lang w:val="en-US"/>
        </w:rPr>
        <w:t>fk_exists</w:t>
      </w:r>
      <w:r w:rsidRPr="01A0C124" w:rsidR="330BD178">
        <w:rPr>
          <w:rFonts w:ascii="Times New Roman" w:hAnsi="Times New Roman" w:eastAsia="Times New Roman" w:cs="Times New Roman"/>
          <w:noProof w:val="0"/>
          <w:sz w:val="24"/>
          <w:szCs w:val="24"/>
          <w:lang w:val="en-US"/>
        </w:rPr>
        <w:t xml:space="preserve"> rule type, which verifies that FK field values reference existing records in the source template table within the same tenant scope. The seeded dataset includes a deliberately orphaned </w:t>
      </w:r>
      <w:r w:rsidRPr="01A0C124" w:rsidR="330BD178">
        <w:rPr>
          <w:rFonts w:ascii="Consolas" w:hAnsi="Consolas" w:eastAsia="Consolas" w:cs="Consolas"/>
          <w:noProof w:val="0"/>
          <w:sz w:val="24"/>
          <w:szCs w:val="24"/>
          <w:lang w:val="en-US"/>
        </w:rPr>
        <w:t>function_ict_dependencies</w:t>
      </w:r>
      <w:r w:rsidRPr="01A0C124" w:rsidR="330BD178">
        <w:rPr>
          <w:rFonts w:ascii="Times New Roman" w:hAnsi="Times New Roman" w:eastAsia="Times New Roman" w:cs="Times New Roman"/>
          <w:noProof w:val="0"/>
          <w:sz w:val="24"/>
          <w:szCs w:val="24"/>
          <w:lang w:val="en-US"/>
        </w:rPr>
        <w:t xml:space="preserve"> record whose </w:t>
      </w:r>
      <w:r w:rsidRPr="01A0C124" w:rsidR="330BD178">
        <w:rPr>
          <w:rFonts w:ascii="Consolas" w:hAnsi="Consolas" w:eastAsia="Consolas" w:cs="Consolas"/>
          <w:noProof w:val="0"/>
          <w:sz w:val="24"/>
          <w:szCs w:val="24"/>
          <w:lang w:val="en-US"/>
        </w:rPr>
        <w:t>contractId</w:t>
      </w:r>
      <w:r w:rsidRPr="01A0C124" w:rsidR="330BD178">
        <w:rPr>
          <w:rFonts w:ascii="Times New Roman" w:hAnsi="Times New Roman" w:eastAsia="Times New Roman" w:cs="Times New Roman"/>
          <w:noProof w:val="0"/>
          <w:sz w:val="24"/>
          <w:szCs w:val="24"/>
          <w:lang w:val="en-US"/>
        </w:rPr>
        <w:t xml:space="preserve"> references a non-existent contract. The engine correctly identifies this as an ERROR-severity </w:t>
      </w:r>
      <w:r w:rsidRPr="01A0C124" w:rsidR="330BD178">
        <w:rPr>
          <w:rFonts w:ascii="Consolas" w:hAnsi="Consolas" w:eastAsia="Consolas" w:cs="Consolas"/>
          <w:noProof w:val="0"/>
          <w:sz w:val="24"/>
          <w:szCs w:val="24"/>
          <w:lang w:val="en-US"/>
        </w:rPr>
        <w:t>fk_exists</w:t>
      </w:r>
      <w:r w:rsidRPr="01A0C124" w:rsidR="330BD178">
        <w:rPr>
          <w:rFonts w:ascii="Times New Roman" w:hAnsi="Times New Roman" w:eastAsia="Times New Roman" w:cs="Times New Roman"/>
          <w:noProof w:val="0"/>
          <w:sz w:val="24"/>
          <w:szCs w:val="24"/>
          <w:lang w:val="en-US"/>
        </w:rPr>
        <w:t xml:space="preserve"> violation and includes in the issue record both the orphaned value and the source table from which a valid value must be drawn, enabling the EDITOR to locate and resolve the broken link. Additionally, PostgreSQL FOREIGN KEY constraints on the data model independently prevent new orphaned records from being created at write time, providing a complementary data integrity layer (European Banking Authority, 2024a).</w:t>
      </w:r>
    </w:p>
    <w:p xmlns:wp14="http://schemas.microsoft.com/office/word/2010/wordml" w:rsidP="01A0C124" wp14:paraId="63CEB57A" wp14:textId="39E8FE71">
      <w:pPr>
        <w:bidi w:val="0"/>
        <w:spacing w:before="240" w:beforeAutospacing="off" w:after="240" w:afterAutospacing="off"/>
      </w:pPr>
      <w:r w:rsidRPr="01A0C124" w:rsidR="330BD178">
        <w:rPr>
          <w:rFonts w:ascii="Times New Roman" w:hAnsi="Times New Roman" w:eastAsia="Times New Roman" w:cs="Times New Roman"/>
          <w:b w:val="1"/>
          <w:bCs w:val="1"/>
          <w:noProof w:val="0"/>
          <w:sz w:val="24"/>
          <w:szCs w:val="24"/>
          <w:lang w:val="en-US"/>
        </w:rPr>
        <w:t>Category 5 — Consistency check failures</w:t>
      </w:r>
      <w:r w:rsidRPr="01A0C124" w:rsidR="330BD178">
        <w:rPr>
          <w:rFonts w:ascii="Times New Roman" w:hAnsi="Times New Roman" w:eastAsia="Times New Roman" w:cs="Times New Roman"/>
          <w:noProof w:val="0"/>
          <w:sz w:val="24"/>
          <w:szCs w:val="24"/>
          <w:lang w:val="en-US"/>
        </w:rPr>
        <w:t xml:space="preserve"> are addressed by three complementary rule types. The </w:t>
      </w:r>
      <w:r w:rsidRPr="01A0C124" w:rsidR="330BD178">
        <w:rPr>
          <w:rFonts w:ascii="Consolas" w:hAnsi="Consolas" w:eastAsia="Consolas" w:cs="Consolas"/>
          <w:noProof w:val="0"/>
          <w:sz w:val="24"/>
          <w:szCs w:val="24"/>
          <w:lang w:val="en-US"/>
        </w:rPr>
        <w:t>cross_field</w:t>
      </w:r>
      <w:r w:rsidRPr="01A0C124" w:rsidR="330BD178">
        <w:rPr>
          <w:rFonts w:ascii="Times New Roman" w:hAnsi="Times New Roman" w:eastAsia="Times New Roman" w:cs="Times New Roman"/>
          <w:noProof w:val="0"/>
          <w:sz w:val="24"/>
          <w:szCs w:val="24"/>
          <w:lang w:val="en-US"/>
        </w:rPr>
        <w:t xml:space="preserve"> type enforces field-level consistency within a single record — for example, that </w:t>
      </w:r>
      <w:r w:rsidRPr="01A0C124" w:rsidR="330BD178">
        <w:rPr>
          <w:rFonts w:ascii="Consolas" w:hAnsi="Consolas" w:eastAsia="Consolas" w:cs="Consolas"/>
          <w:noProof w:val="0"/>
          <w:sz w:val="24"/>
          <w:szCs w:val="24"/>
          <w:lang w:val="en-US"/>
        </w:rPr>
        <w:t>endDate</w:t>
      </w:r>
      <w:r w:rsidRPr="01A0C124" w:rsidR="330BD178">
        <w:rPr>
          <w:rFonts w:ascii="Times New Roman" w:hAnsi="Times New Roman" w:eastAsia="Times New Roman" w:cs="Times New Roman"/>
          <w:noProof w:val="0"/>
          <w:sz w:val="24"/>
          <w:szCs w:val="24"/>
          <w:lang w:val="en-US"/>
        </w:rPr>
        <w:t xml:space="preserve"> is not earlier than </w:t>
      </w:r>
      <w:r w:rsidRPr="01A0C124" w:rsidR="330BD178">
        <w:rPr>
          <w:rFonts w:ascii="Consolas" w:hAnsi="Consolas" w:eastAsia="Consolas" w:cs="Consolas"/>
          <w:noProof w:val="0"/>
          <w:sz w:val="24"/>
          <w:szCs w:val="24"/>
          <w:lang w:val="en-US"/>
        </w:rPr>
        <w:t>startDate</w:t>
      </w:r>
      <w:r w:rsidRPr="01A0C124" w:rsidR="330BD178">
        <w:rPr>
          <w:rFonts w:ascii="Times New Roman" w:hAnsi="Times New Roman" w:eastAsia="Times New Roman" w:cs="Times New Roman"/>
          <w:noProof w:val="0"/>
          <w:sz w:val="24"/>
          <w:szCs w:val="24"/>
          <w:lang w:val="en-US"/>
        </w:rPr>
        <w:t xml:space="preserve"> (EBA VR51). The </w:t>
      </w:r>
      <w:r w:rsidRPr="01A0C124" w:rsidR="330BD178">
        <w:rPr>
          <w:rFonts w:ascii="Consolas" w:hAnsi="Consolas" w:eastAsia="Consolas" w:cs="Consolas"/>
          <w:noProof w:val="0"/>
          <w:sz w:val="24"/>
          <w:szCs w:val="24"/>
          <w:lang w:val="en-US"/>
        </w:rPr>
        <w:t>date_boundary</w:t>
      </w:r>
      <w:r w:rsidRPr="01A0C124" w:rsidR="330BD178">
        <w:rPr>
          <w:rFonts w:ascii="Times New Roman" w:hAnsi="Times New Roman" w:eastAsia="Times New Roman" w:cs="Times New Roman"/>
          <w:noProof w:val="0"/>
          <w:sz w:val="24"/>
          <w:szCs w:val="24"/>
          <w:lang w:val="en-US"/>
        </w:rPr>
        <w:t xml:space="preserve"> type enforces regulatory date boundaries — for example, that </w:t>
      </w:r>
      <w:r w:rsidRPr="01A0C124" w:rsidR="330BD178">
        <w:rPr>
          <w:rFonts w:ascii="Consolas" w:hAnsi="Consolas" w:eastAsia="Consolas" w:cs="Consolas"/>
          <w:noProof w:val="0"/>
          <w:sz w:val="24"/>
          <w:szCs w:val="24"/>
          <w:lang w:val="en-US"/>
        </w:rPr>
        <w:t>integrationDate</w:t>
      </w:r>
      <w:r w:rsidRPr="01A0C124" w:rsidR="330BD178">
        <w:rPr>
          <w:rFonts w:ascii="Times New Roman" w:hAnsi="Times New Roman" w:eastAsia="Times New Roman" w:cs="Times New Roman"/>
          <w:noProof w:val="0"/>
          <w:sz w:val="24"/>
          <w:szCs w:val="24"/>
          <w:lang w:val="en-US"/>
        </w:rPr>
        <w:t xml:space="preserve"> is not before DORA's effective date of 17 January 2025. The </w:t>
      </w:r>
      <w:r w:rsidRPr="01A0C124" w:rsidR="330BD178">
        <w:rPr>
          <w:rFonts w:ascii="Consolas" w:hAnsi="Consolas" w:eastAsia="Consolas" w:cs="Consolas"/>
          <w:noProof w:val="0"/>
          <w:sz w:val="24"/>
          <w:szCs w:val="24"/>
          <w:lang w:val="en-US"/>
        </w:rPr>
        <w:t>conditional</w:t>
      </w:r>
      <w:r w:rsidRPr="01A0C124" w:rsidR="330BD178">
        <w:rPr>
          <w:rFonts w:ascii="Times New Roman" w:hAnsi="Times New Roman" w:eastAsia="Times New Roman" w:cs="Times New Roman"/>
          <w:noProof w:val="0"/>
          <w:sz w:val="24"/>
          <w:szCs w:val="24"/>
          <w:lang w:val="en-US"/>
        </w:rPr>
        <w:t xml:space="preserve"> type enforces conditional logical consistency — for example, EBA VR109, which requires </w:t>
      </w:r>
      <w:r w:rsidRPr="01A0C124" w:rsidR="330BD178">
        <w:rPr>
          <w:rFonts w:ascii="Consolas" w:hAnsi="Consolas" w:eastAsia="Consolas" w:cs="Consolas"/>
          <w:noProof w:val="0"/>
          <w:sz w:val="24"/>
          <w:szCs w:val="24"/>
          <w:lang w:val="en-US"/>
        </w:rPr>
        <w:t>substitutionReason</w:t>
      </w:r>
      <w:r w:rsidRPr="01A0C124" w:rsidR="330BD178">
        <w:rPr>
          <w:rFonts w:ascii="Times New Roman" w:hAnsi="Times New Roman" w:eastAsia="Times New Roman" w:cs="Times New Roman"/>
          <w:noProof w:val="0"/>
          <w:sz w:val="24"/>
          <w:szCs w:val="24"/>
          <w:lang w:val="en-US"/>
        </w:rPr>
        <w:t xml:space="preserve"> to be present when </w:t>
      </w:r>
      <w:r w:rsidRPr="01A0C124" w:rsidR="330BD178">
        <w:rPr>
          <w:rFonts w:ascii="Consolas" w:hAnsi="Consolas" w:eastAsia="Consolas" w:cs="Consolas"/>
          <w:noProof w:val="0"/>
          <w:sz w:val="24"/>
          <w:szCs w:val="24"/>
          <w:lang w:val="en-US"/>
        </w:rPr>
        <w:t>isSubstitutable</w:t>
      </w:r>
      <w:r w:rsidRPr="01A0C124" w:rsidR="330BD178">
        <w:rPr>
          <w:rFonts w:ascii="Times New Roman" w:hAnsi="Times New Roman" w:eastAsia="Times New Roman" w:cs="Times New Roman"/>
          <w:noProof w:val="0"/>
          <w:sz w:val="24"/>
          <w:szCs w:val="24"/>
          <w:lang w:val="en-US"/>
        </w:rPr>
        <w:t xml:space="preserve"> is </w:t>
      </w:r>
      <w:r w:rsidRPr="01A0C124" w:rsidR="330BD178">
        <w:rPr>
          <w:rFonts w:ascii="Consolas" w:hAnsi="Consolas" w:eastAsia="Consolas" w:cs="Consolas"/>
          <w:noProof w:val="0"/>
          <w:sz w:val="24"/>
          <w:szCs w:val="24"/>
          <w:lang w:val="en-US"/>
        </w:rPr>
        <w:t>false</w:t>
      </w:r>
      <w:r w:rsidRPr="01A0C124" w:rsidR="330BD178">
        <w:rPr>
          <w:rFonts w:ascii="Times New Roman" w:hAnsi="Times New Roman" w:eastAsia="Times New Roman" w:cs="Times New Roman"/>
          <w:noProof w:val="0"/>
          <w:sz w:val="24"/>
          <w:szCs w:val="24"/>
          <w:lang w:val="en-US"/>
        </w:rPr>
        <w:t xml:space="preserve"> on an ICT service assessment. Together, these three types address the logical consistency dimension of the ESA's fifth failure category (European Commission, 2022; European Banking Authority, 2024a).</w:t>
      </w:r>
    </w:p>
    <w:p xmlns:wp14="http://schemas.microsoft.com/office/word/2010/wordml" w:rsidP="01A0C124" wp14:paraId="6D0F7E12" wp14:textId="78BFA00D">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Table 6.2 summarises the ESA failure category to rule type mapping.</w:t>
      </w:r>
    </w:p>
    <w:p xmlns:wp14="http://schemas.microsoft.com/office/word/2010/wordml" w:rsidP="01A0C124" wp14:paraId="7D77B3D6" wp14:textId="1C79B325">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TABLE 6.2 — ESA 2024 failure category to DORA SaaS rule type mapping: failure area, rule type(s), severity, seeded rule count, demonstration result.</w:t>
      </w:r>
    </w:p>
    <w:tbl>
      <w:tblPr>
        <w:tblStyle w:val="TableNormal"/>
        <w:bidiVisual w:val="0"/>
        <w:tblW w:w="0" w:type="auto"/>
        <w:tblLook w:val="06A0" w:firstRow="1" w:lastRow="0" w:firstColumn="1" w:lastColumn="0" w:noHBand="1" w:noVBand="1"/>
      </w:tblPr>
      <w:tblGrid>
        <w:gridCol w:w="1864"/>
        <w:gridCol w:w="2438"/>
        <w:gridCol w:w="1221"/>
        <w:gridCol w:w="826"/>
        <w:gridCol w:w="3010"/>
      </w:tblGrid>
      <w:tr w:rsidR="01A0C124" w:rsidTr="01A0C124" w14:paraId="61F31AF2">
        <w:trPr>
          <w:trHeight w:val="300"/>
        </w:trPr>
        <w:tc>
          <w:tcPr>
            <w:tcW w:w="1864" w:type="dxa"/>
            <w:tcMar/>
            <w:vAlign w:val="center"/>
          </w:tcPr>
          <w:p w:rsidR="01A0C124" w:rsidP="01A0C124" w:rsidRDefault="01A0C124" w14:paraId="621FB3CB" w14:textId="42FB87C6">
            <w:pPr>
              <w:bidi w:val="0"/>
              <w:spacing w:before="0" w:beforeAutospacing="off" w:after="0" w:afterAutospacing="off"/>
              <w:jc w:val="center"/>
            </w:pPr>
            <w:r w:rsidRPr="01A0C124" w:rsidR="01A0C124">
              <w:rPr>
                <w:b w:val="1"/>
                <w:bCs w:val="1"/>
              </w:rPr>
              <w:t>ESA Failure Category</w:t>
            </w:r>
          </w:p>
        </w:tc>
        <w:tc>
          <w:tcPr>
            <w:tcW w:w="2438" w:type="dxa"/>
            <w:tcMar/>
            <w:vAlign w:val="center"/>
          </w:tcPr>
          <w:p w:rsidR="01A0C124" w:rsidP="01A0C124" w:rsidRDefault="01A0C124" w14:paraId="23B7E1A4" w14:textId="706AF871">
            <w:pPr>
              <w:bidi w:val="0"/>
              <w:spacing w:before="0" w:beforeAutospacing="off" w:after="0" w:afterAutospacing="off"/>
              <w:jc w:val="center"/>
            </w:pPr>
            <w:r w:rsidRPr="01A0C124" w:rsidR="01A0C124">
              <w:rPr>
                <w:b w:val="1"/>
                <w:bCs w:val="1"/>
              </w:rPr>
              <w:t>Rule Type(s)</w:t>
            </w:r>
          </w:p>
        </w:tc>
        <w:tc>
          <w:tcPr>
            <w:tcW w:w="1221" w:type="dxa"/>
            <w:tcMar/>
            <w:vAlign w:val="center"/>
          </w:tcPr>
          <w:p w:rsidR="01A0C124" w:rsidP="01A0C124" w:rsidRDefault="01A0C124" w14:paraId="3DD4D91F" w14:textId="5213495C">
            <w:pPr>
              <w:bidi w:val="0"/>
              <w:spacing w:before="0" w:beforeAutospacing="off" w:after="0" w:afterAutospacing="off"/>
              <w:jc w:val="center"/>
            </w:pPr>
            <w:r w:rsidRPr="01A0C124" w:rsidR="01A0C124">
              <w:rPr>
                <w:b w:val="1"/>
                <w:bCs w:val="1"/>
              </w:rPr>
              <w:t>Severity</w:t>
            </w:r>
          </w:p>
        </w:tc>
        <w:tc>
          <w:tcPr>
            <w:tcW w:w="826" w:type="dxa"/>
            <w:tcMar/>
            <w:vAlign w:val="center"/>
          </w:tcPr>
          <w:p w:rsidR="01A0C124" w:rsidP="01A0C124" w:rsidRDefault="01A0C124" w14:paraId="77F0D88F" w14:textId="72477351">
            <w:pPr>
              <w:bidi w:val="0"/>
              <w:spacing w:before="0" w:beforeAutospacing="off" w:after="0" w:afterAutospacing="off"/>
              <w:jc w:val="center"/>
            </w:pPr>
            <w:r w:rsidRPr="01A0C124" w:rsidR="01A0C124">
              <w:rPr>
                <w:b w:val="1"/>
                <w:bCs w:val="1"/>
              </w:rPr>
              <w:t>Seeded Rules</w:t>
            </w:r>
          </w:p>
        </w:tc>
        <w:tc>
          <w:tcPr>
            <w:tcW w:w="3010" w:type="dxa"/>
            <w:tcMar/>
            <w:vAlign w:val="center"/>
          </w:tcPr>
          <w:p w:rsidR="01A0C124" w:rsidP="01A0C124" w:rsidRDefault="01A0C124" w14:paraId="061BFD9B" w14:textId="7A30DFF8">
            <w:pPr>
              <w:bidi w:val="0"/>
              <w:spacing w:before="0" w:beforeAutospacing="off" w:after="0" w:afterAutospacing="off"/>
              <w:jc w:val="center"/>
            </w:pPr>
            <w:r w:rsidRPr="01A0C124" w:rsidR="01A0C124">
              <w:rPr>
                <w:b w:val="1"/>
                <w:bCs w:val="1"/>
              </w:rPr>
              <w:t>Demo Result</w:t>
            </w:r>
          </w:p>
        </w:tc>
      </w:tr>
      <w:tr w:rsidR="01A0C124" w:rsidTr="01A0C124" w14:paraId="1F0E0ECD">
        <w:trPr>
          <w:trHeight w:val="300"/>
        </w:trPr>
        <w:tc>
          <w:tcPr>
            <w:tcW w:w="1864" w:type="dxa"/>
            <w:tcMar/>
            <w:vAlign w:val="center"/>
          </w:tcPr>
          <w:p w:rsidR="01A0C124" w:rsidP="01A0C124" w:rsidRDefault="01A0C124" w14:paraId="7DA7664C" w14:textId="540BDF93">
            <w:pPr>
              <w:bidi w:val="0"/>
              <w:spacing w:before="0" w:beforeAutospacing="off" w:after="0" w:afterAutospacing="off"/>
            </w:pPr>
            <w:r w:rsidR="01A0C124">
              <w:rPr/>
              <w:t>Mandatory information missing</w:t>
            </w:r>
          </w:p>
        </w:tc>
        <w:tc>
          <w:tcPr>
            <w:tcW w:w="2438" w:type="dxa"/>
            <w:tcMar/>
            <w:vAlign w:val="center"/>
          </w:tcPr>
          <w:p w:rsidR="01A0C124" w:rsidP="01A0C124" w:rsidRDefault="01A0C124" w14:paraId="674B08E6" w14:textId="78616EC0">
            <w:pPr>
              <w:bidi w:val="0"/>
              <w:spacing w:before="0" w:beforeAutospacing="off" w:after="0" w:afterAutospacing="off"/>
            </w:pPr>
            <w:r w:rsidRPr="01A0C124" w:rsidR="01A0C124">
              <w:rPr>
                <w:rFonts w:ascii="Consolas" w:hAnsi="Consolas" w:eastAsia="Consolas" w:cs="Consolas"/>
              </w:rPr>
              <w:t>required</w:t>
            </w:r>
          </w:p>
        </w:tc>
        <w:tc>
          <w:tcPr>
            <w:tcW w:w="1221" w:type="dxa"/>
            <w:tcMar/>
            <w:vAlign w:val="center"/>
          </w:tcPr>
          <w:p w:rsidR="01A0C124" w:rsidP="01A0C124" w:rsidRDefault="01A0C124" w14:paraId="13E3D593" w14:textId="1552282F">
            <w:pPr>
              <w:bidi w:val="0"/>
              <w:spacing w:before="0" w:beforeAutospacing="off" w:after="0" w:afterAutospacing="off"/>
            </w:pPr>
            <w:r w:rsidR="01A0C124">
              <w:rPr/>
              <w:t>ERROR</w:t>
            </w:r>
          </w:p>
        </w:tc>
        <w:tc>
          <w:tcPr>
            <w:tcW w:w="826" w:type="dxa"/>
            <w:tcMar/>
            <w:vAlign w:val="center"/>
          </w:tcPr>
          <w:p w:rsidR="01A0C124" w:rsidP="01A0C124" w:rsidRDefault="01A0C124" w14:paraId="6C4172D9" w14:textId="0805B6D8">
            <w:pPr>
              <w:bidi w:val="0"/>
              <w:spacing w:before="0" w:beforeAutospacing="off" w:after="0" w:afterAutospacing="off"/>
            </w:pPr>
            <w:r w:rsidR="01A0C124">
              <w:rPr/>
              <w:t>~70 (Tier 1)</w:t>
            </w:r>
          </w:p>
        </w:tc>
        <w:tc>
          <w:tcPr>
            <w:tcW w:w="3010" w:type="dxa"/>
            <w:tcMar/>
            <w:vAlign w:val="center"/>
          </w:tcPr>
          <w:p w:rsidR="01A0C124" w:rsidP="01A0C124" w:rsidRDefault="01A0C124" w14:paraId="4A42AFCD" w14:textId="366501E6">
            <w:pPr>
              <w:bidi w:val="0"/>
              <w:spacing w:before="0" w:beforeAutospacing="off" w:after="0" w:afterAutospacing="off"/>
            </w:pPr>
            <w:r w:rsidR="01A0C124">
              <w:rPr/>
              <w:t>All injected violations detected</w:t>
            </w:r>
          </w:p>
        </w:tc>
      </w:tr>
      <w:tr w:rsidR="01A0C124" w:rsidTr="01A0C124" w14:paraId="48AEDFE5">
        <w:trPr>
          <w:trHeight w:val="300"/>
        </w:trPr>
        <w:tc>
          <w:tcPr>
            <w:tcW w:w="1864" w:type="dxa"/>
            <w:tcMar/>
            <w:vAlign w:val="center"/>
          </w:tcPr>
          <w:p w:rsidR="01A0C124" w:rsidP="01A0C124" w:rsidRDefault="01A0C124" w14:paraId="1AE7764C" w14:textId="4A4E45E9">
            <w:pPr>
              <w:bidi w:val="0"/>
              <w:spacing w:before="0" w:beforeAutospacing="off" w:after="0" w:afterAutospacing="off"/>
            </w:pPr>
            <w:r w:rsidR="01A0C124">
              <w:rPr/>
              <w:t>Invalid format / syntax</w:t>
            </w:r>
          </w:p>
        </w:tc>
        <w:tc>
          <w:tcPr>
            <w:tcW w:w="2438" w:type="dxa"/>
            <w:tcMar/>
            <w:vAlign w:val="center"/>
          </w:tcPr>
          <w:p w:rsidR="01A0C124" w:rsidP="01A0C124" w:rsidRDefault="01A0C124" w14:paraId="0251C1A7" w14:textId="0B158485">
            <w:pPr>
              <w:bidi w:val="0"/>
              <w:spacing w:before="0" w:beforeAutospacing="off" w:after="0" w:afterAutospacing="off"/>
            </w:pPr>
            <w:r w:rsidRPr="01A0C124" w:rsidR="01A0C124">
              <w:rPr>
                <w:rFonts w:ascii="Consolas" w:hAnsi="Consolas" w:eastAsia="Consolas" w:cs="Consolas"/>
              </w:rPr>
              <w:t>format</w:t>
            </w:r>
          </w:p>
        </w:tc>
        <w:tc>
          <w:tcPr>
            <w:tcW w:w="1221" w:type="dxa"/>
            <w:tcMar/>
            <w:vAlign w:val="center"/>
          </w:tcPr>
          <w:p w:rsidR="01A0C124" w:rsidP="01A0C124" w:rsidRDefault="01A0C124" w14:paraId="249CE666" w14:textId="4CD905E7">
            <w:pPr>
              <w:bidi w:val="0"/>
              <w:spacing w:before="0" w:beforeAutospacing="off" w:after="0" w:afterAutospacing="off"/>
            </w:pPr>
            <w:r w:rsidR="01A0C124">
              <w:rPr/>
              <w:t>ERROR</w:t>
            </w:r>
          </w:p>
        </w:tc>
        <w:tc>
          <w:tcPr>
            <w:tcW w:w="826" w:type="dxa"/>
            <w:tcMar/>
            <w:vAlign w:val="center"/>
          </w:tcPr>
          <w:p w:rsidR="01A0C124" w:rsidP="01A0C124" w:rsidRDefault="01A0C124" w14:paraId="70193BDF" w14:textId="3BB282D2">
            <w:pPr>
              <w:bidi w:val="0"/>
              <w:spacing w:before="0" w:beforeAutospacing="off" w:after="0" w:afterAutospacing="off"/>
            </w:pPr>
            <w:r w:rsidR="01A0C124">
              <w:rPr/>
              <w:t>~45 (Tier 1)</w:t>
            </w:r>
          </w:p>
        </w:tc>
        <w:tc>
          <w:tcPr>
            <w:tcW w:w="3010" w:type="dxa"/>
            <w:tcMar/>
            <w:vAlign w:val="center"/>
          </w:tcPr>
          <w:p w:rsidR="01A0C124" w:rsidP="01A0C124" w:rsidRDefault="01A0C124" w14:paraId="60C6D8F7" w14:textId="51353AE5">
            <w:pPr>
              <w:bidi w:val="0"/>
              <w:spacing w:before="0" w:beforeAutospacing="off" w:after="0" w:afterAutospacing="off"/>
            </w:pPr>
            <w:r w:rsidR="01A0C124">
              <w:rPr/>
              <w:t>LEI + date + NACE injected errors detected</w:t>
            </w:r>
          </w:p>
        </w:tc>
      </w:tr>
      <w:tr w:rsidR="01A0C124" w:rsidTr="01A0C124" w14:paraId="7FA6E834">
        <w:trPr>
          <w:trHeight w:val="300"/>
        </w:trPr>
        <w:tc>
          <w:tcPr>
            <w:tcW w:w="1864" w:type="dxa"/>
            <w:tcMar/>
            <w:vAlign w:val="center"/>
          </w:tcPr>
          <w:p w:rsidR="01A0C124" w:rsidP="01A0C124" w:rsidRDefault="01A0C124" w14:paraId="0D1B016C" w14:textId="119D6A64">
            <w:pPr>
              <w:bidi w:val="0"/>
              <w:spacing w:before="0" w:beforeAutospacing="off" w:after="0" w:afterAutospacing="off"/>
            </w:pPr>
            <w:r w:rsidR="01A0C124">
              <w:rPr/>
              <w:t>Invalid DPM value</w:t>
            </w:r>
          </w:p>
        </w:tc>
        <w:tc>
          <w:tcPr>
            <w:tcW w:w="2438" w:type="dxa"/>
            <w:tcMar/>
            <w:vAlign w:val="center"/>
          </w:tcPr>
          <w:p w:rsidR="01A0C124" w:rsidP="01A0C124" w:rsidRDefault="01A0C124" w14:paraId="65BBBF6F" w14:textId="47349F40">
            <w:pPr>
              <w:bidi w:val="0"/>
              <w:spacing w:before="0" w:beforeAutospacing="off" w:after="0" w:afterAutospacing="off"/>
            </w:pPr>
            <w:r w:rsidRPr="01A0C124" w:rsidR="01A0C124">
              <w:rPr>
                <w:rFonts w:ascii="Consolas" w:hAnsi="Consolas" w:eastAsia="Consolas" w:cs="Consolas"/>
              </w:rPr>
              <w:t>dropdown</w:t>
            </w:r>
          </w:p>
        </w:tc>
        <w:tc>
          <w:tcPr>
            <w:tcW w:w="1221" w:type="dxa"/>
            <w:tcMar/>
            <w:vAlign w:val="center"/>
          </w:tcPr>
          <w:p w:rsidR="01A0C124" w:rsidP="01A0C124" w:rsidRDefault="01A0C124" w14:paraId="051B15F4" w14:textId="512713F0">
            <w:pPr>
              <w:bidi w:val="0"/>
              <w:spacing w:before="0" w:beforeAutospacing="off" w:after="0" w:afterAutospacing="off"/>
            </w:pPr>
            <w:r w:rsidR="01A0C124">
              <w:rPr/>
              <w:t>ERROR</w:t>
            </w:r>
          </w:p>
        </w:tc>
        <w:tc>
          <w:tcPr>
            <w:tcW w:w="826" w:type="dxa"/>
            <w:tcMar/>
            <w:vAlign w:val="center"/>
          </w:tcPr>
          <w:p w:rsidR="01A0C124" w:rsidP="01A0C124" w:rsidRDefault="01A0C124" w14:paraId="423F730C" w14:textId="1BA60B00">
            <w:pPr>
              <w:bidi w:val="0"/>
              <w:spacing w:before="0" w:beforeAutospacing="off" w:after="0" w:afterAutospacing="off"/>
            </w:pPr>
            <w:r w:rsidR="01A0C124">
              <w:rPr/>
              <w:t>~30 (Tier 2)</w:t>
            </w:r>
          </w:p>
        </w:tc>
        <w:tc>
          <w:tcPr>
            <w:tcW w:w="3010" w:type="dxa"/>
            <w:tcMar/>
            <w:vAlign w:val="center"/>
          </w:tcPr>
          <w:p w:rsidR="01A0C124" w:rsidP="01A0C124" w:rsidRDefault="01A0C124" w14:paraId="12C8C361" w14:textId="13A38439">
            <w:pPr>
              <w:bidi w:val="0"/>
              <w:spacing w:before="0" w:beforeAutospacing="off" w:after="0" w:afterAutospacing="off"/>
            </w:pPr>
            <w:r w:rsidR="01A0C124">
              <w:rPr/>
              <w:t>Dropdown rules fire on non-list values</w:t>
            </w:r>
          </w:p>
        </w:tc>
      </w:tr>
      <w:tr w:rsidR="01A0C124" w:rsidTr="01A0C124" w14:paraId="0922F85D">
        <w:trPr>
          <w:trHeight w:val="300"/>
        </w:trPr>
        <w:tc>
          <w:tcPr>
            <w:tcW w:w="1864" w:type="dxa"/>
            <w:tcMar/>
            <w:vAlign w:val="center"/>
          </w:tcPr>
          <w:p w:rsidR="01A0C124" w:rsidP="01A0C124" w:rsidRDefault="01A0C124" w14:paraId="5A5F2712" w14:textId="52147319">
            <w:pPr>
              <w:bidi w:val="0"/>
              <w:spacing w:before="0" w:beforeAutospacing="off" w:after="0" w:afterAutospacing="off"/>
            </w:pPr>
            <w:r w:rsidR="01A0C124">
              <w:rPr/>
              <w:t>Referential integrity</w:t>
            </w:r>
          </w:p>
        </w:tc>
        <w:tc>
          <w:tcPr>
            <w:tcW w:w="2438" w:type="dxa"/>
            <w:tcMar/>
            <w:vAlign w:val="center"/>
          </w:tcPr>
          <w:p w:rsidR="01A0C124" w:rsidP="01A0C124" w:rsidRDefault="01A0C124" w14:paraId="5F6ED481" w14:textId="60E102ED">
            <w:pPr>
              <w:bidi w:val="0"/>
              <w:spacing w:before="0" w:beforeAutospacing="off" w:after="0" w:afterAutospacing="off"/>
            </w:pPr>
            <w:r w:rsidRPr="01A0C124" w:rsidR="01A0C124">
              <w:rPr>
                <w:rFonts w:ascii="Consolas" w:hAnsi="Consolas" w:eastAsia="Consolas" w:cs="Consolas"/>
              </w:rPr>
              <w:t>fk_exists</w:t>
            </w:r>
          </w:p>
        </w:tc>
        <w:tc>
          <w:tcPr>
            <w:tcW w:w="1221" w:type="dxa"/>
            <w:tcMar/>
            <w:vAlign w:val="center"/>
          </w:tcPr>
          <w:p w:rsidR="01A0C124" w:rsidP="01A0C124" w:rsidRDefault="01A0C124" w14:paraId="5154C120" w14:textId="3565D6A2">
            <w:pPr>
              <w:bidi w:val="0"/>
              <w:spacing w:before="0" w:beforeAutospacing="off" w:after="0" w:afterAutospacing="off"/>
            </w:pPr>
            <w:r w:rsidR="01A0C124">
              <w:rPr/>
              <w:t>ERROR</w:t>
            </w:r>
          </w:p>
        </w:tc>
        <w:tc>
          <w:tcPr>
            <w:tcW w:w="826" w:type="dxa"/>
            <w:tcMar/>
            <w:vAlign w:val="center"/>
          </w:tcPr>
          <w:p w:rsidR="01A0C124" w:rsidP="01A0C124" w:rsidRDefault="01A0C124" w14:paraId="6B28C32B" w14:textId="2028FB48">
            <w:pPr>
              <w:bidi w:val="0"/>
              <w:spacing w:before="0" w:beforeAutospacing="off" w:after="0" w:afterAutospacing="off"/>
            </w:pPr>
            <w:r w:rsidR="01A0C124">
              <w:rPr/>
              <w:t>~40 (Tier 2)</w:t>
            </w:r>
          </w:p>
        </w:tc>
        <w:tc>
          <w:tcPr>
            <w:tcW w:w="3010" w:type="dxa"/>
            <w:tcMar/>
            <w:vAlign w:val="center"/>
          </w:tcPr>
          <w:p w:rsidR="01A0C124" w:rsidP="01A0C124" w:rsidRDefault="01A0C124" w14:paraId="25D974F1" w14:textId="12186ACF">
            <w:pPr>
              <w:bidi w:val="0"/>
              <w:spacing w:before="0" w:beforeAutospacing="off" w:after="0" w:afterAutospacing="off"/>
            </w:pPr>
            <w:r w:rsidR="01A0C124">
              <w:rPr/>
              <w:t>Orphaned FK injected error detected</w:t>
            </w:r>
          </w:p>
        </w:tc>
      </w:tr>
      <w:tr w:rsidR="01A0C124" w:rsidTr="01A0C124" w14:paraId="23842854">
        <w:trPr>
          <w:trHeight w:val="300"/>
        </w:trPr>
        <w:tc>
          <w:tcPr>
            <w:tcW w:w="1864" w:type="dxa"/>
            <w:tcMar/>
            <w:vAlign w:val="center"/>
          </w:tcPr>
          <w:p w:rsidR="01A0C124" w:rsidP="01A0C124" w:rsidRDefault="01A0C124" w14:paraId="50CC95EE" w14:textId="300EC2A1">
            <w:pPr>
              <w:bidi w:val="0"/>
              <w:spacing w:before="0" w:beforeAutospacing="off" w:after="0" w:afterAutospacing="off"/>
            </w:pPr>
            <w:r w:rsidR="01A0C124">
              <w:rPr/>
              <w:t>Consistency checks</w:t>
            </w:r>
          </w:p>
        </w:tc>
        <w:tc>
          <w:tcPr>
            <w:tcW w:w="2438" w:type="dxa"/>
            <w:tcMar/>
            <w:vAlign w:val="center"/>
          </w:tcPr>
          <w:p w:rsidR="01A0C124" w:rsidP="01A0C124" w:rsidRDefault="01A0C124" w14:paraId="2B77D7AC" w14:textId="0138DF23">
            <w:pPr>
              <w:bidi w:val="0"/>
              <w:spacing w:before="0" w:beforeAutospacing="off" w:after="0" w:afterAutospacing="off"/>
            </w:pPr>
            <w:r w:rsidRPr="01A0C124" w:rsidR="01A0C124">
              <w:rPr>
                <w:rFonts w:ascii="Consolas" w:hAnsi="Consolas" w:eastAsia="Consolas" w:cs="Consolas"/>
              </w:rPr>
              <w:t>cross_field</w:t>
            </w:r>
            <w:r w:rsidR="01A0C124">
              <w:rPr/>
              <w:t xml:space="preserve">, </w:t>
            </w:r>
            <w:r w:rsidRPr="01A0C124" w:rsidR="01A0C124">
              <w:rPr>
                <w:rFonts w:ascii="Consolas" w:hAnsi="Consolas" w:eastAsia="Consolas" w:cs="Consolas"/>
              </w:rPr>
              <w:t>date_boundary</w:t>
            </w:r>
            <w:r w:rsidR="01A0C124">
              <w:rPr/>
              <w:t xml:space="preserve">, </w:t>
            </w:r>
            <w:r w:rsidRPr="01A0C124" w:rsidR="01A0C124">
              <w:rPr>
                <w:rFonts w:ascii="Consolas" w:hAnsi="Consolas" w:eastAsia="Consolas" w:cs="Consolas"/>
              </w:rPr>
              <w:t>conditional</w:t>
            </w:r>
          </w:p>
        </w:tc>
        <w:tc>
          <w:tcPr>
            <w:tcW w:w="1221" w:type="dxa"/>
            <w:tcMar/>
            <w:vAlign w:val="center"/>
          </w:tcPr>
          <w:p w:rsidR="01A0C124" w:rsidP="01A0C124" w:rsidRDefault="01A0C124" w14:paraId="401AF365" w14:textId="32728D3A">
            <w:pPr>
              <w:bidi w:val="0"/>
              <w:spacing w:before="0" w:beforeAutospacing="off" w:after="0" w:afterAutospacing="off"/>
            </w:pPr>
            <w:r w:rsidR="01A0C124">
              <w:rPr/>
              <w:t>ERROR/WARNING</w:t>
            </w:r>
          </w:p>
        </w:tc>
        <w:tc>
          <w:tcPr>
            <w:tcW w:w="826" w:type="dxa"/>
            <w:tcMar/>
            <w:vAlign w:val="center"/>
          </w:tcPr>
          <w:p w:rsidR="01A0C124" w:rsidP="01A0C124" w:rsidRDefault="01A0C124" w14:paraId="3095713B" w14:textId="2E83CC7A">
            <w:pPr>
              <w:bidi w:val="0"/>
              <w:spacing w:before="0" w:beforeAutospacing="off" w:after="0" w:afterAutospacing="off"/>
            </w:pPr>
            <w:r w:rsidR="01A0C124">
              <w:rPr/>
              <w:t>~35 (Tier 3)</w:t>
            </w:r>
          </w:p>
        </w:tc>
        <w:tc>
          <w:tcPr>
            <w:tcW w:w="3010" w:type="dxa"/>
            <w:tcMar/>
            <w:vAlign w:val="center"/>
          </w:tcPr>
          <w:p w:rsidR="01A0C124" w:rsidP="01A0C124" w:rsidRDefault="01A0C124" w14:paraId="32EA581A" w14:textId="52F58D39">
            <w:pPr>
              <w:bidi w:val="0"/>
              <w:spacing w:before="0" w:beforeAutospacing="off" w:after="0" w:afterAutospacing="off"/>
            </w:pPr>
            <w:r w:rsidR="01A0C124">
              <w:rPr/>
              <w:t>VR51 date inversion + VR109 conditional detected</w:t>
            </w:r>
          </w:p>
        </w:tc>
      </w:tr>
    </w:tbl>
    <w:p xmlns:wp14="http://schemas.microsoft.com/office/word/2010/wordml" w:rsidP="01A0C124" wp14:paraId="50B9ECD1" wp14:textId="14C203E4">
      <w:pPr>
        <w:pStyle w:val="Heading2"/>
        <w:bidi w:val="0"/>
        <w:spacing w:before="299" w:beforeAutospacing="off" w:after="299" w:afterAutospacing="off"/>
      </w:pPr>
      <w:r w:rsidRPr="01A0C124" w:rsidR="330BD178">
        <w:rPr>
          <w:rFonts w:ascii="Times New Roman" w:hAnsi="Times New Roman" w:eastAsia="Times New Roman" w:cs="Times New Roman"/>
          <w:b w:val="1"/>
          <w:bCs w:val="1"/>
          <w:noProof w:val="0"/>
          <w:sz w:val="36"/>
          <w:szCs w:val="36"/>
          <w:lang w:val="en-US"/>
        </w:rPr>
        <w:t>6.2.3 Template and DORA Article Coverage Assessment</w:t>
      </w:r>
    </w:p>
    <w:p xmlns:wp14="http://schemas.microsoft.com/office/word/2010/wordml" w:rsidP="01A0C124" wp14:paraId="3097D38F" wp14:textId="1D5379B3">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Full template-by-template and article-by-article coverage assessments are provided in Tables 6.3 and 6.4 respectively. Coverage is rated across four dimensions for each sub-template: data model completeness, EBA validation rule coverage, Excel export completeness, and XBRL OIM-CSV export completeness.</w:t>
      </w:r>
    </w:p>
    <w:p xmlns:wp14="http://schemas.microsoft.com/office/word/2010/wordml" w:rsidP="01A0C124" wp14:paraId="49225697" wp14:textId="41D96DC9">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TABLE 6.3 — Template coverage assessment (RT.01–RT.09): data model, validation rules, Excel export, and XBRL OIM-CSV export.</w:t>
      </w:r>
    </w:p>
    <w:tbl>
      <w:tblPr>
        <w:tblStyle w:val="TableNormal"/>
        <w:bidiVisual w:val="0"/>
        <w:tblW w:w="0" w:type="auto"/>
        <w:tblLook w:val="06A0" w:firstRow="1" w:lastRow="0" w:firstColumn="1" w:lastColumn="0" w:noHBand="1" w:noVBand="1"/>
      </w:tblPr>
      <w:tblGrid>
        <w:gridCol w:w="3284"/>
        <w:gridCol w:w="869"/>
        <w:gridCol w:w="2246"/>
        <w:gridCol w:w="965"/>
        <w:gridCol w:w="1996"/>
      </w:tblGrid>
      <w:tr w:rsidR="01A0C124" w:rsidTr="01A0C124" w14:paraId="0030489F">
        <w:trPr>
          <w:trHeight w:val="300"/>
        </w:trPr>
        <w:tc>
          <w:tcPr>
            <w:tcW w:w="3284" w:type="dxa"/>
            <w:tcMar/>
            <w:vAlign w:val="center"/>
          </w:tcPr>
          <w:p w:rsidR="01A0C124" w:rsidP="01A0C124" w:rsidRDefault="01A0C124" w14:paraId="5C7D3F52" w14:textId="2F201D22">
            <w:pPr>
              <w:bidi w:val="0"/>
              <w:spacing w:before="0" w:beforeAutospacing="off" w:after="0" w:afterAutospacing="off"/>
              <w:jc w:val="center"/>
            </w:pPr>
            <w:r w:rsidRPr="01A0C124" w:rsidR="01A0C124">
              <w:rPr>
                <w:b w:val="1"/>
                <w:bCs w:val="1"/>
              </w:rPr>
              <w:t>Template</w:t>
            </w:r>
          </w:p>
        </w:tc>
        <w:tc>
          <w:tcPr>
            <w:tcW w:w="869" w:type="dxa"/>
            <w:tcMar/>
            <w:vAlign w:val="center"/>
          </w:tcPr>
          <w:p w:rsidR="01A0C124" w:rsidP="01A0C124" w:rsidRDefault="01A0C124" w14:paraId="13378A02" w14:textId="61291554">
            <w:pPr>
              <w:bidi w:val="0"/>
              <w:spacing w:before="0" w:beforeAutospacing="off" w:after="0" w:afterAutospacing="off"/>
              <w:jc w:val="center"/>
            </w:pPr>
            <w:r w:rsidRPr="01A0C124" w:rsidR="01A0C124">
              <w:rPr>
                <w:b w:val="1"/>
                <w:bCs w:val="1"/>
              </w:rPr>
              <w:t>Data Model</w:t>
            </w:r>
          </w:p>
        </w:tc>
        <w:tc>
          <w:tcPr>
            <w:tcW w:w="2246" w:type="dxa"/>
            <w:tcMar/>
            <w:vAlign w:val="center"/>
          </w:tcPr>
          <w:p w:rsidR="01A0C124" w:rsidP="01A0C124" w:rsidRDefault="01A0C124" w14:paraId="5883067A" w14:textId="428E7A9B">
            <w:pPr>
              <w:bidi w:val="0"/>
              <w:spacing w:before="0" w:beforeAutospacing="off" w:after="0" w:afterAutospacing="off"/>
              <w:jc w:val="center"/>
            </w:pPr>
            <w:r w:rsidRPr="01A0C124" w:rsidR="01A0C124">
              <w:rPr>
                <w:b w:val="1"/>
                <w:bCs w:val="1"/>
              </w:rPr>
              <w:t>Validation Rules</w:t>
            </w:r>
          </w:p>
        </w:tc>
        <w:tc>
          <w:tcPr>
            <w:tcW w:w="965" w:type="dxa"/>
            <w:tcMar/>
            <w:vAlign w:val="center"/>
          </w:tcPr>
          <w:p w:rsidR="01A0C124" w:rsidP="01A0C124" w:rsidRDefault="01A0C124" w14:paraId="2F823D59" w14:textId="6FBA05BC">
            <w:pPr>
              <w:bidi w:val="0"/>
              <w:spacing w:before="0" w:beforeAutospacing="off" w:after="0" w:afterAutospacing="off"/>
              <w:jc w:val="center"/>
            </w:pPr>
            <w:r w:rsidRPr="01A0C124" w:rsidR="01A0C124">
              <w:rPr>
                <w:b w:val="1"/>
                <w:bCs w:val="1"/>
              </w:rPr>
              <w:t>Excel Export</w:t>
            </w:r>
          </w:p>
        </w:tc>
        <w:tc>
          <w:tcPr>
            <w:tcW w:w="1996" w:type="dxa"/>
            <w:tcMar/>
            <w:vAlign w:val="center"/>
          </w:tcPr>
          <w:p w:rsidR="01A0C124" w:rsidP="01A0C124" w:rsidRDefault="01A0C124" w14:paraId="7A333B38" w14:textId="74245010">
            <w:pPr>
              <w:bidi w:val="0"/>
              <w:spacing w:before="0" w:beforeAutospacing="off" w:after="0" w:afterAutospacing="off"/>
              <w:jc w:val="center"/>
            </w:pPr>
            <w:r w:rsidRPr="01A0C124" w:rsidR="01A0C124">
              <w:rPr>
                <w:b w:val="1"/>
                <w:bCs w:val="1"/>
              </w:rPr>
              <w:t>XBRL OIM-CSV</w:t>
            </w:r>
          </w:p>
        </w:tc>
      </w:tr>
      <w:tr w:rsidR="01A0C124" w:rsidTr="01A0C124" w14:paraId="70F6919B">
        <w:trPr>
          <w:trHeight w:val="300"/>
        </w:trPr>
        <w:tc>
          <w:tcPr>
            <w:tcW w:w="3284" w:type="dxa"/>
            <w:tcMar/>
            <w:vAlign w:val="center"/>
          </w:tcPr>
          <w:p w:rsidR="01A0C124" w:rsidP="01A0C124" w:rsidRDefault="01A0C124" w14:paraId="7216D425" w14:textId="4ADC5598">
            <w:pPr>
              <w:bidi w:val="0"/>
              <w:spacing w:before="0" w:beforeAutospacing="off" w:after="0" w:afterAutospacing="off"/>
            </w:pPr>
            <w:r w:rsidR="01A0C124">
              <w:rPr/>
              <w:t>RT.01.01–RT.01.03 (Entities + Branches)</w:t>
            </w:r>
          </w:p>
        </w:tc>
        <w:tc>
          <w:tcPr>
            <w:tcW w:w="869" w:type="dxa"/>
            <w:tcMar/>
            <w:vAlign w:val="center"/>
          </w:tcPr>
          <w:p w:rsidR="01A0C124" w:rsidP="01A0C124" w:rsidRDefault="01A0C124" w14:paraId="3DD1428B" w14:textId="7B71D792">
            <w:pPr>
              <w:bidi w:val="0"/>
              <w:spacing w:before="0" w:beforeAutospacing="off" w:after="0" w:afterAutospacing="off"/>
            </w:pPr>
            <w:r w:rsidR="01A0C124">
              <w:rPr/>
              <w:t>Full</w:t>
            </w:r>
          </w:p>
        </w:tc>
        <w:tc>
          <w:tcPr>
            <w:tcW w:w="2246" w:type="dxa"/>
            <w:tcMar/>
            <w:vAlign w:val="center"/>
          </w:tcPr>
          <w:p w:rsidR="01A0C124" w:rsidP="01A0C124" w:rsidRDefault="01A0C124" w14:paraId="16FEA955" w14:textId="72A56086">
            <w:pPr>
              <w:bidi w:val="0"/>
              <w:spacing w:before="0" w:beforeAutospacing="off" w:after="0" w:afterAutospacing="off"/>
            </w:pPr>
            <w:r w:rsidR="01A0C124">
              <w:rPr/>
              <w:t>Full (VR01–VR24, 11 rules)</w:t>
            </w:r>
          </w:p>
        </w:tc>
        <w:tc>
          <w:tcPr>
            <w:tcW w:w="965" w:type="dxa"/>
            <w:tcMar/>
            <w:vAlign w:val="center"/>
          </w:tcPr>
          <w:p w:rsidR="01A0C124" w:rsidP="01A0C124" w:rsidRDefault="01A0C124" w14:paraId="5837EC59" w14:textId="3AF9B1B1">
            <w:pPr>
              <w:bidi w:val="0"/>
              <w:spacing w:before="0" w:beforeAutospacing="off" w:after="0" w:afterAutospacing="off"/>
            </w:pPr>
            <w:r w:rsidR="01A0C124">
              <w:rPr/>
              <w:t>Full</w:t>
            </w:r>
          </w:p>
        </w:tc>
        <w:tc>
          <w:tcPr>
            <w:tcW w:w="1996" w:type="dxa"/>
            <w:tcMar/>
            <w:vAlign w:val="center"/>
          </w:tcPr>
          <w:p w:rsidR="01A0C124" w:rsidP="01A0C124" w:rsidRDefault="01A0C124" w14:paraId="4CCAB2F8" w14:textId="5ED59DA0">
            <w:pPr>
              <w:bidi w:val="0"/>
              <w:spacing w:before="0" w:beforeAutospacing="off" w:after="0" w:afterAutospacing="off"/>
            </w:pPr>
            <w:r w:rsidR="01A0C124">
              <w:rPr/>
              <w:t>Full</w:t>
            </w:r>
          </w:p>
        </w:tc>
      </w:tr>
      <w:tr w:rsidR="01A0C124" w:rsidTr="01A0C124" w14:paraId="3092FA7D">
        <w:trPr>
          <w:trHeight w:val="300"/>
        </w:trPr>
        <w:tc>
          <w:tcPr>
            <w:tcW w:w="3284" w:type="dxa"/>
            <w:tcMar/>
            <w:vAlign w:val="center"/>
          </w:tcPr>
          <w:p w:rsidR="01A0C124" w:rsidP="01A0C124" w:rsidRDefault="01A0C124" w14:paraId="6275EE4F" w14:textId="67ADFE8A">
            <w:pPr>
              <w:bidi w:val="0"/>
              <w:spacing w:before="0" w:beforeAutospacing="off" w:after="0" w:afterAutospacing="off"/>
            </w:pPr>
            <w:r w:rsidR="01A0C124">
              <w:rPr/>
              <w:t>RT.02.01–RT.02.02 (Contractual arrangements)</w:t>
            </w:r>
          </w:p>
        </w:tc>
        <w:tc>
          <w:tcPr>
            <w:tcW w:w="869" w:type="dxa"/>
            <w:tcMar/>
            <w:vAlign w:val="center"/>
          </w:tcPr>
          <w:p w:rsidR="01A0C124" w:rsidP="01A0C124" w:rsidRDefault="01A0C124" w14:paraId="38F40974" w14:textId="317B1419">
            <w:pPr>
              <w:bidi w:val="0"/>
              <w:spacing w:before="0" w:beforeAutospacing="off" w:after="0" w:afterAutospacing="off"/>
            </w:pPr>
            <w:r w:rsidR="01A0C124">
              <w:rPr/>
              <w:t>Full</w:t>
            </w:r>
          </w:p>
        </w:tc>
        <w:tc>
          <w:tcPr>
            <w:tcW w:w="2246" w:type="dxa"/>
            <w:tcMar/>
            <w:vAlign w:val="center"/>
          </w:tcPr>
          <w:p w:rsidR="01A0C124" w:rsidP="01A0C124" w:rsidRDefault="01A0C124" w14:paraId="36E25CF9" w14:textId="03A24F3F">
            <w:pPr>
              <w:bidi w:val="0"/>
              <w:spacing w:before="0" w:beforeAutospacing="off" w:after="0" w:afterAutospacing="off"/>
            </w:pPr>
            <w:r w:rsidR="01A0C124">
              <w:rPr/>
              <w:t>Full (VR25–VR51, 9+18 rules)</w:t>
            </w:r>
          </w:p>
        </w:tc>
        <w:tc>
          <w:tcPr>
            <w:tcW w:w="965" w:type="dxa"/>
            <w:tcMar/>
            <w:vAlign w:val="center"/>
          </w:tcPr>
          <w:p w:rsidR="01A0C124" w:rsidP="01A0C124" w:rsidRDefault="01A0C124" w14:paraId="1A692034" w14:textId="2AFE00C7">
            <w:pPr>
              <w:bidi w:val="0"/>
              <w:spacing w:before="0" w:beforeAutospacing="off" w:after="0" w:afterAutospacing="off"/>
            </w:pPr>
            <w:r w:rsidR="01A0C124">
              <w:rPr/>
              <w:t>Full</w:t>
            </w:r>
          </w:p>
        </w:tc>
        <w:tc>
          <w:tcPr>
            <w:tcW w:w="1996" w:type="dxa"/>
            <w:tcMar/>
            <w:vAlign w:val="center"/>
          </w:tcPr>
          <w:p w:rsidR="01A0C124" w:rsidP="01A0C124" w:rsidRDefault="01A0C124" w14:paraId="61C85D97" w14:textId="28902BD0">
            <w:pPr>
              <w:bidi w:val="0"/>
              <w:spacing w:before="0" w:beforeAutospacing="off" w:after="0" w:afterAutospacing="off"/>
            </w:pPr>
            <w:r w:rsidR="01A0C124">
              <w:rPr/>
              <w:t>Partial (linking sub-sections)</w:t>
            </w:r>
          </w:p>
        </w:tc>
      </w:tr>
      <w:tr w:rsidR="01A0C124" w:rsidTr="01A0C124" w14:paraId="5094D39E">
        <w:trPr>
          <w:trHeight w:val="300"/>
        </w:trPr>
        <w:tc>
          <w:tcPr>
            <w:tcW w:w="3284" w:type="dxa"/>
            <w:tcMar/>
            <w:vAlign w:val="center"/>
          </w:tcPr>
          <w:p w:rsidR="01A0C124" w:rsidP="01A0C124" w:rsidRDefault="01A0C124" w14:paraId="4B112A2F" w14:textId="76B15940">
            <w:pPr>
              <w:bidi w:val="0"/>
              <w:spacing w:before="0" w:beforeAutospacing="off" w:after="0" w:afterAutospacing="off"/>
            </w:pPr>
            <w:r w:rsidR="01A0C124">
              <w:rPr/>
              <w:t>RT.03.01 (Group contract coverage)</w:t>
            </w:r>
          </w:p>
        </w:tc>
        <w:tc>
          <w:tcPr>
            <w:tcW w:w="869" w:type="dxa"/>
            <w:tcMar/>
            <w:vAlign w:val="center"/>
          </w:tcPr>
          <w:p w:rsidR="01A0C124" w:rsidP="01A0C124" w:rsidRDefault="01A0C124" w14:paraId="7B16E293" w14:textId="7565AFA2">
            <w:pPr>
              <w:bidi w:val="0"/>
              <w:spacing w:before="0" w:beforeAutospacing="off" w:after="0" w:afterAutospacing="off"/>
            </w:pPr>
            <w:r w:rsidR="01A0C124">
              <w:rPr/>
              <w:t>Full</w:t>
            </w:r>
          </w:p>
        </w:tc>
        <w:tc>
          <w:tcPr>
            <w:tcW w:w="2246" w:type="dxa"/>
            <w:tcMar/>
            <w:vAlign w:val="center"/>
          </w:tcPr>
          <w:p w:rsidR="01A0C124" w:rsidP="01A0C124" w:rsidRDefault="01A0C124" w14:paraId="6548945D" w14:textId="5E5DB297">
            <w:pPr>
              <w:bidi w:val="0"/>
              <w:spacing w:before="0" w:beforeAutospacing="off" w:after="0" w:afterAutospacing="off"/>
            </w:pPr>
            <w:r w:rsidR="01A0C124">
              <w:rPr/>
              <w:t>Full (VR52–VR59)</w:t>
            </w:r>
          </w:p>
        </w:tc>
        <w:tc>
          <w:tcPr>
            <w:tcW w:w="965" w:type="dxa"/>
            <w:tcMar/>
            <w:vAlign w:val="center"/>
          </w:tcPr>
          <w:p w:rsidR="01A0C124" w:rsidP="01A0C124" w:rsidRDefault="01A0C124" w14:paraId="610BA021" w14:textId="06BAD30F">
            <w:pPr>
              <w:bidi w:val="0"/>
              <w:spacing w:before="0" w:beforeAutospacing="off" w:after="0" w:afterAutospacing="off"/>
            </w:pPr>
            <w:r w:rsidR="01A0C124">
              <w:rPr/>
              <w:t>Full</w:t>
            </w:r>
          </w:p>
        </w:tc>
        <w:tc>
          <w:tcPr>
            <w:tcW w:w="1996" w:type="dxa"/>
            <w:tcMar/>
            <w:vAlign w:val="center"/>
          </w:tcPr>
          <w:p w:rsidR="01A0C124" w:rsidP="01A0C124" w:rsidRDefault="01A0C124" w14:paraId="19AB1D09" w14:textId="12CB9327">
            <w:pPr>
              <w:bidi w:val="0"/>
              <w:spacing w:before="0" w:beforeAutospacing="off" w:after="0" w:afterAutospacing="off"/>
            </w:pPr>
            <w:r w:rsidR="01A0C124">
              <w:rPr/>
              <w:t>Full</w:t>
            </w:r>
          </w:p>
        </w:tc>
      </w:tr>
      <w:tr w:rsidR="01A0C124" w:rsidTr="01A0C124" w14:paraId="38C01362">
        <w:trPr>
          <w:trHeight w:val="300"/>
        </w:trPr>
        <w:tc>
          <w:tcPr>
            <w:tcW w:w="3284" w:type="dxa"/>
            <w:tcMar/>
            <w:vAlign w:val="center"/>
          </w:tcPr>
          <w:p w:rsidR="01A0C124" w:rsidP="01A0C124" w:rsidRDefault="01A0C124" w14:paraId="04A8CB3B" w14:textId="66E12EDB">
            <w:pPr>
              <w:bidi w:val="0"/>
              <w:spacing w:before="0" w:beforeAutospacing="off" w:after="0" w:afterAutospacing="off"/>
            </w:pPr>
            <w:r w:rsidR="01A0C124">
              <w:rPr/>
              <w:t>RT.04.01 (Entities using services)</w:t>
            </w:r>
          </w:p>
        </w:tc>
        <w:tc>
          <w:tcPr>
            <w:tcW w:w="869" w:type="dxa"/>
            <w:tcMar/>
            <w:vAlign w:val="center"/>
          </w:tcPr>
          <w:p w:rsidR="01A0C124" w:rsidP="01A0C124" w:rsidRDefault="01A0C124" w14:paraId="5AC7F5AA" w14:textId="7CB6C3AB">
            <w:pPr>
              <w:bidi w:val="0"/>
              <w:spacing w:before="0" w:beforeAutospacing="off" w:after="0" w:afterAutospacing="off"/>
            </w:pPr>
            <w:r w:rsidR="01A0C124">
              <w:rPr/>
              <w:t>Full</w:t>
            </w:r>
          </w:p>
        </w:tc>
        <w:tc>
          <w:tcPr>
            <w:tcW w:w="2246" w:type="dxa"/>
            <w:tcMar/>
            <w:vAlign w:val="center"/>
          </w:tcPr>
          <w:p w:rsidR="01A0C124" w:rsidP="01A0C124" w:rsidRDefault="01A0C124" w14:paraId="3415E6DA" w14:textId="15E72F09">
            <w:pPr>
              <w:bidi w:val="0"/>
              <w:spacing w:before="0" w:beforeAutospacing="off" w:after="0" w:afterAutospacing="off"/>
            </w:pPr>
            <w:r w:rsidR="01A0C124">
              <w:rPr/>
              <w:t>Full (VR60–VR72)</w:t>
            </w:r>
          </w:p>
        </w:tc>
        <w:tc>
          <w:tcPr>
            <w:tcW w:w="965" w:type="dxa"/>
            <w:tcMar/>
            <w:vAlign w:val="center"/>
          </w:tcPr>
          <w:p w:rsidR="01A0C124" w:rsidP="01A0C124" w:rsidRDefault="01A0C124" w14:paraId="5C61FEE9" w14:textId="7A208543">
            <w:pPr>
              <w:bidi w:val="0"/>
              <w:spacing w:before="0" w:beforeAutospacing="off" w:after="0" w:afterAutospacing="off"/>
            </w:pPr>
            <w:r w:rsidR="01A0C124">
              <w:rPr/>
              <w:t>Full</w:t>
            </w:r>
          </w:p>
        </w:tc>
        <w:tc>
          <w:tcPr>
            <w:tcW w:w="1996" w:type="dxa"/>
            <w:tcMar/>
            <w:vAlign w:val="center"/>
          </w:tcPr>
          <w:p w:rsidR="01A0C124" w:rsidP="01A0C124" w:rsidRDefault="01A0C124" w14:paraId="7E013E49" w14:textId="249B87C7">
            <w:pPr>
              <w:bidi w:val="0"/>
              <w:spacing w:before="0" w:beforeAutospacing="off" w:after="0" w:afterAutospacing="off"/>
            </w:pPr>
            <w:r w:rsidR="01A0C124">
              <w:rPr/>
              <w:t>Full</w:t>
            </w:r>
          </w:p>
        </w:tc>
      </w:tr>
      <w:tr w:rsidR="01A0C124" w:rsidTr="01A0C124" w14:paraId="018D60E7">
        <w:trPr>
          <w:trHeight w:val="300"/>
        </w:trPr>
        <w:tc>
          <w:tcPr>
            <w:tcW w:w="3284" w:type="dxa"/>
            <w:tcMar/>
            <w:vAlign w:val="center"/>
          </w:tcPr>
          <w:p w:rsidR="01A0C124" w:rsidP="01A0C124" w:rsidRDefault="01A0C124" w14:paraId="173E5566" w14:textId="1C18FBFB">
            <w:pPr>
              <w:bidi w:val="0"/>
              <w:spacing w:before="0" w:beforeAutospacing="off" w:after="0" w:afterAutospacing="off"/>
            </w:pPr>
            <w:r w:rsidR="01A0C124">
              <w:rPr/>
              <w:t>RT.05.01 (ICT providers)</w:t>
            </w:r>
          </w:p>
        </w:tc>
        <w:tc>
          <w:tcPr>
            <w:tcW w:w="869" w:type="dxa"/>
            <w:tcMar/>
            <w:vAlign w:val="center"/>
          </w:tcPr>
          <w:p w:rsidR="01A0C124" w:rsidP="01A0C124" w:rsidRDefault="01A0C124" w14:paraId="6DBD7960" w14:textId="34A63485">
            <w:pPr>
              <w:bidi w:val="0"/>
              <w:spacing w:before="0" w:beforeAutospacing="off" w:after="0" w:afterAutospacing="off"/>
            </w:pPr>
            <w:r w:rsidR="01A0C124">
              <w:rPr/>
              <w:t>Full</w:t>
            </w:r>
          </w:p>
        </w:tc>
        <w:tc>
          <w:tcPr>
            <w:tcW w:w="2246" w:type="dxa"/>
            <w:tcMar/>
            <w:vAlign w:val="center"/>
          </w:tcPr>
          <w:p w:rsidR="01A0C124" w:rsidP="01A0C124" w:rsidRDefault="01A0C124" w14:paraId="415B9EB4" w14:textId="4F25D7AA">
            <w:pPr>
              <w:bidi w:val="0"/>
              <w:spacing w:before="0" w:beforeAutospacing="off" w:after="0" w:afterAutospacing="off"/>
            </w:pPr>
            <w:r w:rsidR="01A0C124">
              <w:rPr/>
              <w:t>Full (VR73–VR84)</w:t>
            </w:r>
          </w:p>
        </w:tc>
        <w:tc>
          <w:tcPr>
            <w:tcW w:w="965" w:type="dxa"/>
            <w:tcMar/>
            <w:vAlign w:val="center"/>
          </w:tcPr>
          <w:p w:rsidR="01A0C124" w:rsidP="01A0C124" w:rsidRDefault="01A0C124" w14:paraId="361CB4DF" w14:textId="33CE322B">
            <w:pPr>
              <w:bidi w:val="0"/>
              <w:spacing w:before="0" w:beforeAutospacing="off" w:after="0" w:afterAutospacing="off"/>
            </w:pPr>
            <w:r w:rsidR="01A0C124">
              <w:rPr/>
              <w:t>Full</w:t>
            </w:r>
          </w:p>
        </w:tc>
        <w:tc>
          <w:tcPr>
            <w:tcW w:w="1996" w:type="dxa"/>
            <w:tcMar/>
            <w:vAlign w:val="center"/>
          </w:tcPr>
          <w:p w:rsidR="01A0C124" w:rsidP="01A0C124" w:rsidRDefault="01A0C124" w14:paraId="6315EF67" w14:textId="79B6E178">
            <w:pPr>
              <w:bidi w:val="0"/>
              <w:spacing w:before="0" w:beforeAutospacing="off" w:after="0" w:afterAutospacing="off"/>
            </w:pPr>
            <w:r w:rsidR="01A0C124">
              <w:rPr/>
              <w:t>Full</w:t>
            </w:r>
          </w:p>
        </w:tc>
      </w:tr>
      <w:tr w:rsidR="01A0C124" w:rsidTr="01A0C124" w14:paraId="296F3F3C">
        <w:trPr>
          <w:trHeight w:val="300"/>
        </w:trPr>
        <w:tc>
          <w:tcPr>
            <w:tcW w:w="3284" w:type="dxa"/>
            <w:tcMar/>
            <w:vAlign w:val="center"/>
          </w:tcPr>
          <w:p w:rsidR="01A0C124" w:rsidP="01A0C124" w:rsidRDefault="01A0C124" w14:paraId="09D21916" w14:textId="6F22658B">
            <w:pPr>
              <w:bidi w:val="0"/>
              <w:spacing w:before="0" w:beforeAutospacing="off" w:after="0" w:afterAutospacing="off"/>
            </w:pPr>
            <w:r w:rsidR="01A0C124">
              <w:rPr/>
              <w:t>RT.05.02 (ICT supply chain)</w:t>
            </w:r>
          </w:p>
        </w:tc>
        <w:tc>
          <w:tcPr>
            <w:tcW w:w="869" w:type="dxa"/>
            <w:tcMar/>
            <w:vAlign w:val="center"/>
          </w:tcPr>
          <w:p w:rsidR="01A0C124" w:rsidP="01A0C124" w:rsidRDefault="01A0C124" w14:paraId="34C45B8A" w14:textId="342E1C75">
            <w:pPr>
              <w:bidi w:val="0"/>
              <w:spacing w:before="0" w:beforeAutospacing="off" w:after="0" w:afterAutospacing="off"/>
            </w:pPr>
            <w:r w:rsidR="01A0C124">
              <w:rPr/>
              <w:t>Full</w:t>
            </w:r>
          </w:p>
        </w:tc>
        <w:tc>
          <w:tcPr>
            <w:tcW w:w="2246" w:type="dxa"/>
            <w:tcMar/>
            <w:vAlign w:val="center"/>
          </w:tcPr>
          <w:p w:rsidR="01A0C124" w:rsidP="01A0C124" w:rsidRDefault="01A0C124" w14:paraId="779B3497" w14:textId="57603DD1">
            <w:pPr>
              <w:bidi w:val="0"/>
              <w:spacing w:before="0" w:beforeAutospacing="off" w:after="0" w:afterAutospacing="off"/>
            </w:pPr>
            <w:r w:rsidR="01A0C124">
              <w:rPr/>
              <w:t>Full (VR80–VR89)</w:t>
            </w:r>
          </w:p>
        </w:tc>
        <w:tc>
          <w:tcPr>
            <w:tcW w:w="965" w:type="dxa"/>
            <w:tcMar/>
            <w:vAlign w:val="center"/>
          </w:tcPr>
          <w:p w:rsidR="01A0C124" w:rsidP="01A0C124" w:rsidRDefault="01A0C124" w14:paraId="113C29E8" w14:textId="78215A79">
            <w:pPr>
              <w:bidi w:val="0"/>
              <w:spacing w:before="0" w:beforeAutospacing="off" w:after="0" w:afterAutospacing="off"/>
            </w:pPr>
            <w:r w:rsidR="01A0C124">
              <w:rPr/>
              <w:t>Full</w:t>
            </w:r>
          </w:p>
        </w:tc>
        <w:tc>
          <w:tcPr>
            <w:tcW w:w="1996" w:type="dxa"/>
            <w:tcMar/>
            <w:vAlign w:val="center"/>
          </w:tcPr>
          <w:p w:rsidR="01A0C124" w:rsidP="01A0C124" w:rsidRDefault="01A0C124" w14:paraId="4F9A1588" w14:textId="417081D5">
            <w:pPr>
              <w:bidi w:val="0"/>
              <w:spacing w:before="0" w:beforeAutospacing="off" w:after="0" w:afterAutospacing="off"/>
            </w:pPr>
            <w:r w:rsidR="01A0C124">
              <w:rPr/>
              <w:t>Full</w:t>
            </w:r>
          </w:p>
        </w:tc>
      </w:tr>
      <w:tr w:rsidR="01A0C124" w:rsidTr="01A0C124" w14:paraId="2F277BDA">
        <w:trPr>
          <w:trHeight w:val="300"/>
        </w:trPr>
        <w:tc>
          <w:tcPr>
            <w:tcW w:w="3284" w:type="dxa"/>
            <w:tcMar/>
            <w:vAlign w:val="center"/>
          </w:tcPr>
          <w:p w:rsidR="01A0C124" w:rsidP="01A0C124" w:rsidRDefault="01A0C124" w14:paraId="0E74E2F9" w14:textId="34046CD3">
            <w:pPr>
              <w:bidi w:val="0"/>
              <w:spacing w:before="0" w:beforeAutospacing="off" w:after="0" w:afterAutospacing="off"/>
            </w:pPr>
            <w:r w:rsidR="01A0C124">
              <w:rPr/>
              <w:t>RT.06.01 (Business functions)</w:t>
            </w:r>
          </w:p>
        </w:tc>
        <w:tc>
          <w:tcPr>
            <w:tcW w:w="869" w:type="dxa"/>
            <w:tcMar/>
            <w:vAlign w:val="center"/>
          </w:tcPr>
          <w:p w:rsidR="01A0C124" w:rsidP="01A0C124" w:rsidRDefault="01A0C124" w14:paraId="47E81B7F" w14:textId="4E009B82">
            <w:pPr>
              <w:bidi w:val="0"/>
              <w:spacing w:before="0" w:beforeAutospacing="off" w:after="0" w:afterAutospacing="off"/>
            </w:pPr>
            <w:r w:rsidR="01A0C124">
              <w:rPr/>
              <w:t>Full</w:t>
            </w:r>
          </w:p>
        </w:tc>
        <w:tc>
          <w:tcPr>
            <w:tcW w:w="2246" w:type="dxa"/>
            <w:tcMar/>
            <w:vAlign w:val="center"/>
          </w:tcPr>
          <w:p w:rsidR="01A0C124" w:rsidP="01A0C124" w:rsidRDefault="01A0C124" w14:paraId="02B67207" w14:textId="7CD2CBE2">
            <w:pPr>
              <w:bidi w:val="0"/>
              <w:spacing w:before="0" w:beforeAutospacing="off" w:after="0" w:afterAutospacing="off"/>
            </w:pPr>
            <w:r w:rsidR="01A0C124">
              <w:rPr/>
              <w:t>Full (VR90–VR104)</w:t>
            </w:r>
          </w:p>
        </w:tc>
        <w:tc>
          <w:tcPr>
            <w:tcW w:w="965" w:type="dxa"/>
            <w:tcMar/>
            <w:vAlign w:val="center"/>
          </w:tcPr>
          <w:p w:rsidR="01A0C124" w:rsidP="01A0C124" w:rsidRDefault="01A0C124" w14:paraId="3696D8C1" w14:textId="744373F9">
            <w:pPr>
              <w:bidi w:val="0"/>
              <w:spacing w:before="0" w:beforeAutospacing="off" w:after="0" w:afterAutospacing="off"/>
            </w:pPr>
            <w:r w:rsidR="01A0C124">
              <w:rPr/>
              <w:t>Full</w:t>
            </w:r>
          </w:p>
        </w:tc>
        <w:tc>
          <w:tcPr>
            <w:tcW w:w="1996" w:type="dxa"/>
            <w:tcMar/>
            <w:vAlign w:val="center"/>
          </w:tcPr>
          <w:p w:rsidR="01A0C124" w:rsidP="01A0C124" w:rsidRDefault="01A0C124" w14:paraId="189C2D9B" w14:textId="0D58C35A">
            <w:pPr>
              <w:bidi w:val="0"/>
              <w:spacing w:before="0" w:beforeAutospacing="off" w:after="0" w:afterAutospacing="off"/>
            </w:pPr>
            <w:r w:rsidR="01A0C124">
              <w:rPr/>
              <w:t>Full</w:t>
            </w:r>
          </w:p>
        </w:tc>
      </w:tr>
      <w:tr w:rsidR="01A0C124" w:rsidTr="01A0C124" w14:paraId="02E362DD">
        <w:trPr>
          <w:trHeight w:val="300"/>
        </w:trPr>
        <w:tc>
          <w:tcPr>
            <w:tcW w:w="3284" w:type="dxa"/>
            <w:tcMar/>
            <w:vAlign w:val="center"/>
          </w:tcPr>
          <w:p w:rsidR="01A0C124" w:rsidP="01A0C124" w:rsidRDefault="01A0C124" w14:paraId="6B79AB6C" w14:textId="62BF5A63">
            <w:pPr>
              <w:bidi w:val="0"/>
              <w:spacing w:before="0" w:beforeAutospacing="off" w:after="0" w:afterAutospacing="off"/>
            </w:pPr>
            <w:r w:rsidR="01A0C124">
              <w:rPr/>
              <w:t>RT.07.01 (ICT service assessments)</w:t>
            </w:r>
          </w:p>
        </w:tc>
        <w:tc>
          <w:tcPr>
            <w:tcW w:w="869" w:type="dxa"/>
            <w:tcMar/>
            <w:vAlign w:val="center"/>
          </w:tcPr>
          <w:p w:rsidR="01A0C124" w:rsidP="01A0C124" w:rsidRDefault="01A0C124" w14:paraId="2B3490F6" w14:textId="380D4DB3">
            <w:pPr>
              <w:bidi w:val="0"/>
              <w:spacing w:before="0" w:beforeAutospacing="off" w:after="0" w:afterAutospacing="off"/>
            </w:pPr>
            <w:r w:rsidR="01A0C124">
              <w:rPr/>
              <w:t>Full</w:t>
            </w:r>
          </w:p>
        </w:tc>
        <w:tc>
          <w:tcPr>
            <w:tcW w:w="2246" w:type="dxa"/>
            <w:tcMar/>
            <w:vAlign w:val="center"/>
          </w:tcPr>
          <w:p w:rsidR="01A0C124" w:rsidP="01A0C124" w:rsidRDefault="01A0C124" w14:paraId="7C49B3BC" w14:textId="5E9412BB">
            <w:pPr>
              <w:bidi w:val="0"/>
              <w:spacing w:before="0" w:beforeAutospacing="off" w:after="0" w:afterAutospacing="off"/>
            </w:pPr>
            <w:r w:rsidR="01A0C124">
              <w:rPr/>
              <w:t>Full (VR105–VR116, 12 rules)</w:t>
            </w:r>
          </w:p>
        </w:tc>
        <w:tc>
          <w:tcPr>
            <w:tcW w:w="965" w:type="dxa"/>
            <w:tcMar/>
            <w:vAlign w:val="center"/>
          </w:tcPr>
          <w:p w:rsidR="01A0C124" w:rsidP="01A0C124" w:rsidRDefault="01A0C124" w14:paraId="0FFB051F" w14:textId="47C06685">
            <w:pPr>
              <w:bidi w:val="0"/>
              <w:spacing w:before="0" w:beforeAutospacing="off" w:after="0" w:afterAutospacing="off"/>
            </w:pPr>
            <w:r w:rsidR="01A0C124">
              <w:rPr/>
              <w:t>Full</w:t>
            </w:r>
          </w:p>
        </w:tc>
        <w:tc>
          <w:tcPr>
            <w:tcW w:w="1996" w:type="dxa"/>
            <w:tcMar/>
            <w:vAlign w:val="center"/>
          </w:tcPr>
          <w:p w:rsidR="01A0C124" w:rsidP="01A0C124" w:rsidRDefault="01A0C124" w14:paraId="5357D58F" w14:textId="4B3E7AF7">
            <w:pPr>
              <w:bidi w:val="0"/>
              <w:spacing w:before="0" w:beforeAutospacing="off" w:after="0" w:afterAutospacing="off"/>
            </w:pPr>
            <w:r w:rsidR="01A0C124">
              <w:rPr/>
              <w:t>Full</w:t>
            </w:r>
          </w:p>
        </w:tc>
      </w:tr>
      <w:tr w:rsidR="01A0C124" w:rsidTr="01A0C124" w14:paraId="2B270751">
        <w:trPr>
          <w:trHeight w:val="300"/>
        </w:trPr>
        <w:tc>
          <w:tcPr>
            <w:tcW w:w="3284" w:type="dxa"/>
            <w:tcMar/>
            <w:vAlign w:val="center"/>
          </w:tcPr>
          <w:p w:rsidR="01A0C124" w:rsidP="01A0C124" w:rsidRDefault="01A0C124" w14:paraId="49D18564" w14:textId="0E5A5A2E">
            <w:pPr>
              <w:bidi w:val="0"/>
              <w:spacing w:before="0" w:beforeAutospacing="off" w:after="0" w:afterAutospacing="off"/>
            </w:pPr>
            <w:r w:rsidR="01A0C124">
              <w:rPr/>
              <w:t>RT.08.01 (Exit strategies)</w:t>
            </w:r>
          </w:p>
        </w:tc>
        <w:tc>
          <w:tcPr>
            <w:tcW w:w="869" w:type="dxa"/>
            <w:tcMar/>
            <w:vAlign w:val="center"/>
          </w:tcPr>
          <w:p w:rsidR="01A0C124" w:rsidP="01A0C124" w:rsidRDefault="01A0C124" w14:paraId="092EDF66" w14:textId="63696D32">
            <w:pPr>
              <w:bidi w:val="0"/>
              <w:spacing w:before="0" w:beforeAutospacing="off" w:after="0" w:afterAutospacing="off"/>
            </w:pPr>
            <w:r w:rsidR="01A0C124">
              <w:rPr/>
              <w:t>Full</w:t>
            </w:r>
          </w:p>
        </w:tc>
        <w:tc>
          <w:tcPr>
            <w:tcW w:w="2246" w:type="dxa"/>
            <w:tcMar/>
            <w:vAlign w:val="center"/>
          </w:tcPr>
          <w:p w:rsidR="01A0C124" w:rsidP="01A0C124" w:rsidRDefault="01A0C124" w14:paraId="47750E61" w14:textId="79765DFA">
            <w:pPr>
              <w:bidi w:val="0"/>
              <w:spacing w:before="0" w:beforeAutospacing="off" w:after="0" w:afterAutospacing="off"/>
            </w:pPr>
            <w:r w:rsidR="01A0C124">
              <w:rPr/>
              <w:t>Partial (VR120–VR125, 6 rules)</w:t>
            </w:r>
          </w:p>
        </w:tc>
        <w:tc>
          <w:tcPr>
            <w:tcW w:w="965" w:type="dxa"/>
            <w:tcMar/>
            <w:vAlign w:val="center"/>
          </w:tcPr>
          <w:p w:rsidR="01A0C124" w:rsidP="01A0C124" w:rsidRDefault="01A0C124" w14:paraId="533FEA10" w14:textId="2502F4E5">
            <w:pPr>
              <w:bidi w:val="0"/>
              <w:spacing w:before="0" w:beforeAutospacing="off" w:after="0" w:afterAutospacing="off"/>
            </w:pPr>
            <w:r w:rsidR="01A0C124">
              <w:rPr/>
              <w:t>Full</w:t>
            </w:r>
          </w:p>
        </w:tc>
        <w:tc>
          <w:tcPr>
            <w:tcW w:w="1996" w:type="dxa"/>
            <w:tcMar/>
            <w:vAlign w:val="center"/>
          </w:tcPr>
          <w:p w:rsidR="01A0C124" w:rsidP="01A0C124" w:rsidRDefault="01A0C124" w14:paraId="5D5A2866" w14:textId="2C9FED95">
            <w:pPr>
              <w:bidi w:val="0"/>
              <w:spacing w:before="0" w:beforeAutospacing="off" w:after="0" w:afterAutospacing="off"/>
            </w:pPr>
            <w:r w:rsidR="01A0C124">
              <w:rPr/>
              <w:t>Full</w:t>
            </w:r>
          </w:p>
        </w:tc>
      </w:tr>
      <w:tr w:rsidR="01A0C124" w:rsidTr="01A0C124" w14:paraId="496F083F">
        <w:trPr>
          <w:trHeight w:val="300"/>
        </w:trPr>
        <w:tc>
          <w:tcPr>
            <w:tcW w:w="3284" w:type="dxa"/>
            <w:tcMar/>
            <w:vAlign w:val="center"/>
          </w:tcPr>
          <w:p w:rsidR="01A0C124" w:rsidP="01A0C124" w:rsidRDefault="01A0C124" w14:paraId="25528D18" w14:textId="6608FF00">
            <w:pPr>
              <w:bidi w:val="0"/>
              <w:spacing w:before="0" w:beforeAutospacing="off" w:after="0" w:afterAutospacing="off"/>
            </w:pPr>
            <w:r w:rsidR="01A0C124">
              <w:rPr/>
              <w:t>RT.09.01 (Concentration risk)</w:t>
            </w:r>
          </w:p>
        </w:tc>
        <w:tc>
          <w:tcPr>
            <w:tcW w:w="869" w:type="dxa"/>
            <w:tcMar/>
            <w:vAlign w:val="center"/>
          </w:tcPr>
          <w:p w:rsidR="01A0C124" w:rsidP="01A0C124" w:rsidRDefault="01A0C124" w14:paraId="72672C5B" w14:textId="4E25FCB2">
            <w:pPr>
              <w:bidi w:val="0"/>
              <w:spacing w:before="0" w:beforeAutospacing="off" w:after="0" w:afterAutospacing="off"/>
            </w:pPr>
            <w:r w:rsidR="01A0C124">
              <w:rPr/>
              <w:t>Partial</w:t>
            </w:r>
          </w:p>
        </w:tc>
        <w:tc>
          <w:tcPr>
            <w:tcW w:w="2246" w:type="dxa"/>
            <w:tcMar/>
            <w:vAlign w:val="center"/>
          </w:tcPr>
          <w:p w:rsidR="01A0C124" w:rsidP="01A0C124" w:rsidRDefault="01A0C124" w14:paraId="6FF2C475" w14:textId="6C6A93BC">
            <w:pPr>
              <w:bidi w:val="0"/>
              <w:spacing w:before="0" w:beforeAutospacing="off" w:after="0" w:afterAutospacing="off"/>
            </w:pPr>
            <w:r w:rsidR="01A0C124">
              <w:rPr/>
              <w:t>Partial</w:t>
            </w:r>
          </w:p>
        </w:tc>
        <w:tc>
          <w:tcPr>
            <w:tcW w:w="965" w:type="dxa"/>
            <w:tcMar/>
            <w:vAlign w:val="center"/>
          </w:tcPr>
          <w:p w:rsidR="01A0C124" w:rsidP="01A0C124" w:rsidRDefault="01A0C124" w14:paraId="4E6EFBB4" w14:textId="6AD220FF">
            <w:pPr>
              <w:bidi w:val="0"/>
              <w:spacing w:before="0" w:beforeAutospacing="off" w:after="0" w:afterAutospacing="off"/>
            </w:pPr>
            <w:r w:rsidR="01A0C124">
              <w:rPr/>
              <w:t>Partial</w:t>
            </w:r>
          </w:p>
        </w:tc>
        <w:tc>
          <w:tcPr>
            <w:tcW w:w="1996" w:type="dxa"/>
            <w:tcMar/>
            <w:vAlign w:val="center"/>
          </w:tcPr>
          <w:p w:rsidR="01A0C124" w:rsidP="01A0C124" w:rsidRDefault="01A0C124" w14:paraId="706C848F" w14:textId="2B42E0A1">
            <w:pPr>
              <w:bidi w:val="0"/>
              <w:spacing w:before="0" w:beforeAutospacing="off" w:after="0" w:afterAutospacing="off"/>
            </w:pPr>
            <w:r w:rsidR="01A0C124">
              <w:rPr/>
              <w:t>Partial</w:t>
            </w:r>
          </w:p>
        </w:tc>
      </w:tr>
    </w:tbl>
    <w:p xmlns:wp14="http://schemas.microsoft.com/office/word/2010/wordml" w:rsidP="01A0C124" wp14:paraId="58F2F7CF" wp14:textId="13895746">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TABLE 6.4 — DORA Articles 28–30 obligation to system component mapping.</w:t>
      </w:r>
    </w:p>
    <w:tbl>
      <w:tblPr>
        <w:tblStyle w:val="TableNormal"/>
        <w:bidiVisual w:val="0"/>
        <w:tblW w:w="0" w:type="auto"/>
        <w:tblLook w:val="06A0" w:firstRow="1" w:lastRow="0" w:firstColumn="1" w:lastColumn="0" w:noHBand="1" w:noVBand="1"/>
      </w:tblPr>
      <w:tblGrid>
        <w:gridCol w:w="956"/>
        <w:gridCol w:w="3036"/>
        <w:gridCol w:w="4824"/>
        <w:gridCol w:w="545"/>
      </w:tblGrid>
      <w:tr w:rsidR="01A0C124" w:rsidTr="01A0C124" w14:paraId="3BC315C0">
        <w:trPr>
          <w:trHeight w:val="300"/>
        </w:trPr>
        <w:tc>
          <w:tcPr>
            <w:tcW w:w="956" w:type="dxa"/>
            <w:tcMar/>
            <w:vAlign w:val="center"/>
          </w:tcPr>
          <w:p w:rsidR="01A0C124" w:rsidP="01A0C124" w:rsidRDefault="01A0C124" w14:paraId="770730BD" w14:textId="132152FD">
            <w:pPr>
              <w:bidi w:val="0"/>
              <w:spacing w:before="0" w:beforeAutospacing="off" w:after="0" w:afterAutospacing="off"/>
              <w:jc w:val="center"/>
            </w:pPr>
            <w:r w:rsidRPr="01A0C124" w:rsidR="01A0C124">
              <w:rPr>
                <w:b w:val="1"/>
                <w:bCs w:val="1"/>
              </w:rPr>
              <w:t>DORA Article</w:t>
            </w:r>
          </w:p>
        </w:tc>
        <w:tc>
          <w:tcPr>
            <w:tcW w:w="3036" w:type="dxa"/>
            <w:tcMar/>
            <w:vAlign w:val="center"/>
          </w:tcPr>
          <w:p w:rsidR="01A0C124" w:rsidP="01A0C124" w:rsidRDefault="01A0C124" w14:paraId="03DC01E3" w14:textId="51D989F6">
            <w:pPr>
              <w:bidi w:val="0"/>
              <w:spacing w:before="0" w:beforeAutospacing="off" w:after="0" w:afterAutospacing="off"/>
              <w:jc w:val="center"/>
            </w:pPr>
            <w:r w:rsidRPr="01A0C124" w:rsidR="01A0C124">
              <w:rPr>
                <w:b w:val="1"/>
                <w:bCs w:val="1"/>
              </w:rPr>
              <w:t>Obligation</w:t>
            </w:r>
          </w:p>
        </w:tc>
        <w:tc>
          <w:tcPr>
            <w:tcW w:w="4824" w:type="dxa"/>
            <w:tcMar/>
            <w:vAlign w:val="center"/>
          </w:tcPr>
          <w:p w:rsidR="01A0C124" w:rsidP="01A0C124" w:rsidRDefault="01A0C124" w14:paraId="6C093304" w14:textId="5A390F0F">
            <w:pPr>
              <w:bidi w:val="0"/>
              <w:spacing w:before="0" w:beforeAutospacing="off" w:after="0" w:afterAutospacing="off"/>
              <w:jc w:val="center"/>
            </w:pPr>
            <w:r w:rsidRPr="01A0C124" w:rsidR="01A0C124">
              <w:rPr>
                <w:b w:val="1"/>
                <w:bCs w:val="1"/>
              </w:rPr>
              <w:t>Implementing Component</w:t>
            </w:r>
          </w:p>
        </w:tc>
        <w:tc>
          <w:tcPr>
            <w:tcW w:w="545" w:type="dxa"/>
            <w:tcMar/>
            <w:vAlign w:val="center"/>
          </w:tcPr>
          <w:p w:rsidR="01A0C124" w:rsidP="01A0C124" w:rsidRDefault="01A0C124" w14:paraId="06550846" w14:textId="7CF12999">
            <w:pPr>
              <w:bidi w:val="0"/>
              <w:spacing w:before="0" w:beforeAutospacing="off" w:after="0" w:afterAutospacing="off"/>
              <w:jc w:val="center"/>
            </w:pPr>
            <w:r w:rsidRPr="01A0C124" w:rsidR="01A0C124">
              <w:rPr>
                <w:b w:val="1"/>
                <w:bCs w:val="1"/>
              </w:rPr>
              <w:t>Coverage</w:t>
            </w:r>
          </w:p>
        </w:tc>
      </w:tr>
      <w:tr w:rsidR="01A0C124" w:rsidTr="01A0C124" w14:paraId="2FD57E12">
        <w:trPr>
          <w:trHeight w:val="300"/>
        </w:trPr>
        <w:tc>
          <w:tcPr>
            <w:tcW w:w="956" w:type="dxa"/>
            <w:tcMar/>
            <w:vAlign w:val="center"/>
          </w:tcPr>
          <w:p w:rsidR="01A0C124" w:rsidP="01A0C124" w:rsidRDefault="01A0C124" w14:paraId="59C6308F" w14:textId="00AA58E4">
            <w:pPr>
              <w:bidi w:val="0"/>
              <w:spacing w:before="0" w:beforeAutospacing="off" w:after="0" w:afterAutospacing="off"/>
            </w:pPr>
            <w:r w:rsidR="01A0C124">
              <w:rPr/>
              <w:t>Art. 28(1)</w:t>
            </w:r>
          </w:p>
        </w:tc>
        <w:tc>
          <w:tcPr>
            <w:tcW w:w="3036" w:type="dxa"/>
            <w:tcMar/>
            <w:vAlign w:val="center"/>
          </w:tcPr>
          <w:p w:rsidR="01A0C124" w:rsidP="01A0C124" w:rsidRDefault="01A0C124" w14:paraId="51E04374" w14:textId="4B6C428A">
            <w:pPr>
              <w:bidi w:val="0"/>
              <w:spacing w:before="0" w:beforeAutospacing="off" w:after="0" w:afterAutospacing="off"/>
            </w:pPr>
            <w:r w:rsidR="01A0C124">
              <w:rPr/>
              <w:t>List of ICT third-party providers</w:t>
            </w:r>
          </w:p>
        </w:tc>
        <w:tc>
          <w:tcPr>
            <w:tcW w:w="4824" w:type="dxa"/>
            <w:tcMar/>
            <w:vAlign w:val="center"/>
          </w:tcPr>
          <w:p w:rsidR="01A0C124" w:rsidP="01A0C124" w:rsidRDefault="01A0C124" w14:paraId="3D7B7125" w14:textId="659CD9BE">
            <w:pPr>
              <w:bidi w:val="0"/>
              <w:spacing w:before="0" w:beforeAutospacing="off" w:after="0" w:afterAutospacing="off"/>
            </w:pPr>
            <w:r w:rsidRPr="01A0C124" w:rsidR="01A0C124">
              <w:rPr>
                <w:rFonts w:ascii="Consolas" w:hAnsi="Consolas" w:eastAsia="Consolas" w:cs="Consolas"/>
              </w:rPr>
              <w:t>ict_providers</w:t>
            </w:r>
            <w:r w:rsidR="01A0C124">
              <w:rPr/>
              <w:t>, IctProvidersModule, RT.05.01 export</w:t>
            </w:r>
          </w:p>
        </w:tc>
        <w:tc>
          <w:tcPr>
            <w:tcW w:w="545" w:type="dxa"/>
            <w:tcMar/>
            <w:vAlign w:val="center"/>
          </w:tcPr>
          <w:p w:rsidR="01A0C124" w:rsidP="01A0C124" w:rsidRDefault="01A0C124" w14:paraId="50075872" w14:textId="01F01E88">
            <w:pPr>
              <w:bidi w:val="0"/>
              <w:spacing w:before="0" w:beforeAutospacing="off" w:after="0" w:afterAutospacing="off"/>
            </w:pPr>
            <w:r w:rsidR="01A0C124">
              <w:rPr/>
              <w:t>Full</w:t>
            </w:r>
          </w:p>
        </w:tc>
      </w:tr>
      <w:tr w:rsidR="01A0C124" w:rsidTr="01A0C124" w14:paraId="044ADD20">
        <w:trPr>
          <w:trHeight w:val="300"/>
        </w:trPr>
        <w:tc>
          <w:tcPr>
            <w:tcW w:w="956" w:type="dxa"/>
            <w:tcMar/>
            <w:vAlign w:val="center"/>
          </w:tcPr>
          <w:p w:rsidR="01A0C124" w:rsidP="01A0C124" w:rsidRDefault="01A0C124" w14:paraId="203A3C94" w14:textId="487C7531">
            <w:pPr>
              <w:bidi w:val="0"/>
              <w:spacing w:before="0" w:beforeAutospacing="off" w:after="0" w:afterAutospacing="off"/>
            </w:pPr>
            <w:r w:rsidR="01A0C124">
              <w:rPr/>
              <w:t>Art. 28(2)</w:t>
            </w:r>
          </w:p>
        </w:tc>
        <w:tc>
          <w:tcPr>
            <w:tcW w:w="3036" w:type="dxa"/>
            <w:tcMar/>
            <w:vAlign w:val="center"/>
          </w:tcPr>
          <w:p w:rsidR="01A0C124" w:rsidP="01A0C124" w:rsidRDefault="01A0C124" w14:paraId="3EB3F5F6" w14:textId="45776B50">
            <w:pPr>
              <w:bidi w:val="0"/>
              <w:spacing w:before="0" w:beforeAutospacing="off" w:after="0" w:afterAutospacing="off"/>
            </w:pPr>
            <w:r w:rsidR="01A0C124">
              <w:rPr/>
              <w:t>Formal contractual arrangements + criticality distinction</w:t>
            </w:r>
          </w:p>
        </w:tc>
        <w:tc>
          <w:tcPr>
            <w:tcW w:w="4824" w:type="dxa"/>
            <w:tcMar/>
            <w:vAlign w:val="center"/>
          </w:tcPr>
          <w:p w:rsidR="01A0C124" w:rsidP="01A0C124" w:rsidRDefault="01A0C124" w14:paraId="773AA56A" w14:textId="11822E19">
            <w:pPr>
              <w:bidi w:val="0"/>
              <w:spacing w:before="0" w:beforeAutospacing="off" w:after="0" w:afterAutospacing="off"/>
            </w:pPr>
            <w:r w:rsidRPr="01A0C124" w:rsidR="01A0C124">
              <w:rPr>
                <w:rFonts w:ascii="Consolas" w:hAnsi="Consolas" w:eastAsia="Consolas" w:cs="Consolas"/>
              </w:rPr>
              <w:t>contractual_arrangements</w:t>
            </w:r>
            <w:r w:rsidR="01A0C124">
              <w:rPr/>
              <w:t xml:space="preserve">, </w:t>
            </w:r>
            <w:r w:rsidRPr="01A0C124" w:rsidR="01A0C124">
              <w:rPr>
                <w:rFonts w:ascii="Consolas" w:hAnsi="Consolas" w:eastAsia="Consolas" w:cs="Consolas"/>
              </w:rPr>
              <w:t>function_ict_dependencies</w:t>
            </w:r>
            <w:r w:rsidR="01A0C124">
              <w:rPr/>
              <w:t xml:space="preserve">, criticality </w:t>
            </w:r>
            <w:r w:rsidRPr="01A0C124" w:rsidR="01A0C124">
              <w:rPr>
                <w:rFonts w:ascii="Consolas" w:hAnsi="Consolas" w:eastAsia="Consolas" w:cs="Consolas"/>
              </w:rPr>
              <w:t>dropdown</w:t>
            </w:r>
            <w:r w:rsidR="01A0C124">
              <w:rPr/>
              <w:t xml:space="preserve"> rules</w:t>
            </w:r>
          </w:p>
        </w:tc>
        <w:tc>
          <w:tcPr>
            <w:tcW w:w="545" w:type="dxa"/>
            <w:tcMar/>
            <w:vAlign w:val="center"/>
          </w:tcPr>
          <w:p w:rsidR="01A0C124" w:rsidP="01A0C124" w:rsidRDefault="01A0C124" w14:paraId="6CC2EECA" w14:textId="24352048">
            <w:pPr>
              <w:bidi w:val="0"/>
              <w:spacing w:before="0" w:beforeAutospacing="off" w:after="0" w:afterAutospacing="off"/>
            </w:pPr>
            <w:r w:rsidR="01A0C124">
              <w:rPr/>
              <w:t>Full</w:t>
            </w:r>
          </w:p>
        </w:tc>
      </w:tr>
      <w:tr w:rsidR="01A0C124" w:rsidTr="01A0C124" w14:paraId="561ADE0C">
        <w:trPr>
          <w:trHeight w:val="300"/>
        </w:trPr>
        <w:tc>
          <w:tcPr>
            <w:tcW w:w="956" w:type="dxa"/>
            <w:tcMar/>
            <w:vAlign w:val="center"/>
          </w:tcPr>
          <w:p w:rsidR="01A0C124" w:rsidP="01A0C124" w:rsidRDefault="01A0C124" w14:paraId="4011E8A2" w14:textId="086486CC">
            <w:pPr>
              <w:bidi w:val="0"/>
              <w:spacing w:before="0" w:beforeAutospacing="off" w:after="0" w:afterAutospacing="off"/>
            </w:pPr>
            <w:r w:rsidR="01A0C124">
              <w:rPr/>
              <w:t>Art. 28(3)</w:t>
            </w:r>
          </w:p>
        </w:tc>
        <w:tc>
          <w:tcPr>
            <w:tcW w:w="3036" w:type="dxa"/>
            <w:tcMar/>
            <w:vAlign w:val="center"/>
          </w:tcPr>
          <w:p w:rsidR="01A0C124" w:rsidP="01A0C124" w:rsidRDefault="01A0C124" w14:paraId="296ACD22" w14:textId="18ABFE06">
            <w:pPr>
              <w:bidi w:val="0"/>
              <w:spacing w:before="0" w:beforeAutospacing="off" w:after="0" w:afterAutospacing="off"/>
            </w:pPr>
            <w:r w:rsidR="01A0C124">
              <w:rPr/>
              <w:t>ICT supply chain subcontractor register</w:t>
            </w:r>
          </w:p>
        </w:tc>
        <w:tc>
          <w:tcPr>
            <w:tcW w:w="4824" w:type="dxa"/>
            <w:tcMar/>
            <w:vAlign w:val="center"/>
          </w:tcPr>
          <w:p w:rsidR="01A0C124" w:rsidP="01A0C124" w:rsidRDefault="01A0C124" w14:paraId="04A992C8" w14:textId="5C72C0F5">
            <w:pPr>
              <w:bidi w:val="0"/>
              <w:spacing w:before="0" w:beforeAutospacing="off" w:after="0" w:afterAutospacing="off"/>
            </w:pPr>
            <w:r w:rsidRPr="01A0C124" w:rsidR="01A0C124">
              <w:rPr>
                <w:rFonts w:ascii="Consolas" w:hAnsi="Consolas" w:eastAsia="Consolas" w:cs="Consolas"/>
              </w:rPr>
              <w:t>ict_supply_chain</w:t>
            </w:r>
            <w:r w:rsidR="01A0C124">
              <w:rPr/>
              <w:t>, recursive CTE, RT.05.02 export</w:t>
            </w:r>
          </w:p>
        </w:tc>
        <w:tc>
          <w:tcPr>
            <w:tcW w:w="545" w:type="dxa"/>
            <w:tcMar/>
            <w:vAlign w:val="center"/>
          </w:tcPr>
          <w:p w:rsidR="01A0C124" w:rsidP="01A0C124" w:rsidRDefault="01A0C124" w14:paraId="65783022" w14:textId="43822BA4">
            <w:pPr>
              <w:bidi w:val="0"/>
              <w:spacing w:before="0" w:beforeAutospacing="off" w:after="0" w:afterAutospacing="off"/>
            </w:pPr>
            <w:r w:rsidR="01A0C124">
              <w:rPr/>
              <w:t>Full</w:t>
            </w:r>
          </w:p>
        </w:tc>
      </w:tr>
      <w:tr w:rsidR="01A0C124" w:rsidTr="01A0C124" w14:paraId="0084962E">
        <w:trPr>
          <w:trHeight w:val="300"/>
        </w:trPr>
        <w:tc>
          <w:tcPr>
            <w:tcW w:w="956" w:type="dxa"/>
            <w:tcMar/>
            <w:vAlign w:val="center"/>
          </w:tcPr>
          <w:p w:rsidR="01A0C124" w:rsidP="01A0C124" w:rsidRDefault="01A0C124" w14:paraId="3CBBC386" w14:textId="11542A3B">
            <w:pPr>
              <w:bidi w:val="0"/>
              <w:spacing w:before="0" w:beforeAutospacing="off" w:after="0" w:afterAutospacing="off"/>
            </w:pPr>
            <w:r w:rsidR="01A0C124">
              <w:rPr/>
              <w:t>Art. 28(4)</w:t>
            </w:r>
          </w:p>
        </w:tc>
        <w:tc>
          <w:tcPr>
            <w:tcW w:w="3036" w:type="dxa"/>
            <w:tcMar/>
            <w:vAlign w:val="center"/>
          </w:tcPr>
          <w:p w:rsidR="01A0C124" w:rsidP="01A0C124" w:rsidRDefault="01A0C124" w14:paraId="7BB263E6" w14:textId="4942CA3D">
            <w:pPr>
              <w:bidi w:val="0"/>
              <w:spacing w:before="0" w:beforeAutospacing="off" w:after="0" w:afterAutospacing="off"/>
            </w:pPr>
            <w:r w:rsidR="01A0C124">
              <w:rPr/>
              <w:t>Critical/important business functions</w:t>
            </w:r>
          </w:p>
        </w:tc>
        <w:tc>
          <w:tcPr>
            <w:tcW w:w="4824" w:type="dxa"/>
            <w:tcMar/>
            <w:vAlign w:val="center"/>
          </w:tcPr>
          <w:p w:rsidR="01A0C124" w:rsidP="01A0C124" w:rsidRDefault="01A0C124" w14:paraId="6C174813" w14:textId="3ED9687D">
            <w:pPr>
              <w:bidi w:val="0"/>
              <w:spacing w:before="0" w:beforeAutospacing="off" w:after="0" w:afterAutospacing="off"/>
            </w:pPr>
            <w:r w:rsidRPr="01A0C124" w:rsidR="01A0C124">
              <w:rPr>
                <w:rFonts w:ascii="Consolas" w:hAnsi="Consolas" w:eastAsia="Consolas" w:cs="Consolas"/>
              </w:rPr>
              <w:t>business_functions.criticalityLevelId</w:t>
            </w:r>
            <w:r w:rsidR="01A0C124">
              <w:rPr/>
              <w:t>, RT.06.01 export</w:t>
            </w:r>
          </w:p>
        </w:tc>
        <w:tc>
          <w:tcPr>
            <w:tcW w:w="545" w:type="dxa"/>
            <w:tcMar/>
            <w:vAlign w:val="center"/>
          </w:tcPr>
          <w:p w:rsidR="01A0C124" w:rsidP="01A0C124" w:rsidRDefault="01A0C124" w14:paraId="075CF3F8" w14:textId="4969EBB9">
            <w:pPr>
              <w:bidi w:val="0"/>
              <w:spacing w:before="0" w:beforeAutospacing="off" w:after="0" w:afterAutospacing="off"/>
            </w:pPr>
            <w:r w:rsidR="01A0C124">
              <w:rPr/>
              <w:t>Full</w:t>
            </w:r>
          </w:p>
        </w:tc>
      </w:tr>
      <w:tr w:rsidR="01A0C124" w:rsidTr="01A0C124" w14:paraId="3F0917D7">
        <w:trPr>
          <w:trHeight w:val="300"/>
        </w:trPr>
        <w:tc>
          <w:tcPr>
            <w:tcW w:w="956" w:type="dxa"/>
            <w:tcMar/>
            <w:vAlign w:val="center"/>
          </w:tcPr>
          <w:p w:rsidR="01A0C124" w:rsidP="01A0C124" w:rsidRDefault="01A0C124" w14:paraId="49531382" w14:textId="3D08785C">
            <w:pPr>
              <w:bidi w:val="0"/>
              <w:spacing w:before="0" w:beforeAutospacing="off" w:after="0" w:afterAutospacing="off"/>
            </w:pPr>
            <w:r w:rsidR="01A0C124">
              <w:rPr/>
              <w:t>Art. 28(5)</w:t>
            </w:r>
          </w:p>
        </w:tc>
        <w:tc>
          <w:tcPr>
            <w:tcW w:w="3036" w:type="dxa"/>
            <w:tcMar/>
            <w:vAlign w:val="center"/>
          </w:tcPr>
          <w:p w:rsidR="01A0C124" w:rsidP="01A0C124" w:rsidRDefault="01A0C124" w14:paraId="794AC3C4" w14:textId="7AA105D0">
            <w:pPr>
              <w:bidi w:val="0"/>
              <w:spacing w:before="0" w:beforeAutospacing="off" w:after="0" w:afterAutospacing="off"/>
            </w:pPr>
            <w:r w:rsidR="01A0C124">
              <w:rPr/>
              <w:t>Assess substitutability and exit feasibility</w:t>
            </w:r>
          </w:p>
        </w:tc>
        <w:tc>
          <w:tcPr>
            <w:tcW w:w="4824" w:type="dxa"/>
            <w:tcMar/>
            <w:vAlign w:val="center"/>
          </w:tcPr>
          <w:p w:rsidR="01A0C124" w:rsidP="01A0C124" w:rsidRDefault="01A0C124" w14:paraId="1AD136AC" w14:textId="76AD2852">
            <w:pPr>
              <w:bidi w:val="0"/>
              <w:spacing w:before="0" w:beforeAutospacing="off" w:after="0" w:afterAutospacing="off"/>
            </w:pPr>
            <w:r w:rsidRPr="01A0C124" w:rsidR="01A0C124">
              <w:rPr>
                <w:rFonts w:ascii="Consolas" w:hAnsi="Consolas" w:eastAsia="Consolas" w:cs="Consolas"/>
              </w:rPr>
              <w:t>ict_service_assessments</w:t>
            </w:r>
            <w:r w:rsidR="01A0C124">
              <w:rPr/>
              <w:t xml:space="preserve">, </w:t>
            </w:r>
            <w:r w:rsidRPr="01A0C124" w:rsidR="01A0C124">
              <w:rPr>
                <w:rFonts w:ascii="Consolas" w:hAnsi="Consolas" w:eastAsia="Consolas" w:cs="Consolas"/>
              </w:rPr>
              <w:t>exit_strategies</w:t>
            </w:r>
            <w:r w:rsidR="01A0C124">
              <w:rPr/>
              <w:t>, RT.07.01 + RT.08.01</w:t>
            </w:r>
          </w:p>
        </w:tc>
        <w:tc>
          <w:tcPr>
            <w:tcW w:w="545" w:type="dxa"/>
            <w:tcMar/>
            <w:vAlign w:val="center"/>
          </w:tcPr>
          <w:p w:rsidR="01A0C124" w:rsidP="01A0C124" w:rsidRDefault="01A0C124" w14:paraId="3B0DE886" w14:textId="7C33B044">
            <w:pPr>
              <w:bidi w:val="0"/>
              <w:spacing w:before="0" w:beforeAutospacing="off" w:after="0" w:afterAutospacing="off"/>
            </w:pPr>
            <w:r w:rsidR="01A0C124">
              <w:rPr/>
              <w:t>Full</w:t>
            </w:r>
          </w:p>
        </w:tc>
      </w:tr>
      <w:tr w:rsidR="01A0C124" w:rsidTr="01A0C124" w14:paraId="224A6849">
        <w:trPr>
          <w:trHeight w:val="300"/>
        </w:trPr>
        <w:tc>
          <w:tcPr>
            <w:tcW w:w="956" w:type="dxa"/>
            <w:tcMar/>
            <w:vAlign w:val="center"/>
          </w:tcPr>
          <w:p w:rsidR="01A0C124" w:rsidP="01A0C124" w:rsidRDefault="01A0C124" w14:paraId="71DAE1C0" w14:textId="102E4C69">
            <w:pPr>
              <w:bidi w:val="0"/>
              <w:spacing w:before="0" w:beforeAutospacing="off" w:after="0" w:afterAutospacing="off"/>
            </w:pPr>
            <w:r w:rsidR="01A0C124">
              <w:rPr/>
              <w:t>Art. 29</w:t>
            </w:r>
          </w:p>
        </w:tc>
        <w:tc>
          <w:tcPr>
            <w:tcW w:w="3036" w:type="dxa"/>
            <w:tcMar/>
            <w:vAlign w:val="center"/>
          </w:tcPr>
          <w:p w:rsidR="01A0C124" w:rsidP="01A0C124" w:rsidRDefault="01A0C124" w14:paraId="5B057A3A" w14:textId="7DFA92C6">
            <w:pPr>
              <w:bidi w:val="0"/>
              <w:spacing w:before="0" w:beforeAutospacing="off" w:after="0" w:afterAutospacing="off"/>
            </w:pPr>
            <w:r w:rsidR="01A0C124">
              <w:rPr/>
              <w:t>Group-level multi-entity register</w:t>
            </w:r>
          </w:p>
        </w:tc>
        <w:tc>
          <w:tcPr>
            <w:tcW w:w="4824" w:type="dxa"/>
            <w:tcMar/>
            <w:vAlign w:val="center"/>
          </w:tcPr>
          <w:p w:rsidR="01A0C124" w:rsidP="01A0C124" w:rsidRDefault="01A0C124" w14:paraId="7AFF20C8" w14:textId="0149C272">
            <w:pPr>
              <w:bidi w:val="0"/>
              <w:spacing w:before="0" w:beforeAutospacing="off" w:after="0" w:afterAutospacing="off"/>
            </w:pPr>
            <w:r w:rsidRPr="01A0C124" w:rsidR="01A0C124">
              <w:rPr>
                <w:rFonts w:ascii="Consolas" w:hAnsi="Consolas" w:eastAsia="Consolas" w:cs="Consolas"/>
              </w:rPr>
              <w:t>contract_entities</w:t>
            </w:r>
            <w:r w:rsidR="01A0C124">
              <w:rPr/>
              <w:t xml:space="preserve">, </w:t>
            </w:r>
            <w:r w:rsidRPr="01A0C124" w:rsidR="01A0C124">
              <w:rPr>
                <w:rFonts w:ascii="Consolas" w:hAnsi="Consolas" w:eastAsia="Consolas" w:cs="Consolas"/>
              </w:rPr>
              <w:t>entities_using_services</w:t>
            </w:r>
            <w:r w:rsidR="01A0C124">
              <w:rPr/>
              <w:t>, RT.03.01 + RT.04.01</w:t>
            </w:r>
          </w:p>
        </w:tc>
        <w:tc>
          <w:tcPr>
            <w:tcW w:w="545" w:type="dxa"/>
            <w:tcMar/>
            <w:vAlign w:val="center"/>
          </w:tcPr>
          <w:p w:rsidR="01A0C124" w:rsidP="01A0C124" w:rsidRDefault="01A0C124" w14:paraId="02C6A240" w14:textId="2E1B29D4">
            <w:pPr>
              <w:bidi w:val="0"/>
              <w:spacing w:before="0" w:beforeAutospacing="off" w:after="0" w:afterAutospacing="off"/>
            </w:pPr>
            <w:r w:rsidR="01A0C124">
              <w:rPr/>
              <w:t>Full</w:t>
            </w:r>
          </w:p>
        </w:tc>
      </w:tr>
      <w:tr w:rsidR="01A0C124" w:rsidTr="01A0C124" w14:paraId="56B1E3A7">
        <w:trPr>
          <w:trHeight w:val="300"/>
        </w:trPr>
        <w:tc>
          <w:tcPr>
            <w:tcW w:w="956" w:type="dxa"/>
            <w:tcMar/>
            <w:vAlign w:val="center"/>
          </w:tcPr>
          <w:p w:rsidR="01A0C124" w:rsidP="01A0C124" w:rsidRDefault="01A0C124" w14:paraId="216B2F17" w14:textId="4BAD908A">
            <w:pPr>
              <w:bidi w:val="0"/>
              <w:spacing w:before="0" w:beforeAutospacing="off" w:after="0" w:afterAutospacing="off"/>
            </w:pPr>
            <w:r w:rsidR="01A0C124">
              <w:rPr/>
              <w:t>Art. 30</w:t>
            </w:r>
          </w:p>
        </w:tc>
        <w:tc>
          <w:tcPr>
            <w:tcW w:w="3036" w:type="dxa"/>
            <w:tcMar/>
            <w:vAlign w:val="center"/>
          </w:tcPr>
          <w:p w:rsidR="01A0C124" w:rsidP="01A0C124" w:rsidRDefault="01A0C124" w14:paraId="774EC0A2" w14:textId="4B33B551">
            <w:pPr>
              <w:bidi w:val="0"/>
              <w:spacing w:before="0" w:beforeAutospacing="off" w:after="0" w:afterAutospacing="off"/>
            </w:pPr>
            <w:r w:rsidR="01A0C124">
              <w:rPr/>
              <w:t>Mandatory contractual provisions</w:t>
            </w:r>
          </w:p>
        </w:tc>
        <w:tc>
          <w:tcPr>
            <w:tcW w:w="4824" w:type="dxa"/>
            <w:tcMar/>
            <w:vAlign w:val="center"/>
          </w:tcPr>
          <w:p w:rsidR="01A0C124" w:rsidP="01A0C124" w:rsidRDefault="01A0C124" w14:paraId="1E91209D" w14:textId="046B2CF7">
            <w:pPr>
              <w:bidi w:val="0"/>
              <w:spacing w:before="0" w:beforeAutospacing="off" w:after="0" w:afterAutospacing="off"/>
            </w:pPr>
            <w:r w:rsidRPr="01A0C124" w:rsidR="01A0C124">
              <w:rPr>
                <w:rFonts w:ascii="Consolas" w:hAnsi="Consolas" w:eastAsia="Consolas" w:cs="Consolas"/>
              </w:rPr>
              <w:t>governingLawCountry</w:t>
            </w:r>
            <w:r w:rsidR="01A0C124">
              <w:rPr/>
              <w:t xml:space="preserve">, </w:t>
            </w:r>
            <w:r w:rsidRPr="01A0C124" w:rsidR="01A0C124">
              <w:rPr>
                <w:rFonts w:ascii="Consolas" w:hAnsi="Consolas" w:eastAsia="Consolas" w:cs="Consolas"/>
              </w:rPr>
              <w:t>storageLocation</w:t>
            </w:r>
            <w:r w:rsidR="01A0C124">
              <w:rPr/>
              <w:t xml:space="preserve">, </w:t>
            </w:r>
            <w:r w:rsidRPr="01A0C124" w:rsidR="01A0C124">
              <w:rPr>
                <w:rFonts w:ascii="Consolas" w:hAnsi="Consolas" w:eastAsia="Consolas" w:cs="Consolas"/>
              </w:rPr>
              <w:t>terminationNoticePeriod</w:t>
            </w:r>
            <w:r w:rsidR="01A0C124">
              <w:rPr/>
              <w:t xml:space="preserve"> fields, RT.02.02 export</w:t>
            </w:r>
          </w:p>
        </w:tc>
        <w:tc>
          <w:tcPr>
            <w:tcW w:w="545" w:type="dxa"/>
            <w:tcMar/>
            <w:vAlign w:val="center"/>
          </w:tcPr>
          <w:p w:rsidR="01A0C124" w:rsidP="01A0C124" w:rsidRDefault="01A0C124" w14:paraId="7727A651" w14:textId="41626876">
            <w:pPr>
              <w:bidi w:val="0"/>
              <w:spacing w:before="0" w:beforeAutospacing="off" w:after="0" w:afterAutospacing="off"/>
            </w:pPr>
            <w:r w:rsidR="01A0C124">
              <w:rPr/>
              <w:t>Full</w:t>
            </w:r>
          </w:p>
        </w:tc>
      </w:tr>
      <w:tr w:rsidR="01A0C124" w:rsidTr="01A0C124" w14:paraId="357FB602">
        <w:trPr>
          <w:trHeight w:val="300"/>
        </w:trPr>
        <w:tc>
          <w:tcPr>
            <w:tcW w:w="956" w:type="dxa"/>
            <w:tcMar/>
            <w:vAlign w:val="center"/>
          </w:tcPr>
          <w:p w:rsidR="01A0C124" w:rsidP="01A0C124" w:rsidRDefault="01A0C124" w14:paraId="3EF5B2FE" w14:textId="19B440A2">
            <w:pPr>
              <w:bidi w:val="0"/>
              <w:spacing w:before="0" w:beforeAutospacing="off" w:after="0" w:afterAutospacing="off"/>
            </w:pPr>
            <w:r w:rsidR="01A0C124">
              <w:rPr/>
              <w:t>Art. 4</w:t>
            </w:r>
          </w:p>
        </w:tc>
        <w:tc>
          <w:tcPr>
            <w:tcW w:w="3036" w:type="dxa"/>
            <w:tcMar/>
            <w:vAlign w:val="center"/>
          </w:tcPr>
          <w:p w:rsidR="01A0C124" w:rsidP="01A0C124" w:rsidRDefault="01A0C124" w14:paraId="1F302B57" w14:textId="276EDA86">
            <w:pPr>
              <w:bidi w:val="0"/>
              <w:spacing w:before="0" w:beforeAutospacing="off" w:after="0" w:afterAutospacing="off"/>
            </w:pPr>
            <w:r w:rsidR="01A0C124">
              <w:rPr/>
              <w:t>SME proportionality</w:t>
            </w:r>
          </w:p>
        </w:tc>
        <w:tc>
          <w:tcPr>
            <w:tcW w:w="4824" w:type="dxa"/>
            <w:tcMar/>
            <w:vAlign w:val="center"/>
          </w:tcPr>
          <w:p w:rsidR="01A0C124" w:rsidP="01A0C124" w:rsidRDefault="01A0C124" w14:paraId="54C5ECDC" w14:textId="5A5B35EA">
            <w:pPr>
              <w:bidi w:val="0"/>
              <w:spacing w:before="0" w:beforeAutospacing="off" w:after="0" w:afterAutospacing="off"/>
            </w:pPr>
            <w:r w:rsidR="01A0C124">
              <w:rPr/>
              <w:t>Docker Compose deployment; three-role workflow; constrained UI</w:t>
            </w:r>
          </w:p>
        </w:tc>
        <w:tc>
          <w:tcPr>
            <w:tcW w:w="545" w:type="dxa"/>
            <w:tcMar/>
            <w:vAlign w:val="center"/>
          </w:tcPr>
          <w:p w:rsidR="01A0C124" w:rsidP="01A0C124" w:rsidRDefault="01A0C124" w14:paraId="11C46811" w14:textId="23593A6E">
            <w:pPr>
              <w:bidi w:val="0"/>
              <w:spacing w:before="0" w:beforeAutospacing="off" w:after="0" w:afterAutospacing="off"/>
            </w:pPr>
            <w:r w:rsidR="01A0C124">
              <w:rPr/>
              <w:t>Full</w:t>
            </w:r>
          </w:p>
        </w:tc>
      </w:tr>
      <w:tr w:rsidR="01A0C124" w:rsidTr="01A0C124" w14:paraId="22033788">
        <w:trPr>
          <w:trHeight w:val="300"/>
        </w:trPr>
        <w:tc>
          <w:tcPr>
            <w:tcW w:w="956" w:type="dxa"/>
            <w:tcMar/>
            <w:vAlign w:val="center"/>
          </w:tcPr>
          <w:p w:rsidR="01A0C124" w:rsidP="01A0C124" w:rsidRDefault="01A0C124" w14:paraId="696C3247" w14:textId="7182A214">
            <w:pPr>
              <w:bidi w:val="0"/>
              <w:spacing w:before="0" w:beforeAutospacing="off" w:after="0" w:afterAutospacing="off"/>
            </w:pPr>
            <w:r w:rsidR="01A0C124">
              <w:rPr/>
              <w:t>Art. 29 / systemic</w:t>
            </w:r>
          </w:p>
        </w:tc>
        <w:tc>
          <w:tcPr>
            <w:tcW w:w="3036" w:type="dxa"/>
            <w:tcMar/>
            <w:vAlign w:val="center"/>
          </w:tcPr>
          <w:p w:rsidR="01A0C124" w:rsidP="01A0C124" w:rsidRDefault="01A0C124" w14:paraId="71E1045F" w14:textId="041FA8CE">
            <w:pPr>
              <w:bidi w:val="0"/>
              <w:spacing w:before="0" w:beforeAutospacing="off" w:after="0" w:afterAutospacing="off"/>
            </w:pPr>
            <w:r w:rsidR="01A0C124">
              <w:rPr/>
              <w:t>ICT concentration risk detection</w:t>
            </w:r>
          </w:p>
        </w:tc>
        <w:tc>
          <w:tcPr>
            <w:tcW w:w="4824" w:type="dxa"/>
            <w:tcMar/>
            <w:vAlign w:val="center"/>
          </w:tcPr>
          <w:p w:rsidR="01A0C124" w:rsidP="01A0C124" w:rsidRDefault="01A0C124" w14:paraId="21FB88C6" w14:textId="105BE1A2">
            <w:pPr>
              <w:bidi w:val="0"/>
              <w:spacing w:before="0" w:beforeAutospacing="off" w:after="0" w:afterAutospacing="off"/>
            </w:pPr>
            <w:r w:rsidRPr="01A0C124" w:rsidR="01A0C124">
              <w:rPr>
                <w:rFonts w:ascii="Consolas" w:hAnsi="Consolas" w:eastAsia="Consolas" w:cs="Consolas"/>
              </w:rPr>
              <w:t>RiskModule</w:t>
            </w:r>
            <w:r w:rsidR="01A0C124">
              <w:rPr/>
              <w:t xml:space="preserve"> dynamic aggregation; Admin concentration risk dashboard</w:t>
            </w:r>
          </w:p>
        </w:tc>
        <w:tc>
          <w:tcPr>
            <w:tcW w:w="545" w:type="dxa"/>
            <w:tcMar/>
            <w:vAlign w:val="center"/>
          </w:tcPr>
          <w:p w:rsidR="01A0C124" w:rsidP="01A0C124" w:rsidRDefault="01A0C124" w14:paraId="45B32879" w14:textId="19FE8679">
            <w:pPr>
              <w:bidi w:val="0"/>
              <w:spacing w:before="0" w:beforeAutospacing="off" w:after="0" w:afterAutospacing="off"/>
            </w:pPr>
            <w:r w:rsidR="01A0C124">
              <w:rPr/>
              <w:t>Partial</w:t>
            </w:r>
          </w:p>
        </w:tc>
      </w:tr>
    </w:tbl>
    <w:p xmlns:wp14="http://schemas.microsoft.com/office/word/2010/wordml" w:rsidP="01A0C124" wp14:paraId="6462F97B" wp14:textId="7ECAA3E0">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DORA Article 4 — which establishes the proportionality principle that supervisory requirements must be calibrated to the size, risk profile, and complexity of the regulated entity — is addressed through the system's deployment model, role structure, and UX constraints and is evaluated in full in Section 6.4 (European Commission, 2022, Art. 4).</w:t>
      </w:r>
    </w:p>
    <w:p xmlns:wp14="http://schemas.microsoft.com/office/word/2010/wordml" w:rsidP="01A0C124" wp14:paraId="161100D6" wp14:textId="4ACF5199">
      <w:pPr>
        <w:bidi w:val="0"/>
        <w:spacing w:before="0" w:beforeAutospacing="off" w:after="0" w:afterAutospacing="off"/>
      </w:pPr>
    </w:p>
    <w:p xmlns:wp14="http://schemas.microsoft.com/office/word/2010/wordml" w:rsidP="01A0C124" wp14:paraId="5E2DEC15" wp14:textId="03181760">
      <w:pPr>
        <w:pStyle w:val="Heading2"/>
        <w:bidi w:val="0"/>
        <w:spacing w:before="299" w:beforeAutospacing="off" w:after="299" w:afterAutospacing="off"/>
      </w:pPr>
      <w:r w:rsidRPr="01A0C124" w:rsidR="330BD178">
        <w:rPr>
          <w:rFonts w:ascii="Times New Roman" w:hAnsi="Times New Roman" w:eastAsia="Times New Roman" w:cs="Times New Roman"/>
          <w:b w:val="1"/>
          <w:bCs w:val="1"/>
          <w:noProof w:val="0"/>
          <w:sz w:val="36"/>
          <w:szCs w:val="36"/>
          <w:lang w:val="en-US"/>
        </w:rPr>
        <w:t>6.3 Technical Quality Evaluation</w:t>
      </w:r>
    </w:p>
    <w:p xmlns:wp14="http://schemas.microsoft.com/office/word/2010/wordml" w:rsidP="01A0C124" wp14:paraId="5249F4C0" wp14:textId="18B044F4">
      <w:pPr>
        <w:pStyle w:val="Heading2"/>
        <w:bidi w:val="0"/>
        <w:spacing w:before="299" w:beforeAutospacing="off" w:after="299" w:afterAutospacing="off"/>
      </w:pPr>
      <w:r w:rsidRPr="01A0C124" w:rsidR="330BD178">
        <w:rPr>
          <w:rFonts w:ascii="Times New Roman" w:hAnsi="Times New Roman" w:eastAsia="Times New Roman" w:cs="Times New Roman"/>
          <w:b w:val="1"/>
          <w:bCs w:val="1"/>
          <w:noProof w:val="0"/>
          <w:sz w:val="36"/>
          <w:szCs w:val="36"/>
          <w:lang w:val="en-US"/>
        </w:rPr>
        <w:t>6.3.1 Validation Engine Correctness</w:t>
      </w:r>
    </w:p>
    <w:p xmlns:wp14="http://schemas.microsoft.com/office/word/2010/wordml" w:rsidP="01A0C124" wp14:paraId="200B142A" wp14:textId="4C7AFE10">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The validation engine's functional correctness is evaluated using the deliberate violation detection test: a set of nine known violations is injected into the seeded dataset, a validation run is executed, and the results are compared against the expected violation set. A correct result requires all nine violations to be detected at the correct severity level with the correct field identification and a compliant error message, and zero false positives to be raised against clean records.</w:t>
      </w:r>
    </w:p>
    <w:p xmlns:wp14="http://schemas.microsoft.com/office/word/2010/wordml" w:rsidP="01A0C124" wp14:paraId="0682D013" wp14:textId="3E0B3A84">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Against the seeded dataset as described in Section 5.3.3, the engine produces a 9/9 detection rate with zero false positives on every execution. Table 6.5 records the full detection results.</w:t>
      </w:r>
    </w:p>
    <w:p xmlns:wp14="http://schemas.microsoft.com/office/word/2010/wordml" w:rsidP="01A0C124" wp14:paraId="7CD218C5" wp14:textId="5657149D">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TABLE 6.5 — Seeded violation detection test results: injected violation, rule type, expected severity, detected (Y/N), false positives on clean records.</w:t>
      </w:r>
    </w:p>
    <w:tbl>
      <w:tblPr>
        <w:tblStyle w:val="TableNormal"/>
        <w:bidiVisual w:val="0"/>
        <w:tblW w:w="0" w:type="auto"/>
        <w:tblInd w:w="-690" w:type="dxa"/>
        <w:tblLook w:val="06A0" w:firstRow="1" w:lastRow="0" w:firstColumn="1" w:lastColumn="0" w:noHBand="1" w:noVBand="1"/>
      </w:tblPr>
      <w:tblGrid>
        <w:gridCol w:w="5869"/>
        <w:gridCol w:w="1394"/>
        <w:gridCol w:w="1846"/>
        <w:gridCol w:w="893"/>
        <w:gridCol w:w="1486"/>
      </w:tblGrid>
      <w:tr w:rsidR="01A0C124" w:rsidTr="01A0C124" w14:paraId="08F8B068">
        <w:trPr>
          <w:trHeight w:val="300"/>
        </w:trPr>
        <w:tc>
          <w:tcPr>
            <w:tcW w:w="5869" w:type="dxa"/>
            <w:tcMar/>
            <w:vAlign w:val="center"/>
          </w:tcPr>
          <w:p w:rsidR="01A0C124" w:rsidP="01A0C124" w:rsidRDefault="01A0C124" w14:paraId="0DBC3060" w14:textId="4EC9B847">
            <w:pPr>
              <w:bidi w:val="0"/>
              <w:spacing w:before="0" w:beforeAutospacing="off" w:after="0" w:afterAutospacing="off"/>
              <w:jc w:val="center"/>
            </w:pPr>
            <w:r w:rsidRPr="01A0C124" w:rsidR="01A0C124">
              <w:rPr>
                <w:b w:val="1"/>
                <w:bCs w:val="1"/>
              </w:rPr>
              <w:t>Injected Violation</w:t>
            </w:r>
          </w:p>
        </w:tc>
        <w:tc>
          <w:tcPr>
            <w:tcW w:w="1394" w:type="dxa"/>
            <w:tcMar/>
            <w:vAlign w:val="center"/>
          </w:tcPr>
          <w:p w:rsidR="01A0C124" w:rsidP="01A0C124" w:rsidRDefault="01A0C124" w14:paraId="629D708F" w14:textId="4FB445E0">
            <w:pPr>
              <w:bidi w:val="0"/>
              <w:spacing w:before="0" w:beforeAutospacing="off" w:after="0" w:afterAutospacing="off"/>
              <w:jc w:val="center"/>
            </w:pPr>
            <w:r w:rsidRPr="01A0C124" w:rsidR="01A0C124">
              <w:rPr>
                <w:b w:val="1"/>
                <w:bCs w:val="1"/>
              </w:rPr>
              <w:t>Rule Type</w:t>
            </w:r>
          </w:p>
        </w:tc>
        <w:tc>
          <w:tcPr>
            <w:tcW w:w="1846" w:type="dxa"/>
            <w:tcMar/>
            <w:vAlign w:val="center"/>
          </w:tcPr>
          <w:p w:rsidR="01A0C124" w:rsidP="01A0C124" w:rsidRDefault="01A0C124" w14:paraId="1D97DCA8" w14:textId="372D62BE">
            <w:pPr>
              <w:bidi w:val="0"/>
              <w:spacing w:before="0" w:beforeAutospacing="off" w:after="0" w:afterAutospacing="off"/>
              <w:jc w:val="center"/>
            </w:pPr>
            <w:r w:rsidRPr="01A0C124" w:rsidR="01A0C124">
              <w:rPr>
                <w:b w:val="1"/>
                <w:bCs w:val="1"/>
              </w:rPr>
              <w:t>Expected Severity</w:t>
            </w:r>
          </w:p>
        </w:tc>
        <w:tc>
          <w:tcPr>
            <w:tcW w:w="893" w:type="dxa"/>
            <w:tcMar/>
            <w:vAlign w:val="center"/>
          </w:tcPr>
          <w:p w:rsidR="01A0C124" w:rsidP="01A0C124" w:rsidRDefault="01A0C124" w14:paraId="13DDA6E1" w14:textId="51EB95CA">
            <w:pPr>
              <w:bidi w:val="0"/>
              <w:spacing w:before="0" w:beforeAutospacing="off" w:after="0" w:afterAutospacing="off"/>
              <w:jc w:val="center"/>
            </w:pPr>
            <w:r w:rsidRPr="01A0C124" w:rsidR="01A0C124">
              <w:rPr>
                <w:b w:val="1"/>
                <w:bCs w:val="1"/>
              </w:rPr>
              <w:t>Detected</w:t>
            </w:r>
          </w:p>
        </w:tc>
        <w:tc>
          <w:tcPr>
            <w:tcW w:w="1486" w:type="dxa"/>
            <w:tcMar/>
            <w:vAlign w:val="center"/>
          </w:tcPr>
          <w:p w:rsidR="01A0C124" w:rsidP="01A0C124" w:rsidRDefault="01A0C124" w14:paraId="23C8FDBE" w14:textId="5B398EAF">
            <w:pPr>
              <w:bidi w:val="0"/>
              <w:spacing w:before="0" w:beforeAutospacing="off" w:after="0" w:afterAutospacing="off"/>
              <w:jc w:val="center"/>
            </w:pPr>
            <w:r w:rsidRPr="01A0C124" w:rsidR="01A0C124">
              <w:rPr>
                <w:b w:val="1"/>
                <w:bCs w:val="1"/>
              </w:rPr>
              <w:t>False Positives</w:t>
            </w:r>
          </w:p>
        </w:tc>
      </w:tr>
      <w:tr w:rsidR="01A0C124" w:rsidTr="01A0C124" w14:paraId="0DEC1BB6">
        <w:trPr>
          <w:trHeight w:val="300"/>
        </w:trPr>
        <w:tc>
          <w:tcPr>
            <w:tcW w:w="5869" w:type="dxa"/>
            <w:tcMar/>
            <w:vAlign w:val="center"/>
          </w:tcPr>
          <w:p w:rsidR="01A0C124" w:rsidP="01A0C124" w:rsidRDefault="01A0C124" w14:paraId="167B4BDF" w14:textId="417234C3">
            <w:pPr>
              <w:bidi w:val="0"/>
              <w:spacing w:before="0" w:beforeAutospacing="off" w:after="0" w:afterAutospacing="off"/>
            </w:pPr>
            <w:r w:rsidR="01A0C124">
              <w:rPr/>
              <w:t>Missing LEI on financial entity</w:t>
            </w:r>
          </w:p>
        </w:tc>
        <w:tc>
          <w:tcPr>
            <w:tcW w:w="1394" w:type="dxa"/>
            <w:tcMar/>
            <w:vAlign w:val="center"/>
          </w:tcPr>
          <w:p w:rsidR="01A0C124" w:rsidP="01A0C124" w:rsidRDefault="01A0C124" w14:paraId="29DF5EF2" w14:textId="6A57C12D">
            <w:pPr>
              <w:bidi w:val="0"/>
              <w:spacing w:before="0" w:beforeAutospacing="off" w:after="0" w:afterAutospacing="off"/>
            </w:pPr>
            <w:r w:rsidRPr="01A0C124" w:rsidR="01A0C124">
              <w:rPr>
                <w:rFonts w:ascii="Consolas" w:hAnsi="Consolas" w:eastAsia="Consolas" w:cs="Consolas"/>
              </w:rPr>
              <w:t>required</w:t>
            </w:r>
          </w:p>
        </w:tc>
        <w:tc>
          <w:tcPr>
            <w:tcW w:w="1846" w:type="dxa"/>
            <w:tcMar/>
            <w:vAlign w:val="center"/>
          </w:tcPr>
          <w:p w:rsidR="01A0C124" w:rsidP="01A0C124" w:rsidRDefault="01A0C124" w14:paraId="1DA97746" w14:textId="1F0490F0">
            <w:pPr>
              <w:bidi w:val="0"/>
              <w:spacing w:before="0" w:beforeAutospacing="off" w:after="0" w:afterAutospacing="off"/>
            </w:pPr>
            <w:r w:rsidR="01A0C124">
              <w:rPr/>
              <w:t>ERROR</w:t>
            </w:r>
          </w:p>
        </w:tc>
        <w:tc>
          <w:tcPr>
            <w:tcW w:w="893" w:type="dxa"/>
            <w:tcMar/>
            <w:vAlign w:val="center"/>
          </w:tcPr>
          <w:p w:rsidR="01A0C124" w:rsidP="01A0C124" w:rsidRDefault="01A0C124" w14:paraId="4FBE034F" w14:textId="691FD079">
            <w:pPr>
              <w:bidi w:val="0"/>
              <w:spacing w:before="0" w:beforeAutospacing="off" w:after="0" w:afterAutospacing="off"/>
            </w:pPr>
            <w:r w:rsidR="01A0C124">
              <w:rPr/>
              <w:t>Yes</w:t>
            </w:r>
          </w:p>
        </w:tc>
        <w:tc>
          <w:tcPr>
            <w:tcW w:w="1486" w:type="dxa"/>
            <w:tcMar/>
            <w:vAlign w:val="center"/>
          </w:tcPr>
          <w:p w:rsidR="01A0C124" w:rsidP="01A0C124" w:rsidRDefault="01A0C124" w14:paraId="3375302C" w14:textId="5627C008">
            <w:pPr>
              <w:bidi w:val="0"/>
              <w:spacing w:before="0" w:beforeAutospacing="off" w:after="0" w:afterAutospacing="off"/>
            </w:pPr>
            <w:r w:rsidR="01A0C124">
              <w:rPr/>
              <w:t>0</w:t>
            </w:r>
          </w:p>
        </w:tc>
      </w:tr>
      <w:tr w:rsidR="01A0C124" w:rsidTr="01A0C124" w14:paraId="462E0772">
        <w:trPr>
          <w:trHeight w:val="300"/>
        </w:trPr>
        <w:tc>
          <w:tcPr>
            <w:tcW w:w="5869" w:type="dxa"/>
            <w:tcMar/>
            <w:vAlign w:val="center"/>
          </w:tcPr>
          <w:p w:rsidR="01A0C124" w:rsidP="01A0C124" w:rsidRDefault="01A0C124" w14:paraId="65F2FC65" w14:textId="4F4C7808">
            <w:pPr>
              <w:bidi w:val="0"/>
              <w:spacing w:before="0" w:beforeAutospacing="off" w:after="0" w:afterAutospacing="off"/>
            </w:pPr>
            <w:r w:rsidR="01A0C124">
              <w:rPr/>
              <w:t>Invalid LEI format on ICT provider</w:t>
            </w:r>
          </w:p>
        </w:tc>
        <w:tc>
          <w:tcPr>
            <w:tcW w:w="1394" w:type="dxa"/>
            <w:tcMar/>
            <w:vAlign w:val="center"/>
          </w:tcPr>
          <w:p w:rsidR="01A0C124" w:rsidP="01A0C124" w:rsidRDefault="01A0C124" w14:paraId="34D212B7" w14:textId="62E168F8">
            <w:pPr>
              <w:bidi w:val="0"/>
              <w:spacing w:before="0" w:beforeAutospacing="off" w:after="0" w:afterAutospacing="off"/>
            </w:pPr>
            <w:r w:rsidRPr="01A0C124" w:rsidR="01A0C124">
              <w:rPr>
                <w:rFonts w:ascii="Consolas" w:hAnsi="Consolas" w:eastAsia="Consolas" w:cs="Consolas"/>
              </w:rPr>
              <w:t>format</w:t>
            </w:r>
          </w:p>
        </w:tc>
        <w:tc>
          <w:tcPr>
            <w:tcW w:w="1846" w:type="dxa"/>
            <w:tcMar/>
            <w:vAlign w:val="center"/>
          </w:tcPr>
          <w:p w:rsidR="01A0C124" w:rsidP="01A0C124" w:rsidRDefault="01A0C124" w14:paraId="20E3356A" w14:textId="59A830B7">
            <w:pPr>
              <w:bidi w:val="0"/>
              <w:spacing w:before="0" w:beforeAutospacing="off" w:after="0" w:afterAutospacing="off"/>
            </w:pPr>
            <w:r w:rsidR="01A0C124">
              <w:rPr/>
              <w:t>ERROR</w:t>
            </w:r>
          </w:p>
        </w:tc>
        <w:tc>
          <w:tcPr>
            <w:tcW w:w="893" w:type="dxa"/>
            <w:tcMar/>
            <w:vAlign w:val="center"/>
          </w:tcPr>
          <w:p w:rsidR="01A0C124" w:rsidP="01A0C124" w:rsidRDefault="01A0C124" w14:paraId="3076C3E9" w14:textId="786E8CD4">
            <w:pPr>
              <w:bidi w:val="0"/>
              <w:spacing w:before="0" w:beforeAutospacing="off" w:after="0" w:afterAutospacing="off"/>
            </w:pPr>
            <w:r w:rsidR="01A0C124">
              <w:rPr/>
              <w:t>Yes</w:t>
            </w:r>
          </w:p>
        </w:tc>
        <w:tc>
          <w:tcPr>
            <w:tcW w:w="1486" w:type="dxa"/>
            <w:tcMar/>
            <w:vAlign w:val="center"/>
          </w:tcPr>
          <w:p w:rsidR="01A0C124" w:rsidP="01A0C124" w:rsidRDefault="01A0C124" w14:paraId="796B3C12" w14:textId="56D72115">
            <w:pPr>
              <w:bidi w:val="0"/>
              <w:spacing w:before="0" w:beforeAutospacing="off" w:after="0" w:afterAutospacing="off"/>
            </w:pPr>
            <w:r w:rsidR="01A0C124">
              <w:rPr/>
              <w:t>0</w:t>
            </w:r>
          </w:p>
        </w:tc>
      </w:tr>
      <w:tr w:rsidR="01A0C124" w:rsidTr="01A0C124" w14:paraId="57498EC2">
        <w:trPr>
          <w:trHeight w:val="300"/>
        </w:trPr>
        <w:tc>
          <w:tcPr>
            <w:tcW w:w="5869" w:type="dxa"/>
            <w:tcMar/>
            <w:vAlign w:val="center"/>
          </w:tcPr>
          <w:p w:rsidR="01A0C124" w:rsidP="01A0C124" w:rsidRDefault="01A0C124" w14:paraId="5C69F99B" w14:textId="6442B181">
            <w:pPr>
              <w:bidi w:val="0"/>
              <w:spacing w:before="0" w:beforeAutospacing="off" w:after="0" w:afterAutospacing="off"/>
            </w:pPr>
            <w:r w:rsidR="01A0C124">
              <w:rPr/>
              <w:t xml:space="preserve">Invalid date syntax on contract </w:t>
            </w:r>
            <w:r w:rsidRPr="01A0C124" w:rsidR="01A0C124">
              <w:rPr>
                <w:rFonts w:ascii="Consolas" w:hAnsi="Consolas" w:eastAsia="Consolas" w:cs="Consolas"/>
              </w:rPr>
              <w:t>startDate</w:t>
            </w:r>
          </w:p>
        </w:tc>
        <w:tc>
          <w:tcPr>
            <w:tcW w:w="1394" w:type="dxa"/>
            <w:tcMar/>
            <w:vAlign w:val="center"/>
          </w:tcPr>
          <w:p w:rsidR="01A0C124" w:rsidP="01A0C124" w:rsidRDefault="01A0C124" w14:paraId="4EC39892" w14:textId="011ED36E">
            <w:pPr>
              <w:bidi w:val="0"/>
              <w:spacing w:before="0" w:beforeAutospacing="off" w:after="0" w:afterAutospacing="off"/>
            </w:pPr>
            <w:r w:rsidRPr="01A0C124" w:rsidR="01A0C124">
              <w:rPr>
                <w:rFonts w:ascii="Consolas" w:hAnsi="Consolas" w:eastAsia="Consolas" w:cs="Consolas"/>
              </w:rPr>
              <w:t>format</w:t>
            </w:r>
          </w:p>
        </w:tc>
        <w:tc>
          <w:tcPr>
            <w:tcW w:w="1846" w:type="dxa"/>
            <w:tcMar/>
            <w:vAlign w:val="center"/>
          </w:tcPr>
          <w:p w:rsidR="01A0C124" w:rsidP="01A0C124" w:rsidRDefault="01A0C124" w14:paraId="7767D9E7" w14:textId="6D35555B">
            <w:pPr>
              <w:bidi w:val="0"/>
              <w:spacing w:before="0" w:beforeAutospacing="off" w:after="0" w:afterAutospacing="off"/>
            </w:pPr>
            <w:r w:rsidR="01A0C124">
              <w:rPr/>
              <w:t>ERROR</w:t>
            </w:r>
          </w:p>
        </w:tc>
        <w:tc>
          <w:tcPr>
            <w:tcW w:w="893" w:type="dxa"/>
            <w:tcMar/>
            <w:vAlign w:val="center"/>
          </w:tcPr>
          <w:p w:rsidR="01A0C124" w:rsidP="01A0C124" w:rsidRDefault="01A0C124" w14:paraId="509EE5C4" w14:textId="73DE29B3">
            <w:pPr>
              <w:bidi w:val="0"/>
              <w:spacing w:before="0" w:beforeAutospacing="off" w:after="0" w:afterAutospacing="off"/>
            </w:pPr>
            <w:r w:rsidR="01A0C124">
              <w:rPr/>
              <w:t>Yes</w:t>
            </w:r>
          </w:p>
        </w:tc>
        <w:tc>
          <w:tcPr>
            <w:tcW w:w="1486" w:type="dxa"/>
            <w:tcMar/>
            <w:vAlign w:val="center"/>
          </w:tcPr>
          <w:p w:rsidR="01A0C124" w:rsidP="01A0C124" w:rsidRDefault="01A0C124" w14:paraId="6F6296FB" w14:textId="697501BF">
            <w:pPr>
              <w:bidi w:val="0"/>
              <w:spacing w:before="0" w:beforeAutospacing="off" w:after="0" w:afterAutospacing="off"/>
            </w:pPr>
            <w:r w:rsidR="01A0C124">
              <w:rPr/>
              <w:t>0</w:t>
            </w:r>
          </w:p>
        </w:tc>
      </w:tr>
      <w:tr w:rsidR="01A0C124" w:rsidTr="01A0C124" w14:paraId="7DE133E9">
        <w:trPr>
          <w:trHeight w:val="300"/>
        </w:trPr>
        <w:tc>
          <w:tcPr>
            <w:tcW w:w="5869" w:type="dxa"/>
            <w:tcMar/>
            <w:vAlign w:val="center"/>
          </w:tcPr>
          <w:p w:rsidR="01A0C124" w:rsidP="01A0C124" w:rsidRDefault="01A0C124" w14:paraId="699B6E72" w14:textId="634DA4AD">
            <w:pPr>
              <w:bidi w:val="0"/>
              <w:spacing w:before="0" w:beforeAutospacing="off" w:after="0" w:afterAutospacing="off"/>
            </w:pPr>
            <w:r w:rsidR="01A0C124">
              <w:rPr/>
              <w:t>Non-DPM entity type code</w:t>
            </w:r>
          </w:p>
        </w:tc>
        <w:tc>
          <w:tcPr>
            <w:tcW w:w="1394" w:type="dxa"/>
            <w:tcMar/>
            <w:vAlign w:val="center"/>
          </w:tcPr>
          <w:p w:rsidR="01A0C124" w:rsidP="01A0C124" w:rsidRDefault="01A0C124" w14:paraId="7CF8BB74" w14:textId="542E6E14">
            <w:pPr>
              <w:bidi w:val="0"/>
              <w:spacing w:before="0" w:beforeAutospacing="off" w:after="0" w:afterAutospacing="off"/>
            </w:pPr>
            <w:r w:rsidRPr="01A0C124" w:rsidR="01A0C124">
              <w:rPr>
                <w:rFonts w:ascii="Consolas" w:hAnsi="Consolas" w:eastAsia="Consolas" w:cs="Consolas"/>
              </w:rPr>
              <w:t>dropdown</w:t>
            </w:r>
          </w:p>
        </w:tc>
        <w:tc>
          <w:tcPr>
            <w:tcW w:w="1846" w:type="dxa"/>
            <w:tcMar/>
            <w:vAlign w:val="center"/>
          </w:tcPr>
          <w:p w:rsidR="01A0C124" w:rsidP="01A0C124" w:rsidRDefault="01A0C124" w14:paraId="1C6B2B68" w14:textId="3938F86F">
            <w:pPr>
              <w:bidi w:val="0"/>
              <w:spacing w:before="0" w:beforeAutospacing="off" w:after="0" w:afterAutospacing="off"/>
            </w:pPr>
            <w:r w:rsidR="01A0C124">
              <w:rPr/>
              <w:t>ERROR</w:t>
            </w:r>
          </w:p>
        </w:tc>
        <w:tc>
          <w:tcPr>
            <w:tcW w:w="893" w:type="dxa"/>
            <w:tcMar/>
            <w:vAlign w:val="center"/>
          </w:tcPr>
          <w:p w:rsidR="01A0C124" w:rsidP="01A0C124" w:rsidRDefault="01A0C124" w14:paraId="15936C24" w14:textId="185D9E3B">
            <w:pPr>
              <w:bidi w:val="0"/>
              <w:spacing w:before="0" w:beforeAutospacing="off" w:after="0" w:afterAutospacing="off"/>
            </w:pPr>
            <w:r w:rsidR="01A0C124">
              <w:rPr/>
              <w:t>Yes</w:t>
            </w:r>
          </w:p>
        </w:tc>
        <w:tc>
          <w:tcPr>
            <w:tcW w:w="1486" w:type="dxa"/>
            <w:tcMar/>
            <w:vAlign w:val="center"/>
          </w:tcPr>
          <w:p w:rsidR="01A0C124" w:rsidP="01A0C124" w:rsidRDefault="01A0C124" w14:paraId="0AC45DBD" w14:textId="0EB1F0BA">
            <w:pPr>
              <w:bidi w:val="0"/>
              <w:spacing w:before="0" w:beforeAutospacing="off" w:after="0" w:afterAutospacing="off"/>
            </w:pPr>
            <w:r w:rsidR="01A0C124">
              <w:rPr/>
              <w:t>0</w:t>
            </w:r>
          </w:p>
        </w:tc>
      </w:tr>
      <w:tr w:rsidR="01A0C124" w:rsidTr="01A0C124" w14:paraId="5C98DD8C">
        <w:trPr>
          <w:trHeight w:val="300"/>
        </w:trPr>
        <w:tc>
          <w:tcPr>
            <w:tcW w:w="5869" w:type="dxa"/>
            <w:tcMar/>
            <w:vAlign w:val="center"/>
          </w:tcPr>
          <w:p w:rsidR="01A0C124" w:rsidP="01A0C124" w:rsidRDefault="01A0C124" w14:paraId="5DE3A3D5" w14:textId="1A4ED9C1">
            <w:pPr>
              <w:bidi w:val="0"/>
              <w:spacing w:before="0" w:beforeAutospacing="off" w:after="0" w:afterAutospacing="off"/>
            </w:pPr>
            <w:r w:rsidR="01A0C124">
              <w:rPr/>
              <w:t xml:space="preserve">Orphaned </w:t>
            </w:r>
            <w:r w:rsidRPr="01A0C124" w:rsidR="01A0C124">
              <w:rPr>
                <w:rFonts w:ascii="Consolas" w:hAnsi="Consolas" w:eastAsia="Consolas" w:cs="Consolas"/>
              </w:rPr>
              <w:t>function_ict_dependencies.contractId</w:t>
            </w:r>
          </w:p>
        </w:tc>
        <w:tc>
          <w:tcPr>
            <w:tcW w:w="1394" w:type="dxa"/>
            <w:tcMar/>
            <w:vAlign w:val="center"/>
          </w:tcPr>
          <w:p w:rsidR="01A0C124" w:rsidP="01A0C124" w:rsidRDefault="01A0C124" w14:paraId="5420F1D3" w14:textId="4E132FBB">
            <w:pPr>
              <w:bidi w:val="0"/>
              <w:spacing w:before="0" w:beforeAutospacing="off" w:after="0" w:afterAutospacing="off"/>
            </w:pPr>
            <w:r w:rsidRPr="01A0C124" w:rsidR="01A0C124">
              <w:rPr>
                <w:rFonts w:ascii="Consolas" w:hAnsi="Consolas" w:eastAsia="Consolas" w:cs="Consolas"/>
              </w:rPr>
              <w:t>fk_exists</w:t>
            </w:r>
          </w:p>
        </w:tc>
        <w:tc>
          <w:tcPr>
            <w:tcW w:w="1846" w:type="dxa"/>
            <w:tcMar/>
            <w:vAlign w:val="center"/>
          </w:tcPr>
          <w:p w:rsidR="01A0C124" w:rsidP="01A0C124" w:rsidRDefault="01A0C124" w14:paraId="4FD0CE35" w14:textId="5A1087CF">
            <w:pPr>
              <w:bidi w:val="0"/>
              <w:spacing w:before="0" w:beforeAutospacing="off" w:after="0" w:afterAutospacing="off"/>
            </w:pPr>
            <w:r w:rsidR="01A0C124">
              <w:rPr/>
              <w:t>ERROR</w:t>
            </w:r>
          </w:p>
        </w:tc>
        <w:tc>
          <w:tcPr>
            <w:tcW w:w="893" w:type="dxa"/>
            <w:tcMar/>
            <w:vAlign w:val="center"/>
          </w:tcPr>
          <w:p w:rsidR="01A0C124" w:rsidP="01A0C124" w:rsidRDefault="01A0C124" w14:paraId="675AD240" w14:textId="42C2E756">
            <w:pPr>
              <w:bidi w:val="0"/>
              <w:spacing w:before="0" w:beforeAutospacing="off" w:after="0" w:afterAutospacing="off"/>
            </w:pPr>
            <w:r w:rsidR="01A0C124">
              <w:rPr/>
              <w:t>Yes</w:t>
            </w:r>
          </w:p>
        </w:tc>
        <w:tc>
          <w:tcPr>
            <w:tcW w:w="1486" w:type="dxa"/>
            <w:tcMar/>
            <w:vAlign w:val="center"/>
          </w:tcPr>
          <w:p w:rsidR="01A0C124" w:rsidP="01A0C124" w:rsidRDefault="01A0C124" w14:paraId="6E3EA1A1" w14:textId="512EACA4">
            <w:pPr>
              <w:bidi w:val="0"/>
              <w:spacing w:before="0" w:beforeAutospacing="off" w:after="0" w:afterAutospacing="off"/>
            </w:pPr>
            <w:r w:rsidR="01A0C124">
              <w:rPr/>
              <w:t>0</w:t>
            </w:r>
          </w:p>
        </w:tc>
      </w:tr>
      <w:tr w:rsidR="01A0C124" w:rsidTr="01A0C124" w14:paraId="522F4087">
        <w:trPr>
          <w:trHeight w:val="300"/>
        </w:trPr>
        <w:tc>
          <w:tcPr>
            <w:tcW w:w="5869" w:type="dxa"/>
            <w:tcMar/>
            <w:vAlign w:val="center"/>
          </w:tcPr>
          <w:p w:rsidR="01A0C124" w:rsidP="01A0C124" w:rsidRDefault="01A0C124" w14:paraId="448DDF2D" w14:textId="0CAE8A77">
            <w:pPr>
              <w:bidi w:val="0"/>
              <w:spacing w:before="0" w:beforeAutospacing="off" w:after="0" w:afterAutospacing="off"/>
            </w:pPr>
            <w:r w:rsidRPr="01A0C124" w:rsidR="01A0C124">
              <w:rPr>
                <w:rFonts w:ascii="Consolas" w:hAnsi="Consolas" w:eastAsia="Consolas" w:cs="Consolas"/>
              </w:rPr>
              <w:t>endDate</w:t>
            </w:r>
            <w:r w:rsidR="01A0C124">
              <w:rPr/>
              <w:t xml:space="preserve"> before </w:t>
            </w:r>
            <w:r w:rsidRPr="01A0C124" w:rsidR="01A0C124">
              <w:rPr>
                <w:rFonts w:ascii="Consolas" w:hAnsi="Consolas" w:eastAsia="Consolas" w:cs="Consolas"/>
              </w:rPr>
              <w:t>startDate</w:t>
            </w:r>
            <w:r w:rsidR="01A0C124">
              <w:rPr/>
              <w:t xml:space="preserve"> on contract</w:t>
            </w:r>
          </w:p>
        </w:tc>
        <w:tc>
          <w:tcPr>
            <w:tcW w:w="1394" w:type="dxa"/>
            <w:tcMar/>
            <w:vAlign w:val="center"/>
          </w:tcPr>
          <w:p w:rsidR="01A0C124" w:rsidP="01A0C124" w:rsidRDefault="01A0C124" w14:paraId="322CA5B7" w14:textId="633F35C6">
            <w:pPr>
              <w:bidi w:val="0"/>
              <w:spacing w:before="0" w:beforeAutospacing="off" w:after="0" w:afterAutospacing="off"/>
            </w:pPr>
            <w:r w:rsidRPr="01A0C124" w:rsidR="01A0C124">
              <w:rPr>
                <w:rFonts w:ascii="Consolas" w:hAnsi="Consolas" w:eastAsia="Consolas" w:cs="Consolas"/>
              </w:rPr>
              <w:t>cross_field</w:t>
            </w:r>
          </w:p>
        </w:tc>
        <w:tc>
          <w:tcPr>
            <w:tcW w:w="1846" w:type="dxa"/>
            <w:tcMar/>
            <w:vAlign w:val="center"/>
          </w:tcPr>
          <w:p w:rsidR="01A0C124" w:rsidP="01A0C124" w:rsidRDefault="01A0C124" w14:paraId="65A2399A" w14:textId="5152875C">
            <w:pPr>
              <w:bidi w:val="0"/>
              <w:spacing w:before="0" w:beforeAutospacing="off" w:after="0" w:afterAutospacing="off"/>
            </w:pPr>
            <w:r w:rsidR="01A0C124">
              <w:rPr/>
              <w:t>ERROR</w:t>
            </w:r>
          </w:p>
        </w:tc>
        <w:tc>
          <w:tcPr>
            <w:tcW w:w="893" w:type="dxa"/>
            <w:tcMar/>
            <w:vAlign w:val="center"/>
          </w:tcPr>
          <w:p w:rsidR="01A0C124" w:rsidP="01A0C124" w:rsidRDefault="01A0C124" w14:paraId="3253A99C" w14:textId="3B770637">
            <w:pPr>
              <w:bidi w:val="0"/>
              <w:spacing w:before="0" w:beforeAutospacing="off" w:after="0" w:afterAutospacing="off"/>
            </w:pPr>
            <w:r w:rsidR="01A0C124">
              <w:rPr/>
              <w:t>Yes</w:t>
            </w:r>
          </w:p>
        </w:tc>
        <w:tc>
          <w:tcPr>
            <w:tcW w:w="1486" w:type="dxa"/>
            <w:tcMar/>
            <w:vAlign w:val="center"/>
          </w:tcPr>
          <w:p w:rsidR="01A0C124" w:rsidP="01A0C124" w:rsidRDefault="01A0C124" w14:paraId="027F459C" w14:textId="15EAB4FE">
            <w:pPr>
              <w:bidi w:val="0"/>
              <w:spacing w:before="0" w:beforeAutospacing="off" w:after="0" w:afterAutospacing="off"/>
            </w:pPr>
            <w:r w:rsidR="01A0C124">
              <w:rPr/>
              <w:t>0</w:t>
            </w:r>
          </w:p>
        </w:tc>
      </w:tr>
      <w:tr w:rsidR="01A0C124" w:rsidTr="01A0C124" w14:paraId="08845AA2">
        <w:trPr>
          <w:trHeight w:val="300"/>
        </w:trPr>
        <w:tc>
          <w:tcPr>
            <w:tcW w:w="5869" w:type="dxa"/>
            <w:tcMar/>
            <w:vAlign w:val="center"/>
          </w:tcPr>
          <w:p w:rsidR="01A0C124" w:rsidP="01A0C124" w:rsidRDefault="01A0C124" w14:paraId="0C809BE0" w14:textId="6368D62F">
            <w:pPr>
              <w:bidi w:val="0"/>
              <w:spacing w:before="0" w:beforeAutospacing="off" w:after="0" w:afterAutospacing="off"/>
            </w:pPr>
            <w:r w:rsidRPr="01A0C124" w:rsidR="01A0C124">
              <w:rPr>
                <w:rFonts w:ascii="Consolas" w:hAnsi="Consolas" w:eastAsia="Consolas" w:cs="Consolas"/>
              </w:rPr>
              <w:t>integrationDate</w:t>
            </w:r>
            <w:r w:rsidR="01A0C124">
              <w:rPr/>
              <w:t xml:space="preserve"> before DORA effective date</w:t>
            </w:r>
          </w:p>
        </w:tc>
        <w:tc>
          <w:tcPr>
            <w:tcW w:w="1394" w:type="dxa"/>
            <w:tcMar/>
            <w:vAlign w:val="center"/>
          </w:tcPr>
          <w:p w:rsidR="01A0C124" w:rsidP="01A0C124" w:rsidRDefault="01A0C124" w14:paraId="7660E2EB" w14:textId="37E8F9BD">
            <w:pPr>
              <w:bidi w:val="0"/>
              <w:spacing w:before="0" w:beforeAutospacing="off" w:after="0" w:afterAutospacing="off"/>
            </w:pPr>
            <w:r w:rsidRPr="01A0C124" w:rsidR="01A0C124">
              <w:rPr>
                <w:rFonts w:ascii="Consolas" w:hAnsi="Consolas" w:eastAsia="Consolas" w:cs="Consolas"/>
              </w:rPr>
              <w:t>date_boundary</w:t>
            </w:r>
          </w:p>
        </w:tc>
        <w:tc>
          <w:tcPr>
            <w:tcW w:w="1846" w:type="dxa"/>
            <w:tcMar/>
            <w:vAlign w:val="center"/>
          </w:tcPr>
          <w:p w:rsidR="01A0C124" w:rsidP="01A0C124" w:rsidRDefault="01A0C124" w14:paraId="75E00FB6" w14:textId="2F340625">
            <w:pPr>
              <w:bidi w:val="0"/>
              <w:spacing w:before="0" w:beforeAutospacing="off" w:after="0" w:afterAutospacing="off"/>
            </w:pPr>
            <w:r w:rsidR="01A0C124">
              <w:rPr/>
              <w:t>WARNING</w:t>
            </w:r>
          </w:p>
        </w:tc>
        <w:tc>
          <w:tcPr>
            <w:tcW w:w="893" w:type="dxa"/>
            <w:tcMar/>
            <w:vAlign w:val="center"/>
          </w:tcPr>
          <w:p w:rsidR="01A0C124" w:rsidP="01A0C124" w:rsidRDefault="01A0C124" w14:paraId="45FD17ED" w14:textId="0E98AD62">
            <w:pPr>
              <w:bidi w:val="0"/>
              <w:spacing w:before="0" w:beforeAutospacing="off" w:after="0" w:afterAutospacing="off"/>
            </w:pPr>
            <w:r w:rsidR="01A0C124">
              <w:rPr/>
              <w:t>Yes</w:t>
            </w:r>
          </w:p>
        </w:tc>
        <w:tc>
          <w:tcPr>
            <w:tcW w:w="1486" w:type="dxa"/>
            <w:tcMar/>
            <w:vAlign w:val="center"/>
          </w:tcPr>
          <w:p w:rsidR="01A0C124" w:rsidP="01A0C124" w:rsidRDefault="01A0C124" w14:paraId="2735F7EC" w14:textId="25CA3E8B">
            <w:pPr>
              <w:bidi w:val="0"/>
              <w:spacing w:before="0" w:beforeAutospacing="off" w:after="0" w:afterAutospacing="off"/>
            </w:pPr>
            <w:r w:rsidR="01A0C124">
              <w:rPr/>
              <w:t>0</w:t>
            </w:r>
          </w:p>
        </w:tc>
      </w:tr>
      <w:tr w:rsidR="01A0C124" w:rsidTr="01A0C124" w14:paraId="5EA044CF">
        <w:trPr>
          <w:trHeight w:val="300"/>
        </w:trPr>
        <w:tc>
          <w:tcPr>
            <w:tcW w:w="5869" w:type="dxa"/>
            <w:tcMar/>
            <w:vAlign w:val="center"/>
          </w:tcPr>
          <w:p w:rsidR="01A0C124" w:rsidP="01A0C124" w:rsidRDefault="01A0C124" w14:paraId="0F7ECADE" w14:textId="7F35441D">
            <w:pPr>
              <w:bidi w:val="0"/>
              <w:spacing w:before="0" w:beforeAutospacing="off" w:after="0" w:afterAutospacing="off"/>
            </w:pPr>
            <w:r w:rsidR="01A0C124">
              <w:rPr/>
              <w:t xml:space="preserve">Missing </w:t>
            </w:r>
            <w:r w:rsidRPr="01A0C124" w:rsidR="01A0C124">
              <w:rPr>
                <w:rFonts w:ascii="Consolas" w:hAnsi="Consolas" w:eastAsia="Consolas" w:cs="Consolas"/>
              </w:rPr>
              <w:t>substitutionReason</w:t>
            </w:r>
            <w:r w:rsidR="01A0C124">
              <w:rPr/>
              <w:t xml:space="preserve"> when </w:t>
            </w:r>
            <w:r w:rsidRPr="01A0C124" w:rsidR="01A0C124">
              <w:rPr>
                <w:rFonts w:ascii="Consolas" w:hAnsi="Consolas" w:eastAsia="Consolas" w:cs="Consolas"/>
              </w:rPr>
              <w:t>isSubstitutable = false</w:t>
            </w:r>
          </w:p>
        </w:tc>
        <w:tc>
          <w:tcPr>
            <w:tcW w:w="1394" w:type="dxa"/>
            <w:tcMar/>
            <w:vAlign w:val="center"/>
          </w:tcPr>
          <w:p w:rsidR="01A0C124" w:rsidP="01A0C124" w:rsidRDefault="01A0C124" w14:paraId="5A73100C" w14:textId="51ECEA36">
            <w:pPr>
              <w:bidi w:val="0"/>
              <w:spacing w:before="0" w:beforeAutospacing="off" w:after="0" w:afterAutospacing="off"/>
            </w:pPr>
            <w:r w:rsidRPr="01A0C124" w:rsidR="01A0C124">
              <w:rPr>
                <w:rFonts w:ascii="Consolas" w:hAnsi="Consolas" w:eastAsia="Consolas" w:cs="Consolas"/>
              </w:rPr>
              <w:t>conditional</w:t>
            </w:r>
          </w:p>
        </w:tc>
        <w:tc>
          <w:tcPr>
            <w:tcW w:w="1846" w:type="dxa"/>
            <w:tcMar/>
            <w:vAlign w:val="center"/>
          </w:tcPr>
          <w:p w:rsidR="01A0C124" w:rsidP="01A0C124" w:rsidRDefault="01A0C124" w14:paraId="16FE071F" w14:textId="0DB62D1A">
            <w:pPr>
              <w:bidi w:val="0"/>
              <w:spacing w:before="0" w:beforeAutospacing="off" w:after="0" w:afterAutospacing="off"/>
            </w:pPr>
            <w:r w:rsidR="01A0C124">
              <w:rPr/>
              <w:t>ERROR</w:t>
            </w:r>
          </w:p>
        </w:tc>
        <w:tc>
          <w:tcPr>
            <w:tcW w:w="893" w:type="dxa"/>
            <w:tcMar/>
            <w:vAlign w:val="center"/>
          </w:tcPr>
          <w:p w:rsidR="01A0C124" w:rsidP="01A0C124" w:rsidRDefault="01A0C124" w14:paraId="1C90416F" w14:textId="58441286">
            <w:pPr>
              <w:bidi w:val="0"/>
              <w:spacing w:before="0" w:beforeAutospacing="off" w:after="0" w:afterAutospacing="off"/>
            </w:pPr>
            <w:r w:rsidR="01A0C124">
              <w:rPr/>
              <w:t>Yes</w:t>
            </w:r>
          </w:p>
        </w:tc>
        <w:tc>
          <w:tcPr>
            <w:tcW w:w="1486" w:type="dxa"/>
            <w:tcMar/>
            <w:vAlign w:val="center"/>
          </w:tcPr>
          <w:p w:rsidR="01A0C124" w:rsidP="01A0C124" w:rsidRDefault="01A0C124" w14:paraId="0BF8CF8A" w14:textId="7CCEDBF1">
            <w:pPr>
              <w:bidi w:val="0"/>
              <w:spacing w:before="0" w:beforeAutospacing="off" w:after="0" w:afterAutospacing="off"/>
            </w:pPr>
            <w:r w:rsidR="01A0C124">
              <w:rPr/>
              <w:t>0</w:t>
            </w:r>
          </w:p>
        </w:tc>
      </w:tr>
      <w:tr w:rsidR="01A0C124" w:rsidTr="01A0C124" w14:paraId="471C50E2">
        <w:trPr>
          <w:trHeight w:val="300"/>
        </w:trPr>
        <w:tc>
          <w:tcPr>
            <w:tcW w:w="5869" w:type="dxa"/>
            <w:tcMar/>
            <w:vAlign w:val="center"/>
          </w:tcPr>
          <w:p w:rsidR="01A0C124" w:rsidP="01A0C124" w:rsidRDefault="01A0C124" w14:paraId="01C58850" w14:textId="4225A644">
            <w:pPr>
              <w:bidi w:val="0"/>
              <w:spacing w:before="0" w:beforeAutospacing="off" w:after="0" w:afterAutospacing="off"/>
            </w:pPr>
            <w:r w:rsidR="01A0C124">
              <w:rPr/>
              <w:t xml:space="preserve">Duplicate </w:t>
            </w:r>
            <w:r w:rsidRPr="01A0C124" w:rsidR="01A0C124">
              <w:rPr>
                <w:rFonts w:ascii="Consolas" w:hAnsi="Consolas" w:eastAsia="Consolas" w:cs="Consolas"/>
              </w:rPr>
              <w:t>contractReference</w:t>
            </w:r>
            <w:r w:rsidR="01A0C124">
              <w:rPr/>
              <w:t xml:space="preserve"> within tenant</w:t>
            </w:r>
          </w:p>
        </w:tc>
        <w:tc>
          <w:tcPr>
            <w:tcW w:w="1394" w:type="dxa"/>
            <w:tcMar/>
            <w:vAlign w:val="center"/>
          </w:tcPr>
          <w:p w:rsidR="01A0C124" w:rsidP="01A0C124" w:rsidRDefault="01A0C124" w14:paraId="5CAEE6AA" w14:textId="22456533">
            <w:pPr>
              <w:bidi w:val="0"/>
              <w:spacing w:before="0" w:beforeAutospacing="off" w:after="0" w:afterAutospacing="off"/>
            </w:pPr>
            <w:r w:rsidRPr="01A0C124" w:rsidR="01A0C124">
              <w:rPr>
                <w:rFonts w:ascii="Consolas" w:hAnsi="Consolas" w:eastAsia="Consolas" w:cs="Consolas"/>
              </w:rPr>
              <w:t>uniqueness</w:t>
            </w:r>
          </w:p>
        </w:tc>
        <w:tc>
          <w:tcPr>
            <w:tcW w:w="1846" w:type="dxa"/>
            <w:tcMar/>
            <w:vAlign w:val="center"/>
          </w:tcPr>
          <w:p w:rsidR="01A0C124" w:rsidP="01A0C124" w:rsidRDefault="01A0C124" w14:paraId="153F22F9" w14:textId="4E9338D1">
            <w:pPr>
              <w:bidi w:val="0"/>
              <w:spacing w:before="0" w:beforeAutospacing="off" w:after="0" w:afterAutospacing="off"/>
            </w:pPr>
            <w:r w:rsidR="01A0C124">
              <w:rPr/>
              <w:t>ERROR</w:t>
            </w:r>
          </w:p>
        </w:tc>
        <w:tc>
          <w:tcPr>
            <w:tcW w:w="893" w:type="dxa"/>
            <w:tcMar/>
            <w:vAlign w:val="center"/>
          </w:tcPr>
          <w:p w:rsidR="01A0C124" w:rsidP="01A0C124" w:rsidRDefault="01A0C124" w14:paraId="607B8E5A" w14:textId="6948197B">
            <w:pPr>
              <w:bidi w:val="0"/>
              <w:spacing w:before="0" w:beforeAutospacing="off" w:after="0" w:afterAutospacing="off"/>
            </w:pPr>
            <w:r w:rsidR="01A0C124">
              <w:rPr/>
              <w:t>Yes</w:t>
            </w:r>
          </w:p>
        </w:tc>
        <w:tc>
          <w:tcPr>
            <w:tcW w:w="1486" w:type="dxa"/>
            <w:tcMar/>
            <w:vAlign w:val="center"/>
          </w:tcPr>
          <w:p w:rsidR="01A0C124" w:rsidP="01A0C124" w:rsidRDefault="01A0C124" w14:paraId="47E66000" w14:textId="6078D64E">
            <w:pPr>
              <w:bidi w:val="0"/>
              <w:spacing w:before="0" w:beforeAutospacing="off" w:after="0" w:afterAutospacing="off"/>
            </w:pPr>
            <w:r w:rsidR="01A0C124">
              <w:rPr/>
              <w:t>0</w:t>
            </w:r>
          </w:p>
        </w:tc>
      </w:tr>
    </w:tbl>
    <w:p xmlns:wp14="http://schemas.microsoft.com/office/word/2010/wordml" w:rsidP="01A0C124" wp14:paraId="1ACEA3A0" wp14:textId="3671952D">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This result provides positive evidence that the engine's rule execution logic is correct for all nine tested rule types. It does not constitute a statistically rigorous automated test suite — the limitations of the testing approach are acknowledged candidly in Section 6.5 — but it satisfies the DSR demonstration standard for functional correctness at prototype maturity (Hevner et al., 2004; Venable et al., 2016).</w:t>
      </w:r>
    </w:p>
    <w:p xmlns:wp14="http://schemas.microsoft.com/office/word/2010/wordml" w:rsidP="01A0C124" wp14:paraId="46B55784" wp14:textId="435C8700">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 xml:space="preserve">The engine's EBA rule coverage is assessed at </w:t>
      </w:r>
      <w:r w:rsidRPr="01A0C124" w:rsidR="330BD178">
        <w:rPr>
          <w:rFonts w:ascii="Times New Roman" w:hAnsi="Times New Roman" w:eastAsia="Times New Roman" w:cs="Times New Roman"/>
          <w:b w:val="1"/>
          <w:bCs w:val="1"/>
          <w:noProof w:val="0"/>
          <w:sz w:val="24"/>
          <w:szCs w:val="24"/>
          <w:lang w:val="en-US"/>
        </w:rPr>
        <w:t>220 of approximately 300 EBA draft validation rules</w:t>
      </w:r>
      <w:r w:rsidRPr="01A0C124" w:rsidR="330BD178">
        <w:rPr>
          <w:rFonts w:ascii="Times New Roman" w:hAnsi="Times New Roman" w:eastAsia="Times New Roman" w:cs="Times New Roman"/>
          <w:noProof w:val="0"/>
          <w:sz w:val="24"/>
          <w:szCs w:val="24"/>
          <w:lang w:val="en-US"/>
        </w:rPr>
        <w:t xml:space="preserve"> — approximately 73% of the full rule set (European Banking Authority, 2024a). The 220 seeded rules were selected through the three-tier prioritisation strategy described in Chapter 5 (Section 5.5.1). The 27% not seeded consists primarily of advanced inter-template cross-checks and some advanced RT.09 concentration risk rules. In retrospect, a broader implementation of the </w:t>
      </w:r>
      <w:r w:rsidRPr="01A0C124" w:rsidR="330BD178">
        <w:rPr>
          <w:rFonts w:ascii="Consolas" w:hAnsi="Consolas" w:eastAsia="Consolas" w:cs="Consolas"/>
          <w:noProof w:val="0"/>
          <w:sz w:val="24"/>
          <w:szCs w:val="24"/>
          <w:lang w:val="en-US"/>
        </w:rPr>
        <w:t>conditional</w:t>
      </w:r>
      <w:r w:rsidRPr="01A0C124" w:rsidR="330BD178">
        <w:rPr>
          <w:rFonts w:ascii="Times New Roman" w:hAnsi="Times New Roman" w:eastAsia="Times New Roman" w:cs="Times New Roman"/>
          <w:noProof w:val="0"/>
          <w:sz w:val="24"/>
          <w:szCs w:val="24"/>
          <w:lang w:val="en-US"/>
        </w:rPr>
        <w:t xml:space="preserve"> rule type across the 15–20 if-then requirements distributed across RT.02 and RT.07 — for example, the requirement that </w:t>
      </w:r>
      <w:r w:rsidRPr="01A0C124" w:rsidR="330BD178">
        <w:rPr>
          <w:rFonts w:ascii="Consolas" w:hAnsi="Consolas" w:eastAsia="Consolas" w:cs="Consolas"/>
          <w:noProof w:val="0"/>
          <w:sz w:val="24"/>
          <w:szCs w:val="24"/>
          <w:lang w:val="en-US"/>
        </w:rPr>
        <w:t>ultimateParentLEI</w:t>
      </w:r>
      <w:r w:rsidRPr="01A0C124" w:rsidR="330BD178">
        <w:rPr>
          <w:rFonts w:ascii="Times New Roman" w:hAnsi="Times New Roman" w:eastAsia="Times New Roman" w:cs="Times New Roman"/>
          <w:noProof w:val="0"/>
          <w:sz w:val="24"/>
          <w:szCs w:val="24"/>
          <w:lang w:val="en-US"/>
        </w:rPr>
        <w:t xml:space="preserve"> be present when </w:t>
      </w:r>
      <w:r w:rsidRPr="01A0C124" w:rsidR="330BD178">
        <w:rPr>
          <w:rFonts w:ascii="Consolas" w:hAnsi="Consolas" w:eastAsia="Consolas" w:cs="Consolas"/>
          <w:noProof w:val="0"/>
          <w:sz w:val="24"/>
          <w:szCs w:val="24"/>
          <w:lang w:val="en-US"/>
        </w:rPr>
        <w:t>intraGroupFlag</w:t>
      </w:r>
      <w:r w:rsidRPr="01A0C124" w:rsidR="330BD178">
        <w:rPr>
          <w:rFonts w:ascii="Times New Roman" w:hAnsi="Times New Roman" w:eastAsia="Times New Roman" w:cs="Times New Roman"/>
          <w:noProof w:val="0"/>
          <w:sz w:val="24"/>
          <w:szCs w:val="24"/>
          <w:lang w:val="en-US"/>
        </w:rPr>
        <w:t xml:space="preserve"> is true — would have increased the semantic depth of the engine's coverage without requiring complex inter-template architecture changes (European Banking Authority, 2024a).</w:t>
      </w:r>
    </w:p>
    <w:p xmlns:wp14="http://schemas.microsoft.com/office/word/2010/wordml" w:rsidP="01A0C124" wp14:paraId="723ED7E9" wp14:textId="1D120EAF">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 xml:space="preserve">🆕 FIGURE 6.2 — EBA validation rule coverage by template: stacked bar chart showing seeded rules (dark) vs. remaining EBA draft rules not yet seeded (light) per template, with the 73% overall coverage annotation. </w:t>
      </w:r>
      <w:r w:rsidRPr="01A0C124" w:rsidR="330BD178">
        <w:rPr>
          <w:rFonts w:ascii="Times New Roman" w:hAnsi="Times New Roman" w:eastAsia="Times New Roman" w:cs="Times New Roman"/>
          <w:i w:val="1"/>
          <w:iCs w:val="1"/>
          <w:noProof w:val="0"/>
          <w:sz w:val="24"/>
          <w:szCs w:val="24"/>
          <w:lang w:val="en-US"/>
        </w:rPr>
        <w:t>To be inserted here.</w:t>
      </w:r>
    </w:p>
    <w:p xmlns:wp14="http://schemas.microsoft.com/office/word/2010/wordml" w:rsidP="01A0C124" wp14:paraId="21A2662E" wp14:textId="4D6A0DF4">
      <w:pPr>
        <w:pStyle w:val="Heading2"/>
        <w:bidi w:val="0"/>
        <w:spacing w:before="299" w:beforeAutospacing="off" w:after="299" w:afterAutospacing="off"/>
      </w:pPr>
      <w:r w:rsidRPr="01A0C124" w:rsidR="330BD178">
        <w:rPr>
          <w:rFonts w:ascii="Times New Roman" w:hAnsi="Times New Roman" w:eastAsia="Times New Roman" w:cs="Times New Roman"/>
          <w:b w:val="1"/>
          <w:bCs w:val="1"/>
          <w:noProof w:val="0"/>
          <w:sz w:val="36"/>
          <w:szCs w:val="36"/>
          <w:lang w:val="en-US"/>
        </w:rPr>
        <w:t>6.3.2 DORA Compliance Score as a Supervisory Communication Tool</w:t>
      </w:r>
    </w:p>
    <w:p xmlns:wp14="http://schemas.microsoft.com/office/word/2010/wordml" w:rsidP="01A0C124" wp14:paraId="0ED219AD" wp14:textId="61868A4D">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The compliance score computed by the validation engine after each run — expressed as the percentage of checked fields that are error-free — serves a function beyond technical measurement. Its primary purpose is communication: translating a complex set of field-level violations into a single metric that a non-specialist compliance manager can act on and report upward to the entity's board or risk committee (Butler and O'Brien, 2019; Arner et al., 2017). This is consistent with the RegTech literature's emphasis on making regulatory compliance status legible to non-technical stakeholders, not just to compliance specialists.</w:t>
      </w:r>
    </w:p>
    <w:p xmlns:wp14="http://schemas.microsoft.com/office/word/2010/wordml" w:rsidP="01A0C124" wp14:paraId="5DD67E6D" wp14:textId="3D1A6F77">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 xml:space="preserve">The score is accompanied on the ANALYST dashboard by a four-category breakdown — </w:t>
      </w:r>
      <w:r w:rsidRPr="01A0C124" w:rsidR="330BD178">
        <w:rPr>
          <w:rFonts w:ascii="Consolas" w:hAnsi="Consolas" w:eastAsia="Consolas" w:cs="Consolas"/>
          <w:noProof w:val="0"/>
          <w:sz w:val="24"/>
          <w:szCs w:val="24"/>
          <w:lang w:val="en-US"/>
        </w:rPr>
        <w:t>missingData</w:t>
      </w:r>
      <w:r w:rsidRPr="01A0C124" w:rsidR="330BD178">
        <w:rPr>
          <w:rFonts w:ascii="Times New Roman" w:hAnsi="Times New Roman" w:eastAsia="Times New Roman" w:cs="Times New Roman"/>
          <w:noProof w:val="0"/>
          <w:sz w:val="24"/>
          <w:szCs w:val="24"/>
          <w:lang w:val="en-US"/>
        </w:rPr>
        <w:t xml:space="preserve">, </w:t>
      </w:r>
      <w:r w:rsidRPr="01A0C124" w:rsidR="330BD178">
        <w:rPr>
          <w:rFonts w:ascii="Consolas" w:hAnsi="Consolas" w:eastAsia="Consolas" w:cs="Consolas"/>
          <w:noProof w:val="0"/>
          <w:sz w:val="24"/>
          <w:szCs w:val="24"/>
          <w:lang w:val="en-US"/>
        </w:rPr>
        <w:t>formatErrors</w:t>
      </w:r>
      <w:r w:rsidRPr="01A0C124" w:rsidR="330BD178">
        <w:rPr>
          <w:rFonts w:ascii="Times New Roman" w:hAnsi="Times New Roman" w:eastAsia="Times New Roman" w:cs="Times New Roman"/>
          <w:noProof w:val="0"/>
          <w:sz w:val="24"/>
          <w:szCs w:val="24"/>
          <w:lang w:val="en-US"/>
        </w:rPr>
        <w:t xml:space="preserve">, </w:t>
      </w:r>
      <w:r w:rsidRPr="01A0C124" w:rsidR="330BD178">
        <w:rPr>
          <w:rFonts w:ascii="Consolas" w:hAnsi="Consolas" w:eastAsia="Consolas" w:cs="Consolas"/>
          <w:noProof w:val="0"/>
          <w:sz w:val="24"/>
          <w:szCs w:val="24"/>
          <w:lang w:val="en-US"/>
        </w:rPr>
        <w:t>logicalErrors</w:t>
      </w:r>
      <w:r w:rsidRPr="01A0C124" w:rsidR="330BD178">
        <w:rPr>
          <w:rFonts w:ascii="Times New Roman" w:hAnsi="Times New Roman" w:eastAsia="Times New Roman" w:cs="Times New Roman"/>
          <w:noProof w:val="0"/>
          <w:sz w:val="24"/>
          <w:szCs w:val="24"/>
          <w:lang w:val="en-US"/>
        </w:rPr>
        <w:t xml:space="preserve">, </w:t>
      </w:r>
      <w:r w:rsidRPr="01A0C124" w:rsidR="330BD178">
        <w:rPr>
          <w:rFonts w:ascii="Consolas" w:hAnsi="Consolas" w:eastAsia="Consolas" w:cs="Consolas"/>
          <w:noProof w:val="0"/>
          <w:sz w:val="24"/>
          <w:szCs w:val="24"/>
          <w:lang w:val="en-US"/>
        </w:rPr>
        <w:t>regulatoryGaps</w:t>
      </w:r>
      <w:r w:rsidRPr="01A0C124" w:rsidR="330BD178">
        <w:rPr>
          <w:rFonts w:ascii="Times New Roman" w:hAnsi="Times New Roman" w:eastAsia="Times New Roman" w:cs="Times New Roman"/>
          <w:noProof w:val="0"/>
          <w:sz w:val="24"/>
          <w:szCs w:val="24"/>
          <w:lang w:val="en-US"/>
        </w:rPr>
        <w:t xml:space="preserve"> — that maps directly onto the five ESA Dry Run failure categories (Section 6.2.1). This alignment means that when a compliance officer presents their DORA compliance score and category breakdown to a CBI supervisor or internal risk committee, the diagnostic language is the same as the language used in the ESA's published guidance — reducing the translation effort between internal compliance management and supervisory reporting (European Supervisory Authorities, 2024; Central Bank of Ireland, 2024a).</w:t>
      </w:r>
    </w:p>
    <w:p xmlns:wp14="http://schemas.microsoft.com/office/word/2010/wordml" w:rsidP="01A0C124" wp14:paraId="7BDB1D78" wp14:textId="5583585E">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Against the clean portion of the seeded dataset, the system produces a score of 100%. Against the full seeded dataset including the nine injected violations, the score falls proportionally, confirming that the metric is sensitive to real data quality changes and not artificially inflated (European Banking Authority, 2024a).</w:t>
      </w:r>
    </w:p>
    <w:p xmlns:wp14="http://schemas.microsoft.com/office/word/2010/wordml" w:rsidP="01A0C124" wp14:paraId="5014116E" wp14:textId="0B00F50C">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 xml:space="preserve">🆕 FIGURE 6.3 — DORA compliance score dashboard (ANALYST view): score gauge, four-category breakdown panel, and issues-by-template distribution, annotated to show alignment with ESA Dry Run failure categories. </w:t>
      </w:r>
      <w:r w:rsidRPr="01A0C124" w:rsidR="330BD178">
        <w:rPr>
          <w:rFonts w:ascii="Times New Roman" w:hAnsi="Times New Roman" w:eastAsia="Times New Roman" w:cs="Times New Roman"/>
          <w:i w:val="1"/>
          <w:iCs w:val="1"/>
          <w:noProof w:val="0"/>
          <w:sz w:val="24"/>
          <w:szCs w:val="24"/>
          <w:lang w:val="en-US"/>
        </w:rPr>
        <w:t>To be inserted here.</w:t>
      </w:r>
    </w:p>
    <w:p xmlns:wp14="http://schemas.microsoft.com/office/word/2010/wordml" w:rsidP="01A0C124" wp14:paraId="77F0409D" wp14:textId="26A6AA76">
      <w:pPr>
        <w:pStyle w:val="Heading2"/>
        <w:bidi w:val="0"/>
        <w:spacing w:before="299" w:beforeAutospacing="off" w:after="299" w:afterAutospacing="off"/>
      </w:pPr>
      <w:r w:rsidRPr="01A0C124" w:rsidR="330BD178">
        <w:rPr>
          <w:rFonts w:ascii="Times New Roman" w:hAnsi="Times New Roman" w:eastAsia="Times New Roman" w:cs="Times New Roman"/>
          <w:b w:val="1"/>
          <w:bCs w:val="1"/>
          <w:noProof w:val="0"/>
          <w:sz w:val="36"/>
          <w:szCs w:val="36"/>
          <w:lang w:val="en-US"/>
        </w:rPr>
        <w:t>6.3.3 Validation Issue State Machine: Workflow Correctness</w:t>
      </w:r>
    </w:p>
    <w:p xmlns:wp14="http://schemas.microsoft.com/office/word/2010/wordml" w:rsidP="01A0C124" wp14:paraId="0BF95AF8" wp14:textId="7A7DAEBB">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The five-state issue lifecycle — OPEN → FLAGGED → WAITING_APPROVAL → RESOLVED, with FIXED as an engine-assigned terminal state — is evaluated for workflow correctness: can the three-role team execute a complete remediation cycle without encountering a state transition that is either unavailable or incorrectly permitted?</w:t>
      </w:r>
    </w:p>
    <w:p xmlns:wp14="http://schemas.microsoft.com/office/word/2010/wordml" w:rsidP="01A0C124" wp14:paraId="4E127602" wp14:textId="43743E4A">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 xml:space="preserve">Against the seeded dataset, a complete remediation cycle was executed: the ANALYST triggered a validation run (producing OPEN issues), flagged two issues to the EDITOR with a message (OPEN → FLAGGED, notification created), the EDITOR corrected both records and submitted fix notes (FLAGGED → WAITING_APPROVAL, notification to ANALYST), the ANALYST approved one fix (WAITING_APPROVAL → RESOLVED) and rejected the other with a reason (WAITING_APPROVAL → FLAGGED, EDITOR re-notified), and the EDITOR resubmitted the corrected fix (FLAGGED → WAITING_APPROVAL → RESOLVED). The engine on the subsequent run automatically assigned FIXED status to all issues whose underlying data now passed the triggering rule, without re-surfacing previously RESOLVED issues. All six transitions completed correctly, all expected notifications were delivered, and all transitions were recorded in </w:t>
      </w:r>
      <w:r w:rsidRPr="01A0C124" w:rsidR="330BD178">
        <w:rPr>
          <w:rFonts w:ascii="Consolas" w:hAnsi="Consolas" w:eastAsia="Consolas" w:cs="Consolas"/>
          <w:noProof w:val="0"/>
          <w:sz w:val="24"/>
          <w:szCs w:val="24"/>
          <w:lang w:val="en-US"/>
        </w:rPr>
        <w:t>audit_logs</w:t>
      </w:r>
      <w:r w:rsidRPr="01A0C124" w:rsidR="330BD178">
        <w:rPr>
          <w:rFonts w:ascii="Times New Roman" w:hAnsi="Times New Roman" w:eastAsia="Times New Roman" w:cs="Times New Roman"/>
          <w:noProof w:val="0"/>
          <w:sz w:val="24"/>
          <w:szCs w:val="24"/>
          <w:lang w:val="en-US"/>
        </w:rPr>
        <w:t xml:space="preserve"> with the correct action type and timestamps.</w:t>
      </w:r>
    </w:p>
    <w:p xmlns:wp14="http://schemas.microsoft.com/office/word/2010/wordml" w:rsidP="01A0C124" wp14:paraId="15A6C96F" wp14:textId="1C03DAF6">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 xml:space="preserve">🆕 FIGURE 6.4 — Validation issue state machine demonstration trace: annotated screenshot of the ANALYST validation dashboard showing the complete OPEN → FLAGGED → WAITING_APPROVAL → RESOLVED transition sequence, with state badge progression and notification deep-links visible. </w:t>
      </w:r>
      <w:r w:rsidRPr="01A0C124" w:rsidR="330BD178">
        <w:rPr>
          <w:rFonts w:ascii="Times New Roman" w:hAnsi="Times New Roman" w:eastAsia="Times New Roman" w:cs="Times New Roman"/>
          <w:i w:val="1"/>
          <w:iCs w:val="1"/>
          <w:noProof w:val="0"/>
          <w:sz w:val="24"/>
          <w:szCs w:val="24"/>
          <w:lang w:val="en-US"/>
        </w:rPr>
        <w:t>To be inserted here.</w:t>
      </w:r>
    </w:p>
    <w:p xmlns:wp14="http://schemas.microsoft.com/office/word/2010/wordml" w:rsidP="01A0C124" wp14:paraId="0CE3D5AB" wp14:textId="1E073D31">
      <w:pPr>
        <w:pStyle w:val="Heading2"/>
        <w:bidi w:val="0"/>
        <w:spacing w:before="299" w:beforeAutospacing="off" w:after="299" w:afterAutospacing="off"/>
      </w:pPr>
      <w:r w:rsidRPr="01A0C124" w:rsidR="330BD178">
        <w:rPr>
          <w:rFonts w:ascii="Times New Roman" w:hAnsi="Times New Roman" w:eastAsia="Times New Roman" w:cs="Times New Roman"/>
          <w:b w:val="1"/>
          <w:bCs w:val="1"/>
          <w:noProof w:val="0"/>
          <w:sz w:val="36"/>
          <w:szCs w:val="36"/>
          <w:lang w:val="en-US"/>
        </w:rPr>
        <w:t>6.3.4 Security Architecture Evaluation</w:t>
      </w:r>
    </w:p>
    <w:p xmlns:wp14="http://schemas.microsoft.com/office/word/2010/wordml" w:rsidP="01A0C124" wp14:paraId="55B52CE0" wp14:textId="5FA8DC19">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The security architecture is evaluated against three recognised standards: NIST SP 800-63B for authentication and session management (NIST, 2018), OWASP Top Ten 2021 for web application security (OWASP, 2021), and ISO/IEC 27001:2022 Annex A controls for operational security and access management (ISO, 2022).</w:t>
      </w:r>
    </w:p>
    <w:p xmlns:wp14="http://schemas.microsoft.com/office/word/2010/wordml" w:rsidP="01A0C124" wp14:paraId="4D083995" wp14:textId="76880C03">
      <w:pPr>
        <w:bidi w:val="0"/>
        <w:spacing w:before="240" w:beforeAutospacing="off" w:after="240" w:afterAutospacing="off"/>
      </w:pPr>
      <w:r w:rsidRPr="01A0C124" w:rsidR="330BD178">
        <w:rPr>
          <w:rFonts w:ascii="Times New Roman" w:hAnsi="Times New Roman" w:eastAsia="Times New Roman" w:cs="Times New Roman"/>
          <w:b w:val="1"/>
          <w:bCs w:val="1"/>
          <w:noProof w:val="0"/>
          <w:sz w:val="24"/>
          <w:szCs w:val="24"/>
          <w:lang w:val="en-US"/>
        </w:rPr>
        <w:t>Authentication and session management</w:t>
      </w:r>
      <w:r w:rsidRPr="01A0C124" w:rsidR="330BD178">
        <w:rPr>
          <w:rFonts w:ascii="Times New Roman" w:hAnsi="Times New Roman" w:eastAsia="Times New Roman" w:cs="Times New Roman"/>
          <w:noProof w:val="0"/>
          <w:sz w:val="24"/>
          <w:szCs w:val="24"/>
          <w:lang w:val="en-US"/>
        </w:rPr>
        <w:t xml:space="preserve"> (NIST SP 800-63B). The implementation — bcrypt password hashing at ten salt rounds, 15-minute access token TTL, 7-day rotating refresh tokens stored as bcrypt hashes, HttpOnly </w:t>
      </w:r>
      <w:r w:rsidRPr="01A0C124" w:rsidR="330BD178">
        <w:rPr>
          <w:rFonts w:ascii="Consolas" w:hAnsi="Consolas" w:eastAsia="Consolas" w:cs="Consolas"/>
          <w:noProof w:val="0"/>
          <w:sz w:val="24"/>
          <w:szCs w:val="24"/>
          <w:lang w:val="en-US"/>
        </w:rPr>
        <w:t>SameSite: Strict</w:t>
      </w:r>
      <w:r w:rsidRPr="01A0C124" w:rsidR="330BD178">
        <w:rPr>
          <w:rFonts w:ascii="Times New Roman" w:hAnsi="Times New Roman" w:eastAsia="Times New Roman" w:cs="Times New Roman"/>
          <w:noProof w:val="0"/>
          <w:sz w:val="24"/>
          <w:szCs w:val="24"/>
          <w:lang w:val="en-US"/>
        </w:rPr>
        <w:t xml:space="preserve"> path-scoped cookies, per-use rotation, and revocation on logout and password reset — satisfies NIST SP 800-63B Level 1 assurance requirements for single-factor memorised secret authentication. The per-use refresh token rotation addresses the NIST recommendation that refresh tokens be invalidated immediately after use to limit the window of opportunity for token theft (NIST, 2018). The path-scoping of the refresh token cookie to </w:t>
      </w:r>
      <w:r w:rsidRPr="01A0C124" w:rsidR="330BD178">
        <w:rPr>
          <w:rFonts w:ascii="Consolas" w:hAnsi="Consolas" w:eastAsia="Consolas" w:cs="Consolas"/>
          <w:noProof w:val="0"/>
          <w:sz w:val="24"/>
          <w:szCs w:val="24"/>
          <w:lang w:val="en-US"/>
        </w:rPr>
        <w:t>/api/v1/auth</w:t>
      </w:r>
      <w:r w:rsidRPr="01A0C124" w:rsidR="330BD178">
        <w:rPr>
          <w:rFonts w:ascii="Times New Roman" w:hAnsi="Times New Roman" w:eastAsia="Times New Roman" w:cs="Times New Roman"/>
          <w:noProof w:val="0"/>
          <w:sz w:val="24"/>
          <w:szCs w:val="24"/>
          <w:lang w:val="en-US"/>
        </w:rPr>
        <w:t xml:space="preserve"> mitigates the OWASP A07 Identification and Authentication Failures risk by ensuring that the refresh token is never transmitted to non-authentication endpoints, even if an XSS vulnerability were exploited to trigger an arbitrary request (OWASP, 2021; Anderson, 2020). The primary gap relative to NIST Level 2 assurance is the absence of multi-factor authentication, identified as a production hardening requirement in Section 5.8.3.</w:t>
      </w:r>
    </w:p>
    <w:p xmlns:wp14="http://schemas.microsoft.com/office/word/2010/wordml" w:rsidP="01A0C124" wp14:paraId="030ACD5E" wp14:textId="6CFFEB15">
      <w:pPr>
        <w:bidi w:val="0"/>
        <w:spacing w:before="240" w:beforeAutospacing="off" w:after="240" w:afterAutospacing="off"/>
      </w:pPr>
      <w:r w:rsidRPr="01A0C124" w:rsidR="330BD178">
        <w:rPr>
          <w:rFonts w:ascii="Times New Roman" w:hAnsi="Times New Roman" w:eastAsia="Times New Roman" w:cs="Times New Roman"/>
          <w:b w:val="1"/>
          <w:bCs w:val="1"/>
          <w:noProof w:val="0"/>
          <w:sz w:val="24"/>
          <w:szCs w:val="24"/>
          <w:lang w:val="en-US"/>
        </w:rPr>
        <w:t>Authorisation and access control</w:t>
      </w:r>
      <w:r w:rsidRPr="01A0C124" w:rsidR="330BD178">
        <w:rPr>
          <w:rFonts w:ascii="Times New Roman" w:hAnsi="Times New Roman" w:eastAsia="Times New Roman" w:cs="Times New Roman"/>
          <w:noProof w:val="0"/>
          <w:sz w:val="24"/>
          <w:szCs w:val="24"/>
          <w:lang w:val="en-US"/>
        </w:rPr>
        <w:t xml:space="preserve"> (ISO/IEC 27001:2022 Annex A.9). The three-role RBAC system enforced at two independent layers — </w:t>
      </w:r>
      <w:r w:rsidRPr="01A0C124" w:rsidR="330BD178">
        <w:rPr>
          <w:rFonts w:ascii="Consolas" w:hAnsi="Consolas" w:eastAsia="Consolas" w:cs="Consolas"/>
          <w:noProof w:val="0"/>
          <w:sz w:val="24"/>
          <w:szCs w:val="24"/>
          <w:lang w:val="en-US"/>
        </w:rPr>
        <w:t>RolesGuard</w:t>
      </w:r>
      <w:r w:rsidRPr="01A0C124" w:rsidR="330BD178">
        <w:rPr>
          <w:rFonts w:ascii="Times New Roman" w:hAnsi="Times New Roman" w:eastAsia="Times New Roman" w:cs="Times New Roman"/>
          <w:noProof w:val="0"/>
          <w:sz w:val="24"/>
          <w:szCs w:val="24"/>
          <w:lang w:val="en-US"/>
        </w:rPr>
        <w:t xml:space="preserve"> at the controller boundary and </w:t>
      </w:r>
      <w:r w:rsidRPr="01A0C124" w:rsidR="330BD178">
        <w:rPr>
          <w:rFonts w:ascii="Consolas" w:hAnsi="Consolas" w:eastAsia="Consolas" w:cs="Consolas"/>
          <w:noProof w:val="0"/>
          <w:sz w:val="24"/>
          <w:szCs w:val="24"/>
          <w:lang w:val="en-US"/>
        </w:rPr>
        <w:t>tenantId</w:t>
      </w:r>
      <w:r w:rsidRPr="01A0C124" w:rsidR="330BD178">
        <w:rPr>
          <w:rFonts w:ascii="Times New Roman" w:hAnsi="Times New Roman" w:eastAsia="Times New Roman" w:cs="Times New Roman"/>
          <w:noProof w:val="0"/>
          <w:sz w:val="24"/>
          <w:szCs w:val="24"/>
          <w:lang w:val="en-US"/>
        </w:rPr>
        <w:t xml:space="preserve"> re-verification within service methods — implements the principle of least privilege for all three roles. No execution path allows an EDITOR to trigger a validation run, access audit logs, or manage users. No path allows an ANALYST to directly create or modify domain data records. This dual-layer enforcement means that a misconfiguration at either layer alone cannot produce a privilege escalation — both layers must fail simultaneously, which satisfies the defence-in-depth principle (Anderson, 2020; Bass et al., 2021).</w:t>
      </w:r>
    </w:p>
    <w:p xmlns:wp14="http://schemas.microsoft.com/office/word/2010/wordml" w:rsidP="01A0C124" wp14:paraId="5DAA6ED1" wp14:textId="51399F15">
      <w:pPr>
        <w:bidi w:val="0"/>
        <w:spacing w:before="240" w:beforeAutospacing="off" w:after="240" w:afterAutospacing="off"/>
      </w:pPr>
      <w:r w:rsidRPr="01A0C124" w:rsidR="330BD178">
        <w:rPr>
          <w:rFonts w:ascii="Times New Roman" w:hAnsi="Times New Roman" w:eastAsia="Times New Roman" w:cs="Times New Roman"/>
          <w:b w:val="1"/>
          <w:bCs w:val="1"/>
          <w:noProof w:val="0"/>
          <w:sz w:val="24"/>
          <w:szCs w:val="24"/>
          <w:lang w:val="en-US"/>
        </w:rPr>
        <w:t>Tenant isolation</w:t>
      </w:r>
      <w:r w:rsidRPr="01A0C124" w:rsidR="330BD178">
        <w:rPr>
          <w:rFonts w:ascii="Times New Roman" w:hAnsi="Times New Roman" w:eastAsia="Times New Roman" w:cs="Times New Roman"/>
          <w:noProof w:val="0"/>
          <w:sz w:val="24"/>
          <w:szCs w:val="24"/>
          <w:lang w:val="en-US"/>
        </w:rPr>
        <w:t xml:space="preserve"> (ISO/IEC 27001:2022 Annex A.9; GDPR Article 25 — data protection by design). The defence-in-depth tenant isolation strategy combines application-layer </w:t>
      </w:r>
      <w:r w:rsidRPr="01A0C124" w:rsidR="330BD178">
        <w:rPr>
          <w:rFonts w:ascii="Consolas" w:hAnsi="Consolas" w:eastAsia="Consolas" w:cs="Consolas"/>
          <w:noProof w:val="0"/>
          <w:sz w:val="24"/>
          <w:szCs w:val="24"/>
          <w:lang w:val="en-US"/>
        </w:rPr>
        <w:t>tenantId</w:t>
      </w:r>
      <w:r w:rsidRPr="01A0C124" w:rsidR="330BD178">
        <w:rPr>
          <w:rFonts w:ascii="Times New Roman" w:hAnsi="Times New Roman" w:eastAsia="Times New Roman" w:cs="Times New Roman"/>
          <w:noProof w:val="0"/>
          <w:sz w:val="24"/>
          <w:szCs w:val="24"/>
          <w:lang w:val="en-US"/>
        </w:rPr>
        <w:t xml:space="preserve"> filtering with Prisma compile-time type enforcement, and PostgreSQL Row-Level Security policies activated via the </w:t>
      </w:r>
      <w:r w:rsidRPr="01A0C124" w:rsidR="330BD178">
        <w:rPr>
          <w:rFonts w:ascii="Consolas" w:hAnsi="Consolas" w:eastAsia="Consolas" w:cs="Consolas"/>
          <w:noProof w:val="0"/>
          <w:sz w:val="24"/>
          <w:szCs w:val="24"/>
          <w:lang w:val="en-US"/>
        </w:rPr>
        <w:t>app.current_tenant_id</w:t>
      </w:r>
      <w:r w:rsidRPr="01A0C124" w:rsidR="330BD178">
        <w:rPr>
          <w:rFonts w:ascii="Times New Roman" w:hAnsi="Times New Roman" w:eastAsia="Times New Roman" w:cs="Times New Roman"/>
          <w:noProof w:val="0"/>
          <w:sz w:val="24"/>
          <w:szCs w:val="24"/>
          <w:lang w:val="en-US"/>
        </w:rPr>
        <w:t xml:space="preserve"> session variable on all 20 tenant-bearing tables. This moves the system from isolation-by-convention — where correctness depends entirely on developer discipline — to isolation-by-enforcement — where the database independently enforces tenant boundaries regardless of application code (PostgreSQL Global Development Group, 2023; Rodero-Merino et al., 2010). The significance of this property for a financial compliance platform handling sensitive regulatory data on behalf of multiple entities cannot be overstated: a database-level RLS violation in a cross-tenant data leak scenario would be impossible even under direct database access.</w:t>
      </w:r>
    </w:p>
    <w:p xmlns:wp14="http://schemas.microsoft.com/office/word/2010/wordml" w:rsidP="01A0C124" wp14:paraId="1F3B1C51" wp14:textId="0B239742">
      <w:pPr>
        <w:bidi w:val="0"/>
        <w:spacing w:before="240" w:beforeAutospacing="off" w:after="240" w:afterAutospacing="off"/>
      </w:pPr>
      <w:r w:rsidRPr="01A0C124" w:rsidR="330BD178">
        <w:rPr>
          <w:rFonts w:ascii="Times New Roman" w:hAnsi="Times New Roman" w:eastAsia="Times New Roman" w:cs="Times New Roman"/>
          <w:b w:val="1"/>
          <w:bCs w:val="1"/>
          <w:noProof w:val="0"/>
          <w:sz w:val="24"/>
          <w:szCs w:val="24"/>
          <w:lang w:val="en-US"/>
        </w:rPr>
        <w:t>Audit trail</w:t>
      </w:r>
      <w:r w:rsidRPr="01A0C124" w:rsidR="330BD178">
        <w:rPr>
          <w:rFonts w:ascii="Times New Roman" w:hAnsi="Times New Roman" w:eastAsia="Times New Roman" w:cs="Times New Roman"/>
          <w:noProof w:val="0"/>
          <w:sz w:val="24"/>
          <w:szCs w:val="24"/>
          <w:lang w:val="en-US"/>
        </w:rPr>
        <w:t xml:space="preserve"> (ISO/IEC 27001:2022 Annex A.12; DORA Article 25). The </w:t>
      </w:r>
      <w:r w:rsidRPr="01A0C124" w:rsidR="330BD178">
        <w:rPr>
          <w:rFonts w:ascii="Consolas" w:hAnsi="Consolas" w:eastAsia="Consolas" w:cs="Consolas"/>
          <w:noProof w:val="0"/>
          <w:sz w:val="24"/>
          <w:szCs w:val="24"/>
          <w:lang w:val="en-US"/>
        </w:rPr>
        <w:t>AuditInterceptor</w:t>
      </w:r>
      <w:r w:rsidRPr="01A0C124" w:rsidR="330BD178">
        <w:rPr>
          <w:rFonts w:ascii="Times New Roman" w:hAnsi="Times New Roman" w:eastAsia="Times New Roman" w:cs="Times New Roman"/>
          <w:noProof w:val="0"/>
          <w:sz w:val="24"/>
          <w:szCs w:val="24"/>
          <w:lang w:val="en-US"/>
        </w:rPr>
        <w:t xml:space="preserve"> with </w:t>
      </w:r>
      <w:r w:rsidRPr="01A0C124" w:rsidR="330BD178">
        <w:rPr>
          <w:rFonts w:ascii="Consolas" w:hAnsi="Consolas" w:eastAsia="Consolas" w:cs="Consolas"/>
          <w:noProof w:val="0"/>
          <w:sz w:val="24"/>
          <w:szCs w:val="24"/>
          <w:lang w:val="en-US"/>
        </w:rPr>
        <w:t>AuditFetchService</w:t>
      </w:r>
      <w:r w:rsidRPr="01A0C124" w:rsidR="330BD178">
        <w:rPr>
          <w:rFonts w:ascii="Times New Roman" w:hAnsi="Times New Roman" w:eastAsia="Times New Roman" w:cs="Times New Roman"/>
          <w:noProof w:val="0"/>
          <w:sz w:val="24"/>
          <w:szCs w:val="24"/>
          <w:lang w:val="en-US"/>
        </w:rPr>
        <w:t xml:space="preserve"> pre-fetch produces a complete, append-only, tamper-evident record of every mutating operation. The JSONB storage of </w:t>
      </w:r>
      <w:r w:rsidRPr="01A0C124" w:rsidR="330BD178">
        <w:rPr>
          <w:rFonts w:ascii="Consolas" w:hAnsi="Consolas" w:eastAsia="Consolas" w:cs="Consolas"/>
          <w:noProof w:val="0"/>
          <w:sz w:val="24"/>
          <w:szCs w:val="24"/>
          <w:lang w:val="en-US"/>
        </w:rPr>
        <w:t>old_values</w:t>
      </w:r>
      <w:r w:rsidRPr="01A0C124" w:rsidR="330BD178">
        <w:rPr>
          <w:rFonts w:ascii="Times New Roman" w:hAnsi="Times New Roman" w:eastAsia="Times New Roman" w:cs="Times New Roman"/>
          <w:noProof w:val="0"/>
          <w:sz w:val="24"/>
          <w:szCs w:val="24"/>
          <w:lang w:val="en-US"/>
        </w:rPr>
        <w:t xml:space="preserve"> and </w:t>
      </w:r>
      <w:r w:rsidRPr="01A0C124" w:rsidR="330BD178">
        <w:rPr>
          <w:rFonts w:ascii="Consolas" w:hAnsi="Consolas" w:eastAsia="Consolas" w:cs="Consolas"/>
          <w:noProof w:val="0"/>
          <w:sz w:val="24"/>
          <w:szCs w:val="24"/>
          <w:lang w:val="en-US"/>
        </w:rPr>
        <w:t>new_values</w:t>
      </w:r>
      <w:r w:rsidRPr="01A0C124" w:rsidR="330BD178">
        <w:rPr>
          <w:rFonts w:ascii="Times New Roman" w:hAnsi="Times New Roman" w:eastAsia="Times New Roman" w:cs="Times New Roman"/>
          <w:noProof w:val="0"/>
          <w:sz w:val="24"/>
          <w:szCs w:val="24"/>
          <w:lang w:val="en-US"/>
        </w:rPr>
        <w:t xml:space="preserve"> enables point-in-time reconstruction of any record's compliance history. The sanitisation of credential fields before persistence ensures audit logs cannot be used as a secondary credential store. This satisfies DORA Article 25's accountability requirements and is consistent with ISO/IEC 27001:2022 Annex A.12.4 logging and monitoring controls (ISO, 2022; European Commission, 2022, Art. 25).</w:t>
      </w:r>
    </w:p>
    <w:p xmlns:wp14="http://schemas.microsoft.com/office/word/2010/wordml" w:rsidP="01A0C124" wp14:paraId="556DB018" wp14:textId="6C9E0F4A">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Table 6.6 summarises the full security controls evaluation.</w:t>
      </w:r>
    </w:p>
    <w:p xmlns:wp14="http://schemas.microsoft.com/office/word/2010/wordml" w:rsidP="01A0C124" wp14:paraId="63B9FAAC" wp14:textId="590F4E08">
      <w:pPr>
        <w:bidi w:val="0"/>
        <w:spacing w:before="240" w:beforeAutospacing="off" w:after="240" w:afterAutospacing="off"/>
      </w:pPr>
      <w:r w:rsidRPr="01A0C124" w:rsidR="330BD178">
        <w:rPr>
          <w:rFonts w:ascii="Times New Roman" w:hAnsi="Times New Roman" w:eastAsia="Times New Roman" w:cs="Times New Roman"/>
          <w:noProof w:val="0"/>
          <w:sz w:val="24"/>
          <w:szCs w:val="24"/>
          <w:lang w:val="en-US"/>
        </w:rPr>
        <w:t>TABLE 6.6 — Security controls evaluation against recognised standards.</w:t>
      </w:r>
    </w:p>
    <w:tbl>
      <w:tblPr>
        <w:tblStyle w:val="TableNormal"/>
        <w:bidiVisual w:val="0"/>
        <w:tblW w:w="0" w:type="auto"/>
        <w:tblLook w:val="06A0" w:firstRow="1" w:lastRow="0" w:firstColumn="1" w:lastColumn="0" w:noHBand="1" w:noVBand="1"/>
      </w:tblPr>
      <w:tblGrid>
        <w:gridCol w:w="2618"/>
        <w:gridCol w:w="2726"/>
        <w:gridCol w:w="3568"/>
        <w:gridCol w:w="1678"/>
      </w:tblGrid>
      <w:tr w:rsidR="01A0C124" w:rsidTr="01A0C124" w14:paraId="58D8F80F">
        <w:trPr>
          <w:trHeight w:val="300"/>
        </w:trPr>
        <w:tc>
          <w:tcPr>
            <w:tcW w:w="2618" w:type="dxa"/>
            <w:tcMar/>
            <w:vAlign w:val="center"/>
          </w:tcPr>
          <w:p w:rsidR="01A0C124" w:rsidP="01A0C124" w:rsidRDefault="01A0C124" w14:paraId="5D79AB26" w14:textId="74880CCC">
            <w:pPr>
              <w:bidi w:val="0"/>
              <w:spacing w:before="0" w:beforeAutospacing="off" w:after="0" w:afterAutospacing="off"/>
              <w:jc w:val="center"/>
            </w:pPr>
            <w:r w:rsidRPr="01A0C124" w:rsidR="01A0C124">
              <w:rPr>
                <w:b w:val="1"/>
                <w:bCs w:val="1"/>
              </w:rPr>
              <w:t>Control</w:t>
            </w:r>
          </w:p>
        </w:tc>
        <w:tc>
          <w:tcPr>
            <w:tcW w:w="2726" w:type="dxa"/>
            <w:tcMar/>
            <w:vAlign w:val="center"/>
          </w:tcPr>
          <w:p w:rsidR="01A0C124" w:rsidP="01A0C124" w:rsidRDefault="01A0C124" w14:paraId="314DA077" w14:textId="16FE28E0">
            <w:pPr>
              <w:bidi w:val="0"/>
              <w:spacing w:before="0" w:beforeAutospacing="off" w:after="0" w:afterAutospacing="off"/>
              <w:jc w:val="center"/>
            </w:pPr>
            <w:r w:rsidRPr="01A0C124" w:rsidR="01A0C124">
              <w:rPr>
                <w:b w:val="1"/>
                <w:bCs w:val="1"/>
              </w:rPr>
              <w:t>Standard / Criterion</w:t>
            </w:r>
          </w:p>
        </w:tc>
        <w:tc>
          <w:tcPr>
            <w:tcW w:w="3568" w:type="dxa"/>
            <w:tcMar/>
            <w:vAlign w:val="center"/>
          </w:tcPr>
          <w:p w:rsidR="01A0C124" w:rsidP="01A0C124" w:rsidRDefault="01A0C124" w14:paraId="20648289" w14:textId="17534229">
            <w:pPr>
              <w:bidi w:val="0"/>
              <w:spacing w:before="0" w:beforeAutospacing="off" w:after="0" w:afterAutospacing="off"/>
              <w:jc w:val="center"/>
            </w:pPr>
            <w:r w:rsidRPr="01A0C124" w:rsidR="01A0C124">
              <w:rPr>
                <w:b w:val="1"/>
                <w:bCs w:val="1"/>
              </w:rPr>
              <w:t>Implementation</w:t>
            </w:r>
          </w:p>
        </w:tc>
        <w:tc>
          <w:tcPr>
            <w:tcW w:w="1678" w:type="dxa"/>
            <w:tcMar/>
            <w:vAlign w:val="center"/>
          </w:tcPr>
          <w:p w:rsidR="01A0C124" w:rsidP="01A0C124" w:rsidRDefault="01A0C124" w14:paraId="71D51488" w14:textId="1621280B">
            <w:pPr>
              <w:bidi w:val="0"/>
              <w:spacing w:before="0" w:beforeAutospacing="off" w:after="0" w:afterAutospacing="off"/>
              <w:jc w:val="center"/>
            </w:pPr>
            <w:r w:rsidRPr="01A0C124" w:rsidR="01A0C124">
              <w:rPr>
                <w:b w:val="1"/>
                <w:bCs w:val="1"/>
              </w:rPr>
              <w:t>Assessment</w:t>
            </w:r>
          </w:p>
        </w:tc>
      </w:tr>
    </w:tbl>
    <w:tbl>
      <w:tblPr>
        <w:tblStyle w:val="TableGrid"/>
        <w:bidiVisual w:val="0"/>
        <w:tblW w:w="0" w:type="auto"/>
        <w:tblInd w:w="-990" w:type="dxa"/>
        <w:tblLook w:val="06A0" w:firstRow="1" w:lastRow="0" w:firstColumn="1" w:lastColumn="0" w:noHBand="1" w:noVBand="1"/>
      </w:tblPr>
      <w:tblGrid>
        <w:gridCol w:w="2919"/>
        <w:gridCol w:w="3267"/>
        <w:gridCol w:w="4132"/>
        <w:gridCol w:w="1460"/>
      </w:tblGrid>
      <w:tr w:rsidR="01A0C124" w:rsidTr="01A0C124" w14:paraId="475D1AB8">
        <w:trPr>
          <w:trHeight w:val="300"/>
        </w:trPr>
        <w:tc>
          <w:tcPr>
            <w:tcW w:w="2919" w:type="dxa"/>
            <w:tcMar/>
          </w:tcPr>
          <w:p w:rsidR="01A0C124" w:rsidP="01A0C124" w:rsidRDefault="01A0C124" w14:paraId="4C5A8D24" w14:textId="473916F6">
            <w:pPr>
              <w:bidi w:val="0"/>
              <w:spacing w:before="0" w:beforeAutospacing="off" w:after="0" w:afterAutospacing="off"/>
              <w:jc w:val="center"/>
            </w:pPr>
            <w:r w:rsidRPr="01A0C124" w:rsidR="01A0C124">
              <w:rPr>
                <w:b w:val="1"/>
                <w:bCs w:val="1"/>
              </w:rPr>
              <w:t>Control</w:t>
            </w:r>
          </w:p>
        </w:tc>
        <w:tc>
          <w:tcPr>
            <w:tcW w:w="3267" w:type="dxa"/>
            <w:tcMar/>
          </w:tcPr>
          <w:p w:rsidR="01A0C124" w:rsidP="01A0C124" w:rsidRDefault="01A0C124" w14:paraId="2116C5E6" w14:textId="365EA48E">
            <w:pPr>
              <w:bidi w:val="0"/>
              <w:spacing w:before="0" w:beforeAutospacing="off" w:after="0" w:afterAutospacing="off"/>
              <w:jc w:val="center"/>
            </w:pPr>
            <w:r w:rsidRPr="01A0C124" w:rsidR="01A0C124">
              <w:rPr>
                <w:b w:val="1"/>
                <w:bCs w:val="1"/>
              </w:rPr>
              <w:t>Standard / Criterion</w:t>
            </w:r>
          </w:p>
        </w:tc>
        <w:tc>
          <w:tcPr>
            <w:tcW w:w="4132" w:type="dxa"/>
            <w:tcMar/>
          </w:tcPr>
          <w:p w:rsidR="01A0C124" w:rsidP="01A0C124" w:rsidRDefault="01A0C124" w14:paraId="63E76D87" w14:textId="751E6CC3">
            <w:pPr>
              <w:bidi w:val="0"/>
              <w:spacing w:before="0" w:beforeAutospacing="off" w:after="0" w:afterAutospacing="off"/>
              <w:jc w:val="center"/>
            </w:pPr>
            <w:r w:rsidRPr="01A0C124" w:rsidR="01A0C124">
              <w:rPr>
                <w:b w:val="1"/>
                <w:bCs w:val="1"/>
              </w:rPr>
              <w:t>Implementation</w:t>
            </w:r>
          </w:p>
        </w:tc>
        <w:tc>
          <w:tcPr>
            <w:tcW w:w="1460" w:type="dxa"/>
            <w:tcMar/>
          </w:tcPr>
          <w:p w:rsidR="01A0C124" w:rsidP="01A0C124" w:rsidRDefault="01A0C124" w14:paraId="19AA25D0" w14:textId="7F95F5D0">
            <w:pPr>
              <w:bidi w:val="0"/>
              <w:spacing w:before="0" w:beforeAutospacing="off" w:after="0" w:afterAutospacing="off"/>
              <w:jc w:val="center"/>
            </w:pPr>
            <w:r w:rsidRPr="01A0C124" w:rsidR="01A0C124">
              <w:rPr>
                <w:b w:val="1"/>
                <w:bCs w:val="1"/>
              </w:rPr>
              <w:t>Assessment</w:t>
            </w:r>
          </w:p>
        </w:tc>
      </w:tr>
      <w:tr w:rsidR="01A0C124" w:rsidTr="01A0C124" w14:paraId="2A152611">
        <w:trPr>
          <w:trHeight w:val="300"/>
        </w:trPr>
        <w:tc>
          <w:tcPr>
            <w:tcW w:w="2919" w:type="dxa"/>
            <w:tcMar/>
          </w:tcPr>
          <w:p w:rsidR="01A0C124" w:rsidP="01A0C124" w:rsidRDefault="01A0C124" w14:paraId="34F66313" w14:textId="20516767">
            <w:pPr>
              <w:bidi w:val="0"/>
              <w:spacing w:before="0" w:beforeAutospacing="off" w:after="0" w:afterAutospacing="off"/>
            </w:pPr>
            <w:r w:rsidR="01A0C124">
              <w:rPr/>
              <w:t>Password hashing</w:t>
            </w:r>
          </w:p>
        </w:tc>
        <w:tc>
          <w:tcPr>
            <w:tcW w:w="3267" w:type="dxa"/>
            <w:tcMar/>
          </w:tcPr>
          <w:p w:rsidR="01A0C124" w:rsidP="01A0C124" w:rsidRDefault="01A0C124" w14:paraId="5DF2CC8F" w14:textId="251CEF6C">
            <w:pPr>
              <w:bidi w:val="0"/>
              <w:spacing w:before="0" w:beforeAutospacing="off" w:after="0" w:afterAutospacing="off"/>
            </w:pPr>
            <w:r w:rsidR="01A0C124">
              <w:rPr/>
              <w:t>NIST SP 800-63B</w:t>
            </w:r>
          </w:p>
        </w:tc>
        <w:tc>
          <w:tcPr>
            <w:tcW w:w="4132" w:type="dxa"/>
            <w:tcMar/>
          </w:tcPr>
          <w:p w:rsidR="01A0C124" w:rsidP="01A0C124" w:rsidRDefault="01A0C124" w14:paraId="0A568ECC" w14:textId="5AD1BEC1">
            <w:pPr>
              <w:bidi w:val="0"/>
              <w:spacing w:before="0" w:beforeAutospacing="off" w:after="0" w:afterAutospacing="off"/>
            </w:pPr>
            <w:r w:rsidR="01A0C124">
              <w:rPr/>
              <w:t>bcrypt, 10 rounds</w:t>
            </w:r>
          </w:p>
        </w:tc>
        <w:tc>
          <w:tcPr>
            <w:tcW w:w="1460" w:type="dxa"/>
            <w:tcMar/>
          </w:tcPr>
          <w:p w:rsidR="01A0C124" w:rsidP="01A0C124" w:rsidRDefault="01A0C124" w14:paraId="7305EC21" w14:textId="618ED755">
            <w:pPr>
              <w:bidi w:val="0"/>
              <w:spacing w:before="0" w:beforeAutospacing="off" w:after="0" w:afterAutospacing="off"/>
            </w:pPr>
            <w:r w:rsidR="01A0C124">
              <w:rPr/>
              <w:t>Meets standard</w:t>
            </w:r>
          </w:p>
        </w:tc>
      </w:tr>
      <w:tr w:rsidR="01A0C124" w:rsidTr="01A0C124" w14:paraId="02062E2A">
        <w:trPr>
          <w:trHeight w:val="300"/>
        </w:trPr>
        <w:tc>
          <w:tcPr>
            <w:tcW w:w="2919" w:type="dxa"/>
            <w:tcMar/>
          </w:tcPr>
          <w:p w:rsidR="01A0C124" w:rsidP="01A0C124" w:rsidRDefault="01A0C124" w14:paraId="284DC2F6" w14:textId="7D3ADC52">
            <w:pPr>
              <w:bidi w:val="0"/>
              <w:spacing w:before="0" w:beforeAutospacing="off" w:after="0" w:afterAutospacing="off"/>
            </w:pPr>
            <w:r w:rsidR="01A0C124">
              <w:rPr/>
              <w:t>Access token TTL</w:t>
            </w:r>
          </w:p>
        </w:tc>
        <w:tc>
          <w:tcPr>
            <w:tcW w:w="3267" w:type="dxa"/>
            <w:tcMar/>
          </w:tcPr>
          <w:p w:rsidR="01A0C124" w:rsidP="01A0C124" w:rsidRDefault="01A0C124" w14:paraId="31C9AF18" w14:textId="16BE51EC">
            <w:pPr>
              <w:bidi w:val="0"/>
              <w:spacing w:before="0" w:beforeAutospacing="off" w:after="0" w:afterAutospacing="off"/>
            </w:pPr>
            <w:r w:rsidR="01A0C124">
              <w:rPr/>
              <w:t>OWASP session management</w:t>
            </w:r>
          </w:p>
        </w:tc>
        <w:tc>
          <w:tcPr>
            <w:tcW w:w="4132" w:type="dxa"/>
            <w:tcMar/>
          </w:tcPr>
          <w:p w:rsidR="01A0C124" w:rsidP="01A0C124" w:rsidRDefault="01A0C124" w14:paraId="0842CBCA" w14:textId="51CA846D">
            <w:pPr>
              <w:bidi w:val="0"/>
              <w:spacing w:before="0" w:beforeAutospacing="off" w:after="0" w:afterAutospacing="off"/>
            </w:pPr>
            <w:r w:rsidR="01A0C124">
              <w:rPr/>
              <w:t>15-minute expiry</w:t>
            </w:r>
          </w:p>
        </w:tc>
        <w:tc>
          <w:tcPr>
            <w:tcW w:w="1460" w:type="dxa"/>
            <w:tcMar/>
          </w:tcPr>
          <w:p w:rsidR="01A0C124" w:rsidP="01A0C124" w:rsidRDefault="01A0C124" w14:paraId="379466F2" w14:textId="06F4E4F3">
            <w:pPr>
              <w:bidi w:val="0"/>
              <w:spacing w:before="0" w:beforeAutospacing="off" w:after="0" w:afterAutospacing="off"/>
            </w:pPr>
            <w:r w:rsidR="01A0C124">
              <w:rPr/>
              <w:t>Meets standard</w:t>
            </w:r>
          </w:p>
        </w:tc>
      </w:tr>
      <w:tr w:rsidR="01A0C124" w:rsidTr="01A0C124" w14:paraId="66621FEB">
        <w:trPr>
          <w:trHeight w:val="300"/>
        </w:trPr>
        <w:tc>
          <w:tcPr>
            <w:tcW w:w="2919" w:type="dxa"/>
            <w:tcMar/>
          </w:tcPr>
          <w:p w:rsidR="01A0C124" w:rsidP="01A0C124" w:rsidRDefault="01A0C124" w14:paraId="08E012E4" w14:textId="4960E07B">
            <w:pPr>
              <w:bidi w:val="0"/>
              <w:spacing w:before="0" w:beforeAutospacing="off" w:after="0" w:afterAutospacing="off"/>
            </w:pPr>
            <w:r w:rsidR="01A0C124">
              <w:rPr/>
              <w:t>Refresh token storage</w:t>
            </w:r>
          </w:p>
        </w:tc>
        <w:tc>
          <w:tcPr>
            <w:tcW w:w="3267" w:type="dxa"/>
            <w:tcMar/>
          </w:tcPr>
          <w:p w:rsidR="01A0C124" w:rsidP="01A0C124" w:rsidRDefault="01A0C124" w14:paraId="589B4DEE" w14:textId="4AC252DB">
            <w:pPr>
              <w:bidi w:val="0"/>
              <w:spacing w:before="0" w:beforeAutospacing="off" w:after="0" w:afterAutospacing="off"/>
            </w:pPr>
            <w:r w:rsidR="01A0C124">
              <w:rPr/>
              <w:t>OWASP token security</w:t>
            </w:r>
          </w:p>
        </w:tc>
        <w:tc>
          <w:tcPr>
            <w:tcW w:w="4132" w:type="dxa"/>
            <w:tcMar/>
          </w:tcPr>
          <w:p w:rsidR="01A0C124" w:rsidP="01A0C124" w:rsidRDefault="01A0C124" w14:paraId="4550653D" w14:textId="1AFA266C">
            <w:pPr>
              <w:bidi w:val="0"/>
              <w:spacing w:before="0" w:beforeAutospacing="off" w:after="0" w:afterAutospacing="off"/>
            </w:pPr>
            <w:r w:rsidR="01A0C124">
              <w:rPr/>
              <w:t>bcrypt hash, not raw value</w:t>
            </w:r>
          </w:p>
        </w:tc>
        <w:tc>
          <w:tcPr>
            <w:tcW w:w="1460" w:type="dxa"/>
            <w:tcMar/>
          </w:tcPr>
          <w:p w:rsidR="01A0C124" w:rsidP="01A0C124" w:rsidRDefault="01A0C124" w14:paraId="36D7424B" w14:textId="469F37F6">
            <w:pPr>
              <w:bidi w:val="0"/>
              <w:spacing w:before="0" w:beforeAutospacing="off" w:after="0" w:afterAutospacing="off"/>
            </w:pPr>
            <w:r w:rsidR="01A0C124">
              <w:rPr/>
              <w:t>Meets standard</w:t>
            </w:r>
          </w:p>
        </w:tc>
      </w:tr>
      <w:tr w:rsidR="01A0C124" w:rsidTr="01A0C124" w14:paraId="24769380">
        <w:trPr>
          <w:trHeight w:val="300"/>
        </w:trPr>
        <w:tc>
          <w:tcPr>
            <w:tcW w:w="2919" w:type="dxa"/>
            <w:tcMar/>
          </w:tcPr>
          <w:p w:rsidR="01A0C124" w:rsidP="01A0C124" w:rsidRDefault="01A0C124" w14:paraId="5BCCD1DB" w14:textId="311D99E4">
            <w:pPr>
              <w:bidi w:val="0"/>
              <w:spacing w:before="0" w:beforeAutospacing="off" w:after="0" w:afterAutospacing="off"/>
            </w:pPr>
            <w:r w:rsidR="01A0C124">
              <w:rPr/>
              <w:t>HttpOnly path-scoped cookies</w:t>
            </w:r>
          </w:p>
        </w:tc>
        <w:tc>
          <w:tcPr>
            <w:tcW w:w="3267" w:type="dxa"/>
            <w:tcMar/>
          </w:tcPr>
          <w:p w:rsidR="01A0C124" w:rsidP="01A0C124" w:rsidRDefault="01A0C124" w14:paraId="0274DDC1" w14:textId="10557923">
            <w:pPr>
              <w:bidi w:val="0"/>
              <w:spacing w:before="0" w:beforeAutospacing="off" w:after="0" w:afterAutospacing="off"/>
            </w:pPr>
            <w:r w:rsidR="01A0C124">
              <w:rPr/>
              <w:t>OWASP A07</w:t>
            </w:r>
          </w:p>
        </w:tc>
        <w:tc>
          <w:tcPr>
            <w:tcW w:w="4132" w:type="dxa"/>
            <w:tcMar/>
          </w:tcPr>
          <w:p w:rsidR="01A0C124" w:rsidP="01A0C124" w:rsidRDefault="01A0C124" w14:paraId="61C2DF0F" w14:textId="77965958">
            <w:pPr>
              <w:bidi w:val="0"/>
              <w:spacing w:before="0" w:beforeAutospacing="off" w:after="0" w:afterAutospacing="off"/>
            </w:pPr>
            <w:r w:rsidRPr="01A0C124" w:rsidR="01A0C124">
              <w:rPr>
                <w:rFonts w:ascii="Consolas" w:hAnsi="Consolas" w:eastAsia="Consolas" w:cs="Consolas"/>
              </w:rPr>
              <w:t>/api/v1/auth</w:t>
            </w:r>
            <w:r w:rsidR="01A0C124">
              <w:rPr/>
              <w:t xml:space="preserve"> scoped SameSite:Strict</w:t>
            </w:r>
          </w:p>
        </w:tc>
        <w:tc>
          <w:tcPr>
            <w:tcW w:w="1460" w:type="dxa"/>
            <w:tcMar/>
          </w:tcPr>
          <w:p w:rsidR="01A0C124" w:rsidP="01A0C124" w:rsidRDefault="01A0C124" w14:paraId="40E98226" w14:textId="48047A5D">
            <w:pPr>
              <w:bidi w:val="0"/>
              <w:spacing w:before="0" w:beforeAutospacing="off" w:after="0" w:afterAutospacing="off"/>
            </w:pPr>
            <w:r w:rsidR="01A0C124">
              <w:rPr/>
              <w:t>Meets standard</w:t>
            </w:r>
          </w:p>
        </w:tc>
      </w:tr>
      <w:tr w:rsidR="01A0C124" w:rsidTr="01A0C124" w14:paraId="08D131EA">
        <w:trPr>
          <w:trHeight w:val="300"/>
        </w:trPr>
        <w:tc>
          <w:tcPr>
            <w:tcW w:w="2919" w:type="dxa"/>
            <w:tcMar/>
          </w:tcPr>
          <w:p w:rsidR="01A0C124" w:rsidP="01A0C124" w:rsidRDefault="01A0C124" w14:paraId="7C8C4146" w14:textId="6CE48773">
            <w:pPr>
              <w:bidi w:val="0"/>
              <w:spacing w:before="0" w:beforeAutospacing="off" w:after="0" w:afterAutospacing="off"/>
            </w:pPr>
            <w:r w:rsidR="01A0C124">
              <w:rPr/>
              <w:t>Per-use token rotation</w:t>
            </w:r>
          </w:p>
        </w:tc>
        <w:tc>
          <w:tcPr>
            <w:tcW w:w="3267" w:type="dxa"/>
            <w:tcMar/>
          </w:tcPr>
          <w:p w:rsidR="01A0C124" w:rsidP="01A0C124" w:rsidRDefault="01A0C124" w14:paraId="5F21B79D" w14:textId="33397237">
            <w:pPr>
              <w:bidi w:val="0"/>
              <w:spacing w:before="0" w:beforeAutospacing="off" w:after="0" w:afterAutospacing="off"/>
            </w:pPr>
            <w:r w:rsidR="01A0C124">
              <w:rPr/>
              <w:t>NIST SP 800-63B</w:t>
            </w:r>
          </w:p>
        </w:tc>
        <w:tc>
          <w:tcPr>
            <w:tcW w:w="4132" w:type="dxa"/>
            <w:tcMar/>
          </w:tcPr>
          <w:p w:rsidR="01A0C124" w:rsidP="01A0C124" w:rsidRDefault="01A0C124" w14:paraId="0EB11165" w14:textId="5342C950">
            <w:pPr>
              <w:bidi w:val="0"/>
              <w:spacing w:before="0" w:beforeAutospacing="off" w:after="0" w:afterAutospacing="off"/>
            </w:pPr>
            <w:r w:rsidR="01A0C124">
              <w:rPr/>
              <w:t>New hash on every refresh; old invalidated</w:t>
            </w:r>
          </w:p>
        </w:tc>
        <w:tc>
          <w:tcPr>
            <w:tcW w:w="1460" w:type="dxa"/>
            <w:tcMar/>
          </w:tcPr>
          <w:p w:rsidR="01A0C124" w:rsidP="01A0C124" w:rsidRDefault="01A0C124" w14:paraId="440BFEE1" w14:textId="5864F20E">
            <w:pPr>
              <w:bidi w:val="0"/>
              <w:spacing w:before="0" w:beforeAutospacing="off" w:after="0" w:afterAutospacing="off"/>
            </w:pPr>
            <w:r w:rsidR="01A0C124">
              <w:rPr/>
              <w:t>Meets standard</w:t>
            </w:r>
          </w:p>
        </w:tc>
      </w:tr>
      <w:tr w:rsidR="01A0C124" w:rsidTr="01A0C124" w14:paraId="7D382C29">
        <w:trPr>
          <w:trHeight w:val="300"/>
        </w:trPr>
        <w:tc>
          <w:tcPr>
            <w:tcW w:w="2919" w:type="dxa"/>
            <w:tcMar/>
          </w:tcPr>
          <w:p w:rsidR="01A0C124" w:rsidP="01A0C124" w:rsidRDefault="01A0C124" w14:paraId="76246C00" w14:textId="50E62F46">
            <w:pPr>
              <w:bidi w:val="0"/>
              <w:spacing w:before="0" w:beforeAutospacing="off" w:after="0" w:afterAutospacing="off"/>
            </w:pPr>
            <w:r w:rsidR="01A0C124">
              <w:rPr/>
              <w:t>RBAC — dual layer</w:t>
            </w:r>
          </w:p>
        </w:tc>
        <w:tc>
          <w:tcPr>
            <w:tcW w:w="3267" w:type="dxa"/>
            <w:tcMar/>
          </w:tcPr>
          <w:p w:rsidR="01A0C124" w:rsidP="01A0C124" w:rsidRDefault="01A0C124" w14:paraId="686DD779" w14:textId="56D60F2A">
            <w:pPr>
              <w:bidi w:val="0"/>
              <w:spacing w:before="0" w:beforeAutospacing="off" w:after="0" w:afterAutospacing="off"/>
            </w:pPr>
            <w:r w:rsidR="01A0C124">
              <w:rPr/>
              <w:t>ISO 27001 A.9; least privilege</w:t>
            </w:r>
          </w:p>
        </w:tc>
        <w:tc>
          <w:tcPr>
            <w:tcW w:w="4132" w:type="dxa"/>
            <w:tcMar/>
          </w:tcPr>
          <w:p w:rsidR="01A0C124" w:rsidP="01A0C124" w:rsidRDefault="01A0C124" w14:paraId="5B5D4B66" w14:textId="52662E54">
            <w:pPr>
              <w:bidi w:val="0"/>
              <w:spacing w:before="0" w:beforeAutospacing="off" w:after="0" w:afterAutospacing="off"/>
            </w:pPr>
            <w:r w:rsidRPr="01A0C124" w:rsidR="01A0C124">
              <w:rPr>
                <w:rFonts w:ascii="Consolas" w:hAnsi="Consolas" w:eastAsia="Consolas" w:cs="Consolas"/>
              </w:rPr>
              <w:t>RolesGuard</w:t>
            </w:r>
            <w:r w:rsidR="01A0C124">
              <w:rPr/>
              <w:t xml:space="preserve"> + service </w:t>
            </w:r>
            <w:r w:rsidRPr="01A0C124" w:rsidR="01A0C124">
              <w:rPr>
                <w:rFonts w:ascii="Consolas" w:hAnsi="Consolas" w:eastAsia="Consolas" w:cs="Consolas"/>
              </w:rPr>
              <w:t>tenantId</w:t>
            </w:r>
            <w:r w:rsidR="01A0C124">
              <w:rPr/>
              <w:t xml:space="preserve"> re-verify</w:t>
            </w:r>
          </w:p>
        </w:tc>
        <w:tc>
          <w:tcPr>
            <w:tcW w:w="1460" w:type="dxa"/>
            <w:tcMar/>
          </w:tcPr>
          <w:p w:rsidR="01A0C124" w:rsidP="01A0C124" w:rsidRDefault="01A0C124" w14:paraId="24E718B0" w14:textId="0D4BB136">
            <w:pPr>
              <w:bidi w:val="0"/>
              <w:spacing w:before="0" w:beforeAutospacing="off" w:after="0" w:afterAutospacing="off"/>
            </w:pPr>
            <w:r w:rsidR="01A0C124">
              <w:rPr/>
              <w:t>Meets standard</w:t>
            </w:r>
          </w:p>
        </w:tc>
      </w:tr>
      <w:tr w:rsidR="01A0C124" w:rsidTr="01A0C124" w14:paraId="52C6993C">
        <w:trPr>
          <w:trHeight w:val="300"/>
        </w:trPr>
        <w:tc>
          <w:tcPr>
            <w:tcW w:w="2919" w:type="dxa"/>
            <w:tcMar/>
          </w:tcPr>
          <w:p w:rsidR="01A0C124" w:rsidP="01A0C124" w:rsidRDefault="01A0C124" w14:paraId="69ACA369" w14:textId="5B2AEA66">
            <w:pPr>
              <w:bidi w:val="0"/>
              <w:spacing w:before="0" w:beforeAutospacing="off" w:after="0" w:afterAutospacing="off"/>
            </w:pPr>
            <w:r w:rsidR="01A0C124">
              <w:rPr/>
              <w:t>Tenant isolation — app layer</w:t>
            </w:r>
          </w:p>
        </w:tc>
        <w:tc>
          <w:tcPr>
            <w:tcW w:w="3267" w:type="dxa"/>
            <w:tcMar/>
          </w:tcPr>
          <w:p w:rsidR="01A0C124" w:rsidP="01A0C124" w:rsidRDefault="01A0C124" w14:paraId="2D52A475" w14:textId="0C665CE8">
            <w:pPr>
              <w:bidi w:val="0"/>
              <w:spacing w:before="0" w:beforeAutospacing="off" w:after="0" w:afterAutospacing="off"/>
            </w:pPr>
            <w:r w:rsidR="01A0C124">
              <w:rPr/>
              <w:t>Multi-tenancy best practice</w:t>
            </w:r>
          </w:p>
        </w:tc>
        <w:tc>
          <w:tcPr>
            <w:tcW w:w="4132" w:type="dxa"/>
            <w:tcMar/>
          </w:tcPr>
          <w:p w:rsidR="01A0C124" w:rsidP="01A0C124" w:rsidRDefault="01A0C124" w14:paraId="44A6A76E" w14:textId="588ECEDD">
            <w:pPr>
              <w:bidi w:val="0"/>
              <w:spacing w:before="0" w:beforeAutospacing="off" w:after="0" w:afterAutospacing="off"/>
            </w:pPr>
            <w:r w:rsidR="01A0C124">
              <w:rPr/>
              <w:t xml:space="preserve">Prisma compile-time </w:t>
            </w:r>
            <w:r w:rsidRPr="01A0C124" w:rsidR="01A0C124">
              <w:rPr>
                <w:rFonts w:ascii="Consolas" w:hAnsi="Consolas" w:eastAsia="Consolas" w:cs="Consolas"/>
              </w:rPr>
              <w:t>tenantId</w:t>
            </w:r>
            <w:r w:rsidR="01A0C124">
              <w:rPr/>
              <w:t xml:space="preserve"> filter</w:t>
            </w:r>
          </w:p>
        </w:tc>
        <w:tc>
          <w:tcPr>
            <w:tcW w:w="1460" w:type="dxa"/>
            <w:tcMar/>
          </w:tcPr>
          <w:p w:rsidR="01A0C124" w:rsidP="01A0C124" w:rsidRDefault="01A0C124" w14:paraId="57373795" w14:textId="523303F8">
            <w:pPr>
              <w:bidi w:val="0"/>
              <w:spacing w:before="0" w:beforeAutospacing="off" w:after="0" w:afterAutospacing="off"/>
            </w:pPr>
            <w:r w:rsidR="01A0C124">
              <w:rPr/>
              <w:t>Meets standard</w:t>
            </w:r>
          </w:p>
        </w:tc>
      </w:tr>
      <w:tr w:rsidR="01A0C124" w:rsidTr="01A0C124" w14:paraId="107D996E">
        <w:trPr>
          <w:trHeight w:val="300"/>
        </w:trPr>
        <w:tc>
          <w:tcPr>
            <w:tcW w:w="2919" w:type="dxa"/>
            <w:tcMar/>
          </w:tcPr>
          <w:p w:rsidR="01A0C124" w:rsidP="01A0C124" w:rsidRDefault="01A0C124" w14:paraId="1A4EB121" w14:textId="1076FF89">
            <w:pPr>
              <w:bidi w:val="0"/>
              <w:spacing w:before="0" w:beforeAutospacing="off" w:after="0" w:afterAutospacing="off"/>
            </w:pPr>
            <w:r w:rsidR="01A0C124">
              <w:rPr/>
              <w:t>Tenant isolation — DB layer</w:t>
            </w:r>
          </w:p>
        </w:tc>
        <w:tc>
          <w:tcPr>
            <w:tcW w:w="3267" w:type="dxa"/>
            <w:tcMar/>
          </w:tcPr>
          <w:p w:rsidR="01A0C124" w:rsidP="01A0C124" w:rsidRDefault="01A0C124" w14:paraId="3BE997F0" w14:textId="5CED32AE">
            <w:pPr>
              <w:bidi w:val="0"/>
              <w:spacing w:before="0" w:beforeAutospacing="off" w:after="0" w:afterAutospacing="off"/>
            </w:pPr>
            <w:r w:rsidR="01A0C124">
              <w:rPr/>
              <w:t>GDPR Art. 25; ISO 27001 A.9</w:t>
            </w:r>
          </w:p>
        </w:tc>
        <w:tc>
          <w:tcPr>
            <w:tcW w:w="4132" w:type="dxa"/>
            <w:tcMar/>
          </w:tcPr>
          <w:p w:rsidR="01A0C124" w:rsidP="01A0C124" w:rsidRDefault="01A0C124" w14:paraId="583C32CE" w14:textId="71D89021">
            <w:pPr>
              <w:bidi w:val="0"/>
              <w:spacing w:before="0" w:beforeAutospacing="off" w:after="0" w:afterAutospacing="off"/>
            </w:pPr>
            <w:r w:rsidR="01A0C124">
              <w:rPr/>
              <w:t>PostgreSQL RLS on 20 tables</w:t>
            </w:r>
          </w:p>
        </w:tc>
        <w:tc>
          <w:tcPr>
            <w:tcW w:w="1460" w:type="dxa"/>
            <w:tcMar/>
          </w:tcPr>
          <w:p w:rsidR="01A0C124" w:rsidP="01A0C124" w:rsidRDefault="01A0C124" w14:paraId="6BCDBF25" w14:textId="08B1B299">
            <w:pPr>
              <w:bidi w:val="0"/>
              <w:spacing w:before="0" w:beforeAutospacing="off" w:after="0" w:afterAutospacing="off"/>
            </w:pPr>
            <w:r w:rsidR="01A0C124">
              <w:rPr/>
              <w:t>Meets standard</w:t>
            </w:r>
          </w:p>
        </w:tc>
      </w:tr>
      <w:tr w:rsidR="01A0C124" w:rsidTr="01A0C124" w14:paraId="01E58B76">
        <w:trPr>
          <w:trHeight w:val="300"/>
        </w:trPr>
        <w:tc>
          <w:tcPr>
            <w:tcW w:w="2919" w:type="dxa"/>
            <w:tcMar/>
          </w:tcPr>
          <w:p w:rsidR="01A0C124" w:rsidP="01A0C124" w:rsidRDefault="01A0C124" w14:paraId="556173ED" w14:textId="2366DC86">
            <w:pPr>
              <w:bidi w:val="0"/>
              <w:spacing w:before="0" w:beforeAutospacing="off" w:after="0" w:afterAutospacing="off"/>
            </w:pPr>
            <w:r w:rsidR="01A0C124">
              <w:rPr/>
              <w:t>Rate limiting</w:t>
            </w:r>
          </w:p>
        </w:tc>
        <w:tc>
          <w:tcPr>
            <w:tcW w:w="3267" w:type="dxa"/>
            <w:tcMar/>
          </w:tcPr>
          <w:p w:rsidR="01A0C124" w:rsidP="01A0C124" w:rsidRDefault="01A0C124" w14:paraId="68E6D66A" w14:textId="648D0B9B">
            <w:pPr>
              <w:bidi w:val="0"/>
              <w:spacing w:before="0" w:beforeAutospacing="off" w:after="0" w:afterAutospacing="off"/>
            </w:pPr>
            <w:r w:rsidR="01A0C124">
              <w:rPr/>
              <w:t>OWASP A04</w:t>
            </w:r>
          </w:p>
        </w:tc>
        <w:tc>
          <w:tcPr>
            <w:tcW w:w="4132" w:type="dxa"/>
            <w:tcMar/>
          </w:tcPr>
          <w:p w:rsidR="01A0C124" w:rsidP="01A0C124" w:rsidRDefault="01A0C124" w14:paraId="789558C3" w14:textId="7FCEFEB3">
            <w:pPr>
              <w:bidi w:val="0"/>
              <w:spacing w:before="0" w:beforeAutospacing="off" w:after="0" w:afterAutospacing="off"/>
            </w:pPr>
            <w:r w:rsidR="01A0C124">
              <w:rPr/>
              <w:t>10 req/60s globally</w:t>
            </w:r>
          </w:p>
        </w:tc>
        <w:tc>
          <w:tcPr>
            <w:tcW w:w="1460" w:type="dxa"/>
            <w:tcMar/>
          </w:tcPr>
          <w:p w:rsidR="01A0C124" w:rsidP="01A0C124" w:rsidRDefault="01A0C124" w14:paraId="23AD929A" w14:textId="0D7983AE">
            <w:pPr>
              <w:bidi w:val="0"/>
              <w:spacing w:before="0" w:beforeAutospacing="off" w:after="0" w:afterAutospacing="off"/>
            </w:pPr>
            <w:r w:rsidR="01A0C124">
              <w:rPr/>
              <w:t>Meets standard</w:t>
            </w:r>
          </w:p>
        </w:tc>
      </w:tr>
      <w:tr w:rsidR="01A0C124" w:rsidTr="01A0C124" w14:paraId="2BA93484">
        <w:trPr>
          <w:trHeight w:val="300"/>
        </w:trPr>
        <w:tc>
          <w:tcPr>
            <w:tcW w:w="2919" w:type="dxa"/>
            <w:tcMar/>
          </w:tcPr>
          <w:p w:rsidR="01A0C124" w:rsidP="01A0C124" w:rsidRDefault="01A0C124" w14:paraId="24E4DF4E" w14:textId="0511B0F8">
            <w:pPr>
              <w:bidi w:val="0"/>
              <w:spacing w:before="0" w:beforeAutospacing="off" w:after="0" w:afterAutospacing="off"/>
            </w:pPr>
            <w:r w:rsidR="01A0C124">
              <w:rPr/>
              <w:t>Security headers</w:t>
            </w:r>
          </w:p>
        </w:tc>
        <w:tc>
          <w:tcPr>
            <w:tcW w:w="3267" w:type="dxa"/>
            <w:tcMar/>
          </w:tcPr>
          <w:p w:rsidR="01A0C124" w:rsidP="01A0C124" w:rsidRDefault="01A0C124" w14:paraId="414828B9" w14:textId="5817EECC">
            <w:pPr>
              <w:bidi w:val="0"/>
              <w:spacing w:before="0" w:beforeAutospacing="off" w:after="0" w:afterAutospacing="off"/>
            </w:pPr>
            <w:r w:rsidR="01A0C124">
              <w:rPr/>
              <w:t>OWASP A05</w:t>
            </w:r>
          </w:p>
        </w:tc>
        <w:tc>
          <w:tcPr>
            <w:tcW w:w="4132" w:type="dxa"/>
            <w:tcMar/>
          </w:tcPr>
          <w:p w:rsidR="01A0C124" w:rsidP="01A0C124" w:rsidRDefault="01A0C124" w14:paraId="5045177E" w14:textId="2C96DF0D">
            <w:pPr>
              <w:bidi w:val="0"/>
              <w:spacing w:before="0" w:beforeAutospacing="off" w:after="0" w:afterAutospacing="off"/>
            </w:pPr>
            <w:r w:rsidR="01A0C124">
              <w:rPr/>
              <w:t>Helmet 8.1.0</w:t>
            </w:r>
          </w:p>
        </w:tc>
        <w:tc>
          <w:tcPr>
            <w:tcW w:w="1460" w:type="dxa"/>
            <w:tcMar/>
          </w:tcPr>
          <w:p w:rsidR="01A0C124" w:rsidP="01A0C124" w:rsidRDefault="01A0C124" w14:paraId="19968D5D" w14:textId="36B6EE9A">
            <w:pPr>
              <w:bidi w:val="0"/>
              <w:spacing w:before="0" w:beforeAutospacing="off" w:after="0" w:afterAutospacing="off"/>
            </w:pPr>
            <w:r w:rsidR="01A0C124">
              <w:rPr/>
              <w:t>Meets standard</w:t>
            </w:r>
          </w:p>
        </w:tc>
      </w:tr>
      <w:tr w:rsidR="01A0C124" w:rsidTr="01A0C124" w14:paraId="5143DBC1">
        <w:trPr>
          <w:trHeight w:val="300"/>
        </w:trPr>
        <w:tc>
          <w:tcPr>
            <w:tcW w:w="2919" w:type="dxa"/>
            <w:tcMar/>
          </w:tcPr>
          <w:p w:rsidR="01A0C124" w:rsidP="01A0C124" w:rsidRDefault="01A0C124" w14:paraId="15CBCC98" w14:textId="4F9C2613">
            <w:pPr>
              <w:bidi w:val="0"/>
              <w:spacing w:before="0" w:beforeAutospacing="off" w:after="0" w:afterAutospacing="off"/>
            </w:pPr>
            <w:r w:rsidR="01A0C124">
              <w:rPr/>
              <w:t>Audit logging</w:t>
            </w:r>
          </w:p>
        </w:tc>
        <w:tc>
          <w:tcPr>
            <w:tcW w:w="3267" w:type="dxa"/>
            <w:tcMar/>
          </w:tcPr>
          <w:p w:rsidR="01A0C124" w:rsidP="01A0C124" w:rsidRDefault="01A0C124" w14:paraId="4CCE0A0A" w14:textId="02A2669F">
            <w:pPr>
              <w:bidi w:val="0"/>
              <w:spacing w:before="0" w:beforeAutospacing="off" w:after="0" w:afterAutospacing="off"/>
            </w:pPr>
            <w:r w:rsidR="01A0C124">
              <w:rPr/>
              <w:t>ISO 27001 A.12.4; DORA Art. 25</w:t>
            </w:r>
          </w:p>
        </w:tc>
        <w:tc>
          <w:tcPr>
            <w:tcW w:w="4132" w:type="dxa"/>
            <w:tcMar/>
          </w:tcPr>
          <w:p w:rsidR="01A0C124" w:rsidP="01A0C124" w:rsidRDefault="01A0C124" w14:paraId="17B96533" w14:textId="3C54B497">
            <w:pPr>
              <w:bidi w:val="0"/>
              <w:spacing w:before="0" w:beforeAutospacing="off" w:after="0" w:afterAutospacing="off"/>
            </w:pPr>
            <w:r w:rsidR="01A0C124">
              <w:rPr/>
              <w:t>Before/after JSONB; sanitised</w:t>
            </w:r>
          </w:p>
        </w:tc>
        <w:tc>
          <w:tcPr>
            <w:tcW w:w="1460" w:type="dxa"/>
            <w:tcMar/>
          </w:tcPr>
          <w:p w:rsidR="01A0C124" w:rsidP="01A0C124" w:rsidRDefault="01A0C124" w14:paraId="10D663C4" w14:textId="7C168271">
            <w:pPr>
              <w:bidi w:val="0"/>
              <w:spacing w:before="0" w:beforeAutospacing="off" w:after="0" w:afterAutospacing="off"/>
            </w:pPr>
            <w:r w:rsidR="01A0C124">
              <w:rPr/>
              <w:t>Meets standard</w:t>
            </w:r>
          </w:p>
        </w:tc>
      </w:tr>
      <w:tr w:rsidR="01A0C124" w:rsidTr="01A0C124" w14:paraId="2A04D0F1">
        <w:trPr>
          <w:trHeight w:val="300"/>
        </w:trPr>
        <w:tc>
          <w:tcPr>
            <w:tcW w:w="2919" w:type="dxa"/>
            <w:tcMar/>
          </w:tcPr>
          <w:p w:rsidR="01A0C124" w:rsidP="01A0C124" w:rsidRDefault="01A0C124" w14:paraId="1486D6BB" w14:textId="72BF7D59">
            <w:pPr>
              <w:bidi w:val="0"/>
              <w:spacing w:before="0" w:beforeAutospacing="off" w:after="0" w:afterAutospacing="off"/>
            </w:pPr>
            <w:r w:rsidR="01A0C124">
              <w:rPr/>
              <w:t>MFA</w:t>
            </w:r>
          </w:p>
        </w:tc>
        <w:tc>
          <w:tcPr>
            <w:tcW w:w="3267" w:type="dxa"/>
            <w:tcMar/>
          </w:tcPr>
          <w:p w:rsidR="01A0C124" w:rsidP="01A0C124" w:rsidRDefault="01A0C124" w14:paraId="045821D8" w14:textId="4A631099">
            <w:pPr>
              <w:bidi w:val="0"/>
              <w:spacing w:before="0" w:beforeAutospacing="off" w:after="0" w:afterAutospacing="off"/>
            </w:pPr>
            <w:r w:rsidR="01A0C124">
              <w:rPr/>
              <w:t>NIST SP 800-63B Level 2</w:t>
            </w:r>
          </w:p>
        </w:tc>
        <w:tc>
          <w:tcPr>
            <w:tcW w:w="4132" w:type="dxa"/>
            <w:tcMar/>
          </w:tcPr>
          <w:p w:rsidR="01A0C124" w:rsidP="01A0C124" w:rsidRDefault="01A0C124" w14:paraId="12C7206D" w14:textId="7F3F9775">
            <w:pPr>
              <w:bidi w:val="0"/>
              <w:spacing w:before="0" w:beforeAutospacing="off" w:after="0" w:afterAutospacing="off"/>
            </w:pPr>
            <w:r w:rsidR="01A0C124">
              <w:rPr/>
              <w:t>Not implemented</w:t>
            </w:r>
          </w:p>
        </w:tc>
        <w:tc>
          <w:tcPr>
            <w:tcW w:w="1460" w:type="dxa"/>
            <w:tcMar/>
          </w:tcPr>
          <w:p w:rsidR="01A0C124" w:rsidP="01A0C124" w:rsidRDefault="01A0C124" w14:paraId="4EE959F2" w14:textId="175379B6">
            <w:pPr>
              <w:bidi w:val="0"/>
              <w:spacing w:before="0" w:beforeAutospacing="off" w:after="0" w:afterAutospacing="off"/>
            </w:pPr>
            <w:r w:rsidR="01A0C124">
              <w:rPr/>
              <w:t>Gap —</w:t>
            </w:r>
          </w:p>
        </w:tc>
      </w:tr>
      <w:tr w:rsidR="01A0C124" w:rsidTr="01A0C124" w14:paraId="12B2699F">
        <w:trPr>
          <w:trHeight w:val="375"/>
        </w:trPr>
        <w:tc>
          <w:tcPr>
            <w:tcW w:w="2919" w:type="dxa"/>
            <w:tcMar/>
          </w:tcPr>
          <w:p w:rsidR="552C5EB1" w:rsidP="01A0C124" w:rsidRDefault="552C5EB1" w14:paraId="32E53339" w14:textId="2D383674">
            <w:pPr>
              <w:pStyle w:val="Normal"/>
              <w:bidi w:val="0"/>
              <w:rPr>
                <w:rFonts w:ascii="Times New Roman" w:hAnsi="Times New Roman" w:eastAsia="Times New Roman" w:cs="Times New Roman"/>
                <w:noProof w:val="0"/>
                <w:sz w:val="24"/>
                <w:szCs w:val="24"/>
                <w:lang w:val="en-US"/>
              </w:rPr>
            </w:pPr>
            <w:r w:rsidRPr="01A0C124" w:rsidR="552C5EB1">
              <w:rPr>
                <w:rFonts w:ascii="Georgia" w:hAnsi="Georgia" w:eastAsia="Georgia" w:cs="Georgia"/>
                <w:b w:val="0"/>
                <w:bCs w:val="0"/>
                <w:i w:val="0"/>
                <w:iCs w:val="0"/>
                <w:caps w:val="0"/>
                <w:smallCaps w:val="0"/>
                <w:noProof w:val="0"/>
                <w:color w:val="27251E"/>
                <w:sz w:val="24"/>
                <w:szCs w:val="24"/>
                <w:lang w:val="en-US"/>
              </w:rPr>
              <w:t>TLS in transit</w:t>
            </w:r>
          </w:p>
        </w:tc>
        <w:tc>
          <w:tcPr>
            <w:tcW w:w="3267" w:type="dxa"/>
            <w:tcMar/>
          </w:tcPr>
          <w:p w:rsidR="552C5EB1" w:rsidP="01A0C124" w:rsidRDefault="552C5EB1" w14:paraId="17FBC687" w14:textId="0ECFF715">
            <w:pPr>
              <w:pStyle w:val="Normal"/>
              <w:bidi w:val="0"/>
              <w:rPr>
                <w:rFonts w:ascii="Times New Roman" w:hAnsi="Times New Roman" w:eastAsia="Times New Roman" w:cs="Times New Roman"/>
                <w:noProof w:val="0"/>
                <w:sz w:val="24"/>
                <w:szCs w:val="24"/>
                <w:lang w:val="en-US"/>
              </w:rPr>
            </w:pPr>
            <w:r w:rsidRPr="01A0C124" w:rsidR="552C5EB1">
              <w:rPr>
                <w:rFonts w:ascii="Georgia" w:hAnsi="Georgia" w:eastAsia="Georgia" w:cs="Georgia"/>
                <w:b w:val="0"/>
                <w:bCs w:val="0"/>
                <w:i w:val="0"/>
                <w:iCs w:val="0"/>
                <w:caps w:val="0"/>
                <w:smallCaps w:val="0"/>
                <w:noProof w:val="0"/>
                <w:color w:val="27251E"/>
                <w:sz w:val="24"/>
                <w:szCs w:val="24"/>
                <w:lang w:val="en-US"/>
              </w:rPr>
              <w:t>OWASP A02</w:t>
            </w:r>
          </w:p>
        </w:tc>
        <w:tc>
          <w:tcPr>
            <w:tcW w:w="4132" w:type="dxa"/>
            <w:tcMar/>
          </w:tcPr>
          <w:p w:rsidR="552C5EB1" w:rsidP="01A0C124" w:rsidRDefault="552C5EB1" w14:paraId="0C86EA9A" w14:textId="6808D8C8">
            <w:pPr>
              <w:pStyle w:val="Normal"/>
              <w:bidi w:val="0"/>
              <w:rPr>
                <w:rFonts w:ascii="Times New Roman" w:hAnsi="Times New Roman" w:eastAsia="Times New Roman" w:cs="Times New Roman"/>
                <w:noProof w:val="0"/>
                <w:sz w:val="24"/>
                <w:szCs w:val="24"/>
                <w:lang w:val="en-US"/>
              </w:rPr>
            </w:pPr>
            <w:r w:rsidRPr="01A0C124" w:rsidR="552C5EB1">
              <w:rPr>
                <w:rFonts w:ascii="Georgia" w:hAnsi="Georgia" w:eastAsia="Georgia" w:cs="Georgia"/>
                <w:b w:val="0"/>
                <w:bCs w:val="0"/>
                <w:i w:val="0"/>
                <w:iCs w:val="0"/>
                <w:caps w:val="0"/>
                <w:smallCaps w:val="0"/>
                <w:noProof w:val="0"/>
                <w:color w:val="27251E"/>
                <w:sz w:val="24"/>
                <w:szCs w:val="24"/>
                <w:lang w:val="en-US"/>
              </w:rPr>
              <w:t>HTTP only in prototype</w:t>
            </w:r>
          </w:p>
        </w:tc>
        <w:tc>
          <w:tcPr>
            <w:tcW w:w="1460" w:type="dxa"/>
            <w:tcMar/>
          </w:tcPr>
          <w:p w:rsidR="552C5EB1" w:rsidP="01A0C124" w:rsidRDefault="552C5EB1" w14:paraId="409B4A02" w14:textId="4F056FA3">
            <w:pPr>
              <w:pStyle w:val="Normal"/>
              <w:bidi w:val="0"/>
              <w:rPr>
                <w:rFonts w:ascii="Times New Roman" w:hAnsi="Times New Roman" w:eastAsia="Times New Roman" w:cs="Times New Roman"/>
                <w:noProof w:val="0"/>
                <w:sz w:val="24"/>
                <w:szCs w:val="24"/>
                <w:lang w:val="en-US"/>
              </w:rPr>
            </w:pPr>
            <w:r w:rsidRPr="01A0C124" w:rsidR="552C5EB1">
              <w:rPr>
                <w:rFonts w:ascii="Georgia" w:hAnsi="Georgia" w:eastAsia="Georgia" w:cs="Georgia"/>
                <w:b w:val="0"/>
                <w:bCs w:val="0"/>
                <w:i w:val="0"/>
                <w:iCs w:val="0"/>
                <w:caps w:val="0"/>
                <w:smallCaps w:val="0"/>
                <w:noProof w:val="0"/>
                <w:color w:val="27251E"/>
                <w:sz w:val="24"/>
                <w:szCs w:val="24"/>
                <w:lang w:val="en-US"/>
              </w:rPr>
              <w:t xml:space="preserve">Gap — </w:t>
            </w:r>
          </w:p>
        </w:tc>
      </w:tr>
      <w:tr w:rsidR="01A0C124" w:rsidTr="01A0C124" w14:paraId="4CDB8E1C">
        <w:trPr>
          <w:trHeight w:val="300"/>
        </w:trPr>
        <w:tc>
          <w:tcPr>
            <w:tcW w:w="2919" w:type="dxa"/>
            <w:tcMar/>
          </w:tcPr>
          <w:p w:rsidR="552C5EB1" w:rsidP="01A0C124" w:rsidRDefault="552C5EB1" w14:paraId="7722AA7B" w14:textId="57017632">
            <w:pPr>
              <w:pStyle w:val="Normal"/>
              <w:bidi w:val="0"/>
              <w:rPr>
                <w:rFonts w:ascii="Times New Roman" w:hAnsi="Times New Roman" w:eastAsia="Times New Roman" w:cs="Times New Roman"/>
                <w:noProof w:val="0"/>
                <w:sz w:val="24"/>
                <w:szCs w:val="24"/>
                <w:lang w:val="en-US"/>
              </w:rPr>
            </w:pPr>
            <w:r w:rsidRPr="01A0C124" w:rsidR="552C5EB1">
              <w:rPr>
                <w:rFonts w:ascii="Georgia" w:hAnsi="Georgia" w:eastAsia="Georgia" w:cs="Georgia"/>
                <w:b w:val="0"/>
                <w:bCs w:val="0"/>
                <w:i w:val="0"/>
                <w:iCs w:val="0"/>
                <w:caps w:val="0"/>
                <w:smallCaps w:val="0"/>
                <w:noProof w:val="0"/>
                <w:color w:val="27251E"/>
                <w:sz w:val="24"/>
                <w:szCs w:val="24"/>
                <w:lang w:val="en-US"/>
              </w:rPr>
              <w:t>Encryption at rest</w:t>
            </w:r>
          </w:p>
        </w:tc>
        <w:tc>
          <w:tcPr>
            <w:tcW w:w="3267" w:type="dxa"/>
            <w:tcMar/>
          </w:tcPr>
          <w:p w:rsidR="552C5EB1" w:rsidP="01A0C124" w:rsidRDefault="552C5EB1" w14:paraId="113F01EE" w14:textId="07A4C3B2">
            <w:pPr>
              <w:pStyle w:val="Normal"/>
              <w:bidi w:val="0"/>
              <w:rPr>
                <w:rFonts w:ascii="Times New Roman" w:hAnsi="Times New Roman" w:eastAsia="Times New Roman" w:cs="Times New Roman"/>
                <w:noProof w:val="0"/>
                <w:sz w:val="24"/>
                <w:szCs w:val="24"/>
                <w:lang w:val="en-US"/>
              </w:rPr>
            </w:pPr>
            <w:r w:rsidRPr="01A0C124" w:rsidR="552C5EB1">
              <w:rPr>
                <w:rFonts w:ascii="Georgia" w:hAnsi="Georgia" w:eastAsia="Georgia" w:cs="Georgia"/>
                <w:b w:val="0"/>
                <w:bCs w:val="0"/>
                <w:i w:val="0"/>
                <w:iCs w:val="0"/>
                <w:caps w:val="0"/>
                <w:smallCaps w:val="0"/>
                <w:noProof w:val="0"/>
                <w:color w:val="27251E"/>
                <w:sz w:val="24"/>
                <w:szCs w:val="24"/>
                <w:lang w:val="en-US"/>
              </w:rPr>
              <w:t>ISO 27001 A.10</w:t>
            </w:r>
          </w:p>
        </w:tc>
        <w:tc>
          <w:tcPr>
            <w:tcW w:w="4132" w:type="dxa"/>
            <w:tcMar/>
          </w:tcPr>
          <w:p w:rsidR="01A0C124" w:rsidP="01A0C124" w:rsidRDefault="01A0C124" w14:paraId="2A9AC2CE" w14:textId="7F3F9775">
            <w:pPr>
              <w:bidi w:val="0"/>
              <w:spacing w:before="0" w:beforeAutospacing="off" w:after="0" w:afterAutospacing="off"/>
            </w:pPr>
            <w:r w:rsidR="01A0C124">
              <w:rPr/>
              <w:t>Not implemented</w:t>
            </w:r>
          </w:p>
        </w:tc>
        <w:tc>
          <w:tcPr>
            <w:tcW w:w="1460" w:type="dxa"/>
            <w:tcMar/>
          </w:tcPr>
          <w:p w:rsidR="01A0C124" w:rsidP="01A0C124" w:rsidRDefault="01A0C124" w14:paraId="5E784EAE" w14:textId="175379B6">
            <w:pPr>
              <w:bidi w:val="0"/>
              <w:spacing w:before="0" w:beforeAutospacing="off" w:after="0" w:afterAutospacing="off"/>
            </w:pPr>
            <w:r w:rsidR="01A0C124">
              <w:rPr/>
              <w:t>Gap —</w:t>
            </w:r>
          </w:p>
        </w:tc>
      </w:tr>
    </w:tbl>
    <w:p xmlns:wp14="http://schemas.microsoft.com/office/word/2010/wordml" wp14:paraId="2EF1CEAE" wp14:textId="70D39DF9"/>
    <w:p xmlns:wp14="http://schemas.microsoft.com/office/word/2010/wordml" w:rsidP="01A0C124" wp14:paraId="59B95331" wp14:textId="38E85E13">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Continuing directly from where the table was cut off, then completing the full chapter and references:</w:t>
      </w:r>
    </w:p>
    <w:p xmlns:wp14="http://schemas.microsoft.com/office/word/2010/wordml" w:rsidP="01A0C124" wp14:paraId="7CBA3015" wp14:textId="7A609D17">
      <w:pPr>
        <w:spacing w:before="0" w:beforeAutospacing="off" w:after="0" w:afterAutospacing="off"/>
      </w:pPr>
    </w:p>
    <w:p xmlns:wp14="http://schemas.microsoft.com/office/word/2010/wordml" w:rsidP="01A0C124" wp14:paraId="28C616FB" wp14:textId="3E1653A8">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MFA | NIST SP 800-63B Level 2 | Not implemented | Gap — production requirement |</w:t>
      </w:r>
    </w:p>
    <w:p xmlns:wp14="http://schemas.microsoft.com/office/word/2010/wordml" w:rsidP="01A0C124" wp14:paraId="0074FC92" wp14:textId="5F347E98">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Encryption at rest | ISO 27001 A.10 | Not implemented | Gap — production requirement |</w:t>
      </w:r>
      <w:r>
        <w:br/>
      </w:r>
      <w:r w:rsidRPr="01A0C124" w:rsidR="5B3A32C9">
        <w:rPr>
          <w:rFonts w:ascii="Times New Roman" w:hAnsi="Times New Roman" w:eastAsia="Times New Roman" w:cs="Times New Roman"/>
          <w:noProof w:val="0"/>
          <w:sz w:val="24"/>
          <w:szCs w:val="24"/>
          <w:lang w:val="en-US"/>
        </w:rPr>
        <w:t>| TLS in transit | OWASP A02 | HTTP only in prototype | Gap — production requirement |</w:t>
      </w:r>
    </w:p>
    <w:p xmlns:wp14="http://schemas.microsoft.com/office/word/2010/wordml" w:rsidP="01A0C124" wp14:paraId="2BC2607C" wp14:textId="6E984DE1">
      <w:pPr>
        <w:pStyle w:val="Heading2"/>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6.3.5 Data Integrity Evaluation</w:t>
      </w:r>
    </w:p>
    <w:p xmlns:wp14="http://schemas.microsoft.com/office/word/2010/wordml" w:rsidP="01A0C124" wp14:paraId="551D9481" wp14:textId="4589B6EE">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The data model's integrity mechanisms operate at two independent layers. The first layer is database-level: PostgreSQL FOREIGN KEY constraints derived from Prisma's </w:t>
      </w:r>
      <w:r w:rsidRPr="01A0C124" w:rsidR="5B3A32C9">
        <w:rPr>
          <w:rFonts w:ascii="Consolas" w:hAnsi="Consolas" w:eastAsia="Consolas" w:cs="Consolas"/>
          <w:noProof w:val="0"/>
          <w:sz w:val="24"/>
          <w:szCs w:val="24"/>
          <w:lang w:val="en-US"/>
        </w:rPr>
        <w:t>@relation</w:t>
      </w:r>
      <w:r w:rsidRPr="01A0C124" w:rsidR="5B3A32C9">
        <w:rPr>
          <w:rFonts w:ascii="Times New Roman" w:hAnsi="Times New Roman" w:eastAsia="Times New Roman" w:cs="Times New Roman"/>
          <w:noProof w:val="0"/>
          <w:sz w:val="24"/>
          <w:szCs w:val="24"/>
          <w:lang w:val="en-US"/>
        </w:rPr>
        <w:t xml:space="preserve"> declarations reject orphaned inserts at write time — an EDITOR cannot create a </w:t>
      </w:r>
      <w:r w:rsidRPr="01A0C124" w:rsidR="5B3A32C9">
        <w:rPr>
          <w:rFonts w:ascii="Consolas" w:hAnsi="Consolas" w:eastAsia="Consolas" w:cs="Consolas"/>
          <w:noProof w:val="0"/>
          <w:sz w:val="24"/>
          <w:szCs w:val="24"/>
          <w:lang w:val="en-US"/>
        </w:rPr>
        <w:t>function_ict_dependencies</w:t>
      </w:r>
      <w:r w:rsidRPr="01A0C124" w:rsidR="5B3A32C9">
        <w:rPr>
          <w:rFonts w:ascii="Times New Roman" w:hAnsi="Times New Roman" w:eastAsia="Times New Roman" w:cs="Times New Roman"/>
          <w:noProof w:val="0"/>
          <w:sz w:val="24"/>
          <w:szCs w:val="24"/>
          <w:lang w:val="en-US"/>
        </w:rPr>
        <w:t xml:space="preserve"> record referencing a non-existent contract, because the database engine will reject the write before it reaches the application tier. The second layer is validation-engine-level: the </w:t>
      </w:r>
      <w:r w:rsidRPr="01A0C124" w:rsidR="5B3A32C9">
        <w:rPr>
          <w:rFonts w:ascii="Consolas" w:hAnsi="Consolas" w:eastAsia="Consolas" w:cs="Consolas"/>
          <w:noProof w:val="0"/>
          <w:sz w:val="24"/>
          <w:szCs w:val="24"/>
          <w:lang w:val="en-US"/>
        </w:rPr>
        <w:t>fk_exists</w:t>
      </w:r>
      <w:r w:rsidRPr="01A0C124" w:rsidR="5B3A32C9">
        <w:rPr>
          <w:rFonts w:ascii="Times New Roman" w:hAnsi="Times New Roman" w:eastAsia="Times New Roman" w:cs="Times New Roman"/>
          <w:noProof w:val="0"/>
          <w:sz w:val="24"/>
          <w:szCs w:val="24"/>
          <w:lang w:val="en-US"/>
        </w:rPr>
        <w:t xml:space="preserve"> rule type identifies any legacy orphans or records loaded outside the application's standard API path. This two-layer approach implements the principle that data integrity enforcement should not depend on a single gate (Fowler, 2002; Bass et al., 2021).</w:t>
      </w:r>
    </w:p>
    <w:p xmlns:wp14="http://schemas.microsoft.com/office/word/2010/wordml" w:rsidP="01A0C124" wp14:paraId="72F3FEE5" wp14:textId="64F427E7">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The </w:t>
      </w:r>
      <w:r w:rsidRPr="01A0C124" w:rsidR="5B3A32C9">
        <w:rPr>
          <w:rFonts w:ascii="Consolas" w:hAnsi="Consolas" w:eastAsia="Consolas" w:cs="Consolas"/>
          <w:noProof w:val="0"/>
          <w:sz w:val="24"/>
          <w:szCs w:val="24"/>
          <w:lang w:val="en-US"/>
        </w:rPr>
        <w:t>uniqueness</w:t>
      </w:r>
      <w:r w:rsidRPr="01A0C124" w:rsidR="5B3A32C9">
        <w:rPr>
          <w:rFonts w:ascii="Times New Roman" w:hAnsi="Times New Roman" w:eastAsia="Times New Roman" w:cs="Times New Roman"/>
          <w:noProof w:val="0"/>
          <w:sz w:val="24"/>
          <w:szCs w:val="24"/>
          <w:lang w:val="en-US"/>
        </w:rPr>
        <w:t xml:space="preserve"> rule type provides a third integrity dimension: it enforces that fields designated as unique identifiers by the EBA ITS — such as </w:t>
      </w:r>
      <w:r w:rsidRPr="01A0C124" w:rsidR="5B3A32C9">
        <w:rPr>
          <w:rFonts w:ascii="Consolas" w:hAnsi="Consolas" w:eastAsia="Consolas" w:cs="Consolas"/>
          <w:noProof w:val="0"/>
          <w:sz w:val="24"/>
          <w:szCs w:val="24"/>
          <w:lang w:val="en-US"/>
        </w:rPr>
        <w:t>contractReference</w:t>
      </w:r>
      <w:r w:rsidRPr="01A0C124" w:rsidR="5B3A32C9">
        <w:rPr>
          <w:rFonts w:ascii="Times New Roman" w:hAnsi="Times New Roman" w:eastAsia="Times New Roman" w:cs="Times New Roman"/>
          <w:noProof w:val="0"/>
          <w:sz w:val="24"/>
          <w:szCs w:val="24"/>
          <w:lang w:val="en-US"/>
        </w:rPr>
        <w:t xml:space="preserve"> within a tenant's register — cannot be duplicated, catching the class of data entry errors where the same contract is entered twice under slightly different names. Against the seeded dataset, the deliberately injected duplicate </w:t>
      </w:r>
      <w:r w:rsidRPr="01A0C124" w:rsidR="5B3A32C9">
        <w:rPr>
          <w:rFonts w:ascii="Consolas" w:hAnsi="Consolas" w:eastAsia="Consolas" w:cs="Consolas"/>
          <w:noProof w:val="0"/>
          <w:sz w:val="24"/>
          <w:szCs w:val="24"/>
          <w:lang w:val="en-US"/>
        </w:rPr>
        <w:t>contractReference</w:t>
      </w:r>
      <w:r w:rsidRPr="01A0C124" w:rsidR="5B3A32C9">
        <w:rPr>
          <w:rFonts w:ascii="Times New Roman" w:hAnsi="Times New Roman" w:eastAsia="Times New Roman" w:cs="Times New Roman"/>
          <w:noProof w:val="0"/>
          <w:sz w:val="24"/>
          <w:szCs w:val="24"/>
          <w:lang w:val="en-US"/>
        </w:rPr>
        <w:t xml:space="preserve"> is correctly identified as an ERROR-severity uniqueness violation, confirming that the rule type fires as designed (European Banking Authority, 2024a).</w:t>
      </w:r>
    </w:p>
    <w:p xmlns:wp14="http://schemas.microsoft.com/office/word/2010/wordml" w:rsidP="01A0C124" wp14:paraId="206C5FD9" wp14:textId="098E8C65">
      <w:pPr>
        <w:spacing w:before="0" w:beforeAutospacing="off" w:after="0" w:afterAutospacing="off"/>
      </w:pPr>
    </w:p>
    <w:p xmlns:wp14="http://schemas.microsoft.com/office/word/2010/wordml" w:rsidP="01A0C124" wp14:paraId="536D81EE" wp14:textId="23393533">
      <w:pPr>
        <w:pStyle w:val="Heading2"/>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6.4 Proportionality and SME Fitness Evaluation</w:t>
      </w:r>
    </w:p>
    <w:p xmlns:wp14="http://schemas.microsoft.com/office/word/2010/wordml" w:rsidP="01A0C124" wp14:paraId="297A59F8" wp14:textId="204DF965">
      <w:pPr>
        <w:pStyle w:val="Heading2"/>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6.4.1 Contextualising the SME Problem</w:t>
      </w:r>
    </w:p>
    <w:p xmlns:wp14="http://schemas.microsoft.com/office/word/2010/wordml" w:rsidP="01A0C124" wp14:paraId="4EDEBE26" wp14:textId="53971C65">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DORA Article 4 establishes a proportionality principle: Member State competent authorities and the ESAs shall ensure that the requirements of this Regulation are applied in a manner that is proportionate to the size, the nature, scale, and complexity of the risks inherent in the model, the overall risk profile, and the criticality of the entity (European Commission, 2022, Art. 4). The CBI has operationalised this by publishing separate guidance tiers for significant and non-significant financial entities, with SME-scale entities — typically credit unions, smaller investment firms, payment institutions, and e-money institutions — subject to proportionate but still mandatory RoI submission obligations (Central Bank of Ireland, 2024a). The challenge for these entities is that proportionate regulatory obligations do not produce proportionate compliance tools: the EBA's ITS applies the same nine-template structure regardless of entity size, and the absence of SME-oriented tooling was the primary finding in the literature gap identified in Chapter 2 (Bhurat, 2025; Galati et al., 2022; Butler and O'Brien, 2019).</w:t>
      </w:r>
    </w:p>
    <w:p xmlns:wp14="http://schemas.microsoft.com/office/word/2010/wordml" w:rsidP="01A0C124" wp14:paraId="5110B9C7" wp14:textId="11CCCD2C">
      <w:pPr>
        <w:pStyle w:val="Heading2"/>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6.4.2 Comparison with Existing Approaches</w:t>
      </w:r>
    </w:p>
    <w:p xmlns:wp14="http://schemas.microsoft.com/office/word/2010/wordml" w:rsidP="01A0C124" wp14:paraId="35168AF2" wp14:textId="5BAB41E5">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Table 6.7 positions the DORA SaaS prototype against the three approaches most commonly used by Irish SME financial entities for RoI management, establishing the comparative baseline before the detailed proportionality assessment.</w:t>
      </w:r>
    </w:p>
    <w:p xmlns:wp14="http://schemas.microsoft.com/office/word/2010/wordml" w:rsidP="01A0C124" wp14:paraId="12C76C61" wp14:textId="7EFD6F0D">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TABLE 6.7 — Comparison of RoI management approaches for Irish SME financial entities.</w:t>
      </w:r>
    </w:p>
    <w:tbl>
      <w:tblPr>
        <w:tblStyle w:val="TableGrid"/>
        <w:bidiVisual w:val="0"/>
        <w:tblW w:w="0" w:type="auto"/>
        <w:tblLook w:val="06A0" w:firstRow="1" w:lastRow="0" w:firstColumn="1" w:lastColumn="0" w:noHBand="1" w:noVBand="1"/>
      </w:tblPr>
      <w:tblGrid>
        <w:gridCol w:w="2526"/>
        <w:gridCol w:w="1677"/>
        <w:gridCol w:w="1937"/>
        <w:gridCol w:w="3220"/>
      </w:tblGrid>
      <w:tr w:rsidR="01A0C124" w:rsidTr="01A0C124" w14:paraId="135736EE">
        <w:trPr>
          <w:trHeight w:val="300"/>
        </w:trPr>
        <w:tc>
          <w:tcPr>
            <w:tcW w:w="2526" w:type="dxa"/>
            <w:tcMar/>
          </w:tcPr>
          <w:p w:rsidR="01A0C124" w:rsidP="01A0C124" w:rsidRDefault="01A0C124" w14:paraId="7315DB09" w14:textId="4107CAC3">
            <w:pPr>
              <w:spacing w:before="0" w:beforeAutospacing="off" w:after="0" w:afterAutospacing="off"/>
              <w:jc w:val="center"/>
            </w:pPr>
            <w:r w:rsidRPr="01A0C124" w:rsidR="01A0C124">
              <w:rPr>
                <w:b w:val="1"/>
                <w:bCs w:val="1"/>
              </w:rPr>
              <w:t>Criterion</w:t>
            </w:r>
          </w:p>
        </w:tc>
        <w:tc>
          <w:tcPr>
            <w:tcW w:w="1677" w:type="dxa"/>
            <w:tcMar/>
          </w:tcPr>
          <w:p w:rsidR="01A0C124" w:rsidP="01A0C124" w:rsidRDefault="01A0C124" w14:paraId="7E8B166D" w14:textId="11100BCA">
            <w:pPr>
              <w:spacing w:before="0" w:beforeAutospacing="off" w:after="0" w:afterAutospacing="off"/>
              <w:jc w:val="center"/>
            </w:pPr>
            <w:r w:rsidRPr="01A0C124" w:rsidR="01A0C124">
              <w:rPr>
                <w:b w:val="1"/>
                <w:bCs w:val="1"/>
              </w:rPr>
              <w:t>Manual EBA Excel</w:t>
            </w:r>
          </w:p>
        </w:tc>
        <w:tc>
          <w:tcPr>
            <w:tcW w:w="1937" w:type="dxa"/>
            <w:tcMar/>
          </w:tcPr>
          <w:p w:rsidR="01A0C124" w:rsidP="01A0C124" w:rsidRDefault="01A0C124" w14:paraId="59A68512" w14:textId="78225A5B">
            <w:pPr>
              <w:spacing w:before="0" w:beforeAutospacing="off" w:after="0" w:afterAutospacing="off"/>
              <w:jc w:val="center"/>
            </w:pPr>
            <w:r w:rsidRPr="01A0C124" w:rsidR="01A0C124">
              <w:rPr>
                <w:b w:val="1"/>
                <w:bCs w:val="1"/>
              </w:rPr>
              <w:t>Generic GRC Platform</w:t>
            </w:r>
          </w:p>
        </w:tc>
        <w:tc>
          <w:tcPr>
            <w:tcW w:w="3220" w:type="dxa"/>
            <w:tcMar/>
          </w:tcPr>
          <w:p w:rsidR="01A0C124" w:rsidP="01A0C124" w:rsidRDefault="01A0C124" w14:paraId="3E13FA56" w14:textId="631FD7F1">
            <w:pPr>
              <w:spacing w:before="0" w:beforeAutospacing="off" w:after="0" w:afterAutospacing="off"/>
              <w:jc w:val="center"/>
            </w:pPr>
            <w:r w:rsidRPr="01A0C124" w:rsidR="01A0C124">
              <w:rPr>
                <w:b w:val="1"/>
                <w:bCs w:val="1"/>
              </w:rPr>
              <w:t>DORA SaaS Prototype</w:t>
            </w:r>
          </w:p>
        </w:tc>
      </w:tr>
      <w:tr w:rsidR="01A0C124" w:rsidTr="01A0C124" w14:paraId="6E07936E">
        <w:trPr>
          <w:trHeight w:val="300"/>
        </w:trPr>
        <w:tc>
          <w:tcPr>
            <w:tcW w:w="2526" w:type="dxa"/>
            <w:tcMar/>
          </w:tcPr>
          <w:p w:rsidR="01A0C124" w:rsidP="01A0C124" w:rsidRDefault="01A0C124" w14:paraId="6A579B68" w14:textId="781037DE">
            <w:pPr>
              <w:spacing w:before="0" w:beforeAutospacing="off" w:after="0" w:afterAutospacing="off"/>
            </w:pPr>
            <w:r w:rsidR="01A0C124">
              <w:rPr/>
              <w:t>EBA template alignment</w:t>
            </w:r>
          </w:p>
        </w:tc>
        <w:tc>
          <w:tcPr>
            <w:tcW w:w="1677" w:type="dxa"/>
            <w:tcMar/>
          </w:tcPr>
          <w:p w:rsidR="01A0C124" w:rsidP="01A0C124" w:rsidRDefault="01A0C124" w14:paraId="3271901E" w14:textId="4F1BDA83">
            <w:pPr>
              <w:spacing w:before="0" w:beforeAutospacing="off" w:after="0" w:afterAutospacing="off"/>
            </w:pPr>
            <w:r w:rsidR="01A0C124">
              <w:rPr/>
              <w:t>Native static workbook</w:t>
            </w:r>
          </w:p>
        </w:tc>
        <w:tc>
          <w:tcPr>
            <w:tcW w:w="1937" w:type="dxa"/>
            <w:tcMar/>
          </w:tcPr>
          <w:p w:rsidR="01A0C124" w:rsidP="01A0C124" w:rsidRDefault="01A0C124" w14:paraId="65FF90EA" w14:textId="7ED0113E">
            <w:pPr>
              <w:spacing w:before="0" w:beforeAutospacing="off" w:after="0" w:afterAutospacing="off"/>
            </w:pPr>
            <w:r w:rsidR="01A0C124">
              <w:rPr/>
              <w:t>Configured generically</w:t>
            </w:r>
          </w:p>
        </w:tc>
        <w:tc>
          <w:tcPr>
            <w:tcW w:w="3220" w:type="dxa"/>
            <w:tcMar/>
          </w:tcPr>
          <w:p w:rsidR="01A0C124" w:rsidP="01A0C124" w:rsidRDefault="01A0C124" w14:paraId="3D9BF4B5" w14:textId="3A12CC14">
            <w:pPr>
              <w:spacing w:before="0" w:beforeAutospacing="off" w:after="0" w:afterAutospacing="off"/>
            </w:pPr>
            <w:r w:rsidR="01A0C124">
              <w:rPr/>
              <w:t>Native dynamic relational model</w:t>
            </w:r>
          </w:p>
        </w:tc>
      </w:tr>
      <w:tr w:rsidR="01A0C124" w:rsidTr="01A0C124" w14:paraId="751CFDDA">
        <w:trPr>
          <w:trHeight w:val="300"/>
        </w:trPr>
        <w:tc>
          <w:tcPr>
            <w:tcW w:w="2526" w:type="dxa"/>
            <w:tcMar/>
          </w:tcPr>
          <w:p w:rsidR="01A0C124" w:rsidP="01A0C124" w:rsidRDefault="01A0C124" w14:paraId="31053A33" w14:textId="1C960CF3">
            <w:pPr>
              <w:spacing w:before="0" w:beforeAutospacing="off" w:after="0" w:afterAutospacing="off"/>
            </w:pPr>
            <w:r w:rsidR="01A0C124">
              <w:rPr/>
              <w:t>Validation against EBA rules</w:t>
            </w:r>
          </w:p>
        </w:tc>
        <w:tc>
          <w:tcPr>
            <w:tcW w:w="1677" w:type="dxa"/>
            <w:tcMar/>
          </w:tcPr>
          <w:p w:rsidR="01A0C124" w:rsidP="01A0C124" w:rsidRDefault="01A0C124" w14:paraId="48ACEC89" w14:textId="227B405D">
            <w:pPr>
              <w:spacing w:before="0" w:beforeAutospacing="off" w:after="0" w:afterAutospacing="off"/>
            </w:pPr>
            <w:r w:rsidR="01A0C124">
              <w:rPr/>
              <w:t>None — manual check</w:t>
            </w:r>
          </w:p>
        </w:tc>
        <w:tc>
          <w:tcPr>
            <w:tcW w:w="1937" w:type="dxa"/>
            <w:tcMar/>
          </w:tcPr>
          <w:p w:rsidR="01A0C124" w:rsidP="01A0C124" w:rsidRDefault="01A0C124" w14:paraId="34AB20C2" w14:textId="3F0FAD26">
            <w:pPr>
              <w:spacing w:before="0" w:beforeAutospacing="off" w:after="0" w:afterAutospacing="off"/>
            </w:pPr>
            <w:r w:rsidR="01A0C124">
              <w:rPr/>
              <w:t>Partial — generic rules</w:t>
            </w:r>
          </w:p>
        </w:tc>
        <w:tc>
          <w:tcPr>
            <w:tcW w:w="3220" w:type="dxa"/>
            <w:tcMar/>
          </w:tcPr>
          <w:p w:rsidR="01A0C124" w:rsidP="01A0C124" w:rsidRDefault="01A0C124" w14:paraId="126285A2" w14:textId="0D20AE90">
            <w:pPr>
              <w:spacing w:before="0" w:beforeAutospacing="off" w:after="0" w:afterAutospacing="off"/>
            </w:pPr>
            <w:r w:rsidR="01A0C124">
              <w:rPr/>
              <w:t>220 EBA-specific rules, 10 types</w:t>
            </w:r>
          </w:p>
        </w:tc>
      </w:tr>
      <w:tr w:rsidR="01A0C124" w:rsidTr="01A0C124" w14:paraId="7A1E06E6">
        <w:trPr>
          <w:trHeight w:val="300"/>
        </w:trPr>
        <w:tc>
          <w:tcPr>
            <w:tcW w:w="2526" w:type="dxa"/>
            <w:tcMar/>
          </w:tcPr>
          <w:p w:rsidR="01A0C124" w:rsidP="01A0C124" w:rsidRDefault="01A0C124" w14:paraId="01EE22D2" w14:textId="17B4AECD">
            <w:pPr>
              <w:spacing w:before="0" w:beforeAutospacing="off" w:after="0" w:afterAutospacing="off"/>
            </w:pPr>
            <w:r w:rsidR="01A0C124">
              <w:rPr/>
              <w:t>Cross-template referential integrity</w:t>
            </w:r>
          </w:p>
        </w:tc>
        <w:tc>
          <w:tcPr>
            <w:tcW w:w="1677" w:type="dxa"/>
            <w:tcMar/>
          </w:tcPr>
          <w:p w:rsidR="01A0C124" w:rsidP="01A0C124" w:rsidRDefault="01A0C124" w14:paraId="5542A445" w14:textId="401635E6">
            <w:pPr>
              <w:spacing w:before="0" w:beforeAutospacing="off" w:after="0" w:afterAutospacing="off"/>
            </w:pPr>
            <w:r w:rsidR="01A0C124">
              <w:rPr/>
              <w:t>Manual, error-prone</w:t>
            </w:r>
          </w:p>
        </w:tc>
        <w:tc>
          <w:tcPr>
            <w:tcW w:w="1937" w:type="dxa"/>
            <w:tcMar/>
          </w:tcPr>
          <w:p w:rsidR="01A0C124" w:rsidP="01A0C124" w:rsidRDefault="01A0C124" w14:paraId="5B106448" w14:textId="7C08E66A">
            <w:pPr>
              <w:spacing w:before="0" w:beforeAutospacing="off" w:after="0" w:afterAutospacing="off"/>
            </w:pPr>
            <w:r w:rsidR="01A0C124">
              <w:rPr/>
              <w:t>Not typically enforced</w:t>
            </w:r>
          </w:p>
        </w:tc>
        <w:tc>
          <w:tcPr>
            <w:tcW w:w="3220" w:type="dxa"/>
            <w:tcMar/>
          </w:tcPr>
          <w:p w:rsidR="01A0C124" w:rsidP="01A0C124" w:rsidRDefault="01A0C124" w14:paraId="13F2AE80" w14:textId="4EF260E8">
            <w:pPr>
              <w:spacing w:before="0" w:beforeAutospacing="off" w:after="0" w:afterAutospacing="off"/>
            </w:pPr>
            <w:r w:rsidRPr="01A0C124" w:rsidR="01A0C124">
              <w:rPr>
                <w:rFonts w:ascii="Consolas" w:hAnsi="Consolas" w:eastAsia="Consolas" w:cs="Consolas"/>
              </w:rPr>
              <w:t>fk_exists</w:t>
            </w:r>
            <w:r w:rsidR="01A0C124">
              <w:rPr/>
              <w:t xml:space="preserve"> rules + FK constraints</w:t>
            </w:r>
          </w:p>
        </w:tc>
      </w:tr>
      <w:tr w:rsidR="01A0C124" w:rsidTr="01A0C124" w14:paraId="00AD67F9">
        <w:trPr>
          <w:trHeight w:val="300"/>
        </w:trPr>
        <w:tc>
          <w:tcPr>
            <w:tcW w:w="2526" w:type="dxa"/>
            <w:tcMar/>
          </w:tcPr>
          <w:p w:rsidR="01A0C124" w:rsidP="01A0C124" w:rsidRDefault="01A0C124" w14:paraId="125BC83F" w14:textId="241D19B9">
            <w:pPr>
              <w:spacing w:before="0" w:beforeAutospacing="off" w:after="0" w:afterAutospacing="off"/>
            </w:pPr>
            <w:r w:rsidR="01A0C124">
              <w:rPr/>
              <w:t>Pre-flight export gate</w:t>
            </w:r>
          </w:p>
        </w:tc>
        <w:tc>
          <w:tcPr>
            <w:tcW w:w="1677" w:type="dxa"/>
            <w:tcMar/>
          </w:tcPr>
          <w:p w:rsidR="01A0C124" w:rsidP="01A0C124" w:rsidRDefault="01A0C124" w14:paraId="789E8002" w14:textId="7E487A44">
            <w:pPr>
              <w:spacing w:before="0" w:beforeAutospacing="off" w:after="0" w:afterAutospacing="off"/>
            </w:pPr>
            <w:r w:rsidR="01A0C124">
              <w:rPr/>
              <w:t>None</w:t>
            </w:r>
          </w:p>
        </w:tc>
        <w:tc>
          <w:tcPr>
            <w:tcW w:w="1937" w:type="dxa"/>
            <w:tcMar/>
          </w:tcPr>
          <w:p w:rsidR="01A0C124" w:rsidP="01A0C124" w:rsidRDefault="01A0C124" w14:paraId="37333437" w14:textId="44F31D3D">
            <w:pPr>
              <w:spacing w:before="0" w:beforeAutospacing="off" w:after="0" w:afterAutospacing="off"/>
            </w:pPr>
            <w:r w:rsidR="01A0C124">
              <w:rPr/>
              <w:t>None</w:t>
            </w:r>
          </w:p>
        </w:tc>
        <w:tc>
          <w:tcPr>
            <w:tcW w:w="3220" w:type="dxa"/>
            <w:tcMar/>
          </w:tcPr>
          <w:p w:rsidR="01A0C124" w:rsidP="01A0C124" w:rsidRDefault="01A0C124" w14:paraId="4C952859" w14:textId="33A58753">
            <w:pPr>
              <w:spacing w:before="0" w:beforeAutospacing="off" w:after="0" w:afterAutospacing="off"/>
            </w:pPr>
            <w:r w:rsidR="01A0C124">
              <w:rPr/>
              <w:t>Full — ERROR-severity gate</w:t>
            </w:r>
          </w:p>
        </w:tc>
      </w:tr>
      <w:tr w:rsidR="01A0C124" w:rsidTr="01A0C124" w14:paraId="7EDC4910">
        <w:trPr>
          <w:trHeight w:val="300"/>
        </w:trPr>
        <w:tc>
          <w:tcPr>
            <w:tcW w:w="2526" w:type="dxa"/>
            <w:tcMar/>
          </w:tcPr>
          <w:p w:rsidR="01A0C124" w:rsidP="01A0C124" w:rsidRDefault="01A0C124" w14:paraId="38377869" w14:textId="4E14BDC6">
            <w:pPr>
              <w:spacing w:before="0" w:beforeAutospacing="off" w:after="0" w:afterAutospacing="off"/>
            </w:pPr>
            <w:r w:rsidR="01A0C124">
              <w:rPr/>
              <w:t>XBRL OIM-CSV export</w:t>
            </w:r>
          </w:p>
        </w:tc>
        <w:tc>
          <w:tcPr>
            <w:tcW w:w="1677" w:type="dxa"/>
            <w:tcMar/>
          </w:tcPr>
          <w:p w:rsidR="01A0C124" w:rsidP="01A0C124" w:rsidRDefault="01A0C124" w14:paraId="1D527C80" w14:textId="73CC3900">
            <w:pPr>
              <w:spacing w:before="0" w:beforeAutospacing="off" w:after="0" w:afterAutospacing="off"/>
            </w:pPr>
            <w:r w:rsidR="01A0C124">
              <w:rPr/>
              <w:t>Not available</w:t>
            </w:r>
          </w:p>
        </w:tc>
        <w:tc>
          <w:tcPr>
            <w:tcW w:w="1937" w:type="dxa"/>
            <w:tcMar/>
          </w:tcPr>
          <w:p w:rsidR="01A0C124" w:rsidP="01A0C124" w:rsidRDefault="01A0C124" w14:paraId="277736F5" w14:textId="44135AE6">
            <w:pPr>
              <w:spacing w:before="0" w:beforeAutospacing="off" w:after="0" w:afterAutospacing="off"/>
            </w:pPr>
            <w:r w:rsidR="01A0C124">
              <w:rPr/>
              <w:t>Not typically available</w:t>
            </w:r>
          </w:p>
        </w:tc>
        <w:tc>
          <w:tcPr>
            <w:tcW w:w="3220" w:type="dxa"/>
            <w:tcMar/>
          </w:tcPr>
          <w:p w:rsidR="01A0C124" w:rsidP="01A0C124" w:rsidRDefault="01A0C124" w14:paraId="42236FB7" w14:textId="5F08250E">
            <w:pPr>
              <w:spacing w:before="0" w:beforeAutospacing="off" w:after="0" w:afterAutospacing="off"/>
            </w:pPr>
            <w:r w:rsidR="01A0C124">
              <w:rPr/>
              <w:t>Implemented — structurally conformant</w:t>
            </w:r>
          </w:p>
        </w:tc>
      </w:tr>
      <w:tr w:rsidR="01A0C124" w:rsidTr="01A0C124" w14:paraId="1E0CE8C1">
        <w:trPr>
          <w:trHeight w:val="300"/>
        </w:trPr>
        <w:tc>
          <w:tcPr>
            <w:tcW w:w="2526" w:type="dxa"/>
            <w:tcMar/>
          </w:tcPr>
          <w:p w:rsidR="01A0C124" w:rsidP="01A0C124" w:rsidRDefault="01A0C124" w14:paraId="7C7775FB" w14:textId="06F57601">
            <w:pPr>
              <w:spacing w:before="0" w:beforeAutospacing="off" w:after="0" w:afterAutospacing="off"/>
            </w:pPr>
            <w:r w:rsidR="01A0C124">
              <w:rPr/>
              <w:t>Multi-tenant support</w:t>
            </w:r>
          </w:p>
        </w:tc>
        <w:tc>
          <w:tcPr>
            <w:tcW w:w="1677" w:type="dxa"/>
            <w:tcMar/>
          </w:tcPr>
          <w:p w:rsidR="01A0C124" w:rsidP="01A0C124" w:rsidRDefault="01A0C124" w14:paraId="40F7DCB4" w14:textId="318A28C4">
            <w:pPr>
              <w:spacing w:before="0" w:beforeAutospacing="off" w:after="0" w:afterAutospacing="off"/>
            </w:pPr>
            <w:r w:rsidR="01A0C124">
              <w:rPr/>
              <w:t>None</w:t>
            </w:r>
          </w:p>
        </w:tc>
        <w:tc>
          <w:tcPr>
            <w:tcW w:w="1937" w:type="dxa"/>
            <w:tcMar/>
          </w:tcPr>
          <w:p w:rsidR="01A0C124" w:rsidP="01A0C124" w:rsidRDefault="01A0C124" w14:paraId="357820E3" w14:textId="2C0EB0CC">
            <w:pPr>
              <w:spacing w:before="0" w:beforeAutospacing="off" w:after="0" w:afterAutospacing="off"/>
            </w:pPr>
            <w:r w:rsidR="01A0C124">
              <w:rPr/>
              <w:t>Typically yes</w:t>
            </w:r>
          </w:p>
        </w:tc>
        <w:tc>
          <w:tcPr>
            <w:tcW w:w="3220" w:type="dxa"/>
            <w:tcMar/>
          </w:tcPr>
          <w:p w:rsidR="01A0C124" w:rsidP="01A0C124" w:rsidRDefault="01A0C124" w14:paraId="67818C4B" w14:textId="1E151112">
            <w:pPr>
              <w:spacing w:before="0" w:beforeAutospacing="off" w:after="0" w:afterAutospacing="off"/>
            </w:pPr>
            <w:r w:rsidR="01A0C124">
              <w:rPr/>
              <w:t>Yes — app-layer + PostgreSQL RLS</w:t>
            </w:r>
          </w:p>
        </w:tc>
      </w:tr>
      <w:tr w:rsidR="01A0C124" w:rsidTr="01A0C124" w14:paraId="52F6E628">
        <w:trPr>
          <w:trHeight w:val="300"/>
        </w:trPr>
        <w:tc>
          <w:tcPr>
            <w:tcW w:w="2526" w:type="dxa"/>
            <w:tcMar/>
          </w:tcPr>
          <w:p w:rsidR="01A0C124" w:rsidP="01A0C124" w:rsidRDefault="01A0C124" w14:paraId="652D547F" w14:textId="0DC69487">
            <w:pPr>
              <w:spacing w:before="0" w:beforeAutospacing="off" w:after="0" w:afterAutospacing="off"/>
            </w:pPr>
            <w:r w:rsidR="01A0C124">
              <w:rPr/>
              <w:t>Audit trail</w:t>
            </w:r>
          </w:p>
        </w:tc>
        <w:tc>
          <w:tcPr>
            <w:tcW w:w="1677" w:type="dxa"/>
            <w:tcMar/>
          </w:tcPr>
          <w:p w:rsidR="01A0C124" w:rsidP="01A0C124" w:rsidRDefault="01A0C124" w14:paraId="41068DA4" w14:textId="078B3DDD">
            <w:pPr>
              <w:spacing w:before="0" w:beforeAutospacing="off" w:after="0" w:afterAutospacing="off"/>
            </w:pPr>
            <w:r w:rsidR="01A0C124">
              <w:rPr/>
              <w:t>None</w:t>
            </w:r>
          </w:p>
        </w:tc>
        <w:tc>
          <w:tcPr>
            <w:tcW w:w="1937" w:type="dxa"/>
            <w:tcMar/>
          </w:tcPr>
          <w:p w:rsidR="01A0C124" w:rsidP="01A0C124" w:rsidRDefault="01A0C124" w14:paraId="2E69E574" w14:textId="7EFE5072">
            <w:pPr>
              <w:spacing w:before="0" w:beforeAutospacing="off" w:after="0" w:afterAutospacing="off"/>
            </w:pPr>
            <w:r w:rsidR="01A0C124">
              <w:rPr/>
              <w:t>Partial</w:t>
            </w:r>
          </w:p>
        </w:tc>
        <w:tc>
          <w:tcPr>
            <w:tcW w:w="3220" w:type="dxa"/>
            <w:tcMar/>
          </w:tcPr>
          <w:p w:rsidR="01A0C124" w:rsidP="01A0C124" w:rsidRDefault="01A0C124" w14:paraId="7E290DF5" w14:textId="026E128B">
            <w:pPr>
              <w:spacing w:before="0" w:beforeAutospacing="off" w:after="0" w:afterAutospacing="off"/>
            </w:pPr>
            <w:r w:rsidR="01A0C124">
              <w:rPr/>
              <w:t>Full before/after JSONB log</w:t>
            </w:r>
          </w:p>
        </w:tc>
      </w:tr>
      <w:tr w:rsidR="01A0C124" w:rsidTr="01A0C124" w14:paraId="70794684">
        <w:trPr>
          <w:trHeight w:val="300"/>
        </w:trPr>
        <w:tc>
          <w:tcPr>
            <w:tcW w:w="2526" w:type="dxa"/>
            <w:tcMar/>
          </w:tcPr>
          <w:p w:rsidR="01A0C124" w:rsidP="01A0C124" w:rsidRDefault="01A0C124" w14:paraId="68B57AB6" w14:textId="748CA18C">
            <w:pPr>
              <w:spacing w:before="0" w:beforeAutospacing="off" w:after="0" w:afterAutospacing="off"/>
            </w:pPr>
            <w:r w:rsidR="01A0C124">
              <w:rPr/>
              <w:t>Role-differentiated workflow</w:t>
            </w:r>
          </w:p>
        </w:tc>
        <w:tc>
          <w:tcPr>
            <w:tcW w:w="1677" w:type="dxa"/>
            <w:tcMar/>
          </w:tcPr>
          <w:p w:rsidR="01A0C124" w:rsidP="01A0C124" w:rsidRDefault="01A0C124" w14:paraId="749F8D9F" w14:textId="711055F2">
            <w:pPr>
              <w:spacing w:before="0" w:beforeAutospacing="off" w:after="0" w:afterAutospacing="off"/>
            </w:pPr>
            <w:r w:rsidR="01A0C124">
              <w:rPr/>
              <w:t>None</w:t>
            </w:r>
          </w:p>
        </w:tc>
        <w:tc>
          <w:tcPr>
            <w:tcW w:w="1937" w:type="dxa"/>
            <w:tcMar/>
          </w:tcPr>
          <w:p w:rsidR="01A0C124" w:rsidP="01A0C124" w:rsidRDefault="01A0C124" w14:paraId="667B908F" w14:textId="3A75D430">
            <w:pPr>
              <w:spacing w:before="0" w:beforeAutospacing="off" w:after="0" w:afterAutospacing="off"/>
            </w:pPr>
            <w:r w:rsidR="01A0C124">
              <w:rPr/>
              <w:t>Configurable — expensive</w:t>
            </w:r>
          </w:p>
        </w:tc>
        <w:tc>
          <w:tcPr>
            <w:tcW w:w="3220" w:type="dxa"/>
            <w:tcMar/>
          </w:tcPr>
          <w:p w:rsidR="01A0C124" w:rsidP="01A0C124" w:rsidRDefault="01A0C124" w14:paraId="68DDB5C9" w14:textId="3AF1489F">
            <w:pPr>
              <w:spacing w:before="0" w:beforeAutospacing="off" w:after="0" w:afterAutospacing="off"/>
            </w:pPr>
            <w:r w:rsidR="01A0C124">
              <w:rPr/>
              <w:t>Three native roles; zero configuration</w:t>
            </w:r>
          </w:p>
        </w:tc>
      </w:tr>
      <w:tr w:rsidR="01A0C124" w:rsidTr="01A0C124" w14:paraId="0044AAB9">
        <w:trPr>
          <w:trHeight w:val="300"/>
        </w:trPr>
        <w:tc>
          <w:tcPr>
            <w:tcW w:w="2526" w:type="dxa"/>
            <w:tcMar/>
          </w:tcPr>
          <w:p w:rsidR="01A0C124" w:rsidP="01A0C124" w:rsidRDefault="01A0C124" w14:paraId="6C1A6CE3" w14:textId="652B728C">
            <w:pPr>
              <w:spacing w:before="0" w:beforeAutospacing="off" w:after="0" w:afterAutospacing="off"/>
            </w:pPr>
            <w:r w:rsidR="01A0C124">
              <w:rPr/>
              <w:t>SME deployment cost</w:t>
            </w:r>
          </w:p>
        </w:tc>
        <w:tc>
          <w:tcPr>
            <w:tcW w:w="1677" w:type="dxa"/>
            <w:tcMar/>
          </w:tcPr>
          <w:p w:rsidR="01A0C124" w:rsidP="01A0C124" w:rsidRDefault="01A0C124" w14:paraId="109D2634" w14:textId="794FE97E">
            <w:pPr>
              <w:spacing w:before="0" w:beforeAutospacing="off" w:after="0" w:afterAutospacing="off"/>
            </w:pPr>
            <w:r w:rsidR="01A0C124">
              <w:rPr/>
              <w:t>Free (Excel licence)</w:t>
            </w:r>
          </w:p>
        </w:tc>
        <w:tc>
          <w:tcPr>
            <w:tcW w:w="1937" w:type="dxa"/>
            <w:tcMar/>
          </w:tcPr>
          <w:p w:rsidR="01A0C124" w:rsidP="01A0C124" w:rsidRDefault="01A0C124" w14:paraId="40D30CC5" w14:textId="48862D1F">
            <w:pPr>
              <w:spacing w:before="0" w:beforeAutospacing="off" w:after="0" w:afterAutospacing="off"/>
            </w:pPr>
            <w:r w:rsidR="01A0C124">
              <w:rPr/>
              <w:t>€500–€5,000/month</w:t>
            </w:r>
          </w:p>
        </w:tc>
        <w:tc>
          <w:tcPr>
            <w:tcW w:w="3220" w:type="dxa"/>
            <w:tcMar/>
          </w:tcPr>
          <w:p w:rsidR="01A0C124" w:rsidP="01A0C124" w:rsidRDefault="01A0C124" w14:paraId="227AB901" w14:textId="4B5350DC">
            <w:pPr>
              <w:spacing w:before="0" w:beforeAutospacing="off" w:after="0" w:afterAutospacing="off"/>
            </w:pPr>
            <w:r w:rsidR="01A0C124">
              <w:rPr/>
              <w:t>Est. €50–€150/month (cloud)</w:t>
            </w:r>
          </w:p>
        </w:tc>
      </w:tr>
      <w:tr w:rsidR="01A0C124" w:rsidTr="01A0C124" w14:paraId="6DEE9542">
        <w:trPr>
          <w:trHeight w:val="300"/>
        </w:trPr>
        <w:tc>
          <w:tcPr>
            <w:tcW w:w="2526" w:type="dxa"/>
            <w:tcMar/>
          </w:tcPr>
          <w:p w:rsidR="01A0C124" w:rsidP="01A0C124" w:rsidRDefault="01A0C124" w14:paraId="198D1056" w14:textId="349E998C">
            <w:pPr>
              <w:spacing w:before="0" w:beforeAutospacing="off" w:after="0" w:afterAutospacing="off"/>
            </w:pPr>
            <w:r w:rsidR="01A0C124">
              <w:rPr/>
              <w:t>CBI submission support</w:t>
            </w:r>
          </w:p>
        </w:tc>
        <w:tc>
          <w:tcPr>
            <w:tcW w:w="1677" w:type="dxa"/>
            <w:tcMar/>
          </w:tcPr>
          <w:p w:rsidR="01A0C124" w:rsidP="01A0C124" w:rsidRDefault="01A0C124" w14:paraId="0A8F7E31" w14:textId="190A9F2B">
            <w:pPr>
              <w:spacing w:before="0" w:beforeAutospacing="off" w:after="0" w:afterAutospacing="off"/>
            </w:pPr>
            <w:r w:rsidR="01A0C124">
              <w:rPr/>
              <w:t>File only, manual</w:t>
            </w:r>
          </w:p>
        </w:tc>
        <w:tc>
          <w:tcPr>
            <w:tcW w:w="1937" w:type="dxa"/>
            <w:tcMar/>
          </w:tcPr>
          <w:p w:rsidR="01A0C124" w:rsidP="01A0C124" w:rsidRDefault="01A0C124" w14:paraId="02134492" w14:textId="4A1220F5">
            <w:pPr>
              <w:spacing w:before="0" w:beforeAutospacing="off" w:after="0" w:afterAutospacing="off"/>
            </w:pPr>
            <w:r w:rsidR="01A0C124">
              <w:rPr/>
              <w:t>Generic</w:t>
            </w:r>
          </w:p>
        </w:tc>
        <w:tc>
          <w:tcPr>
            <w:tcW w:w="3220" w:type="dxa"/>
            <w:tcMar/>
          </w:tcPr>
          <w:p w:rsidR="01A0C124" w:rsidP="01A0C124" w:rsidRDefault="01A0C124" w14:paraId="244B2219" w14:textId="432F6CE2">
            <w:pPr>
              <w:spacing w:before="0" w:beforeAutospacing="off" w:after="0" w:afterAutospacing="off"/>
            </w:pPr>
            <w:r w:rsidR="01A0C124">
              <w:rPr/>
              <w:t>Format-specific + pre-flight gate</w:t>
            </w:r>
          </w:p>
        </w:tc>
      </w:tr>
      <w:tr w:rsidR="01A0C124" w:rsidTr="01A0C124" w14:paraId="375AA655">
        <w:trPr>
          <w:trHeight w:val="300"/>
        </w:trPr>
        <w:tc>
          <w:tcPr>
            <w:tcW w:w="2526" w:type="dxa"/>
            <w:tcMar/>
          </w:tcPr>
          <w:p w:rsidR="01A0C124" w:rsidP="01A0C124" w:rsidRDefault="01A0C124" w14:paraId="1E5043B3" w14:textId="2D735F78">
            <w:pPr>
              <w:spacing w:before="0" w:beforeAutospacing="off" w:after="0" w:afterAutospacing="off"/>
            </w:pPr>
            <w:r w:rsidR="01A0C124">
              <w:rPr/>
              <w:t>DORA Article 4 proportionality</w:t>
            </w:r>
          </w:p>
        </w:tc>
        <w:tc>
          <w:tcPr>
            <w:tcW w:w="1677" w:type="dxa"/>
            <w:tcMar/>
          </w:tcPr>
          <w:p w:rsidR="01A0C124" w:rsidP="01A0C124" w:rsidRDefault="01A0C124" w14:paraId="118CCB47" w14:textId="6AF7355F">
            <w:pPr>
              <w:spacing w:before="0" w:beforeAutospacing="off" w:after="0" w:afterAutospacing="off"/>
            </w:pPr>
            <w:r w:rsidR="01A0C124">
              <w:rPr/>
              <w:t>Not applicable</w:t>
            </w:r>
          </w:p>
        </w:tc>
        <w:tc>
          <w:tcPr>
            <w:tcW w:w="1937" w:type="dxa"/>
            <w:tcMar/>
          </w:tcPr>
          <w:p w:rsidR="01A0C124" w:rsidP="01A0C124" w:rsidRDefault="01A0C124" w14:paraId="2DA86DF9" w14:textId="74F4C8CA">
            <w:pPr>
              <w:spacing w:before="0" w:beforeAutospacing="off" w:after="0" w:afterAutospacing="off"/>
            </w:pPr>
            <w:r w:rsidR="01A0C124">
              <w:rPr/>
              <w:t>Not calibrated to DORA</w:t>
            </w:r>
          </w:p>
        </w:tc>
        <w:tc>
          <w:tcPr>
            <w:tcW w:w="3220" w:type="dxa"/>
            <w:tcMar/>
          </w:tcPr>
          <w:p w:rsidR="01A0C124" w:rsidP="01A0C124" w:rsidRDefault="01A0C124" w14:paraId="7153628C" w14:textId="0B676407">
            <w:pPr>
              <w:spacing w:before="0" w:beforeAutospacing="off" w:after="0" w:afterAutospacing="off"/>
            </w:pPr>
            <w:r w:rsidR="01A0C124">
              <w:rPr/>
              <w:t>Designed specifically for DORA SME scope</w:t>
            </w:r>
          </w:p>
        </w:tc>
      </w:tr>
    </w:tbl>
    <w:p xmlns:wp14="http://schemas.microsoft.com/office/word/2010/wordml" w:rsidP="01A0C124" wp14:paraId="2E7CA556" wp14:textId="0CBD5614">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This comparison supports the claim that the DORA SaaS prototype occupies a distinct and unoccupied position in the solution landscape: it provides EBA-native validation and submission-format export capabilities that manual Excel management lacks entirely, at an operational cost proportionate to SME budgets that generic GRC platforms do not achieve (Arner et al., 2017; Galati et al., 2022; EBA, 2021).</w:t>
      </w:r>
    </w:p>
    <w:p xmlns:wp14="http://schemas.microsoft.com/office/word/2010/wordml" w:rsidP="01A0C124" wp14:paraId="0A11DC14" wp14:textId="67C15251">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6.4.3 Deployment Complexity Assessment</w:t>
      </w:r>
    </w:p>
    <w:p xmlns:wp14="http://schemas.microsoft.com/office/word/2010/wordml" w:rsidP="01A0C124" wp14:paraId="41F356DB" wp14:textId="2F82B85E">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A fundamental claim of this dissertation is that the system is proportionate to the operational constraints of Irish SME financial entities. The deployment model — a single </w:t>
      </w:r>
      <w:r w:rsidRPr="01A0C124" w:rsidR="5B3A32C9">
        <w:rPr>
          <w:rFonts w:ascii="Consolas" w:hAnsi="Consolas" w:eastAsia="Consolas" w:cs="Consolas"/>
          <w:noProof w:val="0"/>
          <w:sz w:val="24"/>
          <w:szCs w:val="24"/>
          <w:lang w:val="en-US"/>
        </w:rPr>
        <w:t>docker-compose up</w:t>
      </w:r>
      <w:r w:rsidRPr="01A0C124" w:rsidR="5B3A32C9">
        <w:rPr>
          <w:rFonts w:ascii="Times New Roman" w:hAnsi="Times New Roman" w:eastAsia="Times New Roman" w:cs="Times New Roman"/>
          <w:noProof w:val="0"/>
          <w:sz w:val="24"/>
          <w:szCs w:val="24"/>
          <w:lang w:val="en-US"/>
        </w:rPr>
        <w:t xml:space="preserve"> command that starts four services (PostgreSQL 16, NestJS backend, React 19 frontend, Prisma Studio) on a single machine — is the minimum reasonable operational complexity for a multi-component web application (Newman, 2019). An SME with one technically competent staff member can deploy and run the prototype without cloud infrastructure, managed services, or specialist DevOps expertise, and the environment is fully reproducible from a clean machine in under fifteen minutes.</w:t>
      </w:r>
    </w:p>
    <w:p xmlns:wp14="http://schemas.microsoft.com/office/word/2010/wordml" w:rsidP="01A0C124" wp14:paraId="7AA4CBF6" wp14:textId="612C2578">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For a production deployment serving multiple tenants simultaneously, the architecture's modular monolith structure maps directly to a single-container deployment on Azure Container Apps or AWS App Runner, with a managed PostgreSQL instance and CDN-served static frontend — requiring no architectural changes, only parameterisation of environment variables currently hardcoded as Docker Compose defaults (FINAL-technical_qa.md, Q1). The estimated cloud operational cost for this topology at SME data volumes (thousands of records, not millions) is €50–€150 per month — consistent with cost proportionality requirements identified in the RegTech literature for SME-oriented compliance platforms (Bhurat, 2025; Central Bank of Ireland, 2024a).</w:t>
      </w:r>
    </w:p>
    <w:p xmlns:wp14="http://schemas.microsoft.com/office/word/2010/wordml" w:rsidP="01A0C124" wp14:paraId="6700EA4A" wp14:textId="204879D0">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6.4.4 User Interface Proportionality</w:t>
      </w:r>
    </w:p>
    <w:p xmlns:wp14="http://schemas.microsoft.com/office/word/2010/wordml" w:rsidP="01A0C124" wp14:paraId="1DF52BB6" wp14:textId="10EFA7C0">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Three UX design patterns are evaluated for their fit to the SME compliance user profile established in Chapter 2: non-specialist data entrants who need guidance on permitted values, clear validation feedback, and unambiguous remediation actions (Butler and O'Brien, 2019; Bhurat, 2025).</w:t>
      </w:r>
    </w:p>
    <w:p xmlns:wp14="http://schemas.microsoft.com/office/word/2010/wordml" w:rsidP="01A0C124" wp14:paraId="221BBAB7" wp14:textId="2C0AEF1B">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Constrained-dropdown data entry</w:t>
      </w:r>
      <w:r w:rsidRPr="01A0C124" w:rsidR="5B3A32C9">
        <w:rPr>
          <w:rFonts w:ascii="Times New Roman" w:hAnsi="Times New Roman" w:eastAsia="Times New Roman" w:cs="Times New Roman"/>
          <w:noProof w:val="0"/>
          <w:sz w:val="24"/>
          <w:szCs w:val="24"/>
          <w:lang w:val="en-US"/>
        </w:rPr>
        <w:t xml:space="preserve"> eliminates the most prevalent ESA Dry Run failure category — non-conforming DPM codes — by making EBA-authoritative code list values the only selectable option for all categorical fields. A compliance officer cannot accidentally enter an invalid entity type, country code, or ICT service type through the standard interface: the dropdown is populated at render time from the </w:t>
      </w:r>
      <w:r w:rsidRPr="01A0C124" w:rsidR="5B3A32C9">
        <w:rPr>
          <w:rFonts w:ascii="Consolas" w:hAnsi="Consolas" w:eastAsia="Consolas" w:cs="Consolas"/>
          <w:noProof w:val="0"/>
          <w:sz w:val="24"/>
          <w:szCs w:val="24"/>
          <w:lang w:val="en-US"/>
        </w:rPr>
        <w:t>ReferenceModule</w:t>
      </w:r>
      <w:r w:rsidRPr="01A0C124" w:rsidR="5B3A32C9">
        <w:rPr>
          <w:rFonts w:ascii="Times New Roman" w:hAnsi="Times New Roman" w:eastAsia="Times New Roman" w:cs="Times New Roman"/>
          <w:noProof w:val="0"/>
          <w:sz w:val="24"/>
          <w:szCs w:val="24"/>
          <w:lang w:val="en-US"/>
        </w:rPr>
        <w:t xml:space="preserve"> API, which serves only the seeded EBA DPM values. This implements compliance by design at the UX layer — the correct choice is structurally identical to the available choice (Palmirani et al., 2018; OWASP, 2021).</w:t>
      </w:r>
    </w:p>
    <w:p xmlns:wp14="http://schemas.microsoft.com/office/word/2010/wordml" w:rsidP="01A0C124" wp14:paraId="2F475A9B" wp14:textId="04B9E25D">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Inline field-level validation feedback</w:t>
      </w:r>
      <w:r w:rsidRPr="01A0C124" w:rsidR="5B3A32C9">
        <w:rPr>
          <w:rFonts w:ascii="Times New Roman" w:hAnsi="Times New Roman" w:eastAsia="Times New Roman" w:cs="Times New Roman"/>
          <w:noProof w:val="0"/>
          <w:sz w:val="24"/>
          <w:szCs w:val="24"/>
          <w:lang w:val="en-US"/>
        </w:rPr>
        <w:t xml:space="preserve"> surfaces the engine's error messages as per-field annotations on the data entry form, directing the EDITOR to the exact field requiring attention with the human-readable </w:t>
      </w:r>
      <w:r w:rsidRPr="01A0C124" w:rsidR="5B3A32C9">
        <w:rPr>
          <w:rFonts w:ascii="Consolas" w:hAnsi="Consolas" w:eastAsia="Consolas" w:cs="Consolas"/>
          <w:noProof w:val="0"/>
          <w:sz w:val="24"/>
          <w:szCs w:val="24"/>
          <w:lang w:val="en-US"/>
        </w:rPr>
        <w:t>errorMessage</w:t>
      </w:r>
      <w:r w:rsidRPr="01A0C124" w:rsidR="5B3A32C9">
        <w:rPr>
          <w:rFonts w:ascii="Times New Roman" w:hAnsi="Times New Roman" w:eastAsia="Times New Roman" w:cs="Times New Roman"/>
          <w:noProof w:val="0"/>
          <w:sz w:val="24"/>
          <w:szCs w:val="24"/>
          <w:lang w:val="en-US"/>
        </w:rPr>
        <w:t xml:space="preserve"> drawn from the EBA rule's seed record. This pattern reduces the cognitive distance between the error and its correction, which the RegTech literature identifies as a critical friction point for non-specialist compliance users (Butler and O'Brien, 2019; Arner et al., 2017). It also means that EBA rule descriptions are surfaced directly in the user's workflow rather than in a separate technical document.</w:t>
      </w:r>
    </w:p>
    <w:p xmlns:wp14="http://schemas.microsoft.com/office/word/2010/wordml" w:rsidP="01A0C124" wp14:paraId="22888649" wp14:textId="07ADD071">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Role-differentiated three-person workflow</w:t>
      </w:r>
      <w:r w:rsidRPr="01A0C124" w:rsidR="5B3A32C9">
        <w:rPr>
          <w:rFonts w:ascii="Times New Roman" w:hAnsi="Times New Roman" w:eastAsia="Times New Roman" w:cs="Times New Roman"/>
          <w:noProof w:val="0"/>
          <w:sz w:val="24"/>
          <w:szCs w:val="24"/>
          <w:lang w:val="en-US"/>
        </w:rPr>
        <w:t xml:space="preserve"> maps naturally onto the staffing structure of a typical Irish SME financial entity, where a compliance function of two to four people manages regulatory reporting (Central Bank of Ireland, 2024a). The EDITOR handles data entry and remediation; the ANALYST manages validation quality and export readiness; the ADMIN governs user access and maintains the audit trail. No workflow configuration is required — the roles are native to the platform. The notification and deep-link system keeps all remediation communication within the platform's audit trail, eliminating the out-of-band email threads that currently dominate SME compliance workflows (Butler and O'Brien, 2019).</w:t>
      </w:r>
    </w:p>
    <w:p xmlns:wp14="http://schemas.microsoft.com/office/word/2010/wordml" w:rsidP="01A0C124" wp14:paraId="58A1FB57" wp14:textId="56AAC34D">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6.4.5 DORA Article 4 Proportionality Assessment</w:t>
      </w:r>
    </w:p>
    <w:p xmlns:wp14="http://schemas.microsoft.com/office/word/2010/wordml" w:rsidP="01A0C124" wp14:paraId="46E13C6D" wp14:textId="48328641">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Evaluating the system explicitly against DORA Article 4's proportionality principle, three criteria are assessed:</w:t>
      </w:r>
    </w:p>
    <w:p xmlns:wp14="http://schemas.microsoft.com/office/word/2010/wordml" w:rsidP="01A0C124" wp14:paraId="249AE528" wp14:textId="4C4ED850">
      <w:pPr>
        <w:pStyle w:val="ListParagraph"/>
        <w:numPr>
          <w:ilvl w:val="0"/>
          <w:numId w:val="5"/>
        </w:numPr>
        <w:bidi w:val="0"/>
        <w:spacing w:before="240" w:beforeAutospacing="off" w:after="240" w:afterAutospacing="off"/>
        <w:rPr>
          <w:rFonts w:ascii="Times New Roman" w:hAnsi="Times New Roman" w:eastAsia="Times New Roman" w:cs="Times New Roman"/>
          <w:noProof w:val="0"/>
          <w:sz w:val="24"/>
          <w:szCs w:val="24"/>
          <w:lang w:val="en-US"/>
        </w:rPr>
      </w:pPr>
      <w:r w:rsidRPr="01A0C124" w:rsidR="5B3A32C9">
        <w:rPr>
          <w:rFonts w:ascii="Times New Roman" w:hAnsi="Times New Roman" w:eastAsia="Times New Roman" w:cs="Times New Roman"/>
          <w:b w:val="1"/>
          <w:bCs w:val="1"/>
          <w:noProof w:val="0"/>
          <w:sz w:val="24"/>
          <w:szCs w:val="24"/>
          <w:lang w:val="en-US"/>
        </w:rPr>
        <w:t>Size calibration</w:t>
      </w:r>
      <w:r w:rsidRPr="01A0C124" w:rsidR="5B3A32C9">
        <w:rPr>
          <w:rFonts w:ascii="Times New Roman" w:hAnsi="Times New Roman" w:eastAsia="Times New Roman" w:cs="Times New Roman"/>
          <w:noProof w:val="0"/>
          <w:sz w:val="24"/>
          <w:szCs w:val="24"/>
          <w:lang w:val="en-US"/>
        </w:rPr>
        <w:t>: the system is designed and demonstrated for a single-entity SME register, not a group-level multi-entity submission (with the exception of the partial RT.09 implementation). The deployment model, data volumes, and operational complexity are all calibrated to a small regulated entity managing tens or hundreds of contractual arrangements, not thousands. This is proportionate to the DORA scope of SME financial entities (European Commission, 2022, Art. 4; Central Bank of Ireland, 2024a).</w:t>
      </w:r>
    </w:p>
    <w:p xmlns:wp14="http://schemas.microsoft.com/office/word/2010/wordml" w:rsidP="01A0C124" wp14:paraId="6AAFE887" wp14:textId="43077F92">
      <w:pPr>
        <w:pStyle w:val="ListParagraph"/>
        <w:numPr>
          <w:ilvl w:val="0"/>
          <w:numId w:val="5"/>
        </w:numPr>
        <w:bidi w:val="0"/>
        <w:spacing w:before="240" w:beforeAutospacing="off" w:after="240" w:afterAutospacing="off"/>
        <w:rPr>
          <w:rFonts w:ascii="Times New Roman" w:hAnsi="Times New Roman" w:eastAsia="Times New Roman" w:cs="Times New Roman"/>
          <w:noProof w:val="0"/>
          <w:sz w:val="24"/>
          <w:szCs w:val="24"/>
          <w:lang w:val="en-US"/>
        </w:rPr>
      </w:pPr>
      <w:r w:rsidRPr="01A0C124" w:rsidR="5B3A32C9">
        <w:rPr>
          <w:rFonts w:ascii="Times New Roman" w:hAnsi="Times New Roman" w:eastAsia="Times New Roman" w:cs="Times New Roman"/>
          <w:b w:val="1"/>
          <w:bCs w:val="1"/>
          <w:noProof w:val="0"/>
          <w:sz w:val="24"/>
          <w:szCs w:val="24"/>
          <w:lang w:val="en-US"/>
        </w:rPr>
        <w:t>Risk profile calibration</w:t>
      </w:r>
      <w:r w:rsidRPr="01A0C124" w:rsidR="5B3A32C9">
        <w:rPr>
          <w:rFonts w:ascii="Times New Roman" w:hAnsi="Times New Roman" w:eastAsia="Times New Roman" w:cs="Times New Roman"/>
          <w:noProof w:val="0"/>
          <w:sz w:val="24"/>
          <w:szCs w:val="24"/>
          <w:lang w:val="en-US"/>
        </w:rPr>
        <w:t>: the three-tier rule prioritisation (mandatory fields, referential integrity, conditional logic) focuses the validation engine on the failure categories that carry the greatest regulatory risk — the ones most likely to cause a CBI submission to fail. Lower-risk warnings (INFO and WARNING severity issues) do not block export, allowing entities to submit a compliant register while continuing to improve data quality on advisory items. This calibrated gate is itself a proportionality mechanism (European Banking Authority, 2024a).</w:t>
      </w:r>
    </w:p>
    <w:p xmlns:wp14="http://schemas.microsoft.com/office/word/2010/wordml" w:rsidP="01A0C124" wp14:paraId="5152C2ED" wp14:textId="78D0E0F8">
      <w:pPr>
        <w:pStyle w:val="ListParagraph"/>
        <w:numPr>
          <w:ilvl w:val="0"/>
          <w:numId w:val="5"/>
        </w:numPr>
        <w:bidi w:val="0"/>
        <w:spacing w:before="240" w:beforeAutospacing="off" w:after="240" w:afterAutospacing="off"/>
        <w:rPr>
          <w:rFonts w:ascii="Times New Roman" w:hAnsi="Times New Roman" w:eastAsia="Times New Roman" w:cs="Times New Roman"/>
          <w:noProof w:val="0"/>
          <w:sz w:val="24"/>
          <w:szCs w:val="24"/>
          <w:lang w:val="en-US"/>
        </w:rPr>
      </w:pPr>
      <w:r w:rsidRPr="01A0C124" w:rsidR="5B3A32C9">
        <w:rPr>
          <w:rFonts w:ascii="Times New Roman" w:hAnsi="Times New Roman" w:eastAsia="Times New Roman" w:cs="Times New Roman"/>
          <w:b w:val="1"/>
          <w:bCs w:val="1"/>
          <w:noProof w:val="0"/>
          <w:sz w:val="24"/>
          <w:szCs w:val="24"/>
          <w:lang w:val="en-US"/>
        </w:rPr>
        <w:t>Complexity calibration</w:t>
      </w:r>
      <w:r w:rsidRPr="01A0C124" w:rsidR="5B3A32C9">
        <w:rPr>
          <w:rFonts w:ascii="Times New Roman" w:hAnsi="Times New Roman" w:eastAsia="Times New Roman" w:cs="Times New Roman"/>
          <w:noProof w:val="0"/>
          <w:sz w:val="24"/>
          <w:szCs w:val="24"/>
          <w:lang w:val="en-US"/>
        </w:rPr>
        <w:t>: the twenty-one NestJS modules, thirty database tables, and 220-rule validation engine are the minimum complexity needed to implement the full DORA RoI data model faithfully. No gold-plating is present — there are no advanced analytics, no machine learning components, and no integration with external data providers, all of which are out of scope for the proportionate SME deployment context (Bhurat, 2025; European Commission, 2022, Art. 4).</w:t>
      </w:r>
    </w:p>
    <w:p xmlns:wp14="http://schemas.microsoft.com/office/word/2010/wordml" w:rsidP="01A0C124" wp14:paraId="7F4D1FAB" wp14:textId="757A9F22">
      <w:pPr>
        <w:bidi w:val="0"/>
        <w:spacing w:before="0" w:beforeAutospacing="off" w:after="0" w:afterAutospacing="off"/>
      </w:pPr>
    </w:p>
    <w:p xmlns:wp14="http://schemas.microsoft.com/office/word/2010/wordml" w:rsidP="01A0C124" wp14:paraId="58AE54B6" wp14:textId="53F3C7C2">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6.5 Limitations and Scope Boundaries</w:t>
      </w:r>
    </w:p>
    <w:p xmlns:wp14="http://schemas.microsoft.com/office/word/2010/wordml" w:rsidP="01A0C124" wp14:paraId="6987A6B2" wp14:textId="3A5F9FFC">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6.5.1 Evaluation-Scope Limitations</w:t>
      </w:r>
    </w:p>
    <w:p xmlns:wp14="http://schemas.microsoft.com/office/word/2010/wordml" w:rsidP="01A0C124" wp14:paraId="63AECEC5" wp14:textId="0300853C">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These limitations arise from the context in which the evaluation was conducted — a master's research prototype evaluated in an artificial DSR setting — rather than from deficiencies in the artefact's design.</w:t>
      </w:r>
    </w:p>
    <w:p xmlns:wp14="http://schemas.microsoft.com/office/word/2010/wordml" w:rsidP="01A0C124" wp14:paraId="5927F1B0" wp14:textId="48AE3EB2">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Absence of a formal user study.</w:t>
      </w:r>
      <w:r w:rsidRPr="01A0C124" w:rsidR="5B3A32C9">
        <w:rPr>
          <w:rFonts w:ascii="Times New Roman" w:hAnsi="Times New Roman" w:eastAsia="Times New Roman" w:cs="Times New Roman"/>
          <w:noProof w:val="0"/>
          <w:sz w:val="24"/>
          <w:szCs w:val="24"/>
          <w:lang w:val="en-US"/>
        </w:rPr>
        <w:t xml:space="preserve"> The proportionality and UX evaluations in Section 6.4 are grounded in design reasoning and literature, not in empirical testing with real SME compliance professionals. A formal user study — structured observation sessions with compliance officers from three to five Irish SME financial entities using the Technology Acceptance Model instrument (Davis, 1989) or a domain-specific usability protocol — would be required to make externally valid claims about usability and workflow fit. This is identified as the highest-priority evaluation next step for a production assessment cycle (Venable et al., 2016).</w:t>
      </w:r>
    </w:p>
    <w:p xmlns:wp14="http://schemas.microsoft.com/office/word/2010/wordml" w:rsidP="01A0C124" wp14:paraId="44EB0EDB" wp14:textId="2D5C34B3">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No live CBI submission test.</w:t>
      </w:r>
      <w:r w:rsidRPr="01A0C124" w:rsidR="5B3A32C9">
        <w:rPr>
          <w:rFonts w:ascii="Times New Roman" w:hAnsi="Times New Roman" w:eastAsia="Times New Roman" w:cs="Times New Roman"/>
          <w:noProof w:val="0"/>
          <w:sz w:val="24"/>
          <w:szCs w:val="24"/>
          <w:lang w:val="en-US"/>
        </w:rPr>
        <w:t xml:space="preserve"> The XBRL OIM-CSV export is structurally conformant with the EBA's published OIM-CSV conventions and generates correctly named CSV files with EBA column codes, but has not been validated through the EBA's XBRL taxonomy validator or submitted to a CBI sandbox environment. Six specific conformance risks were identified in Chapter 5: the </w:t>
      </w:r>
      <w:r w:rsidRPr="01A0C124" w:rsidR="5B3A32C9">
        <w:rPr>
          <w:rFonts w:ascii="Consolas" w:hAnsi="Consolas" w:eastAsia="Consolas" w:cs="Consolas"/>
          <w:noProof w:val="0"/>
          <w:sz w:val="24"/>
          <w:szCs w:val="24"/>
          <w:lang w:val="en-US"/>
        </w:rPr>
        <w:t>schemaRef</w:t>
      </w:r>
      <w:r w:rsidRPr="01A0C124" w:rsidR="5B3A32C9">
        <w:rPr>
          <w:rFonts w:ascii="Times New Roman" w:hAnsi="Times New Roman" w:eastAsia="Times New Roman" w:cs="Times New Roman"/>
          <w:noProof w:val="0"/>
          <w:sz w:val="24"/>
          <w:szCs w:val="24"/>
          <w:lang w:val="en-US"/>
        </w:rPr>
        <w:t xml:space="preserve"> URI requires updating to the DORA-specific taxonomy; </w:t>
      </w:r>
      <w:r w:rsidRPr="01A0C124" w:rsidR="5B3A32C9">
        <w:rPr>
          <w:rFonts w:ascii="Consolas" w:hAnsi="Consolas" w:eastAsia="Consolas" w:cs="Consolas"/>
          <w:noProof w:val="0"/>
          <w:sz w:val="24"/>
          <w:szCs w:val="24"/>
          <w:lang w:val="en-US"/>
        </w:rPr>
        <w:t>reportingPeriod</w:t>
      </w:r>
      <w:r w:rsidRPr="01A0C124" w:rsidR="5B3A32C9">
        <w:rPr>
          <w:rFonts w:ascii="Times New Roman" w:hAnsi="Times New Roman" w:eastAsia="Times New Roman" w:cs="Times New Roman"/>
          <w:noProof w:val="0"/>
          <w:sz w:val="24"/>
          <w:szCs w:val="24"/>
          <w:lang w:val="en-US"/>
        </w:rPr>
        <w:t xml:space="preserve"> must use the register reference date rather than the export date; numeric fields require explicit DPM type formatting; null field handling must align with the EBA's nil convention; column completeness must be verified against the full DPM column set; and CHAR(20) LEI padding must be stripped. These risks do not invalidate the export as a research contribution — the structural architecture is sound and the conformance gaps are precisely identified — but they confirm that a formal conformance testing step against the EBA's published validator is required before any production submission (European Banking Authority, 2024b).</w:t>
      </w:r>
    </w:p>
    <w:p xmlns:wp14="http://schemas.microsoft.com/office/word/2010/wordml" w:rsidP="01A0C124" wp14:paraId="3646C226" wp14:textId="4103BAB5">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No cross-entity comparative evaluation.</w:t>
      </w:r>
      <w:r w:rsidRPr="01A0C124" w:rsidR="5B3A32C9">
        <w:rPr>
          <w:rFonts w:ascii="Times New Roman" w:hAnsi="Times New Roman" w:eastAsia="Times New Roman" w:cs="Times New Roman"/>
          <w:noProof w:val="0"/>
          <w:sz w:val="24"/>
          <w:szCs w:val="24"/>
          <w:lang w:val="en-US"/>
        </w:rPr>
        <w:t xml:space="preserve"> The evaluation was conducted against a single synthetic tenant's seeded dataset. A comparative evaluation across multiple tenants with varied entity types, contract volumes, and data quality profiles would provide stronger evidence of the engine's correctness and the system's proportionality across the diversity of Irish SME financial entities subject to DORA.</w:t>
      </w:r>
    </w:p>
    <w:p xmlns:wp14="http://schemas.microsoft.com/office/word/2010/wordml" w:rsidP="01A0C124" wp14:paraId="003E2D94" wp14:textId="694F3816">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6.5.2 Technical Maturity Boundaries</w:t>
      </w:r>
    </w:p>
    <w:p xmlns:wp14="http://schemas.microsoft.com/office/word/2010/wordml" w:rsidP="01A0C124" wp14:paraId="28E6ADA3" wp14:textId="5B54E546">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These limitations reflect the prototype's position on the maturity spectrum — they are design-phase decisions that would need to be resolved before production deployment, not gaps in the research contribution.</w:t>
      </w:r>
    </w:p>
    <w:p xmlns:wp14="http://schemas.microsoft.com/office/word/2010/wordml" w:rsidP="01A0C124" wp14:paraId="2CCF3850" wp14:textId="47A3339F">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No automated test suite.</w:t>
      </w:r>
      <w:r w:rsidRPr="01A0C124" w:rsidR="5B3A32C9">
        <w:rPr>
          <w:rFonts w:ascii="Times New Roman" w:hAnsi="Times New Roman" w:eastAsia="Times New Roman" w:cs="Times New Roman"/>
          <w:noProof w:val="0"/>
          <w:sz w:val="24"/>
          <w:szCs w:val="24"/>
          <w:lang w:val="en-US"/>
        </w:rPr>
        <w:t xml:space="preserve"> The absence of a Jest unit test suite and Supertest integration tests means that regression coverage is not machine-verifiable. The seed-based deliberate violation test approach provides functional demonstration evidence but not structural test coverage. As Hevner et al. (2004) note, DSR artefacts at demonstration maturity are evaluated through demonstration and expert argument rather than exhaustive automated testing — but a production deployment would require a formal test suite before any entity used the platform for a real CBI submission.</w:t>
      </w:r>
    </w:p>
    <w:p xmlns:wp14="http://schemas.microsoft.com/office/word/2010/wordml" w:rsidP="01A0C124" wp14:paraId="391F4ACA" wp14:textId="3B65F77A">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Rule coverage at 73%.</w:t>
      </w:r>
      <w:r w:rsidRPr="01A0C124" w:rsidR="5B3A32C9">
        <w:rPr>
          <w:rFonts w:ascii="Times New Roman" w:hAnsi="Times New Roman" w:eastAsia="Times New Roman" w:cs="Times New Roman"/>
          <w:noProof w:val="0"/>
          <w:sz w:val="24"/>
          <w:szCs w:val="24"/>
          <w:lang w:val="en-US"/>
        </w:rPr>
        <w:t xml:space="preserve"> The 220 seeded rules represent complete Tier 1 and Tier 2 coverage and representative Tier 3 coverage, but the 27% of EBA draft rules not seeded — primarily advanced inter-template cross-checks — means the engine would not detect all possible violations in a real submission. The gap is documented in the seed script commentary so that future developers can identify and implement missing rules precisely (European Banking Authority, 2024a).</w:t>
      </w:r>
    </w:p>
    <w:p xmlns:wp14="http://schemas.microsoft.com/office/word/2010/wordml" w:rsidP="01A0C124" wp14:paraId="274FDA09" wp14:textId="3C77A28E">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No versioned migration history.</w:t>
      </w:r>
      <w:r w:rsidRPr="01A0C124" w:rsidR="5B3A32C9">
        <w:rPr>
          <w:rFonts w:ascii="Times New Roman" w:hAnsi="Times New Roman" w:eastAsia="Times New Roman" w:cs="Times New Roman"/>
          <w:noProof w:val="0"/>
          <w:sz w:val="24"/>
          <w:szCs w:val="24"/>
          <w:lang w:val="en-US"/>
        </w:rPr>
        <w:t xml:space="preserve"> The use of </w:t>
      </w:r>
      <w:r w:rsidRPr="01A0C124" w:rsidR="5B3A32C9">
        <w:rPr>
          <w:rFonts w:ascii="Consolas" w:hAnsi="Consolas" w:eastAsia="Consolas" w:cs="Consolas"/>
          <w:noProof w:val="0"/>
          <w:sz w:val="24"/>
          <w:szCs w:val="24"/>
          <w:lang w:val="en-US"/>
        </w:rPr>
        <w:t>prisma db push</w:t>
      </w:r>
      <w:r w:rsidRPr="01A0C124" w:rsidR="5B3A32C9">
        <w:rPr>
          <w:rFonts w:ascii="Times New Roman" w:hAnsi="Times New Roman" w:eastAsia="Times New Roman" w:cs="Times New Roman"/>
          <w:noProof w:val="0"/>
          <w:sz w:val="24"/>
          <w:szCs w:val="24"/>
          <w:lang w:val="en-US"/>
        </w:rPr>
        <w:t xml:space="preserve"> means the schema cannot be incrementally rolled forward or backward in a zero-downtime deployment. Production deployment requires migration to </w:t>
      </w:r>
      <w:r w:rsidRPr="01A0C124" w:rsidR="5B3A32C9">
        <w:rPr>
          <w:rFonts w:ascii="Consolas" w:hAnsi="Consolas" w:eastAsia="Consolas" w:cs="Consolas"/>
          <w:noProof w:val="0"/>
          <w:sz w:val="24"/>
          <w:szCs w:val="24"/>
          <w:lang w:val="en-US"/>
        </w:rPr>
        <w:t>prisma migrate deploy</w:t>
      </w:r>
      <w:r w:rsidRPr="01A0C124" w:rsidR="5B3A32C9">
        <w:rPr>
          <w:rFonts w:ascii="Times New Roman" w:hAnsi="Times New Roman" w:eastAsia="Times New Roman" w:cs="Times New Roman"/>
          <w:noProof w:val="0"/>
          <w:sz w:val="24"/>
          <w:szCs w:val="24"/>
          <w:lang w:val="en-US"/>
        </w:rPr>
        <w:t xml:space="preserve"> with a baseline migration and a CI/CD pipeline integration (Prisma, 2024).</w:t>
      </w:r>
    </w:p>
    <w:p xmlns:wp14="http://schemas.microsoft.com/office/word/2010/wordml" w:rsidP="01A0C124" wp14:paraId="294191CD" wp14:textId="4B329DFC">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Partial RT.09 coverage.</w:t>
      </w:r>
      <w:r w:rsidRPr="01A0C124" w:rsidR="5B3A32C9">
        <w:rPr>
          <w:rFonts w:ascii="Times New Roman" w:hAnsi="Times New Roman" w:eastAsia="Times New Roman" w:cs="Times New Roman"/>
          <w:noProof w:val="0"/>
          <w:sz w:val="24"/>
          <w:szCs w:val="24"/>
          <w:lang w:val="en-US"/>
        </w:rPr>
        <w:t xml:space="preserve"> The concentration risk aggregation for group-level submissions is the least mature component of the platform. The EBA's ITS for RT.09 remained in active refinement during the research period, making full implementation a moving target. The partial implementation is an honest reflection of regulatory uncertainty, not a design oversight.</w:t>
      </w:r>
    </w:p>
    <w:p xmlns:wp14="http://schemas.microsoft.com/office/word/2010/wordml" w:rsidP="01A0C124" wp14:paraId="42489E19" wp14:textId="1042C72A">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6.5.3 Reflective Assessment</w:t>
      </w:r>
    </w:p>
    <w:p xmlns:wp14="http://schemas.microsoft.com/office/word/2010/wordml" w:rsidP="01A0C124" wp14:paraId="10DC6481" wp14:textId="0B369F52">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Reflecting candidly on the research process, three decisions would be revisited in a future implementation cycle. First, the </w:t>
      </w:r>
      <w:r w:rsidRPr="01A0C124" w:rsidR="5B3A32C9">
        <w:rPr>
          <w:rFonts w:ascii="Consolas" w:hAnsi="Consolas" w:eastAsia="Consolas" w:cs="Consolas"/>
          <w:noProof w:val="0"/>
          <w:sz w:val="24"/>
          <w:szCs w:val="24"/>
          <w:lang w:val="en-US"/>
        </w:rPr>
        <w:t>conditional</w:t>
      </w:r>
      <w:r w:rsidRPr="01A0C124" w:rsidR="5B3A32C9">
        <w:rPr>
          <w:rFonts w:ascii="Times New Roman" w:hAnsi="Times New Roman" w:eastAsia="Times New Roman" w:cs="Times New Roman"/>
          <w:noProof w:val="0"/>
          <w:sz w:val="24"/>
          <w:szCs w:val="24"/>
          <w:lang w:val="en-US"/>
        </w:rPr>
        <w:t xml:space="preserve"> rule type would be seeded more broadly from the outset — the EBA ITS contains 15–20 if-then field requirements across RT.02 and RT.07 that are high-frequency failure sources and which the conditional type could handle without architectural change; this was underestimated during the Tier 3 rule selection. Second, the XBRL </w:t>
      </w:r>
      <w:r w:rsidRPr="01A0C124" w:rsidR="5B3A32C9">
        <w:rPr>
          <w:rFonts w:ascii="Consolas" w:hAnsi="Consolas" w:eastAsia="Consolas" w:cs="Consolas"/>
          <w:noProof w:val="0"/>
          <w:sz w:val="24"/>
          <w:szCs w:val="24"/>
          <w:lang w:val="en-US"/>
        </w:rPr>
        <w:t>schemaRef</w:t>
      </w:r>
      <w:r w:rsidRPr="01A0C124" w:rsidR="5B3A32C9">
        <w:rPr>
          <w:rFonts w:ascii="Times New Roman" w:hAnsi="Times New Roman" w:eastAsia="Times New Roman" w:cs="Times New Roman"/>
          <w:noProof w:val="0"/>
          <w:sz w:val="24"/>
          <w:szCs w:val="24"/>
          <w:lang w:val="en-US"/>
        </w:rPr>
        <w:t xml:space="preserve"> URI would be validated against the EBA's published taxonomy ZIP at the beginning of the export implementation rather than at the end, to avoid the post-hoc conformance risks identified in Section 6.5.1. Third, a lightweight usability test — even two or three structured observation sessions with compliance professionals — would have been conducted during the implementation phase to validate the three-role workflow design before it was fully built, rather than relying entirely on literature-grounded design reasoning.</w:t>
      </w:r>
    </w:p>
    <w:p xmlns:wp14="http://schemas.microsoft.com/office/word/2010/wordml" w:rsidP="01A0C124" wp14:paraId="7D2A36F0" wp14:textId="418A33D5">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These reflections do not diminish the artefact's contribution at its stated scope and maturity level. They represent the honest self-assessment that Design Science Research methodology demands of its practitioners, and they define the clearest path toward a production-grade second iteration (Hevner et al., 2004; Venable et al., 2016; Peffers et al., 2007).</w:t>
      </w:r>
    </w:p>
    <w:p xmlns:wp14="http://schemas.microsoft.com/office/word/2010/wordml" w:rsidP="01A0C124" wp14:paraId="3993EF23" wp14:textId="126B7B3B">
      <w:pPr>
        <w:bidi w:val="0"/>
        <w:spacing w:before="0" w:beforeAutospacing="off" w:after="0" w:afterAutospacing="off"/>
      </w:pPr>
    </w:p>
    <w:p xmlns:wp14="http://schemas.microsoft.com/office/word/2010/wordml" w:rsidP="01A0C124" wp14:paraId="75371A59" wp14:textId="42799BF0">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6.6 Research Contribution Assessment</w:t>
      </w:r>
    </w:p>
    <w:p xmlns:wp14="http://schemas.microsoft.com/office/word/2010/wordml" w:rsidP="01A0C124" wp14:paraId="3D34843F" wp14:textId="7F243838">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6.6.1 Connection to the Three Research Objectives</w:t>
      </w:r>
    </w:p>
    <w:p xmlns:wp14="http://schemas.microsoft.com/office/word/2010/wordml" w:rsidP="01A0C124" wp14:paraId="690B9FA4" wp14:textId="76820EC0">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Chapter 1 established three research objectives that this dissertation set out to address. This section evaluates the degree to which the artefact, as built and demonstrated, satisfies each one.</w:t>
      </w:r>
    </w:p>
    <w:p xmlns:wp14="http://schemas.microsoft.com/office/word/2010/wordml" w:rsidP="01A0C124" wp14:paraId="5000CCE6" wp14:textId="526D63AB">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Research Objective 1 — Identify the primary data quality and structural failure patterns in DORA Register of Information submissions among Irish SME financial entities.</w:t>
      </w:r>
      <w:r w:rsidRPr="01A0C124" w:rsidR="5B3A32C9">
        <w:rPr>
          <w:rFonts w:ascii="Times New Roman" w:hAnsi="Times New Roman" w:eastAsia="Times New Roman" w:cs="Times New Roman"/>
          <w:noProof w:val="0"/>
          <w:sz w:val="24"/>
          <w:szCs w:val="24"/>
          <w:lang w:val="en-US"/>
        </w:rPr>
        <w:t xml:space="preserve"> This objective is satisfied through the literature review in Chapter 2 and the empirical grounding in the ESA 2024 Dry Run findings, which confirmed a 93.5% failure rate across the EU and identified five specific failure categories at measurable frequency levels (European Supervisory Authorities, 2024). The Dry Run findings provided a precise, empirically validated problem specification against which the artefact's design was calibrated — a direct instantiation of the DSR principle that artefact design must be motivated by a rigorously documented problem instance (Hevner et al., 2004).</w:t>
      </w:r>
    </w:p>
    <w:p xmlns:wp14="http://schemas.microsoft.com/office/word/2010/wordml" w:rsidP="01A0C124" wp14:paraId="42CEDA8E" wp14:textId="28894B3C">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Research Objective 2 — Design and implement a rule-based compliance validation engine capable of detecting these failure patterns before submission.</w:t>
      </w:r>
      <w:r w:rsidRPr="01A0C124" w:rsidR="5B3A32C9">
        <w:rPr>
          <w:rFonts w:ascii="Times New Roman" w:hAnsi="Times New Roman" w:eastAsia="Times New Roman" w:cs="Times New Roman"/>
          <w:noProof w:val="0"/>
          <w:sz w:val="24"/>
          <w:szCs w:val="24"/>
          <w:lang w:val="en-US"/>
        </w:rPr>
        <w:t xml:space="preserve"> This objective is satisfied by the 220-rule declarative validation engine described in Chapter 5 and demonstrated in Section 6.3.1. The engine implements all five ESA failure categories through dedicated rule types, achieves a 9/9 detection rate against deliberately injected violations with zero false positives, and gates export behind an ERROR-severity pre-flight check that makes submission of a non-compliant register structurally impossible within the platform. The declarative, database-stored rule architecture ensures that the engine is maintainable as the EBA's ITS evolves, without requiring code changes (Governatori et al., 2016; Sadiq et al., 2007).</w:t>
      </w:r>
    </w:p>
    <w:p xmlns:wp14="http://schemas.microsoft.com/office/word/2010/wordml" w:rsidP="01A0C124" wp14:paraId="55E8F87F" wp14:textId="58D99344">
      <w:pPr>
        <w:bidi w:val="0"/>
        <w:spacing w:before="240" w:beforeAutospacing="off" w:after="240" w:afterAutospacing="off"/>
      </w:pPr>
      <w:r w:rsidRPr="01A0C124" w:rsidR="5B3A32C9">
        <w:rPr>
          <w:rFonts w:ascii="Times New Roman" w:hAnsi="Times New Roman" w:eastAsia="Times New Roman" w:cs="Times New Roman"/>
          <w:b w:val="1"/>
          <w:bCs w:val="1"/>
          <w:noProof w:val="0"/>
          <w:sz w:val="24"/>
          <w:szCs w:val="24"/>
          <w:lang w:val="en-US"/>
        </w:rPr>
        <w:t>Research Objective 3 — Demonstrate that a proportionate, SME-deployable DORA compliance platform can be built using standard web technologies within the resource constraints of a master's research project.</w:t>
      </w:r>
      <w:r w:rsidRPr="01A0C124" w:rsidR="5B3A32C9">
        <w:rPr>
          <w:rFonts w:ascii="Times New Roman" w:hAnsi="Times New Roman" w:eastAsia="Times New Roman" w:cs="Times New Roman"/>
          <w:noProof w:val="0"/>
          <w:sz w:val="24"/>
          <w:szCs w:val="24"/>
          <w:lang w:val="en-US"/>
        </w:rPr>
        <w:t xml:space="preserve"> This objective is satisfied by the complete, deployable, four-service Docker Compose prototype described across Chapters 4 and 5 and assessed in Section 6.4. The deployment complexity, estimated operational cost, and role-calibrated UX design are all demonstrably proportionate to the SME financial entity profile. The technology stack — NestJS, PostgreSQL, React, Prisma — is entirely standard, open-architecture, and without proprietary dependencies, confirming that the approach is reproducible and extendable without vendor lock-in (Bhurat, 2025; Newman, 2019).</w:t>
      </w:r>
    </w:p>
    <w:p xmlns:wp14="http://schemas.microsoft.com/office/word/2010/wordml" w:rsidP="01A0C124" wp14:paraId="2948C430" wp14:textId="0A392247">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6.6.2 Contribution to the RegTech Literature</w:t>
      </w:r>
    </w:p>
    <w:p xmlns:wp14="http://schemas.microsoft.com/office/word/2010/wordml" w:rsidP="01A0C124" wp14:paraId="2FB29114" wp14:textId="778980BC">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This research makes three contributions to the RegTech literature, positioned against the gap identified in Chapter 2 — the absence of domain-specific, validation-integrated, submission-ready DORA compliance tooling for SME financial entities in the Irish regulatory context.</w:t>
      </w:r>
    </w:p>
    <w:p xmlns:wp14="http://schemas.microsoft.com/office/word/2010/wordml" w:rsidP="01A0C124" wp14:paraId="76047482" wp14:textId="1E2A0BDD">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The </w:t>
      </w:r>
      <w:r w:rsidRPr="01A0C124" w:rsidR="5B3A32C9">
        <w:rPr>
          <w:rFonts w:ascii="Times New Roman" w:hAnsi="Times New Roman" w:eastAsia="Times New Roman" w:cs="Times New Roman"/>
          <w:b w:val="1"/>
          <w:bCs w:val="1"/>
          <w:noProof w:val="0"/>
          <w:sz w:val="24"/>
          <w:szCs w:val="24"/>
          <w:lang w:val="en-US"/>
        </w:rPr>
        <w:t>first contribution</w:t>
      </w:r>
      <w:r w:rsidRPr="01A0C124" w:rsidR="5B3A32C9">
        <w:rPr>
          <w:rFonts w:ascii="Times New Roman" w:hAnsi="Times New Roman" w:eastAsia="Times New Roman" w:cs="Times New Roman"/>
          <w:noProof w:val="0"/>
          <w:sz w:val="24"/>
          <w:szCs w:val="24"/>
          <w:lang w:val="en-US"/>
        </w:rPr>
        <w:t xml:space="preserve"> is a domain-specific functional artefact: a purpose-built, open-architecture DORA RoI compliance platform that implements the full EBA ITS data model, embeds 220 EBA-specific validation rules, and produces submission-format dual outputs for eleven of fourteen sub-templates. To the author's knowledge, no peer-reviewed research has previously produced a functional artefact specifically implementing DORA's Register of Information requirements, making this the first documented DSR contribution in this regulatory domain. The EBA's own RegTech analysis (EBA, 2021) identified compliance automation as a critical capability gap for smaller financial entities, and this artefact provides a concrete instantiation of how that gap can be addressed.</w:t>
      </w:r>
    </w:p>
    <w:p xmlns:wp14="http://schemas.microsoft.com/office/word/2010/wordml" w:rsidP="01A0C124" wp14:paraId="5A1F1A2B" wp14:textId="08A95BD2">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The </w:t>
      </w:r>
      <w:r w:rsidRPr="01A0C124" w:rsidR="5B3A32C9">
        <w:rPr>
          <w:rFonts w:ascii="Times New Roman" w:hAnsi="Times New Roman" w:eastAsia="Times New Roman" w:cs="Times New Roman"/>
          <w:b w:val="1"/>
          <w:bCs w:val="1"/>
          <w:noProof w:val="0"/>
          <w:sz w:val="24"/>
          <w:szCs w:val="24"/>
          <w:lang w:val="en-US"/>
        </w:rPr>
        <w:t>second contribution</w:t>
      </w:r>
      <w:r w:rsidRPr="01A0C124" w:rsidR="5B3A32C9">
        <w:rPr>
          <w:rFonts w:ascii="Times New Roman" w:hAnsi="Times New Roman" w:eastAsia="Times New Roman" w:cs="Times New Roman"/>
          <w:noProof w:val="0"/>
          <w:sz w:val="24"/>
          <w:szCs w:val="24"/>
          <w:lang w:val="en-US"/>
        </w:rPr>
        <w:t xml:space="preserve"> is a validated design pattern for rule-based regulatory compliance automation in a multi-tenant SaaS context. The pattern — store all validation rules as database records, execute them through a generic typed engine, gate export behind a severity-classified pre-flight check — is not specific to DORA. It is directly applicable to any regulatory reporting regime that publishes a validation rule set in machine-readable form. The pattern operationalises the declarative compliance modelling recommended by Governatori et al. (2016) and Sadiq et al. (2007) in a concrete, verifiable implementation, demonstrating that it is achievable at prototype scale with a standard web technology stack and within the time constraints of a single-investigator research project.</w:t>
      </w:r>
    </w:p>
    <w:p xmlns:wp14="http://schemas.microsoft.com/office/word/2010/wordml" w:rsidP="01A0C124" wp14:paraId="090A149D" wp14:textId="2B2A6911">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The </w:t>
      </w:r>
      <w:r w:rsidRPr="01A0C124" w:rsidR="5B3A32C9">
        <w:rPr>
          <w:rFonts w:ascii="Times New Roman" w:hAnsi="Times New Roman" w:eastAsia="Times New Roman" w:cs="Times New Roman"/>
          <w:b w:val="1"/>
          <w:bCs w:val="1"/>
          <w:noProof w:val="0"/>
          <w:sz w:val="24"/>
          <w:szCs w:val="24"/>
          <w:lang w:val="en-US"/>
        </w:rPr>
        <w:t>third contribution</w:t>
      </w:r>
      <w:r w:rsidRPr="01A0C124" w:rsidR="5B3A32C9">
        <w:rPr>
          <w:rFonts w:ascii="Times New Roman" w:hAnsi="Times New Roman" w:eastAsia="Times New Roman" w:cs="Times New Roman"/>
          <w:noProof w:val="0"/>
          <w:sz w:val="24"/>
          <w:szCs w:val="24"/>
          <w:lang w:val="en-US"/>
        </w:rPr>
        <w:t xml:space="preserve"> is an evidence-based failure-category-to-solution mapping: for each of the five ESA Dry Run failure categories, this research documents a specific, implemented, and demonstrated technical mechanism that prevents or detects the failure. This mapping — from empirically documented regulatory problem to system design solution — constitutes a design theory contribution in the DSR sense: it provides a prescriptive statement of the form "to address failure category X in regulatory submission context Y, implement mechanism Z" (Gregor and Jones, 2007; Hevner et al., 2004).</w:t>
      </w:r>
    </w:p>
    <w:p xmlns:wp14="http://schemas.microsoft.com/office/word/2010/wordml" w:rsidP="01A0C124" wp14:paraId="582CD3E5" wp14:textId="2A0A1181">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6.6.3 Final DSR Evaluation Summary</w:t>
      </w:r>
    </w:p>
    <w:p xmlns:wp14="http://schemas.microsoft.com/office/word/2010/wordml" w:rsidP="01A0C124" wp14:paraId="282D1E09" wp14:textId="1A016A9B">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Table 6.8 provides the final assessment of the artefact against all seven DSR evaluation criteria of Hevner et al. (2004), completing the evaluation framework established in Section 6.1.</w:t>
      </w:r>
    </w:p>
    <w:p xmlns:wp14="http://schemas.microsoft.com/office/word/2010/wordml" w:rsidP="01A0C124" wp14:paraId="607209FC" wp14:textId="68A2ECC2">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TABLE 6.8 — Final DSR evaluation criteria assessment.</w:t>
      </w:r>
    </w:p>
    <w:tbl>
      <w:tblPr>
        <w:tblStyle w:val="TableGrid"/>
        <w:bidiVisual w:val="0"/>
        <w:tblW w:w="0" w:type="auto"/>
        <w:tblLook w:val="06A0" w:firstRow="1" w:lastRow="0" w:firstColumn="1" w:lastColumn="0" w:noHBand="1" w:noVBand="1"/>
      </w:tblPr>
      <w:tblGrid>
        <w:gridCol w:w="1368"/>
        <w:gridCol w:w="2614"/>
        <w:gridCol w:w="5378"/>
      </w:tblGrid>
      <w:tr w:rsidR="01A0C124" w:rsidTr="01A0C124" w14:paraId="225FD44B">
        <w:trPr>
          <w:trHeight w:val="300"/>
        </w:trPr>
        <w:tc>
          <w:tcPr>
            <w:tcW w:w="1368" w:type="dxa"/>
            <w:tcMar/>
          </w:tcPr>
          <w:p w:rsidR="01A0C124" w:rsidP="01A0C124" w:rsidRDefault="01A0C124" w14:paraId="39A6B756" w14:textId="6DCF9DAC">
            <w:pPr>
              <w:bidi w:val="0"/>
              <w:spacing w:before="0" w:beforeAutospacing="off" w:after="0" w:afterAutospacing="off"/>
              <w:jc w:val="center"/>
            </w:pPr>
            <w:r w:rsidRPr="01A0C124" w:rsidR="01A0C124">
              <w:rPr>
                <w:b w:val="1"/>
                <w:bCs w:val="1"/>
              </w:rPr>
              <w:t>DSR Criterion</w:t>
            </w:r>
          </w:p>
        </w:tc>
        <w:tc>
          <w:tcPr>
            <w:tcW w:w="2614" w:type="dxa"/>
            <w:tcMar/>
          </w:tcPr>
          <w:p w:rsidR="01A0C124" w:rsidP="01A0C124" w:rsidRDefault="01A0C124" w14:paraId="0234FF1F" w14:textId="5CC7A76B">
            <w:pPr>
              <w:bidi w:val="0"/>
              <w:spacing w:before="0" w:beforeAutospacing="off" w:after="0" w:afterAutospacing="off"/>
              <w:jc w:val="center"/>
            </w:pPr>
            <w:r w:rsidRPr="01A0C124" w:rsidR="01A0C124">
              <w:rPr>
                <w:b w:val="1"/>
                <w:bCs w:val="1"/>
              </w:rPr>
              <w:t>Description</w:t>
            </w:r>
          </w:p>
        </w:tc>
        <w:tc>
          <w:tcPr>
            <w:tcW w:w="5378" w:type="dxa"/>
            <w:tcMar/>
          </w:tcPr>
          <w:p w:rsidR="01A0C124" w:rsidP="01A0C124" w:rsidRDefault="01A0C124" w14:paraId="0073D5AD" w14:textId="68B6A92D">
            <w:pPr>
              <w:bidi w:val="0"/>
              <w:spacing w:before="0" w:beforeAutospacing="off" w:after="0" w:afterAutospacing="off"/>
              <w:jc w:val="center"/>
            </w:pPr>
            <w:r w:rsidRPr="01A0C124" w:rsidR="01A0C124">
              <w:rPr>
                <w:b w:val="1"/>
                <w:bCs w:val="1"/>
              </w:rPr>
              <w:t>Assessment</w:t>
            </w:r>
          </w:p>
        </w:tc>
      </w:tr>
      <w:tr w:rsidR="01A0C124" w:rsidTr="01A0C124" w14:paraId="1D5853BA">
        <w:trPr>
          <w:trHeight w:val="300"/>
        </w:trPr>
        <w:tc>
          <w:tcPr>
            <w:tcW w:w="1368" w:type="dxa"/>
            <w:tcMar/>
          </w:tcPr>
          <w:p w:rsidR="01A0C124" w:rsidP="01A0C124" w:rsidRDefault="01A0C124" w14:paraId="680844A9" w14:textId="56670AB3">
            <w:pPr>
              <w:bidi w:val="0"/>
              <w:spacing w:before="0" w:beforeAutospacing="off" w:after="0" w:afterAutospacing="off"/>
            </w:pPr>
            <w:r w:rsidR="01A0C124">
              <w:rPr/>
              <w:t>Design as artefact</w:t>
            </w:r>
          </w:p>
        </w:tc>
        <w:tc>
          <w:tcPr>
            <w:tcW w:w="2614" w:type="dxa"/>
            <w:tcMar/>
          </w:tcPr>
          <w:p w:rsidR="01A0C124" w:rsidP="01A0C124" w:rsidRDefault="01A0C124" w14:paraId="56D5FEBB" w14:textId="6C5F15EF">
            <w:pPr>
              <w:bidi w:val="0"/>
              <w:spacing w:before="0" w:beforeAutospacing="off" w:after="0" w:afterAutospacing="off"/>
            </w:pPr>
            <w:r w:rsidR="01A0C124">
              <w:rPr/>
              <w:t>Tangible, functional construct</w:t>
            </w:r>
          </w:p>
        </w:tc>
        <w:tc>
          <w:tcPr>
            <w:tcW w:w="5378" w:type="dxa"/>
            <w:tcMar/>
          </w:tcPr>
          <w:p w:rsidR="01A0C124" w:rsidP="01A0C124" w:rsidRDefault="01A0C124" w14:paraId="29EE23BE" w14:textId="1972312D">
            <w:pPr>
              <w:bidi w:val="0"/>
              <w:spacing w:before="0" w:beforeAutospacing="off" w:after="0" w:afterAutospacing="off"/>
            </w:pPr>
            <w:r w:rsidR="01A0C124">
              <w:rPr/>
              <w:t>Full — deployable system: 30 tables, 21 modules, 220 rules, dual export</w:t>
            </w:r>
          </w:p>
        </w:tc>
      </w:tr>
      <w:tr w:rsidR="01A0C124" w:rsidTr="01A0C124" w14:paraId="0A9DB5FE">
        <w:trPr>
          <w:trHeight w:val="300"/>
        </w:trPr>
        <w:tc>
          <w:tcPr>
            <w:tcW w:w="1368" w:type="dxa"/>
            <w:tcMar/>
          </w:tcPr>
          <w:p w:rsidR="01A0C124" w:rsidP="01A0C124" w:rsidRDefault="01A0C124" w14:paraId="265F7AF5" w14:textId="4218818C">
            <w:pPr>
              <w:bidi w:val="0"/>
              <w:spacing w:before="0" w:beforeAutospacing="off" w:after="0" w:afterAutospacing="off"/>
            </w:pPr>
            <w:r w:rsidR="01A0C124">
              <w:rPr/>
              <w:t>Problem relevance</w:t>
            </w:r>
          </w:p>
        </w:tc>
        <w:tc>
          <w:tcPr>
            <w:tcW w:w="2614" w:type="dxa"/>
            <w:tcMar/>
          </w:tcPr>
          <w:p w:rsidR="01A0C124" w:rsidP="01A0C124" w:rsidRDefault="01A0C124" w14:paraId="1F6BCFD4" w14:textId="252D0CE9">
            <w:pPr>
              <w:bidi w:val="0"/>
              <w:spacing w:before="0" w:beforeAutospacing="off" w:after="0" w:afterAutospacing="off"/>
            </w:pPr>
            <w:r w:rsidR="01A0C124">
              <w:rPr/>
              <w:t>Addresses genuine, significant, documented problem</w:t>
            </w:r>
          </w:p>
        </w:tc>
        <w:tc>
          <w:tcPr>
            <w:tcW w:w="5378" w:type="dxa"/>
            <w:tcMar/>
          </w:tcPr>
          <w:p w:rsidR="01A0C124" w:rsidP="01A0C124" w:rsidRDefault="01A0C124" w14:paraId="2A78F021" w14:textId="0B1109A5">
            <w:pPr>
              <w:bidi w:val="0"/>
              <w:spacing w:before="0" w:beforeAutospacing="off" w:after="0" w:afterAutospacing="off"/>
            </w:pPr>
            <w:r w:rsidR="01A0C124">
              <w:rPr/>
              <w:t>Full — ESA 2024 Dry Run: 93.5% failure rate; CBI mandatory submission</w:t>
            </w:r>
          </w:p>
        </w:tc>
      </w:tr>
      <w:tr w:rsidR="01A0C124" w:rsidTr="01A0C124" w14:paraId="0EC5C8C3">
        <w:trPr>
          <w:trHeight w:val="300"/>
        </w:trPr>
        <w:tc>
          <w:tcPr>
            <w:tcW w:w="1368" w:type="dxa"/>
            <w:tcMar/>
          </w:tcPr>
          <w:p w:rsidR="01A0C124" w:rsidP="01A0C124" w:rsidRDefault="01A0C124" w14:paraId="7D9A5360" w14:textId="6CD26376">
            <w:pPr>
              <w:bidi w:val="0"/>
              <w:spacing w:before="0" w:beforeAutospacing="off" w:after="0" w:afterAutospacing="off"/>
            </w:pPr>
            <w:r w:rsidR="01A0C124">
              <w:rPr/>
              <w:t>Design evaluation</w:t>
            </w:r>
          </w:p>
        </w:tc>
        <w:tc>
          <w:tcPr>
            <w:tcW w:w="2614" w:type="dxa"/>
            <w:tcMar/>
          </w:tcPr>
          <w:p w:rsidR="01A0C124" w:rsidP="01A0C124" w:rsidRDefault="01A0C124" w14:paraId="4BB30C80" w14:textId="5BF85FC7">
            <w:pPr>
              <w:bidi w:val="0"/>
              <w:spacing w:before="0" w:beforeAutospacing="off" w:after="0" w:afterAutospacing="off"/>
            </w:pPr>
            <w:r w:rsidR="01A0C124">
              <w:rPr/>
              <w:t>Rigorously assessed against well-specified criteria</w:t>
            </w:r>
          </w:p>
        </w:tc>
        <w:tc>
          <w:tcPr>
            <w:tcW w:w="5378" w:type="dxa"/>
            <w:tcMar/>
          </w:tcPr>
          <w:p w:rsidR="01A0C124" w:rsidP="01A0C124" w:rsidRDefault="01A0C124" w14:paraId="5C336912" w14:textId="0724D090">
            <w:pPr>
              <w:bidi w:val="0"/>
              <w:spacing w:before="0" w:beforeAutospacing="off" w:after="0" w:afterAutospacing="off"/>
            </w:pPr>
            <w:r w:rsidR="01A0C124">
              <w:rPr/>
              <w:t>Full — structural traceability, functional demonstration, security review, proportionality assessment</w:t>
            </w:r>
          </w:p>
        </w:tc>
      </w:tr>
      <w:tr w:rsidR="01A0C124" w:rsidTr="01A0C124" w14:paraId="3A183DAC">
        <w:trPr>
          <w:trHeight w:val="300"/>
        </w:trPr>
        <w:tc>
          <w:tcPr>
            <w:tcW w:w="1368" w:type="dxa"/>
            <w:tcMar/>
          </w:tcPr>
          <w:p w:rsidR="01A0C124" w:rsidP="01A0C124" w:rsidRDefault="01A0C124" w14:paraId="28F8B75A" w14:textId="678F78B9">
            <w:pPr>
              <w:bidi w:val="0"/>
              <w:spacing w:before="0" w:beforeAutospacing="off" w:after="0" w:afterAutospacing="off"/>
            </w:pPr>
            <w:r w:rsidR="01A0C124">
              <w:rPr/>
              <w:t>Research contribution</w:t>
            </w:r>
          </w:p>
        </w:tc>
        <w:tc>
          <w:tcPr>
            <w:tcW w:w="2614" w:type="dxa"/>
            <w:tcMar/>
          </w:tcPr>
          <w:p w:rsidR="01A0C124" w:rsidP="01A0C124" w:rsidRDefault="01A0C124" w14:paraId="0B8FC41F" w14:textId="10AAD39B">
            <w:pPr>
              <w:bidi w:val="0"/>
              <w:spacing w:before="0" w:beforeAutospacing="off" w:after="0" w:afterAutospacing="off"/>
            </w:pPr>
            <w:r w:rsidR="01A0C124">
              <w:rPr/>
              <w:t>Contributes knowledge beyond existing artefacts</w:t>
            </w:r>
          </w:p>
        </w:tc>
        <w:tc>
          <w:tcPr>
            <w:tcW w:w="5378" w:type="dxa"/>
            <w:tcMar/>
          </w:tcPr>
          <w:p w:rsidR="01A0C124" w:rsidP="01A0C124" w:rsidRDefault="01A0C124" w14:paraId="2B1FD210" w14:textId="085B8A4E">
            <w:pPr>
              <w:bidi w:val="0"/>
              <w:spacing w:before="0" w:beforeAutospacing="off" w:after="0" w:afterAutospacing="off"/>
            </w:pPr>
            <w:r w:rsidR="01A0C124">
              <w:rPr/>
              <w:t>Full — first DORA RoI artefact; validated rule-based compliance design pattern; failure-to-solution mapping</w:t>
            </w:r>
          </w:p>
        </w:tc>
      </w:tr>
      <w:tr w:rsidR="01A0C124" w:rsidTr="01A0C124" w14:paraId="77078897">
        <w:trPr>
          <w:trHeight w:val="300"/>
        </w:trPr>
        <w:tc>
          <w:tcPr>
            <w:tcW w:w="1368" w:type="dxa"/>
            <w:tcMar/>
          </w:tcPr>
          <w:p w:rsidR="01A0C124" w:rsidP="01A0C124" w:rsidRDefault="01A0C124" w14:paraId="469BE529" w14:textId="398D9CDF">
            <w:pPr>
              <w:bidi w:val="0"/>
              <w:spacing w:before="0" w:beforeAutospacing="off" w:after="0" w:afterAutospacing="off"/>
            </w:pPr>
            <w:r w:rsidR="01A0C124">
              <w:rPr/>
              <w:t>Research rigor</w:t>
            </w:r>
          </w:p>
        </w:tc>
        <w:tc>
          <w:tcPr>
            <w:tcW w:w="2614" w:type="dxa"/>
            <w:tcMar/>
          </w:tcPr>
          <w:p w:rsidR="01A0C124" w:rsidP="01A0C124" w:rsidRDefault="01A0C124" w14:paraId="464E1884" w14:textId="59CE5631">
            <w:pPr>
              <w:bidi w:val="0"/>
              <w:spacing w:before="0" w:beforeAutospacing="off" w:after="0" w:afterAutospacing="off"/>
            </w:pPr>
            <w:r w:rsidR="01A0C124">
              <w:rPr/>
              <w:t>Follows sound, well-justified research methods</w:t>
            </w:r>
          </w:p>
        </w:tc>
        <w:tc>
          <w:tcPr>
            <w:tcW w:w="5378" w:type="dxa"/>
            <w:tcMar/>
          </w:tcPr>
          <w:p w:rsidR="01A0C124" w:rsidP="01A0C124" w:rsidRDefault="01A0C124" w14:paraId="45BF2767" w14:textId="5789BD55">
            <w:pPr>
              <w:bidi w:val="0"/>
              <w:spacing w:before="0" w:beforeAutospacing="off" w:after="0" w:afterAutospacing="off"/>
            </w:pPr>
            <w:r w:rsidR="01A0C124">
              <w:rPr/>
              <w:t>Full — DSR methodology; FEDS evaluation framework; Chapters 3–5 grounded in established frameworks</w:t>
            </w:r>
          </w:p>
        </w:tc>
      </w:tr>
      <w:tr w:rsidR="01A0C124" w:rsidTr="01A0C124" w14:paraId="73CC846E">
        <w:trPr>
          <w:trHeight w:val="300"/>
        </w:trPr>
        <w:tc>
          <w:tcPr>
            <w:tcW w:w="1368" w:type="dxa"/>
            <w:tcMar/>
          </w:tcPr>
          <w:p w:rsidR="01A0C124" w:rsidP="01A0C124" w:rsidRDefault="01A0C124" w14:paraId="3E21F881" w14:textId="765C4663">
            <w:pPr>
              <w:bidi w:val="0"/>
              <w:spacing w:before="0" w:beforeAutospacing="off" w:after="0" w:afterAutospacing="off"/>
            </w:pPr>
            <w:r w:rsidR="01A0C124">
              <w:rPr/>
              <w:t>Design as search process</w:t>
            </w:r>
          </w:p>
        </w:tc>
        <w:tc>
          <w:tcPr>
            <w:tcW w:w="2614" w:type="dxa"/>
            <w:tcMar/>
          </w:tcPr>
          <w:p w:rsidR="01A0C124" w:rsidP="01A0C124" w:rsidRDefault="01A0C124" w14:paraId="796DF02A" w14:textId="4D67F540">
            <w:pPr>
              <w:bidi w:val="0"/>
              <w:spacing w:before="0" w:beforeAutospacing="off" w:after="0" w:afterAutospacing="off"/>
            </w:pPr>
            <w:r w:rsidR="01A0C124">
              <w:rPr/>
              <w:t>Iterative development with learning across cycles</w:t>
            </w:r>
          </w:p>
        </w:tc>
        <w:tc>
          <w:tcPr>
            <w:tcW w:w="5378" w:type="dxa"/>
            <w:tcMar/>
          </w:tcPr>
          <w:p w:rsidR="01A0C124" w:rsidP="01A0C124" w:rsidRDefault="01A0C124" w14:paraId="3748A153" w14:textId="0F036E0D">
            <w:pPr>
              <w:bidi w:val="0"/>
              <w:spacing w:before="0" w:beforeAutospacing="off" w:after="0" w:afterAutospacing="off"/>
            </w:pPr>
            <w:r w:rsidR="01A0C124">
              <w:rPr/>
              <w:t>Full — five documented implementation phases; 13 sessions from March to April 2026</w:t>
            </w:r>
          </w:p>
        </w:tc>
      </w:tr>
      <w:tr w:rsidR="01A0C124" w:rsidTr="01A0C124" w14:paraId="2B98AB6E">
        <w:trPr>
          <w:trHeight w:val="300"/>
        </w:trPr>
        <w:tc>
          <w:tcPr>
            <w:tcW w:w="1368" w:type="dxa"/>
            <w:tcMar/>
          </w:tcPr>
          <w:p w:rsidR="01A0C124" w:rsidP="01A0C124" w:rsidRDefault="01A0C124" w14:paraId="4AF146C4" w14:textId="46F452D8">
            <w:pPr>
              <w:bidi w:val="0"/>
              <w:spacing w:before="0" w:beforeAutospacing="off" w:after="0" w:afterAutospacing="off"/>
            </w:pPr>
            <w:r w:rsidR="01A0C124">
              <w:rPr/>
              <w:t>Communication of research</w:t>
            </w:r>
          </w:p>
        </w:tc>
        <w:tc>
          <w:tcPr>
            <w:tcW w:w="2614" w:type="dxa"/>
            <w:tcMar/>
          </w:tcPr>
          <w:p w:rsidR="01A0C124" w:rsidP="01A0C124" w:rsidRDefault="01A0C124" w14:paraId="19A56485" w14:textId="0B61536A">
            <w:pPr>
              <w:bidi w:val="0"/>
              <w:spacing w:before="0" w:beforeAutospacing="off" w:after="0" w:afterAutospacing="off"/>
            </w:pPr>
            <w:r w:rsidR="01A0C124">
              <w:rPr/>
              <w:t>Findings communicated to relevant audiences</w:t>
            </w:r>
          </w:p>
        </w:tc>
        <w:tc>
          <w:tcPr>
            <w:tcW w:w="5378" w:type="dxa"/>
            <w:tcMar/>
          </w:tcPr>
          <w:p w:rsidR="01A0C124" w:rsidP="01A0C124" w:rsidRDefault="01A0C124" w14:paraId="3A7ECAED" w14:textId="0B6BB4EB">
            <w:pPr>
              <w:bidi w:val="0"/>
              <w:spacing w:before="0" w:beforeAutospacing="off" w:after="0" w:afterAutospacing="off"/>
            </w:pPr>
            <w:r w:rsidR="01A0C124">
              <w:rPr/>
              <w:t>Partial — dissertation communicated; peer publication and production deployment remain future work</w:t>
            </w:r>
          </w:p>
        </w:tc>
      </w:tr>
    </w:tbl>
    <w:p xmlns:wp14="http://schemas.microsoft.com/office/word/2010/wordml" w:rsidP="01A0C124" wp14:paraId="6DCE95A2" wp14:textId="4C12C8AB">
      <w:pPr>
        <w:bidi w:val="0"/>
        <w:spacing w:before="0" w:beforeAutospacing="off" w:after="0" w:afterAutospacing="off"/>
      </w:pPr>
    </w:p>
    <w:p xmlns:wp14="http://schemas.microsoft.com/office/word/2010/wordml" w:rsidP="01A0C124" wp14:paraId="502FD5A7" wp14:textId="6C31EDF2">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6.7 Chapter Summary</w:t>
      </w:r>
    </w:p>
    <w:p xmlns:wp14="http://schemas.microsoft.com/office/word/2010/wordml" w:rsidP="01A0C124" wp14:paraId="73965D20" wp14:textId="43C5D32B">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This chapter has systematically evaluated the DORA SaaS platform across four dimensions — regulatory compliance, technical quality, proportionality, and research contribution — using the FEDS-grounded evaluation methods established in Section 6.1.</w:t>
      </w:r>
    </w:p>
    <w:p xmlns:wp14="http://schemas.microsoft.com/office/word/2010/wordml" w:rsidP="01A0C124" wp14:paraId="428EBF94" wp14:textId="52543E6F">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The regulatory compliance evaluation demonstrated that the platform directly addresses all five ESA 2024 Dry Run failure categories through dedicated, tested rule types in the 220-rule validation engine, and that the pre-flight export gate makes it structurally impossible to produce a RoI containing unresolved ERROR-severity violations. Full or near-full coverage is confirmed for eleven of fourteen EBA sub-templates across all DORA Articles 28–30 obligations, including the DORA Article 4 proportionality obligation.</w:t>
      </w:r>
    </w:p>
    <w:p xmlns:wp14="http://schemas.microsoft.com/office/word/2010/wordml" w:rsidP="01A0C124" wp14:paraId="63FE2EDD" wp14:textId="0CC92247">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The technical quality evaluation confirmed a 9/9 violation detection rate with zero false positives on the deliberate violation test; correct execution of all six issue state machine transitions including notifications, audit records, and re-run FIXED auto-assignment; a security architecture that meets NIST SP 800-63B, OWASP Top Ten 2021, and ISO/IEC 27001:2022 standards for all implemented controls; and a two-layer data integrity model combining database FK constraints with engine-level </w:t>
      </w:r>
      <w:r w:rsidRPr="01A0C124" w:rsidR="5B3A32C9">
        <w:rPr>
          <w:rFonts w:ascii="Consolas" w:hAnsi="Consolas" w:eastAsia="Consolas" w:cs="Consolas"/>
          <w:noProof w:val="0"/>
          <w:sz w:val="24"/>
          <w:szCs w:val="24"/>
          <w:lang w:val="en-US"/>
        </w:rPr>
        <w:t>fk_exists</w:t>
      </w:r>
      <w:r w:rsidRPr="01A0C124" w:rsidR="5B3A32C9">
        <w:rPr>
          <w:rFonts w:ascii="Times New Roman" w:hAnsi="Times New Roman" w:eastAsia="Times New Roman" w:cs="Times New Roman"/>
          <w:noProof w:val="0"/>
          <w:sz w:val="24"/>
          <w:szCs w:val="24"/>
          <w:lang w:val="en-US"/>
        </w:rPr>
        <w:t xml:space="preserve"> and </w:t>
      </w:r>
      <w:r w:rsidRPr="01A0C124" w:rsidR="5B3A32C9">
        <w:rPr>
          <w:rFonts w:ascii="Consolas" w:hAnsi="Consolas" w:eastAsia="Consolas" w:cs="Consolas"/>
          <w:noProof w:val="0"/>
          <w:sz w:val="24"/>
          <w:szCs w:val="24"/>
          <w:lang w:val="en-US"/>
        </w:rPr>
        <w:t>uniqueness</w:t>
      </w:r>
      <w:r w:rsidRPr="01A0C124" w:rsidR="5B3A32C9">
        <w:rPr>
          <w:rFonts w:ascii="Times New Roman" w:hAnsi="Times New Roman" w:eastAsia="Times New Roman" w:cs="Times New Roman"/>
          <w:noProof w:val="0"/>
          <w:sz w:val="24"/>
          <w:szCs w:val="24"/>
          <w:lang w:val="en-US"/>
        </w:rPr>
        <w:t xml:space="preserve"> rules.</w:t>
      </w:r>
    </w:p>
    <w:p xmlns:wp14="http://schemas.microsoft.com/office/word/2010/wordml" w:rsidP="01A0C124" wp14:paraId="2508CDBB" wp14:textId="3D3BFE44">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The proportionality evaluation established that the system's single-command Docker Compose deployment, estimated cloud operational cost of €50–€150 per month, EBA-native constrained-dropdown UX, and role-calibrated three-person workflow model are genuinely proportionate to the operational and resource profile of Irish SME financial entities — occupying a distinct and previously unoccupied position in the solution landscape relative to manual EBA Excel management and generic GRC platforms.</w:t>
      </w:r>
    </w:p>
    <w:p xmlns:wp14="http://schemas.microsoft.com/office/word/2010/wordml" w:rsidP="01A0C124" wp14:paraId="5C77B33B" wp14:textId="48A0A189">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The limitations assessment distinguished evaluation-scope constraints (no formal user study, no live CBI submission test, no cross-entity comparative evaluation) from technical maturity boundaries (no automated test suite, 73% EBA rule coverage, no versioned migrations, partial RT.09 coverage), and provided a candid reflective assessment of the three decisions that would be revisited in a future implementation cycle.</w:t>
      </w:r>
    </w:p>
    <w:p xmlns:wp14="http://schemas.microsoft.com/office/word/2010/wordml" w:rsidP="01A0C124" wp14:paraId="4EE39C7F" wp14:textId="27248889">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The research contribution assessment confirmed satisfaction of all three research objectives and identified three DSR-standard contributions: a domain-specific functional artefact, a generalisable rule-based compliance design pattern, and an evidence-based failure-category-to-solution mapping grounded in ESA 2024 empirical data. Chapter 7 synthesises these findings against the original research questions, situates the contribution within the broader RegTech and regulatory information systems literature, and proposes a structured agenda for future research.</w:t>
      </w:r>
    </w:p>
    <w:p xmlns:wp14="http://schemas.microsoft.com/office/word/2010/wordml" w:rsidP="01A0C124" wp14:paraId="21DE5811" wp14:textId="5DDBA5B9">
      <w:pPr>
        <w:bidi w:val="0"/>
        <w:spacing w:before="0" w:beforeAutospacing="off" w:after="0" w:afterAutospacing="off"/>
      </w:pPr>
    </w:p>
    <w:p xmlns:wp14="http://schemas.microsoft.com/office/word/2010/wordml" w:rsidP="01A0C124" wp14:paraId="06166FDA" wp14:textId="5C11763A">
      <w:pPr>
        <w:bidi w:val="0"/>
        <w:spacing w:before="0" w:beforeAutospacing="off" w:after="0" w:afterAutospacing="off"/>
      </w:pPr>
    </w:p>
    <w:p xmlns:wp14="http://schemas.microsoft.com/office/word/2010/wordml" w:rsidP="01A0C124" wp14:paraId="3FD1FC46" wp14:textId="3EC9DBAF">
      <w:pPr>
        <w:bidi w:val="0"/>
        <w:spacing w:before="0" w:beforeAutospacing="off" w:after="0" w:afterAutospacing="off"/>
      </w:pPr>
    </w:p>
    <w:p xmlns:wp14="http://schemas.microsoft.com/office/word/2010/wordml" w:rsidP="01A0C124" wp14:paraId="64875A6C" wp14:textId="28DF57F3">
      <w:pPr>
        <w:bidi w:val="0"/>
        <w:spacing w:before="0" w:beforeAutospacing="off" w:after="0" w:afterAutospacing="off"/>
      </w:pPr>
    </w:p>
    <w:p xmlns:wp14="http://schemas.microsoft.com/office/word/2010/wordml" w:rsidP="01A0C124" wp14:paraId="709E4EFD" wp14:textId="0823EC17">
      <w:pPr>
        <w:bidi w:val="0"/>
        <w:spacing w:before="0" w:beforeAutospacing="off" w:after="0" w:afterAutospacing="off"/>
      </w:pPr>
    </w:p>
    <w:p xmlns:wp14="http://schemas.microsoft.com/office/word/2010/wordml" w:rsidP="01A0C124" wp14:paraId="203C5A42" wp14:textId="4664C003">
      <w:pPr>
        <w:pStyle w:val="Normal"/>
        <w:bidi w:val="0"/>
        <w:spacing w:before="0" w:beforeAutospacing="off" w:after="0" w:afterAutospacing="off"/>
      </w:pPr>
    </w:p>
    <w:p xmlns:wp14="http://schemas.microsoft.com/office/word/2010/wordml" w:rsidP="01A0C124" wp14:paraId="69682EF6" wp14:textId="43009E5E">
      <w:pPr>
        <w:pStyle w:val="Heading2"/>
        <w:bidi w:val="0"/>
        <w:spacing w:before="299" w:beforeAutospacing="off" w:after="299" w:afterAutospacing="off"/>
      </w:pPr>
      <w:r w:rsidRPr="01A0C124" w:rsidR="5B3A32C9">
        <w:rPr>
          <w:rFonts w:ascii="Times New Roman" w:hAnsi="Times New Roman" w:eastAsia="Times New Roman" w:cs="Times New Roman"/>
          <w:b w:val="1"/>
          <w:bCs w:val="1"/>
          <w:noProof w:val="0"/>
          <w:sz w:val="36"/>
          <w:szCs w:val="36"/>
          <w:lang w:val="en-US"/>
        </w:rPr>
        <w:t>Chapter 6 — References</w:t>
      </w:r>
    </w:p>
    <w:p xmlns:wp14="http://schemas.microsoft.com/office/word/2010/wordml" w:rsidP="01A0C124" wp14:paraId="71A9DE17" wp14:textId="310D476E">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Anderson, R. J. (2020) </w:t>
      </w:r>
      <w:r w:rsidRPr="01A0C124" w:rsidR="5B3A32C9">
        <w:rPr>
          <w:rFonts w:ascii="Times New Roman" w:hAnsi="Times New Roman" w:eastAsia="Times New Roman" w:cs="Times New Roman"/>
          <w:i w:val="1"/>
          <w:iCs w:val="1"/>
          <w:noProof w:val="0"/>
          <w:sz w:val="24"/>
          <w:szCs w:val="24"/>
          <w:lang w:val="en-US"/>
        </w:rPr>
        <w:t>Security engineering: A guide to building dependable distributed systems</w:t>
      </w:r>
      <w:r w:rsidRPr="01A0C124" w:rsidR="5B3A32C9">
        <w:rPr>
          <w:rFonts w:ascii="Times New Roman" w:hAnsi="Times New Roman" w:eastAsia="Times New Roman" w:cs="Times New Roman"/>
          <w:noProof w:val="0"/>
          <w:sz w:val="24"/>
          <w:szCs w:val="24"/>
          <w:lang w:val="en-US"/>
        </w:rPr>
        <w:t>, 3rd edn. Chichester: Wiley.</w:t>
      </w:r>
    </w:p>
    <w:p xmlns:wp14="http://schemas.microsoft.com/office/word/2010/wordml" w:rsidP="01A0C124" wp14:paraId="08B7EA73" wp14:textId="72B1A194">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Arner, D. W., Barberis, J. N. and Buckley, R. P. (2017) 'FinTech, RegTech, and the reconceptualization of financial regulation', </w:t>
      </w:r>
      <w:r w:rsidRPr="01A0C124" w:rsidR="5B3A32C9">
        <w:rPr>
          <w:rFonts w:ascii="Times New Roman" w:hAnsi="Times New Roman" w:eastAsia="Times New Roman" w:cs="Times New Roman"/>
          <w:i w:val="1"/>
          <w:iCs w:val="1"/>
          <w:noProof w:val="0"/>
          <w:sz w:val="24"/>
          <w:szCs w:val="24"/>
          <w:lang w:val="en-US"/>
        </w:rPr>
        <w:t>Northwestern Journal of International Law and Business</w:t>
      </w:r>
      <w:r w:rsidRPr="01A0C124" w:rsidR="5B3A32C9">
        <w:rPr>
          <w:rFonts w:ascii="Times New Roman" w:hAnsi="Times New Roman" w:eastAsia="Times New Roman" w:cs="Times New Roman"/>
          <w:noProof w:val="0"/>
          <w:sz w:val="24"/>
          <w:szCs w:val="24"/>
          <w:lang w:val="en-US"/>
        </w:rPr>
        <w:t>, 37(3), pp. 371–413.</w:t>
      </w:r>
    </w:p>
    <w:p xmlns:wp14="http://schemas.microsoft.com/office/word/2010/wordml" w:rsidP="01A0C124" wp14:paraId="5ED87E6F" wp14:textId="2848F8B3">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Bass, L., Clements, P. and Kazman, R. (2021) </w:t>
      </w:r>
      <w:r w:rsidRPr="01A0C124" w:rsidR="5B3A32C9">
        <w:rPr>
          <w:rFonts w:ascii="Times New Roman" w:hAnsi="Times New Roman" w:eastAsia="Times New Roman" w:cs="Times New Roman"/>
          <w:i w:val="1"/>
          <w:iCs w:val="1"/>
          <w:noProof w:val="0"/>
          <w:sz w:val="24"/>
          <w:szCs w:val="24"/>
          <w:lang w:val="en-US"/>
        </w:rPr>
        <w:t>Software architecture in practice</w:t>
      </w:r>
      <w:r w:rsidRPr="01A0C124" w:rsidR="5B3A32C9">
        <w:rPr>
          <w:rFonts w:ascii="Times New Roman" w:hAnsi="Times New Roman" w:eastAsia="Times New Roman" w:cs="Times New Roman"/>
          <w:noProof w:val="0"/>
          <w:sz w:val="24"/>
          <w:szCs w:val="24"/>
          <w:lang w:val="en-US"/>
        </w:rPr>
        <w:t>, 4th edn. Boston: Addison-Wesley.</w:t>
      </w:r>
    </w:p>
    <w:p xmlns:wp14="http://schemas.microsoft.com/office/word/2010/wordml" w:rsidP="01A0C124" wp14:paraId="3008FBF2" wp14:textId="7541B8E3">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Bhurat, S. C. (2025) 'Regulatory compliance automation for SMEs using cloud-based RegTech platforms', </w:t>
      </w:r>
      <w:r w:rsidRPr="01A0C124" w:rsidR="5B3A32C9">
        <w:rPr>
          <w:rFonts w:ascii="Times New Roman" w:hAnsi="Times New Roman" w:eastAsia="Times New Roman" w:cs="Times New Roman"/>
          <w:i w:val="1"/>
          <w:iCs w:val="1"/>
          <w:noProof w:val="0"/>
          <w:sz w:val="24"/>
          <w:szCs w:val="24"/>
          <w:lang w:val="en-US"/>
        </w:rPr>
        <w:t>Journal of Financial Regulation and Compliance</w:t>
      </w:r>
      <w:r w:rsidRPr="01A0C124" w:rsidR="5B3A32C9">
        <w:rPr>
          <w:rFonts w:ascii="Times New Roman" w:hAnsi="Times New Roman" w:eastAsia="Times New Roman" w:cs="Times New Roman"/>
          <w:noProof w:val="0"/>
          <w:sz w:val="24"/>
          <w:szCs w:val="24"/>
          <w:lang w:val="en-US"/>
        </w:rPr>
        <w:t>, 33(1), pp. 45–61.</w:t>
      </w:r>
    </w:p>
    <w:p xmlns:wp14="http://schemas.microsoft.com/office/word/2010/wordml" w:rsidP="01A0C124" wp14:paraId="692C9E90" wp14:textId="30058A75">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Butler, T. and O'Brien, L. (2019) 'Understanding RegTech for digital regulatory compliance', in Palmié, M. et al. (eds.) </w:t>
      </w:r>
      <w:r w:rsidRPr="01A0C124" w:rsidR="5B3A32C9">
        <w:rPr>
          <w:rFonts w:ascii="Times New Roman" w:hAnsi="Times New Roman" w:eastAsia="Times New Roman" w:cs="Times New Roman"/>
          <w:i w:val="1"/>
          <w:iCs w:val="1"/>
          <w:noProof w:val="0"/>
          <w:sz w:val="24"/>
          <w:szCs w:val="24"/>
          <w:lang w:val="en-US"/>
        </w:rPr>
        <w:t>Disrupting finance: FinTech and strategy in the 21st century</w:t>
      </w:r>
      <w:r w:rsidRPr="01A0C124" w:rsidR="5B3A32C9">
        <w:rPr>
          <w:rFonts w:ascii="Times New Roman" w:hAnsi="Times New Roman" w:eastAsia="Times New Roman" w:cs="Times New Roman"/>
          <w:noProof w:val="0"/>
          <w:sz w:val="24"/>
          <w:szCs w:val="24"/>
          <w:lang w:val="en-US"/>
        </w:rPr>
        <w:t>. Cham: Springer, pp. 85–102.</w:t>
      </w:r>
    </w:p>
    <w:p xmlns:wp14="http://schemas.microsoft.com/office/word/2010/wordml" w:rsidP="01A0C124" wp14:paraId="3B6714E6" wp14:textId="6A61BB52">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Central Bank of Ireland (2024a) </w:t>
      </w:r>
      <w:r w:rsidRPr="01A0C124" w:rsidR="5B3A32C9">
        <w:rPr>
          <w:rFonts w:ascii="Times New Roman" w:hAnsi="Times New Roman" w:eastAsia="Times New Roman" w:cs="Times New Roman"/>
          <w:i w:val="1"/>
          <w:iCs w:val="1"/>
          <w:noProof w:val="0"/>
          <w:sz w:val="24"/>
          <w:szCs w:val="24"/>
          <w:lang w:val="en-US"/>
        </w:rPr>
        <w:t>DORA Register of Information: Guidance for Irish financial entities</w:t>
      </w:r>
      <w:r w:rsidRPr="01A0C124" w:rsidR="5B3A32C9">
        <w:rPr>
          <w:rFonts w:ascii="Times New Roman" w:hAnsi="Times New Roman" w:eastAsia="Times New Roman" w:cs="Times New Roman"/>
          <w:noProof w:val="0"/>
          <w:sz w:val="24"/>
          <w:szCs w:val="24"/>
          <w:lang w:val="en-US"/>
        </w:rPr>
        <w:t>. Dublin: Central Bank of Ireland.</w:t>
      </w:r>
    </w:p>
    <w:p xmlns:wp14="http://schemas.microsoft.com/office/word/2010/wordml" w:rsidP="01A0C124" wp14:paraId="76620DD4" wp14:textId="572651E8">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Davis, F. D. (1989) 'Perceived usefulness, perceived ease of use, and user acceptance of information technology', </w:t>
      </w:r>
      <w:r w:rsidRPr="01A0C124" w:rsidR="5B3A32C9">
        <w:rPr>
          <w:rFonts w:ascii="Times New Roman" w:hAnsi="Times New Roman" w:eastAsia="Times New Roman" w:cs="Times New Roman"/>
          <w:i w:val="1"/>
          <w:iCs w:val="1"/>
          <w:noProof w:val="0"/>
          <w:sz w:val="24"/>
          <w:szCs w:val="24"/>
          <w:lang w:val="en-US"/>
        </w:rPr>
        <w:t>MIS Quarterly</w:t>
      </w:r>
      <w:r w:rsidRPr="01A0C124" w:rsidR="5B3A32C9">
        <w:rPr>
          <w:rFonts w:ascii="Times New Roman" w:hAnsi="Times New Roman" w:eastAsia="Times New Roman" w:cs="Times New Roman"/>
          <w:noProof w:val="0"/>
          <w:sz w:val="24"/>
          <w:szCs w:val="24"/>
          <w:lang w:val="en-US"/>
        </w:rPr>
        <w:t>, 13(3), pp. 319–340.</w:t>
      </w:r>
    </w:p>
    <w:p xmlns:wp14="http://schemas.microsoft.com/office/word/2010/wordml" w:rsidP="01A0C124" wp14:paraId="43FB5174" wp14:textId="1DE9C94C">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European Banking Authority (2021) </w:t>
      </w:r>
      <w:r w:rsidRPr="01A0C124" w:rsidR="5B3A32C9">
        <w:rPr>
          <w:rFonts w:ascii="Times New Roman" w:hAnsi="Times New Roman" w:eastAsia="Times New Roman" w:cs="Times New Roman"/>
          <w:i w:val="1"/>
          <w:iCs w:val="1"/>
          <w:noProof w:val="0"/>
          <w:sz w:val="24"/>
          <w:szCs w:val="24"/>
          <w:lang w:val="en-US"/>
        </w:rPr>
        <w:t>EBA analysis of RegTech in the EU financial sector</w:t>
      </w:r>
      <w:r w:rsidRPr="01A0C124" w:rsidR="5B3A32C9">
        <w:rPr>
          <w:rFonts w:ascii="Times New Roman" w:hAnsi="Times New Roman" w:eastAsia="Times New Roman" w:cs="Times New Roman"/>
          <w:noProof w:val="0"/>
          <w:sz w:val="24"/>
          <w:szCs w:val="24"/>
          <w:lang w:val="en-US"/>
        </w:rPr>
        <w:t xml:space="preserve">. Paris: EBA. Available at: </w:t>
      </w:r>
      <w:hyperlink r:id="R889ebd1cbc4c4165">
        <w:r w:rsidRPr="01A0C124" w:rsidR="5B3A32C9">
          <w:rPr>
            <w:rStyle w:val="Hyperlink"/>
            <w:rFonts w:ascii="Times New Roman" w:hAnsi="Times New Roman" w:eastAsia="Times New Roman" w:cs="Times New Roman"/>
            <w:noProof w:val="0"/>
            <w:sz w:val="24"/>
            <w:szCs w:val="24"/>
            <w:lang w:val="en-US"/>
          </w:rPr>
          <w:t>https://www.eba.europa.eu/sites/default/files/document_library/Publications/Reports/2021/1015484/EBA%20analysis%20of%20RegTech%20in%20the%20EU%20financial%20sector.pdf</w:t>
        </w:r>
      </w:hyperlink>
      <w:r w:rsidRPr="01A0C124" w:rsidR="5B3A32C9">
        <w:rPr>
          <w:rFonts w:ascii="Times New Roman" w:hAnsi="Times New Roman" w:eastAsia="Times New Roman" w:cs="Times New Roman"/>
          <w:noProof w:val="0"/>
          <w:sz w:val="24"/>
          <w:szCs w:val="24"/>
          <w:lang w:val="en-US"/>
        </w:rPr>
        <w:t xml:space="preserve"> (Accessed: 17 January 2026).</w:t>
      </w:r>
    </w:p>
    <w:p xmlns:wp14="http://schemas.microsoft.com/office/word/2010/wordml" w:rsidP="01A0C124" wp14:paraId="5311335B" wp14:textId="68B5D6FC">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European Banking Authority (2023a) </w:t>
      </w:r>
      <w:r w:rsidRPr="01A0C124" w:rsidR="5B3A32C9">
        <w:rPr>
          <w:rFonts w:ascii="Times New Roman" w:hAnsi="Times New Roman" w:eastAsia="Times New Roman" w:cs="Times New Roman"/>
          <w:i w:val="1"/>
          <w:iCs w:val="1"/>
          <w:noProof w:val="0"/>
          <w:sz w:val="24"/>
          <w:szCs w:val="24"/>
          <w:lang w:val="en-US"/>
        </w:rPr>
        <w:t>Implementing Technical Standards on the Register of Information under DORA</w:t>
      </w:r>
      <w:r w:rsidRPr="01A0C124" w:rsidR="5B3A32C9">
        <w:rPr>
          <w:rFonts w:ascii="Times New Roman" w:hAnsi="Times New Roman" w:eastAsia="Times New Roman" w:cs="Times New Roman"/>
          <w:noProof w:val="0"/>
          <w:sz w:val="24"/>
          <w:szCs w:val="24"/>
          <w:lang w:val="en-US"/>
        </w:rPr>
        <w:t>. Paris: EBA.</w:t>
      </w:r>
    </w:p>
    <w:p xmlns:wp14="http://schemas.microsoft.com/office/word/2010/wordml" w:rsidP="01A0C124" wp14:paraId="1BE9AEC6" wp14:textId="782E9399">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European Banking Authority (2023b) </w:t>
      </w:r>
      <w:r w:rsidRPr="01A0C124" w:rsidR="5B3A32C9">
        <w:rPr>
          <w:rFonts w:ascii="Times New Roman" w:hAnsi="Times New Roman" w:eastAsia="Times New Roman" w:cs="Times New Roman"/>
          <w:i w:val="1"/>
          <w:iCs w:val="1"/>
          <w:noProof w:val="0"/>
          <w:sz w:val="24"/>
          <w:szCs w:val="24"/>
          <w:lang w:val="en-US"/>
        </w:rPr>
        <w:t>Consultation paper on draft ITS on the Register of Information under Article 28(9) DORA</w:t>
      </w:r>
      <w:r w:rsidRPr="01A0C124" w:rsidR="5B3A32C9">
        <w:rPr>
          <w:rFonts w:ascii="Times New Roman" w:hAnsi="Times New Roman" w:eastAsia="Times New Roman" w:cs="Times New Roman"/>
          <w:noProof w:val="0"/>
          <w:sz w:val="24"/>
          <w:szCs w:val="24"/>
          <w:lang w:val="en-US"/>
        </w:rPr>
        <w:t>. Paris: EBA.</w:t>
      </w:r>
    </w:p>
    <w:p xmlns:wp14="http://schemas.microsoft.com/office/word/2010/wordml" w:rsidP="01A0C124" wp14:paraId="767139A1" wp14:textId="54FE3EAF">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European Banking Authority (2024a) </w:t>
      </w:r>
      <w:r w:rsidRPr="01A0C124" w:rsidR="5B3A32C9">
        <w:rPr>
          <w:rFonts w:ascii="Times New Roman" w:hAnsi="Times New Roman" w:eastAsia="Times New Roman" w:cs="Times New Roman"/>
          <w:i w:val="1"/>
          <w:iCs w:val="1"/>
          <w:noProof w:val="0"/>
          <w:sz w:val="24"/>
          <w:szCs w:val="24"/>
          <w:lang w:val="en-US"/>
        </w:rPr>
        <w:t>Draft validation rules for DORA reporting of Register of Information</w:t>
      </w:r>
      <w:r w:rsidRPr="01A0C124" w:rsidR="5B3A32C9">
        <w:rPr>
          <w:rFonts w:ascii="Times New Roman" w:hAnsi="Times New Roman" w:eastAsia="Times New Roman" w:cs="Times New Roman"/>
          <w:noProof w:val="0"/>
          <w:sz w:val="24"/>
          <w:szCs w:val="24"/>
          <w:lang w:val="en-US"/>
        </w:rPr>
        <w:t>. Paris: EBA.</w:t>
      </w:r>
    </w:p>
    <w:p xmlns:wp14="http://schemas.microsoft.com/office/word/2010/wordml" w:rsidP="01A0C124" wp14:paraId="7BF6D47D" wp14:textId="6BA540DC">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European Banking Authority (2024b) </w:t>
      </w:r>
      <w:r w:rsidRPr="01A0C124" w:rsidR="5B3A32C9">
        <w:rPr>
          <w:rFonts w:ascii="Times New Roman" w:hAnsi="Times New Roman" w:eastAsia="Times New Roman" w:cs="Times New Roman"/>
          <w:i w:val="1"/>
          <w:iCs w:val="1"/>
          <w:noProof w:val="0"/>
          <w:sz w:val="24"/>
          <w:szCs w:val="24"/>
          <w:lang w:val="en-US"/>
        </w:rPr>
        <w:t>XBRL OIM-CSV taxonomy for DORA Register of Information reporting</w:t>
      </w:r>
      <w:r w:rsidRPr="01A0C124" w:rsidR="5B3A32C9">
        <w:rPr>
          <w:rFonts w:ascii="Times New Roman" w:hAnsi="Times New Roman" w:eastAsia="Times New Roman" w:cs="Times New Roman"/>
          <w:noProof w:val="0"/>
          <w:sz w:val="24"/>
          <w:szCs w:val="24"/>
          <w:lang w:val="en-US"/>
        </w:rPr>
        <w:t>. Paris: EBA.</w:t>
      </w:r>
    </w:p>
    <w:p xmlns:wp14="http://schemas.microsoft.com/office/word/2010/wordml" w:rsidP="01A0C124" wp14:paraId="031BEFFC" wp14:textId="6658FCF6">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European Commission (2022) </w:t>
      </w:r>
      <w:r w:rsidRPr="01A0C124" w:rsidR="5B3A32C9">
        <w:rPr>
          <w:rFonts w:ascii="Times New Roman" w:hAnsi="Times New Roman" w:eastAsia="Times New Roman" w:cs="Times New Roman"/>
          <w:i w:val="1"/>
          <w:iCs w:val="1"/>
          <w:noProof w:val="0"/>
          <w:sz w:val="24"/>
          <w:szCs w:val="24"/>
          <w:lang w:val="en-US"/>
        </w:rPr>
        <w:t>Regulation (EU) 2022/2554 of the European Parliament and of the Council on digital operational resilience for the financial sector (DORA)</w:t>
      </w:r>
      <w:r w:rsidRPr="01A0C124" w:rsidR="5B3A32C9">
        <w:rPr>
          <w:rFonts w:ascii="Times New Roman" w:hAnsi="Times New Roman" w:eastAsia="Times New Roman" w:cs="Times New Roman"/>
          <w:noProof w:val="0"/>
          <w:sz w:val="24"/>
          <w:szCs w:val="24"/>
          <w:lang w:val="en-US"/>
        </w:rPr>
        <w:t>. Official Journal of the European Union, L 333, pp. 1–79.</w:t>
      </w:r>
    </w:p>
    <w:p xmlns:wp14="http://schemas.microsoft.com/office/word/2010/wordml" w:rsidP="01A0C124" wp14:paraId="7AC27363" wp14:textId="47FA2756">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European Supervisory Authorities (2024) </w:t>
      </w:r>
      <w:r w:rsidRPr="01A0C124" w:rsidR="5B3A32C9">
        <w:rPr>
          <w:rFonts w:ascii="Times New Roman" w:hAnsi="Times New Roman" w:eastAsia="Times New Roman" w:cs="Times New Roman"/>
          <w:i w:val="1"/>
          <w:iCs w:val="1"/>
          <w:noProof w:val="0"/>
          <w:sz w:val="24"/>
          <w:szCs w:val="24"/>
          <w:lang w:val="en-US"/>
        </w:rPr>
        <w:t>Joint ESA report on the 2024 DORA dry run exercise for the Register of Information</w:t>
      </w:r>
      <w:r w:rsidRPr="01A0C124" w:rsidR="5B3A32C9">
        <w:rPr>
          <w:rFonts w:ascii="Times New Roman" w:hAnsi="Times New Roman" w:eastAsia="Times New Roman" w:cs="Times New Roman"/>
          <w:noProof w:val="0"/>
          <w:sz w:val="24"/>
          <w:szCs w:val="24"/>
          <w:lang w:val="en-US"/>
        </w:rPr>
        <w:t xml:space="preserve">. Frankfurt: ESA Joint Committee. Available at: </w:t>
      </w:r>
      <w:hyperlink r:id="R590ff43dcf004b05">
        <w:r w:rsidRPr="01A0C124" w:rsidR="5B3A32C9">
          <w:rPr>
            <w:rStyle w:val="Hyperlink"/>
            <w:rFonts w:ascii="Times New Roman" w:hAnsi="Times New Roman" w:eastAsia="Times New Roman" w:cs="Times New Roman"/>
            <w:noProof w:val="0"/>
            <w:sz w:val="24"/>
            <w:szCs w:val="24"/>
            <w:lang w:val="en-US"/>
          </w:rPr>
          <w:t>https://www.esma.europa.eu/sites/default/files/2024-12/ESA_2024_35_DORA_Dry_Run_exercise_summary_report.pdf</w:t>
        </w:r>
      </w:hyperlink>
      <w:r w:rsidRPr="01A0C124" w:rsidR="5B3A32C9">
        <w:rPr>
          <w:rFonts w:ascii="Times New Roman" w:hAnsi="Times New Roman" w:eastAsia="Times New Roman" w:cs="Times New Roman"/>
          <w:noProof w:val="0"/>
          <w:sz w:val="24"/>
          <w:szCs w:val="24"/>
          <w:lang w:val="en-US"/>
        </w:rPr>
        <w:t xml:space="preserve"> (Accessed: 17 January 2026).</w:t>
      </w:r>
    </w:p>
    <w:p xmlns:wp14="http://schemas.microsoft.com/office/word/2010/wordml" w:rsidP="01A0C124" wp14:paraId="03034727" wp14:textId="3D3E649C">
      <w:pPr>
        <w:bidi w:val="0"/>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Fowler, M. (2002) </w:t>
      </w:r>
      <w:r w:rsidRPr="01A0C124" w:rsidR="5B3A32C9">
        <w:rPr>
          <w:rFonts w:ascii="Times New Roman" w:hAnsi="Times New Roman" w:eastAsia="Times New Roman" w:cs="Times New Roman"/>
          <w:i w:val="1"/>
          <w:iCs w:val="1"/>
          <w:noProof w:val="0"/>
          <w:sz w:val="24"/>
          <w:szCs w:val="24"/>
          <w:lang w:val="en-US"/>
        </w:rPr>
        <w:t>Patterns of enterprise application architecture</w:t>
      </w:r>
      <w:r w:rsidRPr="01A0C124" w:rsidR="5B3A32C9">
        <w:rPr>
          <w:rFonts w:ascii="Times New Roman" w:hAnsi="Times New Roman" w:eastAsia="Times New Roman" w:cs="Times New Roman"/>
          <w:noProof w:val="0"/>
          <w:sz w:val="24"/>
          <w:szCs w:val="24"/>
          <w:lang w:val="en-US"/>
        </w:rPr>
        <w:t xml:space="preserve">. Boston: </w:t>
      </w:r>
      <w:r w:rsidRPr="01A0C124" w:rsidR="5B3A32C9">
        <w:rPr>
          <w:rFonts w:ascii="Times New Roman" w:hAnsi="Times New Roman" w:eastAsia="Times New Roman" w:cs="Times New Roman"/>
          <w:noProof w:val="0"/>
          <w:sz w:val="24"/>
          <w:szCs w:val="24"/>
          <w:lang w:val="en-US"/>
        </w:rPr>
        <w:t>Addison-Wesley</w:t>
      </w:r>
      <w:r w:rsidRPr="01A0C124" w:rsidR="5B3A32C9">
        <w:rPr>
          <w:rFonts w:ascii="Times New Roman" w:hAnsi="Times New Roman" w:eastAsia="Times New Roman" w:cs="Times New Roman"/>
          <w:noProof w:val="0"/>
          <w:sz w:val="24"/>
          <w:szCs w:val="24"/>
          <w:lang w:val="en-US"/>
        </w:rPr>
        <w:t>.</w:t>
      </w:r>
    </w:p>
    <w:p xmlns:wp14="http://schemas.microsoft.com/office/word/2010/wordml" w:rsidP="01A0C124" wp14:paraId="7DD2D74F" wp14:textId="452D5ED4">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Galati, F., Bigliardi, B. and Petroni, A. (2022) 'Digital technologies and regulatory compliance: Evidence from financial services SMEs', </w:t>
      </w:r>
      <w:r w:rsidRPr="01A0C124" w:rsidR="5B3A32C9">
        <w:rPr>
          <w:rFonts w:ascii="Times New Roman" w:hAnsi="Times New Roman" w:eastAsia="Times New Roman" w:cs="Times New Roman"/>
          <w:i w:val="1"/>
          <w:iCs w:val="1"/>
          <w:noProof w:val="0"/>
          <w:sz w:val="24"/>
          <w:szCs w:val="24"/>
          <w:lang w:val="en-US"/>
        </w:rPr>
        <w:t>Journal of Financial Regulation and Compliance</w:t>
      </w:r>
      <w:r w:rsidRPr="01A0C124" w:rsidR="5B3A32C9">
        <w:rPr>
          <w:rFonts w:ascii="Times New Roman" w:hAnsi="Times New Roman" w:eastAsia="Times New Roman" w:cs="Times New Roman"/>
          <w:noProof w:val="0"/>
          <w:sz w:val="24"/>
          <w:szCs w:val="24"/>
          <w:lang w:val="en-US"/>
        </w:rPr>
        <w:t>, 30(4), pp. 512–531.</w:t>
      </w:r>
    </w:p>
    <w:p xmlns:wp14="http://schemas.microsoft.com/office/word/2010/wordml" w:rsidP="01A0C124" wp14:paraId="11B4F15A" wp14:textId="0292C89E">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Governatori, G., Hashmi, M., Lam, H-P., Villata, S. and Palmirani, M. (2016) 'Semantic business process regulatory compliance checking using LegalRuleML', </w:t>
      </w:r>
      <w:r w:rsidRPr="01A0C124" w:rsidR="5B3A32C9">
        <w:rPr>
          <w:rFonts w:ascii="Times New Roman" w:hAnsi="Times New Roman" w:eastAsia="Times New Roman" w:cs="Times New Roman"/>
          <w:i w:val="1"/>
          <w:iCs w:val="1"/>
          <w:noProof w:val="0"/>
          <w:sz w:val="24"/>
          <w:szCs w:val="24"/>
          <w:lang w:val="en-US"/>
        </w:rPr>
        <w:t>Proceedings of the 20th International Conference on Knowledge Engineering and Knowledge Management</w:t>
      </w:r>
      <w:r w:rsidRPr="01A0C124" w:rsidR="5B3A32C9">
        <w:rPr>
          <w:rFonts w:ascii="Times New Roman" w:hAnsi="Times New Roman" w:eastAsia="Times New Roman" w:cs="Times New Roman"/>
          <w:noProof w:val="0"/>
          <w:sz w:val="24"/>
          <w:szCs w:val="24"/>
          <w:lang w:val="en-US"/>
        </w:rPr>
        <w:t>, pp. 746–761.</w:t>
      </w:r>
    </w:p>
    <w:p xmlns:wp14="http://schemas.microsoft.com/office/word/2010/wordml" w:rsidP="01A0C124" wp14:paraId="5EBC0D0B" wp14:textId="3E176FC7">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Gregor, S. and Jones, D. (2007) 'The anatomy of a design theory', </w:t>
      </w:r>
      <w:r w:rsidRPr="01A0C124" w:rsidR="5B3A32C9">
        <w:rPr>
          <w:rFonts w:ascii="Times New Roman" w:hAnsi="Times New Roman" w:eastAsia="Times New Roman" w:cs="Times New Roman"/>
          <w:i w:val="1"/>
          <w:iCs w:val="1"/>
          <w:noProof w:val="0"/>
          <w:sz w:val="24"/>
          <w:szCs w:val="24"/>
          <w:lang w:val="en-US"/>
        </w:rPr>
        <w:t>Journal of the Association for Information Systems</w:t>
      </w:r>
      <w:r w:rsidRPr="01A0C124" w:rsidR="5B3A32C9">
        <w:rPr>
          <w:rFonts w:ascii="Times New Roman" w:hAnsi="Times New Roman" w:eastAsia="Times New Roman" w:cs="Times New Roman"/>
          <w:noProof w:val="0"/>
          <w:sz w:val="24"/>
          <w:szCs w:val="24"/>
          <w:lang w:val="en-US"/>
        </w:rPr>
        <w:t>, 8(5), pp. 312–335.</w:t>
      </w:r>
    </w:p>
    <w:p xmlns:wp14="http://schemas.microsoft.com/office/word/2010/wordml" w:rsidP="01A0C124" wp14:paraId="64D0B7E5" wp14:textId="7E12832E">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Hevner, A. R., March, S. T., Park, J. and Ram, S. (2004) 'Design science in information systems research', </w:t>
      </w:r>
      <w:r w:rsidRPr="01A0C124" w:rsidR="5B3A32C9">
        <w:rPr>
          <w:rFonts w:ascii="Times New Roman" w:hAnsi="Times New Roman" w:eastAsia="Times New Roman" w:cs="Times New Roman"/>
          <w:i w:val="1"/>
          <w:iCs w:val="1"/>
          <w:noProof w:val="0"/>
          <w:sz w:val="24"/>
          <w:szCs w:val="24"/>
          <w:lang w:val="en-US"/>
        </w:rPr>
        <w:t>MIS Quarterly</w:t>
      </w:r>
      <w:r w:rsidRPr="01A0C124" w:rsidR="5B3A32C9">
        <w:rPr>
          <w:rFonts w:ascii="Times New Roman" w:hAnsi="Times New Roman" w:eastAsia="Times New Roman" w:cs="Times New Roman"/>
          <w:noProof w:val="0"/>
          <w:sz w:val="24"/>
          <w:szCs w:val="24"/>
          <w:lang w:val="en-US"/>
        </w:rPr>
        <w:t>, 28(1), pp. 75–105.</w:t>
      </w:r>
    </w:p>
    <w:p xmlns:wp14="http://schemas.microsoft.com/office/word/2010/wordml" w:rsidP="01A0C124" wp14:paraId="511E4023" wp14:textId="543C8B27">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ISO (2020) </w:t>
      </w:r>
      <w:r w:rsidRPr="01A0C124" w:rsidR="5B3A32C9">
        <w:rPr>
          <w:rFonts w:ascii="Times New Roman" w:hAnsi="Times New Roman" w:eastAsia="Times New Roman" w:cs="Times New Roman"/>
          <w:i w:val="1"/>
          <w:iCs w:val="1"/>
          <w:noProof w:val="0"/>
          <w:sz w:val="24"/>
          <w:szCs w:val="24"/>
          <w:lang w:val="en-US"/>
        </w:rPr>
        <w:t>ISO 17442-1:2020 — Financial services — Legal entity identifier (LEI): Part 1 — Assignment</w:t>
      </w:r>
      <w:r w:rsidRPr="01A0C124" w:rsidR="5B3A32C9">
        <w:rPr>
          <w:rFonts w:ascii="Times New Roman" w:hAnsi="Times New Roman" w:eastAsia="Times New Roman" w:cs="Times New Roman"/>
          <w:noProof w:val="0"/>
          <w:sz w:val="24"/>
          <w:szCs w:val="24"/>
          <w:lang w:val="en-US"/>
        </w:rPr>
        <w:t>. Geneva: International Organisation for Standardisation.</w:t>
      </w:r>
    </w:p>
    <w:p xmlns:wp14="http://schemas.microsoft.com/office/word/2010/wordml" w:rsidP="01A0C124" wp14:paraId="5BF6BB7E" wp14:textId="5A76E456">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ISO (2022) </w:t>
      </w:r>
      <w:r w:rsidRPr="01A0C124" w:rsidR="5B3A32C9">
        <w:rPr>
          <w:rFonts w:ascii="Times New Roman" w:hAnsi="Times New Roman" w:eastAsia="Times New Roman" w:cs="Times New Roman"/>
          <w:i w:val="1"/>
          <w:iCs w:val="1"/>
          <w:noProof w:val="0"/>
          <w:sz w:val="24"/>
          <w:szCs w:val="24"/>
          <w:lang w:val="en-US"/>
        </w:rPr>
        <w:t>ISO/IEC 27001:2022 — Information security, cybersecurity and privacy protection — Information security management systems — Requirements</w:t>
      </w:r>
      <w:r w:rsidRPr="01A0C124" w:rsidR="5B3A32C9">
        <w:rPr>
          <w:rFonts w:ascii="Times New Roman" w:hAnsi="Times New Roman" w:eastAsia="Times New Roman" w:cs="Times New Roman"/>
          <w:noProof w:val="0"/>
          <w:sz w:val="24"/>
          <w:szCs w:val="24"/>
          <w:lang w:val="en-US"/>
        </w:rPr>
        <w:t>. Geneva: ISO/IEC.</w:t>
      </w:r>
    </w:p>
    <w:p xmlns:wp14="http://schemas.microsoft.com/office/word/2010/wordml" w:rsidP="01A0C124" wp14:paraId="477EAD48" wp14:textId="10C2208A">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Martin, R. C. (2003) </w:t>
      </w:r>
      <w:r w:rsidRPr="01A0C124" w:rsidR="5B3A32C9">
        <w:rPr>
          <w:rFonts w:ascii="Times New Roman" w:hAnsi="Times New Roman" w:eastAsia="Times New Roman" w:cs="Times New Roman"/>
          <w:i w:val="1"/>
          <w:iCs w:val="1"/>
          <w:noProof w:val="0"/>
          <w:sz w:val="24"/>
          <w:szCs w:val="24"/>
          <w:lang w:val="en-US"/>
        </w:rPr>
        <w:t>Agile software development, principles, patterns, and practices</w:t>
      </w:r>
      <w:r w:rsidRPr="01A0C124" w:rsidR="5B3A32C9">
        <w:rPr>
          <w:rFonts w:ascii="Times New Roman" w:hAnsi="Times New Roman" w:eastAsia="Times New Roman" w:cs="Times New Roman"/>
          <w:noProof w:val="0"/>
          <w:sz w:val="24"/>
          <w:szCs w:val="24"/>
          <w:lang w:val="en-US"/>
        </w:rPr>
        <w:t>. Upper Saddle River: Prentice Hall.</w:t>
      </w:r>
    </w:p>
    <w:p xmlns:wp14="http://schemas.microsoft.com/office/word/2010/wordml" w:rsidP="01A0C124" wp14:paraId="634011FC" wp14:textId="071F674F">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Newman, S. (2019) </w:t>
      </w:r>
      <w:r w:rsidRPr="01A0C124" w:rsidR="5B3A32C9">
        <w:rPr>
          <w:rFonts w:ascii="Times New Roman" w:hAnsi="Times New Roman" w:eastAsia="Times New Roman" w:cs="Times New Roman"/>
          <w:i w:val="1"/>
          <w:iCs w:val="1"/>
          <w:noProof w:val="0"/>
          <w:sz w:val="24"/>
          <w:szCs w:val="24"/>
          <w:lang w:val="en-US"/>
        </w:rPr>
        <w:t>Monolith to microservices: Evolutionary patterns to transform your monolith</w:t>
      </w:r>
      <w:r w:rsidRPr="01A0C124" w:rsidR="5B3A32C9">
        <w:rPr>
          <w:rFonts w:ascii="Times New Roman" w:hAnsi="Times New Roman" w:eastAsia="Times New Roman" w:cs="Times New Roman"/>
          <w:noProof w:val="0"/>
          <w:sz w:val="24"/>
          <w:szCs w:val="24"/>
          <w:lang w:val="en-US"/>
        </w:rPr>
        <w:t>. Sebastopol: O'Reilly Media.</w:t>
      </w:r>
    </w:p>
    <w:p xmlns:wp14="http://schemas.microsoft.com/office/word/2010/wordml" w:rsidP="01A0C124" wp14:paraId="1EB78418" wp14:textId="354BB8A8">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NIST (2018) </w:t>
      </w:r>
      <w:r w:rsidRPr="01A0C124" w:rsidR="5B3A32C9">
        <w:rPr>
          <w:rFonts w:ascii="Times New Roman" w:hAnsi="Times New Roman" w:eastAsia="Times New Roman" w:cs="Times New Roman"/>
          <w:i w:val="1"/>
          <w:iCs w:val="1"/>
          <w:noProof w:val="0"/>
          <w:sz w:val="24"/>
          <w:szCs w:val="24"/>
          <w:lang w:val="en-US"/>
        </w:rPr>
        <w:t>Special publication 800-63B: Digital identity guidelines — Authentication and lifecycle management</w:t>
      </w:r>
      <w:r w:rsidRPr="01A0C124" w:rsidR="5B3A32C9">
        <w:rPr>
          <w:rFonts w:ascii="Times New Roman" w:hAnsi="Times New Roman" w:eastAsia="Times New Roman" w:cs="Times New Roman"/>
          <w:noProof w:val="0"/>
          <w:sz w:val="24"/>
          <w:szCs w:val="24"/>
          <w:lang w:val="en-US"/>
        </w:rPr>
        <w:t xml:space="preserve">. Gaithersburg: National Institute of Standards and Technology. Available at: </w:t>
      </w:r>
      <w:hyperlink r:id="Rc95e29b913c94a53">
        <w:r w:rsidRPr="01A0C124" w:rsidR="5B3A32C9">
          <w:rPr>
            <w:rStyle w:val="Hyperlink"/>
            <w:rFonts w:ascii="Times New Roman" w:hAnsi="Times New Roman" w:eastAsia="Times New Roman" w:cs="Times New Roman"/>
            <w:noProof w:val="0"/>
            <w:sz w:val="24"/>
            <w:szCs w:val="24"/>
            <w:lang w:val="en-US"/>
          </w:rPr>
          <w:t>https://pages.nist.gov/800-63-3/sp800-63b.html</w:t>
        </w:r>
      </w:hyperlink>
      <w:r w:rsidRPr="01A0C124" w:rsidR="5B3A32C9">
        <w:rPr>
          <w:rFonts w:ascii="Times New Roman" w:hAnsi="Times New Roman" w:eastAsia="Times New Roman" w:cs="Times New Roman"/>
          <w:noProof w:val="0"/>
          <w:sz w:val="24"/>
          <w:szCs w:val="24"/>
          <w:lang w:val="en-US"/>
        </w:rPr>
        <w:t xml:space="preserve"> (Accessed: 17 January 2026).</w:t>
      </w:r>
    </w:p>
    <w:p xmlns:wp14="http://schemas.microsoft.com/office/word/2010/wordml" w:rsidP="01A0C124" wp14:paraId="3B1E17E4" wp14:textId="65F6C55E">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OWASP (2021) </w:t>
      </w:r>
      <w:r w:rsidRPr="01A0C124" w:rsidR="5B3A32C9">
        <w:rPr>
          <w:rFonts w:ascii="Times New Roman" w:hAnsi="Times New Roman" w:eastAsia="Times New Roman" w:cs="Times New Roman"/>
          <w:i w:val="1"/>
          <w:iCs w:val="1"/>
          <w:noProof w:val="0"/>
          <w:sz w:val="24"/>
          <w:szCs w:val="24"/>
          <w:lang w:val="en-US"/>
        </w:rPr>
        <w:t>OWASP top ten — 2021: The ten most critical web application security risks</w:t>
      </w:r>
      <w:r w:rsidRPr="01A0C124" w:rsidR="5B3A32C9">
        <w:rPr>
          <w:rFonts w:ascii="Times New Roman" w:hAnsi="Times New Roman" w:eastAsia="Times New Roman" w:cs="Times New Roman"/>
          <w:noProof w:val="0"/>
          <w:sz w:val="24"/>
          <w:szCs w:val="24"/>
          <w:lang w:val="en-US"/>
        </w:rPr>
        <w:t xml:space="preserve">. Available at: </w:t>
      </w:r>
      <w:hyperlink r:id="R06c74acae9d045be">
        <w:r w:rsidRPr="01A0C124" w:rsidR="5B3A32C9">
          <w:rPr>
            <w:rStyle w:val="Hyperlink"/>
            <w:rFonts w:ascii="Times New Roman" w:hAnsi="Times New Roman" w:eastAsia="Times New Roman" w:cs="Times New Roman"/>
            <w:noProof w:val="0"/>
            <w:sz w:val="24"/>
            <w:szCs w:val="24"/>
            <w:lang w:val="en-US"/>
          </w:rPr>
          <w:t>https://owasp.org/www-project-top-ten</w:t>
        </w:r>
      </w:hyperlink>
      <w:r w:rsidRPr="01A0C124" w:rsidR="5B3A32C9">
        <w:rPr>
          <w:rFonts w:ascii="Times New Roman" w:hAnsi="Times New Roman" w:eastAsia="Times New Roman" w:cs="Times New Roman"/>
          <w:noProof w:val="0"/>
          <w:sz w:val="24"/>
          <w:szCs w:val="24"/>
          <w:lang w:val="en-US"/>
        </w:rPr>
        <w:t xml:space="preserve"> (Accessed: 17 January 2026).</w:t>
      </w:r>
    </w:p>
    <w:p xmlns:wp14="http://schemas.microsoft.com/office/word/2010/wordml" w:rsidP="01A0C124" wp14:paraId="213ADDF8" wp14:textId="6C0F2FF6">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Palmirani, M., Governatori, G. and Rotolo, A. (2018) 'LegalRuleML: Design principles and foundations', in Morgenstern, L. et al. (eds.) </w:t>
      </w:r>
      <w:r w:rsidRPr="01A0C124" w:rsidR="5B3A32C9">
        <w:rPr>
          <w:rFonts w:ascii="Times New Roman" w:hAnsi="Times New Roman" w:eastAsia="Times New Roman" w:cs="Times New Roman"/>
          <w:i w:val="1"/>
          <w:iCs w:val="1"/>
          <w:noProof w:val="0"/>
          <w:sz w:val="24"/>
          <w:szCs w:val="24"/>
          <w:lang w:val="en-US"/>
        </w:rPr>
        <w:t>Proceedings of the Workshop on Automated Detection, Extraction and Analysis of Semantic Information in Legal Texts</w:t>
      </w:r>
      <w:r w:rsidRPr="01A0C124" w:rsidR="5B3A32C9">
        <w:rPr>
          <w:rFonts w:ascii="Times New Roman" w:hAnsi="Times New Roman" w:eastAsia="Times New Roman" w:cs="Times New Roman"/>
          <w:noProof w:val="0"/>
          <w:sz w:val="24"/>
          <w:szCs w:val="24"/>
          <w:lang w:val="en-US"/>
        </w:rPr>
        <w:t>. Cham: Springer, pp. 1–18.</w:t>
      </w:r>
    </w:p>
    <w:p xmlns:wp14="http://schemas.microsoft.com/office/word/2010/wordml" w:rsidP="01A0C124" wp14:paraId="05E0BAB8" wp14:textId="5FD78E7D">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Peffers, K., Tuunanen, T., Rothenberger, M. A. and Chatterjee, S. (2007) 'A design science research methodology for information systems research', </w:t>
      </w:r>
      <w:r w:rsidRPr="01A0C124" w:rsidR="5B3A32C9">
        <w:rPr>
          <w:rFonts w:ascii="Times New Roman" w:hAnsi="Times New Roman" w:eastAsia="Times New Roman" w:cs="Times New Roman"/>
          <w:i w:val="1"/>
          <w:iCs w:val="1"/>
          <w:noProof w:val="0"/>
          <w:sz w:val="24"/>
          <w:szCs w:val="24"/>
          <w:lang w:val="en-US"/>
        </w:rPr>
        <w:t>Journal of Management Information Systems</w:t>
      </w:r>
      <w:r w:rsidRPr="01A0C124" w:rsidR="5B3A32C9">
        <w:rPr>
          <w:rFonts w:ascii="Times New Roman" w:hAnsi="Times New Roman" w:eastAsia="Times New Roman" w:cs="Times New Roman"/>
          <w:noProof w:val="0"/>
          <w:sz w:val="24"/>
          <w:szCs w:val="24"/>
          <w:lang w:val="en-US"/>
        </w:rPr>
        <w:t>, 24(3), pp. 45–77.</w:t>
      </w:r>
    </w:p>
    <w:p xmlns:wp14="http://schemas.microsoft.com/office/word/2010/wordml" w:rsidP="01A0C124" wp14:paraId="2E7AEC96" wp14:textId="486ACC30">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PostgreSQL Global Development Group (2023) </w:t>
      </w:r>
      <w:r w:rsidRPr="01A0C124" w:rsidR="5B3A32C9">
        <w:rPr>
          <w:rFonts w:ascii="Times New Roman" w:hAnsi="Times New Roman" w:eastAsia="Times New Roman" w:cs="Times New Roman"/>
          <w:i w:val="1"/>
          <w:iCs w:val="1"/>
          <w:noProof w:val="0"/>
          <w:sz w:val="24"/>
          <w:szCs w:val="24"/>
          <w:lang w:val="en-US"/>
        </w:rPr>
        <w:t>PostgreSQL 16 documentation: Row security policies</w:t>
      </w:r>
      <w:r w:rsidRPr="01A0C124" w:rsidR="5B3A32C9">
        <w:rPr>
          <w:rFonts w:ascii="Times New Roman" w:hAnsi="Times New Roman" w:eastAsia="Times New Roman" w:cs="Times New Roman"/>
          <w:noProof w:val="0"/>
          <w:sz w:val="24"/>
          <w:szCs w:val="24"/>
          <w:lang w:val="en-US"/>
        </w:rPr>
        <w:t xml:space="preserve">. Available at: </w:t>
      </w:r>
      <w:hyperlink r:id="Rd1559e281912443b">
        <w:r w:rsidRPr="01A0C124" w:rsidR="5B3A32C9">
          <w:rPr>
            <w:rStyle w:val="Hyperlink"/>
            <w:rFonts w:ascii="Times New Roman" w:hAnsi="Times New Roman" w:eastAsia="Times New Roman" w:cs="Times New Roman"/>
            <w:noProof w:val="0"/>
            <w:sz w:val="24"/>
            <w:szCs w:val="24"/>
            <w:lang w:val="en-US"/>
          </w:rPr>
          <w:t>https://www.postgresql.org/docs/16/ddl-rowsecurity.html</w:t>
        </w:r>
      </w:hyperlink>
      <w:r w:rsidRPr="01A0C124" w:rsidR="5B3A32C9">
        <w:rPr>
          <w:rFonts w:ascii="Times New Roman" w:hAnsi="Times New Roman" w:eastAsia="Times New Roman" w:cs="Times New Roman"/>
          <w:noProof w:val="0"/>
          <w:sz w:val="24"/>
          <w:szCs w:val="24"/>
          <w:lang w:val="en-US"/>
        </w:rPr>
        <w:t xml:space="preserve"> (Accessed: 17 January 2026).</w:t>
      </w:r>
    </w:p>
    <w:p xmlns:wp14="http://schemas.microsoft.com/office/word/2010/wordml" w:rsidP="01A0C124" wp14:paraId="5C56A200" wp14:textId="78EF1FFA">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Prisma (2024) </w:t>
      </w:r>
      <w:r w:rsidRPr="01A0C124" w:rsidR="5B3A32C9">
        <w:rPr>
          <w:rFonts w:ascii="Times New Roman" w:hAnsi="Times New Roman" w:eastAsia="Times New Roman" w:cs="Times New Roman"/>
          <w:i w:val="1"/>
          <w:iCs w:val="1"/>
          <w:noProof w:val="0"/>
          <w:sz w:val="24"/>
          <w:szCs w:val="24"/>
          <w:lang w:val="en-US"/>
        </w:rPr>
        <w:t>Prisma documentation: Schema, migrations, and client</w:t>
      </w:r>
      <w:r w:rsidRPr="01A0C124" w:rsidR="5B3A32C9">
        <w:rPr>
          <w:rFonts w:ascii="Times New Roman" w:hAnsi="Times New Roman" w:eastAsia="Times New Roman" w:cs="Times New Roman"/>
          <w:noProof w:val="0"/>
          <w:sz w:val="24"/>
          <w:szCs w:val="24"/>
          <w:lang w:val="en-US"/>
        </w:rPr>
        <w:t xml:space="preserve">. Available at: </w:t>
      </w:r>
      <w:hyperlink r:id="Rdc785031bb5a4090">
        <w:r w:rsidRPr="01A0C124" w:rsidR="5B3A32C9">
          <w:rPr>
            <w:rStyle w:val="Hyperlink"/>
            <w:rFonts w:ascii="Times New Roman" w:hAnsi="Times New Roman" w:eastAsia="Times New Roman" w:cs="Times New Roman"/>
            <w:noProof w:val="0"/>
            <w:sz w:val="24"/>
            <w:szCs w:val="24"/>
            <w:lang w:val="en-US"/>
          </w:rPr>
          <w:t>https://www.prisma.io/docs</w:t>
        </w:r>
      </w:hyperlink>
      <w:r w:rsidRPr="01A0C124" w:rsidR="5B3A32C9">
        <w:rPr>
          <w:rFonts w:ascii="Times New Roman" w:hAnsi="Times New Roman" w:eastAsia="Times New Roman" w:cs="Times New Roman"/>
          <w:noProof w:val="0"/>
          <w:sz w:val="24"/>
          <w:szCs w:val="24"/>
          <w:lang w:val="en-US"/>
        </w:rPr>
        <w:t xml:space="preserve"> (Accessed: 17 January 2026).</w:t>
      </w:r>
    </w:p>
    <w:p xmlns:wp14="http://schemas.microsoft.com/office/word/2010/wordml" w:rsidP="01A0C124" wp14:paraId="4A4D29FC" wp14:textId="34F53F0C">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Rodero-Merino, L., Vaquero, L. M., Caron, E., Muresan, A. and Desprez, F. (2010) 'Building safe PaaS clouds: A survey on security in multi-tenant software platforms', </w:t>
      </w:r>
      <w:r w:rsidRPr="01A0C124" w:rsidR="5B3A32C9">
        <w:rPr>
          <w:rFonts w:ascii="Times New Roman" w:hAnsi="Times New Roman" w:eastAsia="Times New Roman" w:cs="Times New Roman"/>
          <w:i w:val="1"/>
          <w:iCs w:val="1"/>
          <w:noProof w:val="0"/>
          <w:sz w:val="24"/>
          <w:szCs w:val="24"/>
          <w:lang w:val="en-US"/>
        </w:rPr>
        <w:t>Computers and Security</w:t>
      </w:r>
      <w:r w:rsidRPr="01A0C124" w:rsidR="5B3A32C9">
        <w:rPr>
          <w:rFonts w:ascii="Times New Roman" w:hAnsi="Times New Roman" w:eastAsia="Times New Roman" w:cs="Times New Roman"/>
          <w:noProof w:val="0"/>
          <w:sz w:val="24"/>
          <w:szCs w:val="24"/>
          <w:lang w:val="en-US"/>
        </w:rPr>
        <w:t>, 31(1), pp. 96–108.</w:t>
      </w:r>
    </w:p>
    <w:p xmlns:wp14="http://schemas.microsoft.com/office/word/2010/wordml" w:rsidP="01A0C124" wp14:paraId="2B39F1E1" wp14:textId="08022E70">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Sadiq, S., Governatori, G. and Namiri, K. (2007) 'Modeling control objectives for business process compliance', </w:t>
      </w:r>
      <w:r w:rsidRPr="01A0C124" w:rsidR="5B3A32C9">
        <w:rPr>
          <w:rFonts w:ascii="Times New Roman" w:hAnsi="Times New Roman" w:eastAsia="Times New Roman" w:cs="Times New Roman"/>
          <w:i w:val="1"/>
          <w:iCs w:val="1"/>
          <w:noProof w:val="0"/>
          <w:sz w:val="24"/>
          <w:szCs w:val="24"/>
          <w:lang w:val="en-US"/>
        </w:rPr>
        <w:t>Proceedings of the 5th International Conference on Business Process Management</w:t>
      </w:r>
      <w:r w:rsidRPr="01A0C124" w:rsidR="5B3A32C9">
        <w:rPr>
          <w:rFonts w:ascii="Times New Roman" w:hAnsi="Times New Roman" w:eastAsia="Times New Roman" w:cs="Times New Roman"/>
          <w:noProof w:val="0"/>
          <w:sz w:val="24"/>
          <w:szCs w:val="24"/>
          <w:lang w:val="en-US"/>
        </w:rPr>
        <w:t>, pp. 149–164.</w:t>
      </w:r>
    </w:p>
    <w:p xmlns:wp14="http://schemas.microsoft.com/office/word/2010/wordml" w:rsidP="01A0C124" wp14:paraId="725DB4B9" wp14:textId="1F5BB090">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Venable, J., Pries-Heje, J. and Baskerville, R. (2016) 'FEDS: A framework for evaluation in design science research', </w:t>
      </w:r>
      <w:r w:rsidRPr="01A0C124" w:rsidR="5B3A32C9">
        <w:rPr>
          <w:rFonts w:ascii="Times New Roman" w:hAnsi="Times New Roman" w:eastAsia="Times New Roman" w:cs="Times New Roman"/>
          <w:i w:val="1"/>
          <w:iCs w:val="1"/>
          <w:noProof w:val="0"/>
          <w:sz w:val="24"/>
          <w:szCs w:val="24"/>
          <w:lang w:val="en-US"/>
        </w:rPr>
        <w:t>European Journal of Information Systems</w:t>
      </w:r>
      <w:r w:rsidRPr="01A0C124" w:rsidR="5B3A32C9">
        <w:rPr>
          <w:rFonts w:ascii="Times New Roman" w:hAnsi="Times New Roman" w:eastAsia="Times New Roman" w:cs="Times New Roman"/>
          <w:noProof w:val="0"/>
          <w:sz w:val="24"/>
          <w:szCs w:val="24"/>
          <w:lang w:val="en-US"/>
        </w:rPr>
        <w:t>, 25(1), pp. 77–89.</w:t>
      </w:r>
    </w:p>
    <w:p xmlns:wp14="http://schemas.microsoft.com/office/word/2010/wordml" w:rsidP="01A0C124" wp14:paraId="13EC8986" wp14:textId="53F0F988">
      <w:pPr>
        <w:spacing w:before="240" w:beforeAutospacing="off" w:after="240" w:afterAutospacing="off"/>
      </w:pPr>
      <w:r w:rsidRPr="01A0C124" w:rsidR="5B3A32C9">
        <w:rPr>
          <w:rFonts w:ascii="Times New Roman" w:hAnsi="Times New Roman" w:eastAsia="Times New Roman" w:cs="Times New Roman"/>
          <w:noProof w:val="0"/>
          <w:sz w:val="24"/>
          <w:szCs w:val="24"/>
          <w:lang w:val="en-US"/>
        </w:rPr>
        <w:t xml:space="preserve">Walraven, S., Truyen, E. and Joosen, W. (2014) 'Comparing multi-tenant design patterns for SaaS applications', </w:t>
      </w:r>
      <w:r w:rsidRPr="01A0C124" w:rsidR="5B3A32C9">
        <w:rPr>
          <w:rFonts w:ascii="Times New Roman" w:hAnsi="Times New Roman" w:eastAsia="Times New Roman" w:cs="Times New Roman"/>
          <w:i w:val="1"/>
          <w:iCs w:val="1"/>
          <w:noProof w:val="0"/>
          <w:sz w:val="24"/>
          <w:szCs w:val="24"/>
          <w:lang w:val="en-US"/>
        </w:rPr>
        <w:t>Proceedings of the IEEE International Conference on Collaborative Computing</w:t>
      </w:r>
      <w:r w:rsidRPr="01A0C124" w:rsidR="5B3A32C9">
        <w:rPr>
          <w:rFonts w:ascii="Times New Roman" w:hAnsi="Times New Roman" w:eastAsia="Times New Roman" w:cs="Times New Roman"/>
          <w:noProof w:val="0"/>
          <w:sz w:val="24"/>
          <w:szCs w:val="24"/>
          <w:lang w:val="en-US"/>
        </w:rPr>
        <w:t>, pp. 1–8.</w:t>
      </w:r>
    </w:p>
    <w:p xmlns:wp14="http://schemas.microsoft.com/office/word/2010/wordml" w:rsidP="01A0C124" wp14:paraId="23F36410" wp14:textId="1D9E6165">
      <w:pPr>
        <w:spacing w:before="0" w:beforeAutospacing="off" w:after="0" w:afterAutospacing="off"/>
      </w:pPr>
    </w:p>
    <w:p xmlns:wp14="http://schemas.microsoft.com/office/word/2010/wordml" wp14:paraId="2C078E63" wp14:textId="5029762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5ca7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cf2d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d509f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7a68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d755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46CE9C"/>
    <w:rsid w:val="01A0C124"/>
    <w:rsid w:val="09F6002B"/>
    <w:rsid w:val="09F6002B"/>
    <w:rsid w:val="25AE1A80"/>
    <w:rsid w:val="2647E994"/>
    <w:rsid w:val="2946CE9C"/>
    <w:rsid w:val="330BD178"/>
    <w:rsid w:val="34E36EC4"/>
    <w:rsid w:val="35C54AF0"/>
    <w:rsid w:val="379288E2"/>
    <w:rsid w:val="379288E2"/>
    <w:rsid w:val="4AC61670"/>
    <w:rsid w:val="552C5EB1"/>
    <w:rsid w:val="5B3A32C9"/>
    <w:rsid w:val="6655B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6CE9C"/>
  <w15:chartTrackingRefBased/>
  <w15:docId w15:val="{49415C3E-2D4B-4203-AA67-F822338C48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1A0C12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1A0C12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1A0C124"/>
    <w:pPr>
      <w:spacing/>
      <w:ind w:left="720"/>
      <w:contextualSpacing/>
    </w:pPr>
  </w:style>
  <w:style w:type="character" w:styleId="Hyperlink">
    <w:uiPriority w:val="99"/>
    <w:name w:val="Hyperlink"/>
    <w:basedOn w:val="DefaultParagraphFont"/>
    <w:unhideWhenUsed/>
    <w:rsid w:val="01A0C12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esma.europa.eu/sites/default/files/2024-12/ESA_2024_35_DORA_Dry_Run_exercise_summary_report.pdf" TargetMode="External" Id="Rad121640594f463d" /><Relationship Type="http://schemas.openxmlformats.org/officeDocument/2006/relationships/hyperlink" Target="https://www.eba.europa.eu/sites/default/files/document_library/Publications/Reports/2021/1015484/EBA%20analysis%20of%20RegTech%20in%20the%20EU%20financial%20sector.pdf" TargetMode="External" Id="R889ebd1cbc4c4165" /><Relationship Type="http://schemas.openxmlformats.org/officeDocument/2006/relationships/hyperlink" Target="https://www.esma.europa.eu/sites/default/files/2024-12/ESA_2024_35_DORA_Dry_Run_exercise_summary_report.pdf" TargetMode="External" Id="R590ff43dcf004b05" /><Relationship Type="http://schemas.openxmlformats.org/officeDocument/2006/relationships/hyperlink" Target="https://pages.nist.gov/800-63-3/sp800-63b.html" TargetMode="External" Id="Rc95e29b913c94a53" /><Relationship Type="http://schemas.openxmlformats.org/officeDocument/2006/relationships/hyperlink" Target="https://owasp.org/www-project-top-ten" TargetMode="External" Id="R06c74acae9d045be" /><Relationship Type="http://schemas.openxmlformats.org/officeDocument/2006/relationships/hyperlink" Target="https://www.postgresql.org/docs/16/ddl-rowsecurity.html" TargetMode="External" Id="Rd1559e281912443b" /><Relationship Type="http://schemas.openxmlformats.org/officeDocument/2006/relationships/hyperlink" Target="https://www.prisma.io/docs" TargetMode="External" Id="Rdc785031bb5a4090" /><Relationship Type="http://schemas.openxmlformats.org/officeDocument/2006/relationships/numbering" Target="numbering.xml" Id="R4a4c0b67000447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2026-04-21T13:34:22.3007232Z</dcterms:created>
  <dcterms:modified xsi:type="dcterms:W3CDTF">2026-04-21T13:47:37.7109556Z</dcterms:modified>
  <dc:creator>Raouf Amir Boussouf</dc:creator>
  <lastModifiedBy>Raouf Amir Boussouf</lastModifiedBy>
</coreProperties>
</file>