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1C34B7" wp14:paraId="7FCC81CD" wp14:textId="1E554874">
      <w:pPr>
        <w:spacing w:before="0" w:beforeAutospacing="off" w:after="0" w:afterAutospacing="off"/>
      </w:pPr>
    </w:p>
    <w:p xmlns:wp14="http://schemas.microsoft.com/office/word/2010/wordml" w:rsidP="381C34B7" wp14:paraId="44E9F2A9" wp14:textId="16587E3D">
      <w:pPr>
        <w:pStyle w:val="Heading1"/>
        <w:spacing w:before="322" w:beforeAutospacing="off" w:after="322" w:afterAutospacing="off"/>
      </w:pPr>
      <w:r w:rsidRPr="381C34B7" w:rsidR="643E6107">
        <w:rPr>
          <w:rFonts w:ascii="Times New Roman" w:hAnsi="Times New Roman" w:eastAsia="Times New Roman" w:cs="Times New Roman"/>
          <w:b w:val="1"/>
          <w:bCs w:val="1"/>
          <w:noProof w:val="0"/>
          <w:sz w:val="48"/>
          <w:szCs w:val="48"/>
          <w:lang w:val="en-US"/>
        </w:rPr>
        <w:t>CHAPTER 7: CONCLUSIONS</w:t>
      </w:r>
    </w:p>
    <w:p xmlns:wp14="http://schemas.microsoft.com/office/word/2010/wordml" w:rsidP="381C34B7" wp14:paraId="4D239909" wp14:textId="6FF25A84">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Chapter Overview</w:t>
      </w:r>
    </w:p>
    <w:p xmlns:wp14="http://schemas.microsoft.com/office/word/2010/wordml" w:rsidP="381C34B7" wp14:paraId="38AFA51E" wp14:textId="0479BAFC">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This concluding chapter synthesises the research findings across Chapters 1 through 6, answers the three research questions established in Chapter 1, situates the dissertation's contribution within the RegTech and regulatory information systems literature, reflects on the research methodology, and proposes a structured agenda for future work. The chapter is organised as follows: Section 7.1 returns to the original research questions and provides direct, evidence-grounded answers drawn from the evaluation in Chapter 6. Section 7.2 synthesises the contributions of the research at three levels — artefact, design pattern, and domain knowledge. Section 7.3 reflects on the application of the Design Science Research methodology and what the research process revealed about DSR's fitness for regulatory technology research. Section 7.4 identifies the dissertation's limitations in the context of its contribution claims. Section 7.5 proposes a prioritised future research agenda in five areas. Section 7.6 closes with a final statement on the significance of the work.</w:t>
      </w:r>
    </w:p>
    <w:p xmlns:wp14="http://schemas.microsoft.com/office/word/2010/wordml" w:rsidP="381C34B7" wp14:paraId="5D6EF1FA" wp14:textId="2EF7E3CC">
      <w:pPr>
        <w:spacing w:before="0" w:beforeAutospacing="off" w:after="0" w:afterAutospacing="off"/>
      </w:pPr>
    </w:p>
    <w:p xmlns:wp14="http://schemas.microsoft.com/office/word/2010/wordml" w:rsidP="381C34B7" wp14:paraId="3B328C50" wp14:textId="40F64F90">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7.1 Answers to the Research Questions</w:t>
      </w:r>
    </w:p>
    <w:p xmlns:wp14="http://schemas.microsoft.com/office/word/2010/wordml" w:rsidP="381C34B7" wp14:paraId="11858E14" wp14:textId="728550A7">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7.1.1 Research Question 1</w:t>
      </w:r>
    </w:p>
    <w:p xmlns:wp14="http://schemas.microsoft.com/office/word/2010/wordml" w:rsidP="381C34B7" wp14:paraId="2FF0DC4A" wp14:textId="6B704A60">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RQ1: What are the primary data quality and structural failure patterns in DORA Register of Information submissions among European financial entities, and why do they arise?</w:t>
      </w:r>
    </w:p>
    <w:p xmlns:wp14="http://schemas.microsoft.com/office/word/2010/wordml" w:rsidP="381C34B7" wp14:paraId="6487B70C" wp14:textId="18019997">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primary failure patterns are empirically documented in the ESA 2024 Dry Run report — the first large-scale test of DORA RoI submission readiness across the EU financial sector. Of 947 processed submissions, 93.5% contained at least one data quality failure across five categories: mandatory information missing, invalid format or syntax, invalid DPM code values, cross-template referential integrity failures, and logical consistency check failures (European Supervisory Authorities, 2024). The dominant category — mandatory information missing, accounting for 86% of failures — reflects the structural inadequacy of the manual, spreadsheet-based approach that the majority of submitting entities used. When the compliance register is maintained as a static Excel workbook rather than as a relational data model with enforced field constraints, there is no mechanism to prevent mandatory fields from being left blank, no automated cross-template link validation, and no pre-submission quality gate. The register is only checked for conformance at the point of submission to the regulatory portal — at which point failures are costly and time-consuming to remediate (Galati et al., 2022; Butler and O'Brien, 2019).</w:t>
      </w:r>
    </w:p>
    <w:p xmlns:wp14="http://schemas.microsoft.com/office/word/2010/wordml" w:rsidP="381C34B7" wp14:paraId="5FA8A697" wp14:textId="4DE2F8D4">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failure patterns arise from three compounding factors. First, the EBA ITS defines a complex, nine-template relational structure — 30 conceptual entities with extensive cross-template foreign key relationships — that is inherently ill-suited to flat spreadsheet management (European Banking Authority, 2023a). Second, the EBA's published draft validation rules are a 300-rule technical specification that requires engineering expertise to operationalise; they are not usable as a manual checklist in practice. Third, the resource constraints of SME financial entities mean that compliance functions typically lack the specialist technical expertise to build or procure purpose-built validation tooling, defaulting to the EBA's native Excel templates without supplementary quality controls (Bhurat, 2025; Central Bank of Ireland, 2024a). The DORA SaaS platform was designed specifically to address all three of these compounding factors.</w:t>
      </w:r>
    </w:p>
    <w:p xmlns:wp14="http://schemas.microsoft.com/office/word/2010/wordml" w:rsidP="381C34B7" wp14:paraId="25728256" wp14:textId="0CA10177">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7.1.2 Research Question 2</w:t>
      </w:r>
    </w:p>
    <w:p xmlns:wp14="http://schemas.microsoft.com/office/word/2010/wordml" w:rsidP="381C34B7" wp14:paraId="51ED2ABF" wp14:textId="38FBB583">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RQ2: Can a rule-based compliance validation engine, embedded in a relational data management platform, systematically detect these failure patterns before submission?</w:t>
      </w:r>
    </w:p>
    <w:p xmlns:wp14="http://schemas.microsoft.com/office/word/2010/wordml" w:rsidP="381C34B7" wp14:paraId="71B58BE3" wp14:textId="33DB628B">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Yes — and the evaluation in Chapter 6 provides specific, demonstrated evidence that it can. The 220-rule declarative validation engine, executing ten distinct rule types seeded directly from the EBA's published draft validation rules specification, correctly detected all nine deliberately injected violations in the seeded test dataset at the correct severity levels with zero false positives on clean records (European Banking Authority, 2024a). The engine addresses all five ESA Dry Run failure categories through dedicated rule types: </w:t>
      </w:r>
      <w:r w:rsidRPr="381C34B7" w:rsidR="643E6107">
        <w:rPr>
          <w:rFonts w:ascii="Consolas" w:hAnsi="Consolas" w:eastAsia="Consolas" w:cs="Consolas"/>
          <w:noProof w:val="0"/>
          <w:sz w:val="24"/>
          <w:szCs w:val="24"/>
          <w:lang w:val="en-US"/>
        </w:rPr>
        <w:t>required</w:t>
      </w:r>
      <w:r w:rsidRPr="381C34B7" w:rsidR="643E6107">
        <w:rPr>
          <w:rFonts w:ascii="Times New Roman" w:hAnsi="Times New Roman" w:eastAsia="Times New Roman" w:cs="Times New Roman"/>
          <w:noProof w:val="0"/>
          <w:sz w:val="24"/>
          <w:szCs w:val="24"/>
          <w:lang w:val="en-US"/>
        </w:rPr>
        <w:t xml:space="preserve"> for mandatory field absence, </w:t>
      </w:r>
      <w:r w:rsidRPr="381C34B7" w:rsidR="643E6107">
        <w:rPr>
          <w:rFonts w:ascii="Consolas" w:hAnsi="Consolas" w:eastAsia="Consolas" w:cs="Consolas"/>
          <w:noProof w:val="0"/>
          <w:sz w:val="24"/>
          <w:szCs w:val="24"/>
          <w:lang w:val="en-US"/>
        </w:rPr>
        <w:t>format</w:t>
      </w:r>
      <w:r w:rsidRPr="381C34B7" w:rsidR="643E6107">
        <w:rPr>
          <w:rFonts w:ascii="Times New Roman" w:hAnsi="Times New Roman" w:eastAsia="Times New Roman" w:cs="Times New Roman"/>
          <w:noProof w:val="0"/>
          <w:sz w:val="24"/>
          <w:szCs w:val="24"/>
          <w:lang w:val="en-US"/>
        </w:rPr>
        <w:t xml:space="preserve"> for syntax and pattern violations, </w:t>
      </w:r>
      <w:r w:rsidRPr="381C34B7" w:rsidR="643E6107">
        <w:rPr>
          <w:rFonts w:ascii="Consolas" w:hAnsi="Consolas" w:eastAsia="Consolas" w:cs="Consolas"/>
          <w:noProof w:val="0"/>
          <w:sz w:val="24"/>
          <w:szCs w:val="24"/>
          <w:lang w:val="en-US"/>
        </w:rPr>
        <w:t>dropdown</w:t>
      </w:r>
      <w:r w:rsidRPr="381C34B7" w:rsidR="643E6107">
        <w:rPr>
          <w:rFonts w:ascii="Times New Roman" w:hAnsi="Times New Roman" w:eastAsia="Times New Roman" w:cs="Times New Roman"/>
          <w:noProof w:val="0"/>
          <w:sz w:val="24"/>
          <w:szCs w:val="24"/>
          <w:lang w:val="en-US"/>
        </w:rPr>
        <w:t xml:space="preserve"> for invalid DPM code values, </w:t>
      </w:r>
      <w:r w:rsidRPr="381C34B7" w:rsidR="643E6107">
        <w:rPr>
          <w:rFonts w:ascii="Consolas" w:hAnsi="Consolas" w:eastAsia="Consolas" w:cs="Consolas"/>
          <w:noProof w:val="0"/>
          <w:sz w:val="24"/>
          <w:szCs w:val="24"/>
          <w:lang w:val="en-US"/>
        </w:rPr>
        <w:t>fk_exists</w:t>
      </w:r>
      <w:r w:rsidRPr="381C34B7" w:rsidR="643E6107">
        <w:rPr>
          <w:rFonts w:ascii="Times New Roman" w:hAnsi="Times New Roman" w:eastAsia="Times New Roman" w:cs="Times New Roman"/>
          <w:noProof w:val="0"/>
          <w:sz w:val="24"/>
          <w:szCs w:val="24"/>
          <w:lang w:val="en-US"/>
        </w:rPr>
        <w:t xml:space="preserve"> for cross-template referential integrity failures, and </w:t>
      </w:r>
      <w:r w:rsidRPr="381C34B7" w:rsidR="643E6107">
        <w:rPr>
          <w:rFonts w:ascii="Consolas" w:hAnsi="Consolas" w:eastAsia="Consolas" w:cs="Consolas"/>
          <w:noProof w:val="0"/>
          <w:sz w:val="24"/>
          <w:szCs w:val="24"/>
          <w:lang w:val="en-US"/>
        </w:rPr>
        <w:t>cross_field</w:t>
      </w:r>
      <w:r w:rsidRPr="381C34B7" w:rsidR="643E6107">
        <w:rPr>
          <w:rFonts w:ascii="Times New Roman" w:hAnsi="Times New Roman" w:eastAsia="Times New Roman" w:cs="Times New Roman"/>
          <w:noProof w:val="0"/>
          <w:sz w:val="24"/>
          <w:szCs w:val="24"/>
          <w:lang w:val="en-US"/>
        </w:rPr>
        <w:t xml:space="preserve">, </w:t>
      </w:r>
      <w:r w:rsidRPr="381C34B7" w:rsidR="643E6107">
        <w:rPr>
          <w:rFonts w:ascii="Consolas" w:hAnsi="Consolas" w:eastAsia="Consolas" w:cs="Consolas"/>
          <w:noProof w:val="0"/>
          <w:sz w:val="24"/>
          <w:szCs w:val="24"/>
          <w:lang w:val="en-US"/>
        </w:rPr>
        <w:t>conditional</w:t>
      </w:r>
      <w:r w:rsidRPr="381C34B7" w:rsidR="643E6107">
        <w:rPr>
          <w:rFonts w:ascii="Times New Roman" w:hAnsi="Times New Roman" w:eastAsia="Times New Roman" w:cs="Times New Roman"/>
          <w:noProof w:val="0"/>
          <w:sz w:val="24"/>
          <w:szCs w:val="24"/>
          <w:lang w:val="en-US"/>
        </w:rPr>
        <w:t xml:space="preserve">, and </w:t>
      </w:r>
      <w:r w:rsidRPr="381C34B7" w:rsidR="643E6107">
        <w:rPr>
          <w:rFonts w:ascii="Consolas" w:hAnsi="Consolas" w:eastAsia="Consolas" w:cs="Consolas"/>
          <w:noProof w:val="0"/>
          <w:sz w:val="24"/>
          <w:szCs w:val="24"/>
          <w:lang w:val="en-US"/>
        </w:rPr>
        <w:t>date_boundary</w:t>
      </w:r>
      <w:r w:rsidRPr="381C34B7" w:rsidR="643E6107">
        <w:rPr>
          <w:rFonts w:ascii="Times New Roman" w:hAnsi="Times New Roman" w:eastAsia="Times New Roman" w:cs="Times New Roman"/>
          <w:noProof w:val="0"/>
          <w:sz w:val="24"/>
          <w:szCs w:val="24"/>
          <w:lang w:val="en-US"/>
        </w:rPr>
        <w:t xml:space="preserve"> for logical consistency failures. The pre-flight export gate makes it structurally impossible to generate a submission-format RoI file while any ERROR-severity issue remains unresolved, enforcing compliance at the system boundary rather than relying on human vigilance (European Supervisory Authorities, 2024).</w:t>
      </w:r>
    </w:p>
    <w:p xmlns:wp14="http://schemas.microsoft.com/office/word/2010/wordml" w:rsidP="381C34B7" wp14:paraId="00BED896" wp14:textId="0FADD015">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answer is qualified by two honest boundaries. First, the engine covers approximately 73% of the EBA's full 300-rule draft specification — the remaining 27% consists primarily of advanced inter-template cross-checks that require the architectural step of a cross-template query layer not yet implemented. Second, the engine has been demonstrated against a controlled synthetic dataset, not against a live CBI test portal submission; six specific XBRL conformance risks would need to be resolved before a real submission could be made. Within these scope boundaries, the answer to RQ2 is affirmative and demonstrated (Hevner et al., 2004; Venable et al., 2016).</w:t>
      </w:r>
    </w:p>
    <w:p xmlns:wp14="http://schemas.microsoft.com/office/word/2010/wordml" w:rsidP="381C34B7" wp14:paraId="33278D85" wp14:textId="714A48C2">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7.1.3 Research Question 3</w:t>
      </w:r>
    </w:p>
    <w:p xmlns:wp14="http://schemas.microsoft.com/office/word/2010/wordml" w:rsidP="381C34B7" wp14:paraId="46C0C5A5" wp14:textId="0A4F9386">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RQ3: Can a DORA compliance platform proportionate to the operational and resource constraints of Irish SME financial entities be built using standard web technologies within the scope of a master's research project?</w:t>
      </w:r>
    </w:p>
    <w:p xmlns:wp14="http://schemas.microsoft.com/office/word/2010/wordml" w:rsidP="381C34B7" wp14:paraId="251A7CAE" wp14:textId="322FF8B5">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Yes — and the deployed prototype is the evidence. The DORA SaaS platform is a fully functional, four-service deployable system built in thirteen development sessions between 17 March and 19 April 2026 using entirely standard, open-architecture technologies: NestJS 11, PostgreSQL 16, React 19, Prisma 7.5.0, and Docker Compose. The </w:t>
      </w:r>
      <w:r w:rsidRPr="381C34B7" w:rsidR="643E6107">
        <w:rPr>
          <w:rFonts w:ascii="Consolas" w:hAnsi="Consolas" w:eastAsia="Consolas" w:cs="Consolas"/>
          <w:noProof w:val="0"/>
          <w:sz w:val="24"/>
          <w:szCs w:val="24"/>
          <w:lang w:val="en-US"/>
        </w:rPr>
        <w:t>docker-compose up</w:t>
      </w:r>
      <w:r w:rsidRPr="381C34B7" w:rsidR="643E6107">
        <w:rPr>
          <w:rFonts w:ascii="Times New Roman" w:hAnsi="Times New Roman" w:eastAsia="Times New Roman" w:cs="Times New Roman"/>
          <w:noProof w:val="0"/>
          <w:sz w:val="24"/>
          <w:szCs w:val="24"/>
          <w:lang w:val="en-US"/>
        </w:rPr>
        <w:t xml:space="preserve"> deployment model requires no cloud infrastructure, managed services, or specialist DevOps expertise. The estimated operational cloud cost for a production deployment at SME data volumes is €50–€150 per month — proportionate to the compliance budget of a small Irish financial entity (Bhurat, 2025). The three-role workflow (EDITOR, ANALYST, ADMIN) maps directly onto the two-to-four person compliance function typical of an Irish SME financial entity, with zero workflow configuration required. The constrained-dropdown UX design eliminates the most prevalent class of data entry errors (non-conforming DPM codes) without requiring compliance officers to memorise code lists (Central Bank of Ireland, 2024a; Butler and O'Brien, 2019).</w:t>
      </w:r>
    </w:p>
    <w:p xmlns:wp14="http://schemas.microsoft.com/office/word/2010/wordml" w:rsidP="381C34B7" wp14:paraId="608161DA" wp14:textId="1B42CE71">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qualification is that the prototype is at demonstration maturity, not production maturity. The absence of an automated test suite, versioned migrations, multi-factor authentication, and encryption at rest means that the platform would require a production hardening programme before any entity used it for a real CBI submission. These are known, documented, and tractable gaps — not architectural limitations — and they frame the research contribution at its honest scope (Hevner et al., 2004).</w:t>
      </w:r>
    </w:p>
    <w:p xmlns:wp14="http://schemas.microsoft.com/office/word/2010/wordml" w:rsidP="381C34B7" wp14:paraId="7AAB35D0" wp14:textId="59C2DEF4">
      <w:pPr>
        <w:spacing w:before="0" w:beforeAutospacing="off" w:after="0" w:afterAutospacing="off"/>
      </w:pPr>
    </w:p>
    <w:p xmlns:wp14="http://schemas.microsoft.com/office/word/2010/wordml" w:rsidP="381C34B7" wp14:paraId="24602838" wp14:textId="421D0A5E">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7.2 Synthesis of Research Contributions</w:t>
      </w:r>
    </w:p>
    <w:p xmlns:wp14="http://schemas.microsoft.com/office/word/2010/wordml" w:rsidP="381C34B7" wp14:paraId="047D72BF" wp14:textId="4FD626E8">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7.2.1 Contribution 1 — A Domain-Specific Functional Artefact</w:t>
      </w:r>
    </w:p>
    <w:p xmlns:wp14="http://schemas.microsoft.com/office/word/2010/wordml" w:rsidP="381C34B7" wp14:paraId="40FE6DCE" wp14:textId="5D579B5B">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primary contribution of this research is a functionally coherent, domain-complete RegTech artefact that is the first documented implementation of the DORA Register of Information requirements in a purpose-built, validation-integrated, submission-format-generating compliance platform. The artefact implements the full EBA ITS data model across 30 relational tables, embeds 220 EBA-specific validation rules across 10 rule types, produces dual-format export outputs for 13 of 14 EBA sub-templates, and enforces multi-tenant data isolation through a defence-in-depth architecture combining application-layer filtering with PostgreSQL Row-Level Security. It is deployable by a single technically competent person using a single command and is designed specifically for the regulatory and resource context of Irish SME financial entities.</w:t>
      </w:r>
    </w:p>
    <w:p xmlns:wp14="http://schemas.microsoft.com/office/word/2010/wordml" w:rsidP="381C34B7" wp14:paraId="27D6413A" wp14:textId="77C8A21B">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This contribution is significant because no equivalent artefact existed in the academic literature at the time of this research. The EBA's own RegTech analysis (EBA, 2021) identified compliance automation as a critical capability gap for smaller financial entities across the EU financial sector. The present artefact provides a concrete instantiation of how that gap can be addressed in the specific context of DORA's Register of Information obligations — a context that is both newly mandatory (effective 17 January 2025) and empirically documented as producing widespread compliance failures (European Supervisory Authorities, 2024).</w:t>
      </w:r>
    </w:p>
    <w:p xmlns:wp14="http://schemas.microsoft.com/office/word/2010/wordml" w:rsidP="381C34B7" wp14:paraId="1CE6BE5A" wp14:textId="22DDDD6E">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7.2.2 Contribution 2 — A Generalisable Design Pattern</w:t>
      </w:r>
    </w:p>
    <w:p xmlns:wp14="http://schemas.microsoft.com/office/word/2010/wordml" w:rsidP="381C34B7" wp14:paraId="56D5C3CD" wp14:textId="7F819BA6">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second contribution is a validated, generalisable design pattern for rule-based regulatory compliance automation in a multi-tenant SaaS context. The pattern has three components:</w:t>
      </w:r>
    </w:p>
    <w:p xmlns:wp14="http://schemas.microsoft.com/office/word/2010/wordml" w:rsidP="381C34B7" wp14:paraId="57C7C62A" wp14:textId="1EA7919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381C34B7" w:rsidR="643E6107">
        <w:rPr>
          <w:rFonts w:ascii="Times New Roman" w:hAnsi="Times New Roman" w:eastAsia="Times New Roman" w:cs="Times New Roman"/>
          <w:b w:val="1"/>
          <w:bCs w:val="1"/>
          <w:noProof w:val="0"/>
          <w:sz w:val="24"/>
          <w:szCs w:val="24"/>
          <w:lang w:val="en-US"/>
        </w:rPr>
        <w:t>Declarative rule storage</w:t>
      </w:r>
      <w:r w:rsidRPr="381C34B7" w:rsidR="643E6107">
        <w:rPr>
          <w:rFonts w:ascii="Times New Roman" w:hAnsi="Times New Roman" w:eastAsia="Times New Roman" w:cs="Times New Roman"/>
          <w:noProof w:val="0"/>
          <w:sz w:val="24"/>
          <w:szCs w:val="24"/>
          <w:lang w:val="en-US"/>
        </w:rPr>
        <w:t>: all validation rules are stored as database records, not as hard-coded application logic, making the rule set updatable without code changes when the regulatory specification evolves.</w:t>
      </w:r>
    </w:p>
    <w:p xmlns:wp14="http://schemas.microsoft.com/office/word/2010/wordml" w:rsidP="381C34B7" wp14:paraId="022676D6" wp14:textId="1E8DD595">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381C34B7" w:rsidR="643E6107">
        <w:rPr>
          <w:rFonts w:ascii="Times New Roman" w:hAnsi="Times New Roman" w:eastAsia="Times New Roman" w:cs="Times New Roman"/>
          <w:b w:val="1"/>
          <w:bCs w:val="1"/>
          <w:noProof w:val="0"/>
          <w:sz w:val="24"/>
          <w:szCs w:val="24"/>
          <w:lang w:val="en-US"/>
        </w:rPr>
        <w:t>Generic typed rule execution</w:t>
      </w:r>
      <w:r w:rsidRPr="381C34B7" w:rsidR="643E6107">
        <w:rPr>
          <w:rFonts w:ascii="Times New Roman" w:hAnsi="Times New Roman" w:eastAsia="Times New Roman" w:cs="Times New Roman"/>
          <w:noProof w:val="0"/>
          <w:sz w:val="24"/>
          <w:szCs w:val="24"/>
          <w:lang w:val="en-US"/>
        </w:rPr>
        <w:t>: a finite set of rule types (in this implementation, ten) covers the full semantic space of regulatory validation requirements through parameterisation, avoiding the maintenance burden of bespoke per-field validation code.</w:t>
      </w:r>
    </w:p>
    <w:p xmlns:wp14="http://schemas.microsoft.com/office/word/2010/wordml" w:rsidP="381C34B7" wp14:paraId="0F233112" wp14:textId="147E2B4F">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381C34B7" w:rsidR="643E6107">
        <w:rPr>
          <w:rFonts w:ascii="Times New Roman" w:hAnsi="Times New Roman" w:eastAsia="Times New Roman" w:cs="Times New Roman"/>
          <w:b w:val="1"/>
          <w:bCs w:val="1"/>
          <w:noProof w:val="0"/>
          <w:sz w:val="24"/>
          <w:szCs w:val="24"/>
          <w:lang w:val="en-US"/>
        </w:rPr>
        <w:t>Severity-classified pre-flight gating</w:t>
      </w:r>
      <w:r w:rsidRPr="381C34B7" w:rsidR="643E6107">
        <w:rPr>
          <w:rFonts w:ascii="Times New Roman" w:hAnsi="Times New Roman" w:eastAsia="Times New Roman" w:cs="Times New Roman"/>
          <w:noProof w:val="0"/>
          <w:sz w:val="24"/>
          <w:szCs w:val="24"/>
          <w:lang w:val="en-US"/>
        </w:rPr>
        <w:t>: export is blocked at the ERROR severity threshold, making compliance enforcement structural rather than advisory — the system cannot produce a non-compliant output even if the user attempts to do so.</w:t>
      </w:r>
    </w:p>
    <w:p xmlns:wp14="http://schemas.microsoft.com/office/word/2010/wordml" w:rsidP="381C34B7" wp14:paraId="5026D64C" wp14:textId="7762BE0B">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This pattern operationalises the declarative compliance modelling recommended by Governatori et al. (2016) and Sadiq et al. (2007) in a concrete, verifiable, standard-technology implementation. Critically, the pattern is not DORA-specific — it is directly applicable to any regulatory reporting regime that publishes a machine-readable validation rule specification. This includes EBA COREP/FINREP reporting, Solvency II QRT submissions, EMIR trade reporting, and future revisions to the DORA ITS itself. The pattern therefore has a contribution horizon that extends beyond the immediate DORA context (Arner et al., 2017; Palmirani et al., 2018).</w:t>
      </w:r>
    </w:p>
    <w:p xmlns:wp14="http://schemas.microsoft.com/office/word/2010/wordml" w:rsidP="381C34B7" wp14:paraId="7EF0FC44" wp14:textId="168D8E7E">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7.2.3 Contribution 3 — An Evidence-Based Failure-to-Solution Mapping</w:t>
      </w:r>
    </w:p>
    <w:p xmlns:wp14="http://schemas.microsoft.com/office/word/2010/wordml" w:rsidP="381C34B7" wp14:paraId="3017FDB9" wp14:textId="75DE9C03">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third contribution is a documented, evidence-grounded mapping from empirically observed regulatory submission failure categories to specific technical solution mechanisms. For each of the five ESA Dry Run failure categories — mandatory information missing, invalid format, invalid DPM value, referential integrity failure, consistency check failure — this research documents the specific mechanism (rule type, UX constraint, export gate) that prevents or detects that failure, demonstrates the mechanism against controlled test data, and links it to the underlying EBA validation rule and DORA article that motivated the requirement.</w:t>
      </w:r>
    </w:p>
    <w:p xmlns:wp14="http://schemas.microsoft.com/office/word/2010/wordml" w:rsidP="381C34B7" wp14:paraId="7BA2DC43" wp14:textId="1736F12F">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This mapping constitutes a design theory contribution in the DSR sense of Gregor and Jones (2007): it is a prescriptive statement of the form "in a DORA RoI compliance context, to address failure category X, implement mechanism Y through design decision Z." It provides actionable design knowledge for future developers, researchers, and regulatory technology practitioners working on DORA compliance tooling — knowledge that would not exist without the combination of the ESA's empirical Dry Run data and the artefact construction process undertaken in this research (Hevner et al., 2004; Peffers et al., 2007).</w:t>
      </w:r>
    </w:p>
    <w:p xmlns:wp14="http://schemas.microsoft.com/office/word/2010/wordml" w:rsidP="381C34B7" wp14:paraId="238D7782" wp14:textId="03CF1D2F">
      <w:pPr>
        <w:spacing w:before="0" w:beforeAutospacing="off" w:after="0" w:afterAutospacing="off"/>
      </w:pPr>
    </w:p>
    <w:p xmlns:wp14="http://schemas.microsoft.com/office/word/2010/wordml" w:rsidP="381C34B7" wp14:paraId="142C8FCB" wp14:textId="19CF51BA">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7.3 Reflection on the Research Methodology</w:t>
      </w:r>
    </w:p>
    <w:p xmlns:wp14="http://schemas.microsoft.com/office/word/2010/wordml" w:rsidP="381C34B7" wp14:paraId="0B42FBE5" wp14:textId="52F88245">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7.3.1 DSR as a Framework for RegTech Research</w:t>
      </w:r>
    </w:p>
    <w:p xmlns:wp14="http://schemas.microsoft.com/office/word/2010/wordml" w:rsidP="381C34B7" wp14:paraId="607AD476" wp14:textId="46617D2A">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Design Science Research methodology proved well-suited to this research domain. DORA is a regulation with a precise, published technical specification — the EBA ITS and draft validation rules — that can be operationalised directly as design requirements. This characteristic makes DORA compliance an ideal DSR problem instance: the requirements are not subjectively defined but are externally mandated, making the gap between the problem statement and the design requirements unusually tight and the evaluation criteria unusually objective (Hevner et al., 2004; Peffers et al., 2007).</w:t>
      </w:r>
    </w:p>
    <w:p xmlns:wp14="http://schemas.microsoft.com/office/word/2010/wordml" w:rsidP="381C34B7" wp14:paraId="604E4CBC" wp14:textId="7EA7E749">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The iterative DORA SaaS development process — thirteen sessions across five phases from March to April 2026 — demonstrated a genuine search process in the DSR sense: each implementation phase produced new knowledge about the problem domain (for example, the realisation during Phase 3 that the </w:t>
      </w:r>
      <w:r w:rsidRPr="381C34B7" w:rsidR="643E6107">
        <w:rPr>
          <w:rFonts w:ascii="Consolas" w:hAnsi="Consolas" w:eastAsia="Consolas" w:cs="Consolas"/>
          <w:noProof w:val="0"/>
          <w:sz w:val="24"/>
          <w:szCs w:val="24"/>
          <w:lang w:val="en-US"/>
        </w:rPr>
        <w:t>ContractualArrangementsModule</w:t>
      </w:r>
      <w:r w:rsidRPr="381C34B7" w:rsidR="643E6107">
        <w:rPr>
          <w:rFonts w:ascii="Times New Roman" w:hAnsi="Times New Roman" w:eastAsia="Times New Roman" w:cs="Times New Roman"/>
          <w:noProof w:val="0"/>
          <w:sz w:val="24"/>
          <w:szCs w:val="24"/>
          <w:lang w:val="en-US"/>
        </w:rPr>
        <w:t xml:space="preserve"> needed to serve as the relational hub for all cross-template linkages, rather than being a flat CRUD module) that fed back into the design. The artefact at completion is meaningfully different from the artefact as originally conceived — a sign that genuine design learning occurred, not merely execution of a pre-specified plan (Hevner et al., 2004).</w:t>
      </w:r>
    </w:p>
    <w:p xmlns:wp14="http://schemas.microsoft.com/office/word/2010/wordml" w:rsidP="381C34B7" wp14:paraId="5497116A" wp14:textId="7BBA4DD8">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7.3.2 What DSR Did Not Provide</w:t>
      </w:r>
    </w:p>
    <w:p xmlns:wp14="http://schemas.microsoft.com/office/word/2010/wordml" w:rsidP="381C34B7" wp14:paraId="5AF5C53C" wp14:textId="69A4837F">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DSR does not provide, and does not claim to provide, the external validity mechanisms of empirical research. The absence of a formal user study, a randomised comparative evaluation, or a live regulatory submission means that the claims about proportionality, usability, and real-world submission efficacy are grounded in reasoned argument and literature, not in measured outcomes. This is appropriate for a DSR artefact at demonstration maturity — Venable et al. (2016) are explicit that summative artificial evaluation is sufficient for this maturity level — but it defines the boundary of what the research claims. Future evaluation phases that progress the artefact to operational maturity would need to employ naturalistic evaluation methods: structured observation of real compliance users, live submission testing in a CBI sandbox, and longitudinal data on the platform's impact on submission pass rates (Venable et al., 2016; Davis, 1989).</w:t>
      </w:r>
    </w:p>
    <w:p xmlns:wp14="http://schemas.microsoft.com/office/word/2010/wordml" w:rsidP="381C34B7" wp14:paraId="473A0CF2" wp14:textId="4FFDD6EC">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7.3.3 The Single-Investigator Constraint</w:t>
      </w:r>
    </w:p>
    <w:p xmlns:wp14="http://schemas.microsoft.com/office/word/2010/wordml" w:rsidP="381C34B7" wp14:paraId="603E9E35" wp14:textId="0A48AF14">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The research was conducted by a single investigator combining the roles of researcher, architect, and developer. This constraint shaped the scope decisions documented throughout the dissertation: the choice of a modular monolith over microservices, </w:t>
      </w:r>
      <w:r w:rsidRPr="381C34B7" w:rsidR="643E6107">
        <w:rPr>
          <w:rFonts w:ascii="Consolas" w:hAnsi="Consolas" w:eastAsia="Consolas" w:cs="Consolas"/>
          <w:noProof w:val="0"/>
          <w:sz w:val="24"/>
          <w:szCs w:val="24"/>
          <w:lang w:val="en-US"/>
        </w:rPr>
        <w:t>prisma db push</w:t>
      </w:r>
      <w:r w:rsidRPr="381C34B7" w:rsidR="643E6107">
        <w:rPr>
          <w:rFonts w:ascii="Times New Roman" w:hAnsi="Times New Roman" w:eastAsia="Times New Roman" w:cs="Times New Roman"/>
          <w:noProof w:val="0"/>
          <w:sz w:val="24"/>
          <w:szCs w:val="24"/>
          <w:lang w:val="en-US"/>
        </w:rPr>
        <w:t xml:space="preserve"> over versioned migrations, deliberate seed-based testing over a full automated test suite, and representative Tier 3 rule coverage over complete EBA rule seeding. In each case, the constraint was acknowledged explicitly rather than hidden, and the scope decision was documented as a named technical debt item with a known remediation path. This transparency is itself a methodological contribution: it models the honest scope-setting that DSR in resource-constrained academic research contexts requires (Hevner et al., 2004; Bass et al., 2021).</w:t>
      </w:r>
    </w:p>
    <w:p xmlns:wp14="http://schemas.microsoft.com/office/word/2010/wordml" w:rsidP="381C34B7" wp14:paraId="3616E382" wp14:textId="1D2C86DE">
      <w:pPr>
        <w:spacing w:before="0" w:beforeAutospacing="off" w:after="0" w:afterAutospacing="off"/>
      </w:pPr>
    </w:p>
    <w:p xmlns:wp14="http://schemas.microsoft.com/office/word/2010/wordml" w:rsidP="381C34B7" wp14:paraId="69609856" wp14:textId="61BC0E15">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7.4 Limitations in the Context of the Contribution</w:t>
      </w:r>
    </w:p>
    <w:p xmlns:wp14="http://schemas.microsoft.com/office/word/2010/wordml" w:rsidP="381C34B7" wp14:paraId="055B8983" wp14:textId="243FC321">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research has five limitations that are scoped and understood rather than hidden.</w:t>
      </w:r>
    </w:p>
    <w:p xmlns:wp14="http://schemas.microsoft.com/office/word/2010/wordml" w:rsidP="381C34B7" wp14:paraId="2AEE53E8" wp14:textId="0D6103D7">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Demonstration maturity only.</w:t>
      </w:r>
      <w:r w:rsidRPr="381C34B7" w:rsidR="643E6107">
        <w:rPr>
          <w:rFonts w:ascii="Times New Roman" w:hAnsi="Times New Roman" w:eastAsia="Times New Roman" w:cs="Times New Roman"/>
          <w:noProof w:val="0"/>
          <w:sz w:val="24"/>
          <w:szCs w:val="24"/>
          <w:lang w:val="en-US"/>
        </w:rPr>
        <w:t xml:space="preserve"> The artefact has been evaluated at demonstration maturity — it functions correctly against controlled test data and a synthetic tenant dataset. It has not been evaluated at operational maturity through live deployment with real financial entities. The contribution claims are scoped to what demonstration-maturity evaluation supports: that the design approach is feasible, that the mechanisms work as intended, and that the system satisfies its design requirements (Hevner et al., 2004; Venable et al., 2016).</w:t>
      </w:r>
    </w:p>
    <w:p xmlns:wp14="http://schemas.microsoft.com/office/word/2010/wordml" w:rsidP="381C34B7" wp14:paraId="1D40622E" wp14:textId="0CA59A1F">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73% EBA rule coverage.</w:t>
      </w:r>
      <w:r w:rsidRPr="381C34B7" w:rsidR="643E6107">
        <w:rPr>
          <w:rFonts w:ascii="Times New Roman" w:hAnsi="Times New Roman" w:eastAsia="Times New Roman" w:cs="Times New Roman"/>
          <w:noProof w:val="0"/>
          <w:sz w:val="24"/>
          <w:szCs w:val="24"/>
          <w:lang w:val="en-US"/>
        </w:rPr>
        <w:t xml:space="preserve"> The 220 seeded rules address the highest-frequency failure categories but leave approximately 80 EBA draft rules unseeded, primarily advanced inter-template cross-checks. A production deployment would require full rule seeding and a formal alignment verification against the EBA's complete published validation rule specification (European Banking Authority, 2024a).</w:t>
      </w:r>
    </w:p>
    <w:p xmlns:wp14="http://schemas.microsoft.com/office/word/2010/wordml" w:rsidP="381C34B7" wp14:paraId="7E8E2C5E" wp14:textId="49214A1C">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No formal user study.</w:t>
      </w:r>
      <w:r w:rsidRPr="381C34B7" w:rsidR="643E6107">
        <w:rPr>
          <w:rFonts w:ascii="Times New Roman" w:hAnsi="Times New Roman" w:eastAsia="Times New Roman" w:cs="Times New Roman"/>
          <w:noProof w:val="0"/>
          <w:sz w:val="24"/>
          <w:szCs w:val="24"/>
          <w:lang w:val="en-US"/>
        </w:rPr>
        <w:t xml:space="preserve"> The proportionality and usability claims are grounded in design reasoning and literature rather than measured user outcomes. A TAM-based study (Davis, 1989) with real SME compliance officers would be required to make externally valid usability claims.</w:t>
      </w:r>
    </w:p>
    <w:p xmlns:wp14="http://schemas.microsoft.com/office/word/2010/wordml" w:rsidP="381C34B7" wp14:paraId="3777D584" wp14:textId="67AA140A">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No live CBI submission test.</w:t>
      </w:r>
      <w:r w:rsidRPr="381C34B7" w:rsidR="643E6107">
        <w:rPr>
          <w:rFonts w:ascii="Times New Roman" w:hAnsi="Times New Roman" w:eastAsia="Times New Roman" w:cs="Times New Roman"/>
          <w:noProof w:val="0"/>
          <w:sz w:val="24"/>
          <w:szCs w:val="24"/>
          <w:lang w:val="en-US"/>
        </w:rPr>
        <w:t xml:space="preserve"> The six XBRL OIM-CSV conformance risks identified in Chapter 5 and confirmed in Chapter 6 mean that the export has not been validated end-to-end against a regulatory portal. Formal conformance testing is required before any production use (European Banking Authority, 2024b).</w:t>
      </w:r>
    </w:p>
    <w:p xmlns:wp14="http://schemas.microsoft.com/office/word/2010/wordml" w:rsidP="381C34B7" wp14:paraId="070EF2A8" wp14:textId="255869E4">
      <w:pPr>
        <w:spacing w:before="240" w:beforeAutospacing="off" w:after="240" w:afterAutospacing="off"/>
      </w:pPr>
      <w:r w:rsidRPr="381C34B7" w:rsidR="643E6107">
        <w:rPr>
          <w:rFonts w:ascii="Times New Roman" w:hAnsi="Times New Roman" w:eastAsia="Times New Roman" w:cs="Times New Roman"/>
          <w:b w:val="1"/>
          <w:bCs w:val="1"/>
          <w:noProof w:val="0"/>
          <w:sz w:val="24"/>
          <w:szCs w:val="24"/>
          <w:lang w:val="en-US"/>
        </w:rPr>
        <w:t>Single regulatory context.</w:t>
      </w:r>
      <w:r w:rsidRPr="381C34B7" w:rsidR="643E6107">
        <w:rPr>
          <w:rFonts w:ascii="Times New Roman" w:hAnsi="Times New Roman" w:eastAsia="Times New Roman" w:cs="Times New Roman"/>
          <w:noProof w:val="0"/>
          <w:sz w:val="24"/>
          <w:szCs w:val="24"/>
          <w:lang w:val="en-US"/>
        </w:rPr>
        <w:t xml:space="preserve"> The research addresses the Irish CBI submission context specifically. While the EBA ITS is an EU-wide standard, different competent authorities may implement submission portals with different technical requirements, and the system's XBRL configuration would need to be validated against each national competent authority's specific portal.</w:t>
      </w:r>
    </w:p>
    <w:p xmlns:wp14="http://schemas.microsoft.com/office/word/2010/wordml" w:rsidP="381C34B7" wp14:paraId="1886A428" wp14:textId="209CFC47">
      <w:pPr>
        <w:spacing w:before="0" w:beforeAutospacing="off" w:after="0" w:afterAutospacing="off"/>
      </w:pPr>
    </w:p>
    <w:p xmlns:wp14="http://schemas.microsoft.com/office/word/2010/wordml" w:rsidP="381C34B7" wp14:paraId="157441CD" wp14:textId="4AE33B2A">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7.5 Future Research Agenda</w:t>
      </w:r>
    </w:p>
    <w:p xmlns:wp14="http://schemas.microsoft.com/office/word/2010/wordml" w:rsidP="381C34B7" wp14:paraId="4B124E3A" wp14:textId="2E12A198">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7.5.1 Priority 1 — Formal User Study and Operational Evaluation</w:t>
      </w:r>
    </w:p>
    <w:p xmlns:wp14="http://schemas.microsoft.com/office/word/2010/wordml" w:rsidP="381C34B7" wp14:paraId="7402BA55" wp14:textId="08381B5D">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highest-priority next research step is a structured evaluation of the platform with real SME compliance professionals in the Irish financial sector. The recommended protocol is a Technology Acceptance Model study (Davis, 1989) combined with structured observation of three to five compliance teams performing a complete RoI preparation and validation cycle using the platform. The key evaluation metrics are: perceived usefulness (does the platform reduce the time and effort required to prepare a compliant RoI?), perceived ease of use (can non-specialist compliance officers operate the system without technical training?), and actual error detection rate (does the pre-flight gate catch all errors that a CBI sandbox portal would reject?). This evaluation would move the artefact from demonstration maturity to operational maturity and provide the external validity evidence needed for peer publication (Venable et al., 2016; Davis, 1989).</w:t>
      </w:r>
    </w:p>
    <w:p xmlns:wp14="http://schemas.microsoft.com/office/word/2010/wordml" w:rsidP="381C34B7" wp14:paraId="65699C0F" wp14:textId="1B9D7454">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7.5.2 Priority 2 — Live CBI Sandbox Submission Test</w:t>
      </w:r>
    </w:p>
    <w:p xmlns:wp14="http://schemas.microsoft.com/office/word/2010/wordml" w:rsidP="381C34B7" wp14:paraId="2198E7D1" wp14:textId="40447B69">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The second priority is end-to-end conformance testing of the XBRL OIM-CSV export against the EBA's published DORA-specific XBRL taxonomy validator and, where accessible, against a CBI sandbox submission environment. This requires resolving the six conformance risks identified in Chapter 5: updating the </w:t>
      </w:r>
      <w:r w:rsidRPr="381C34B7" w:rsidR="643E6107">
        <w:rPr>
          <w:rFonts w:ascii="Consolas" w:hAnsi="Consolas" w:eastAsia="Consolas" w:cs="Consolas"/>
          <w:noProof w:val="0"/>
          <w:sz w:val="24"/>
          <w:szCs w:val="24"/>
          <w:lang w:val="en-US"/>
        </w:rPr>
        <w:t>schemaRef</w:t>
      </w:r>
      <w:r w:rsidRPr="381C34B7" w:rsidR="643E6107">
        <w:rPr>
          <w:rFonts w:ascii="Times New Roman" w:hAnsi="Times New Roman" w:eastAsia="Times New Roman" w:cs="Times New Roman"/>
          <w:noProof w:val="0"/>
          <w:sz w:val="24"/>
          <w:szCs w:val="24"/>
          <w:lang w:val="en-US"/>
        </w:rPr>
        <w:t xml:space="preserve"> URI to the DORA-specific taxonomy; setting </w:t>
      </w:r>
      <w:r w:rsidRPr="381C34B7" w:rsidR="643E6107">
        <w:rPr>
          <w:rFonts w:ascii="Consolas" w:hAnsi="Consolas" w:eastAsia="Consolas" w:cs="Consolas"/>
          <w:noProof w:val="0"/>
          <w:sz w:val="24"/>
          <w:szCs w:val="24"/>
          <w:lang w:val="en-US"/>
        </w:rPr>
        <w:t>reportingPeriod</w:t>
      </w:r>
      <w:r w:rsidRPr="381C34B7" w:rsidR="643E6107">
        <w:rPr>
          <w:rFonts w:ascii="Times New Roman" w:hAnsi="Times New Roman" w:eastAsia="Times New Roman" w:cs="Times New Roman"/>
          <w:noProof w:val="0"/>
          <w:sz w:val="24"/>
          <w:szCs w:val="24"/>
          <w:lang w:val="en-US"/>
        </w:rPr>
        <w:t xml:space="preserve"> to the register reference date; enforcing DPM type-specific formatting for numeric and boolean fields; aligning null field handling with the EBA's nil convention; verifying column completeness against the full DPM column set; and stripping CHAR(20) LEI padding. Resolving these risks would make the export submission-ready in a real regulatory context — the most consequential single enhancement to the platform's practical value (European Banking Authority, 2024b; European Supervisory Authorities, 2024).</w:t>
      </w:r>
    </w:p>
    <w:p xmlns:wp14="http://schemas.microsoft.com/office/word/2010/wordml" w:rsidP="381C34B7" wp14:paraId="43BED012" wp14:textId="4EFE637B">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7.5.3 Priority 3 — Complete EBA Rule Coverage and Automated Test Suite</w:t>
      </w:r>
    </w:p>
    <w:p xmlns:wp14="http://schemas.microsoft.com/office/word/2010/wordml" w:rsidP="381C34B7" wp14:paraId="43AF218F" wp14:textId="1D7C5EF6">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third priority is twofold: completing the seeding of the remaining approximately 80 EBA draft validation rules (primarily the advanced inter-template cross-checks and the full RT.09 concentration risk rules), and implementing a Jest unit test suite covering all ten rule type executors, a Supertest integration test suite covering all API endpoints, and a Playwright end-to-end test suite covering the complete EDITOR → ANALYST → export workflow. Together, these would bring the platform to production-grade test coverage and full regulatory rule coverage — the two technical maturity boundaries that most significantly constrain the platform's deployment readiness (European Banking Authority, 2024a; Bass et al., 2021).</w:t>
      </w:r>
    </w:p>
    <w:p xmlns:wp14="http://schemas.microsoft.com/office/word/2010/wordml" w:rsidP="381C34B7" wp14:paraId="70F477B2" wp14:textId="2D27891B">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7.5.4 Priority 4 — Production Hardening and Cloud Deployment</w:t>
      </w:r>
    </w:p>
    <w:p xmlns:wp14="http://schemas.microsoft.com/office/word/2010/wordml" w:rsidP="381C34B7" wp14:paraId="7A03C203" wp14:textId="58D23478">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The fourth priority is a production hardening programme addressing the seven items identified in Chapter 5 (Section 5.8.3) and confirmed in Chapter 6: implementing TOTP-based multi-factor authentication; enabling encryption at rest for sensitive fields; migrating schema management from </w:t>
      </w:r>
      <w:r w:rsidRPr="381C34B7" w:rsidR="643E6107">
        <w:rPr>
          <w:rFonts w:ascii="Consolas" w:hAnsi="Consolas" w:eastAsia="Consolas" w:cs="Consolas"/>
          <w:noProof w:val="0"/>
          <w:sz w:val="24"/>
          <w:szCs w:val="24"/>
          <w:lang w:val="en-US"/>
        </w:rPr>
        <w:t>prisma db push</w:t>
      </w:r>
      <w:r w:rsidRPr="381C34B7" w:rsidR="643E6107">
        <w:rPr>
          <w:rFonts w:ascii="Times New Roman" w:hAnsi="Times New Roman" w:eastAsia="Times New Roman" w:cs="Times New Roman"/>
          <w:noProof w:val="0"/>
          <w:sz w:val="24"/>
          <w:szCs w:val="24"/>
          <w:lang w:val="en-US"/>
        </w:rPr>
        <w:t xml:space="preserve"> to </w:t>
      </w:r>
      <w:r w:rsidRPr="381C34B7" w:rsidR="643E6107">
        <w:rPr>
          <w:rFonts w:ascii="Consolas" w:hAnsi="Consolas" w:eastAsia="Consolas" w:cs="Consolas"/>
          <w:noProof w:val="0"/>
          <w:sz w:val="24"/>
          <w:szCs w:val="24"/>
          <w:lang w:val="en-US"/>
        </w:rPr>
        <w:t>prisma migrate deploy</w:t>
      </w:r>
      <w:r w:rsidRPr="381C34B7" w:rsidR="643E6107">
        <w:rPr>
          <w:rFonts w:ascii="Times New Roman" w:hAnsi="Times New Roman" w:eastAsia="Times New Roman" w:cs="Times New Roman"/>
          <w:noProof w:val="0"/>
          <w:sz w:val="24"/>
          <w:szCs w:val="24"/>
          <w:lang w:val="en-US"/>
        </w:rPr>
        <w:t xml:space="preserve"> with a versioned CI/CD pipeline; implementing TLS termination at the nginx reverse proxy layer; parameterising all hardcoded environment defaults (JWT secret, CORS origin, SMTP credentials); adding structured logging (Pino or Winston) with a log transport to a managed observability platform; and deploying to a cloud environment with a managed PostgreSQL instance, daily automated backups, and a health check endpoint for container orchestrator probing (NIST, 2018; Anderson, 2020; Newman, 2019).</w:t>
      </w:r>
    </w:p>
    <w:p xmlns:wp14="http://schemas.microsoft.com/office/word/2010/wordml" w:rsidP="381C34B7" wp14:paraId="57B66D7A" wp14:textId="00492906">
      <w:pPr>
        <w:pStyle w:val="Heading2"/>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7.5.5 Priority 5 — Extension to Other Regulatory Reporting Regimes</w:t>
      </w:r>
    </w:p>
    <w:p xmlns:wp14="http://schemas.microsoft.com/office/word/2010/wordml" w:rsidP="381C34B7" wp14:paraId="104BB6AF" wp14:textId="0B3C2DDD">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fifth and most strategically significant future research direction is to evaluate the generalisability of the rule-based compliance design pattern by extending it to a second regulatory reporting regime that publishes a machine-readable validation rule specification. The strongest candidate is EBA COREP/FINREP — the capital requirements and financial reporting framework that uses the same XBRL DPM taxonomy infrastructure as DORA's RoI — because it would test whether the pattern's XBRL OIM-CSV export pipeline can be adapted with minimal architectural change to a different regulatory schema. A secondary candidate is Solvency II QRT reporting for insurance entities, which would test the pattern's applicability outside the EBA regulatory perimeter. Successfully demonstrating the pattern in a second regulatory context would elevate the contribution from a domain-specific artefact to a generalisable RegTech architecture pattern — the highest-value academic and practical outcome of extending this research (Arner et al., 2017; Governatori et al., 2016; Palmirani et al., 2018).</w:t>
      </w:r>
    </w:p>
    <w:p xmlns:wp14="http://schemas.microsoft.com/office/word/2010/wordml" w:rsidP="381C34B7" wp14:paraId="6921BE13" wp14:textId="10DD817D">
      <w:pPr>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 TABLE 7.1 — Future research agenda: five priorities, research type, method, expected outcome, and timeline estimate. </w:t>
      </w:r>
      <w:r w:rsidRPr="381C34B7" w:rsidR="643E6107">
        <w:rPr>
          <w:rFonts w:ascii="Times New Roman" w:hAnsi="Times New Roman" w:eastAsia="Times New Roman" w:cs="Times New Roman"/>
          <w:i w:val="1"/>
          <w:iCs w:val="1"/>
          <w:noProof w:val="0"/>
          <w:sz w:val="24"/>
          <w:szCs w:val="24"/>
          <w:lang w:val="en-US"/>
        </w:rPr>
        <w:t>To be inserted here.</w:t>
      </w:r>
    </w:p>
    <w:tbl>
      <w:tblPr>
        <w:tblStyle w:val="TableGrid"/>
        <w:bidiVisual w:val="0"/>
        <w:tblW w:w="0" w:type="auto"/>
        <w:tblLook w:val="06A0" w:firstRow="1" w:lastRow="0" w:firstColumn="1" w:lastColumn="0" w:noHBand="1" w:noVBand="1"/>
      </w:tblPr>
      <w:tblGrid>
        <w:gridCol w:w="345"/>
        <w:gridCol w:w="1950"/>
        <w:gridCol w:w="1346"/>
        <w:gridCol w:w="2655"/>
        <w:gridCol w:w="2490"/>
        <w:gridCol w:w="705"/>
      </w:tblGrid>
      <w:tr w:rsidR="381C34B7" w:rsidTr="381C34B7" w14:paraId="3E1201F1">
        <w:trPr>
          <w:trHeight w:val="300"/>
        </w:trPr>
        <w:tc>
          <w:tcPr>
            <w:tcW w:w="345" w:type="dxa"/>
            <w:tcMar/>
          </w:tcPr>
          <w:p w:rsidR="381C34B7" w:rsidP="381C34B7" w:rsidRDefault="381C34B7" w14:paraId="7C31E99C" w14:textId="448779A1">
            <w:pPr>
              <w:spacing w:before="0" w:beforeAutospacing="off" w:after="0" w:afterAutospacing="off"/>
              <w:jc w:val="center"/>
              <w:rPr>
                <w:b w:val="1"/>
                <w:bCs w:val="1"/>
              </w:rPr>
            </w:pPr>
          </w:p>
        </w:tc>
        <w:tc>
          <w:tcPr>
            <w:tcW w:w="1950" w:type="dxa"/>
            <w:tcMar/>
          </w:tcPr>
          <w:p w:rsidR="381C34B7" w:rsidP="381C34B7" w:rsidRDefault="381C34B7" w14:paraId="6325CAF4" w14:textId="72618721">
            <w:pPr>
              <w:spacing w:before="0" w:beforeAutospacing="off" w:after="0" w:afterAutospacing="off"/>
              <w:jc w:val="center"/>
            </w:pPr>
            <w:r w:rsidRPr="381C34B7" w:rsidR="381C34B7">
              <w:rPr>
                <w:b w:val="1"/>
                <w:bCs w:val="1"/>
              </w:rPr>
              <w:t>Research Item</w:t>
            </w:r>
          </w:p>
        </w:tc>
        <w:tc>
          <w:tcPr>
            <w:tcW w:w="1346" w:type="dxa"/>
            <w:tcMar/>
          </w:tcPr>
          <w:p w:rsidR="381C34B7" w:rsidP="381C34B7" w:rsidRDefault="381C34B7" w14:paraId="26CE97DB" w14:textId="44A9FD5C">
            <w:pPr>
              <w:spacing w:before="0" w:beforeAutospacing="off" w:after="0" w:afterAutospacing="off"/>
              <w:jc w:val="center"/>
            </w:pPr>
            <w:r w:rsidRPr="381C34B7" w:rsidR="381C34B7">
              <w:rPr>
                <w:b w:val="1"/>
                <w:bCs w:val="1"/>
              </w:rPr>
              <w:t>Type</w:t>
            </w:r>
          </w:p>
        </w:tc>
        <w:tc>
          <w:tcPr>
            <w:tcW w:w="2655" w:type="dxa"/>
            <w:tcMar/>
          </w:tcPr>
          <w:p w:rsidR="381C34B7" w:rsidP="381C34B7" w:rsidRDefault="381C34B7" w14:paraId="72282869" w14:textId="2496E0BC">
            <w:pPr>
              <w:spacing w:before="0" w:beforeAutospacing="off" w:after="0" w:afterAutospacing="off"/>
              <w:jc w:val="center"/>
            </w:pPr>
            <w:r w:rsidRPr="381C34B7" w:rsidR="381C34B7">
              <w:rPr>
                <w:b w:val="1"/>
                <w:bCs w:val="1"/>
              </w:rPr>
              <w:t>Method</w:t>
            </w:r>
          </w:p>
        </w:tc>
        <w:tc>
          <w:tcPr>
            <w:tcW w:w="2490" w:type="dxa"/>
            <w:tcMar/>
          </w:tcPr>
          <w:p w:rsidR="381C34B7" w:rsidP="381C34B7" w:rsidRDefault="381C34B7" w14:paraId="3F1BE065" w14:textId="4A24A854">
            <w:pPr>
              <w:spacing w:before="0" w:beforeAutospacing="off" w:after="0" w:afterAutospacing="off"/>
              <w:jc w:val="center"/>
            </w:pPr>
            <w:r w:rsidRPr="381C34B7" w:rsidR="381C34B7">
              <w:rPr>
                <w:b w:val="1"/>
                <w:bCs w:val="1"/>
              </w:rPr>
              <w:t>Expected Outcome</w:t>
            </w:r>
          </w:p>
        </w:tc>
        <w:tc>
          <w:tcPr>
            <w:tcW w:w="705" w:type="dxa"/>
            <w:tcMar/>
          </w:tcPr>
          <w:p w:rsidR="381C34B7" w:rsidP="381C34B7" w:rsidRDefault="381C34B7" w14:paraId="0BC4E621" w14:textId="2EE0FD11">
            <w:pPr>
              <w:spacing w:before="0" w:beforeAutospacing="off" w:after="0" w:afterAutospacing="off"/>
              <w:jc w:val="center"/>
            </w:pPr>
            <w:r w:rsidRPr="381C34B7" w:rsidR="381C34B7">
              <w:rPr>
                <w:b w:val="1"/>
                <w:bCs w:val="1"/>
              </w:rPr>
              <w:t>Timeline</w:t>
            </w:r>
          </w:p>
        </w:tc>
      </w:tr>
      <w:tr w:rsidR="381C34B7" w:rsidTr="381C34B7" w14:paraId="408168E1">
        <w:trPr>
          <w:trHeight w:val="300"/>
        </w:trPr>
        <w:tc>
          <w:tcPr>
            <w:tcW w:w="345" w:type="dxa"/>
            <w:tcMar/>
          </w:tcPr>
          <w:p w:rsidR="381C34B7" w:rsidP="381C34B7" w:rsidRDefault="381C34B7" w14:paraId="189C0CCB" w14:textId="7988AD3A">
            <w:pPr>
              <w:spacing w:before="0" w:beforeAutospacing="off" w:after="0" w:afterAutospacing="off"/>
            </w:pPr>
            <w:r w:rsidR="381C34B7">
              <w:rPr/>
              <w:t>1</w:t>
            </w:r>
          </w:p>
        </w:tc>
        <w:tc>
          <w:tcPr>
            <w:tcW w:w="1950" w:type="dxa"/>
            <w:tcMar/>
          </w:tcPr>
          <w:p w:rsidR="381C34B7" w:rsidP="381C34B7" w:rsidRDefault="381C34B7" w14:paraId="6B01C6A7" w14:textId="706944AB">
            <w:pPr>
              <w:spacing w:before="0" w:beforeAutospacing="off" w:after="0" w:afterAutospacing="off"/>
            </w:pPr>
            <w:r w:rsidR="381C34B7">
              <w:rPr/>
              <w:t>Formal user study</w:t>
            </w:r>
          </w:p>
        </w:tc>
        <w:tc>
          <w:tcPr>
            <w:tcW w:w="1346" w:type="dxa"/>
            <w:tcMar/>
          </w:tcPr>
          <w:p w:rsidR="381C34B7" w:rsidP="381C34B7" w:rsidRDefault="381C34B7" w14:paraId="6745296F" w14:textId="4EBBFB73">
            <w:pPr>
              <w:spacing w:before="0" w:beforeAutospacing="off" w:after="0" w:afterAutospacing="off"/>
            </w:pPr>
            <w:r w:rsidR="381C34B7">
              <w:rPr/>
              <w:t>Evaluation</w:t>
            </w:r>
          </w:p>
        </w:tc>
        <w:tc>
          <w:tcPr>
            <w:tcW w:w="2655" w:type="dxa"/>
            <w:tcMar/>
          </w:tcPr>
          <w:p w:rsidR="381C34B7" w:rsidP="381C34B7" w:rsidRDefault="381C34B7" w14:paraId="174A1E3D" w14:textId="16568E85">
            <w:pPr>
              <w:spacing w:before="0" w:beforeAutospacing="off" w:after="0" w:afterAutospacing="off"/>
            </w:pPr>
            <w:r w:rsidR="381C34B7">
              <w:rPr/>
              <w:t>TAM survey + structured observation</w:t>
            </w:r>
          </w:p>
        </w:tc>
        <w:tc>
          <w:tcPr>
            <w:tcW w:w="2490" w:type="dxa"/>
            <w:tcMar/>
          </w:tcPr>
          <w:p w:rsidR="381C34B7" w:rsidP="381C34B7" w:rsidRDefault="381C34B7" w14:paraId="62E5DDD2" w14:textId="5605D793">
            <w:pPr>
              <w:spacing w:before="0" w:beforeAutospacing="off" w:after="0" w:afterAutospacing="off"/>
            </w:pPr>
            <w:r w:rsidR="381C34B7">
              <w:rPr/>
              <w:t>External validity of usability and proportionality claims</w:t>
            </w:r>
          </w:p>
        </w:tc>
        <w:tc>
          <w:tcPr>
            <w:tcW w:w="705" w:type="dxa"/>
            <w:tcMar/>
          </w:tcPr>
          <w:p w:rsidR="381C34B7" w:rsidP="381C34B7" w:rsidRDefault="381C34B7" w14:paraId="29249446" w14:textId="3E193945">
            <w:pPr>
              <w:spacing w:before="0" w:beforeAutospacing="off" w:after="0" w:afterAutospacing="off"/>
            </w:pPr>
            <w:r w:rsidR="381C34B7">
              <w:rPr/>
              <w:t>3–6 months</w:t>
            </w:r>
          </w:p>
        </w:tc>
      </w:tr>
      <w:tr w:rsidR="381C34B7" w:rsidTr="381C34B7" w14:paraId="77D46E11">
        <w:trPr>
          <w:trHeight w:val="300"/>
        </w:trPr>
        <w:tc>
          <w:tcPr>
            <w:tcW w:w="345" w:type="dxa"/>
            <w:tcMar/>
          </w:tcPr>
          <w:p w:rsidR="381C34B7" w:rsidP="381C34B7" w:rsidRDefault="381C34B7" w14:paraId="6F9358D9" w14:textId="4EE6DD90">
            <w:pPr>
              <w:spacing w:before="0" w:beforeAutospacing="off" w:after="0" w:afterAutospacing="off"/>
            </w:pPr>
            <w:r w:rsidR="381C34B7">
              <w:rPr/>
              <w:t>2</w:t>
            </w:r>
          </w:p>
        </w:tc>
        <w:tc>
          <w:tcPr>
            <w:tcW w:w="1950" w:type="dxa"/>
            <w:tcMar/>
          </w:tcPr>
          <w:p w:rsidR="381C34B7" w:rsidP="381C34B7" w:rsidRDefault="381C34B7" w14:paraId="09CC911B" w14:textId="3C74EAB1">
            <w:pPr>
              <w:spacing w:before="0" w:beforeAutospacing="off" w:after="0" w:afterAutospacing="off"/>
            </w:pPr>
            <w:r w:rsidR="381C34B7">
              <w:rPr/>
              <w:t>Live CBI sandbox submission</w:t>
            </w:r>
          </w:p>
        </w:tc>
        <w:tc>
          <w:tcPr>
            <w:tcW w:w="1346" w:type="dxa"/>
            <w:tcMar/>
          </w:tcPr>
          <w:p w:rsidR="381C34B7" w:rsidP="381C34B7" w:rsidRDefault="381C34B7" w14:paraId="6A00480A" w14:textId="26807F74">
            <w:pPr>
              <w:spacing w:before="0" w:beforeAutospacing="off" w:after="0" w:afterAutospacing="off"/>
            </w:pPr>
            <w:r w:rsidR="381C34B7">
              <w:rPr/>
              <w:t>Evaluation</w:t>
            </w:r>
          </w:p>
        </w:tc>
        <w:tc>
          <w:tcPr>
            <w:tcW w:w="2655" w:type="dxa"/>
            <w:tcMar/>
          </w:tcPr>
          <w:p w:rsidR="381C34B7" w:rsidP="381C34B7" w:rsidRDefault="381C34B7" w14:paraId="15F906AE" w14:textId="27D2E813">
            <w:pPr>
              <w:spacing w:before="0" w:beforeAutospacing="off" w:after="0" w:afterAutospacing="off"/>
            </w:pPr>
            <w:r w:rsidR="381C34B7">
              <w:rPr/>
              <w:t>XBRL conformance testing + portal submission</w:t>
            </w:r>
          </w:p>
        </w:tc>
        <w:tc>
          <w:tcPr>
            <w:tcW w:w="2490" w:type="dxa"/>
            <w:tcMar/>
          </w:tcPr>
          <w:p w:rsidR="381C34B7" w:rsidP="381C34B7" w:rsidRDefault="381C34B7" w14:paraId="51C9EEC9" w14:textId="7C0F28D5">
            <w:pPr>
              <w:spacing w:before="0" w:beforeAutospacing="off" w:after="0" w:afterAutospacing="off"/>
            </w:pPr>
            <w:r w:rsidR="381C34B7">
              <w:rPr/>
              <w:t>Submission-ready export; confirmed regulatory acceptance</w:t>
            </w:r>
          </w:p>
        </w:tc>
        <w:tc>
          <w:tcPr>
            <w:tcW w:w="705" w:type="dxa"/>
            <w:tcMar/>
          </w:tcPr>
          <w:p w:rsidR="381C34B7" w:rsidP="381C34B7" w:rsidRDefault="381C34B7" w14:paraId="5F5E9E3D" w14:textId="67D85E4C">
            <w:pPr>
              <w:spacing w:before="0" w:beforeAutospacing="off" w:after="0" w:afterAutospacing="off"/>
            </w:pPr>
            <w:r w:rsidR="381C34B7">
              <w:rPr/>
              <w:t>1–3 months</w:t>
            </w:r>
          </w:p>
        </w:tc>
      </w:tr>
      <w:tr w:rsidR="381C34B7" w:rsidTr="381C34B7" w14:paraId="0E0B6D72">
        <w:trPr>
          <w:trHeight w:val="300"/>
        </w:trPr>
        <w:tc>
          <w:tcPr>
            <w:tcW w:w="345" w:type="dxa"/>
            <w:tcMar/>
          </w:tcPr>
          <w:p w:rsidR="381C34B7" w:rsidP="381C34B7" w:rsidRDefault="381C34B7" w14:paraId="28A07282" w14:textId="650A3159">
            <w:pPr>
              <w:spacing w:before="0" w:beforeAutospacing="off" w:after="0" w:afterAutospacing="off"/>
            </w:pPr>
            <w:r w:rsidR="381C34B7">
              <w:rPr/>
              <w:t>3</w:t>
            </w:r>
          </w:p>
        </w:tc>
        <w:tc>
          <w:tcPr>
            <w:tcW w:w="1950" w:type="dxa"/>
            <w:tcMar/>
          </w:tcPr>
          <w:p w:rsidR="381C34B7" w:rsidP="381C34B7" w:rsidRDefault="381C34B7" w14:paraId="4F813A5D" w14:textId="50E7A352">
            <w:pPr>
              <w:spacing w:before="0" w:beforeAutospacing="off" w:after="0" w:afterAutospacing="off"/>
            </w:pPr>
            <w:r w:rsidR="381C34B7">
              <w:rPr/>
              <w:t>Full EBA rule coverage + test suite</w:t>
            </w:r>
          </w:p>
        </w:tc>
        <w:tc>
          <w:tcPr>
            <w:tcW w:w="1346" w:type="dxa"/>
            <w:tcMar/>
          </w:tcPr>
          <w:p w:rsidR="381C34B7" w:rsidP="381C34B7" w:rsidRDefault="381C34B7" w14:paraId="3740983E" w14:textId="52868FBD">
            <w:pPr>
              <w:spacing w:before="0" w:beforeAutospacing="off" w:after="0" w:afterAutospacing="off"/>
            </w:pPr>
            <w:r w:rsidR="381C34B7">
              <w:rPr/>
              <w:t>Implementation</w:t>
            </w:r>
          </w:p>
        </w:tc>
        <w:tc>
          <w:tcPr>
            <w:tcW w:w="2655" w:type="dxa"/>
            <w:tcMar/>
          </w:tcPr>
          <w:p w:rsidR="381C34B7" w:rsidP="381C34B7" w:rsidRDefault="381C34B7" w14:paraId="23F25724" w14:textId="79684650">
            <w:pPr>
              <w:spacing w:before="0" w:beforeAutospacing="off" w:after="0" w:afterAutospacing="off"/>
            </w:pPr>
            <w:r w:rsidR="381C34B7">
              <w:rPr/>
              <w:t>Rule seeding + Jest/Supertest/Playwright</w:t>
            </w:r>
          </w:p>
        </w:tc>
        <w:tc>
          <w:tcPr>
            <w:tcW w:w="2490" w:type="dxa"/>
            <w:tcMar/>
          </w:tcPr>
          <w:p w:rsidR="381C34B7" w:rsidP="381C34B7" w:rsidRDefault="381C34B7" w14:paraId="11DFBD99" w14:textId="508153ED">
            <w:pPr>
              <w:spacing w:before="0" w:beforeAutospacing="off" w:after="0" w:afterAutospacing="off"/>
            </w:pPr>
            <w:r w:rsidR="381C34B7">
              <w:rPr/>
              <w:t>Production-grade test coverage; 100% EBA rule seeding</w:t>
            </w:r>
          </w:p>
        </w:tc>
        <w:tc>
          <w:tcPr>
            <w:tcW w:w="705" w:type="dxa"/>
            <w:tcMar/>
          </w:tcPr>
          <w:p w:rsidR="381C34B7" w:rsidP="381C34B7" w:rsidRDefault="381C34B7" w14:paraId="32E527E1" w14:textId="060D8535">
            <w:pPr>
              <w:spacing w:before="0" w:beforeAutospacing="off" w:after="0" w:afterAutospacing="off"/>
            </w:pPr>
            <w:r w:rsidR="381C34B7">
              <w:rPr/>
              <w:t>2–4 months</w:t>
            </w:r>
          </w:p>
        </w:tc>
      </w:tr>
      <w:tr w:rsidR="381C34B7" w:rsidTr="381C34B7" w14:paraId="76C4993F">
        <w:trPr>
          <w:trHeight w:val="300"/>
        </w:trPr>
        <w:tc>
          <w:tcPr>
            <w:tcW w:w="345" w:type="dxa"/>
            <w:tcMar/>
          </w:tcPr>
          <w:p w:rsidR="381C34B7" w:rsidP="381C34B7" w:rsidRDefault="381C34B7" w14:paraId="61B7B4E1" w14:textId="327D5B58">
            <w:pPr>
              <w:spacing w:before="0" w:beforeAutospacing="off" w:after="0" w:afterAutospacing="off"/>
            </w:pPr>
            <w:r w:rsidR="381C34B7">
              <w:rPr/>
              <w:t>4</w:t>
            </w:r>
          </w:p>
        </w:tc>
        <w:tc>
          <w:tcPr>
            <w:tcW w:w="1950" w:type="dxa"/>
            <w:tcMar/>
          </w:tcPr>
          <w:p w:rsidR="381C34B7" w:rsidP="381C34B7" w:rsidRDefault="381C34B7" w14:paraId="39B3183C" w14:textId="4667B5FF">
            <w:pPr>
              <w:spacing w:before="0" w:beforeAutospacing="off" w:after="0" w:afterAutospacing="off"/>
            </w:pPr>
            <w:r w:rsidR="381C34B7">
              <w:rPr/>
              <w:t>Production hardening + cloud deployment</w:t>
            </w:r>
          </w:p>
        </w:tc>
        <w:tc>
          <w:tcPr>
            <w:tcW w:w="1346" w:type="dxa"/>
            <w:tcMar/>
          </w:tcPr>
          <w:p w:rsidR="381C34B7" w:rsidP="381C34B7" w:rsidRDefault="381C34B7" w14:paraId="132398EA" w14:textId="226B80C1">
            <w:pPr>
              <w:spacing w:before="0" w:beforeAutospacing="off" w:after="0" w:afterAutospacing="off"/>
            </w:pPr>
            <w:r w:rsidR="381C34B7">
              <w:rPr/>
              <w:t>Implementation</w:t>
            </w:r>
          </w:p>
        </w:tc>
        <w:tc>
          <w:tcPr>
            <w:tcW w:w="2655" w:type="dxa"/>
            <w:tcMar/>
          </w:tcPr>
          <w:p w:rsidR="381C34B7" w:rsidP="381C34B7" w:rsidRDefault="381C34B7" w14:paraId="624B6577" w14:textId="37BB4445">
            <w:pPr>
              <w:spacing w:before="0" w:beforeAutospacing="off" w:after="0" w:afterAutospacing="off"/>
            </w:pPr>
            <w:r w:rsidR="381C34B7">
              <w:rPr/>
              <w:t>MFA, migrations, TLS, structured logging, cloud deployment</w:t>
            </w:r>
          </w:p>
        </w:tc>
        <w:tc>
          <w:tcPr>
            <w:tcW w:w="2490" w:type="dxa"/>
            <w:tcMar/>
          </w:tcPr>
          <w:p w:rsidR="381C34B7" w:rsidP="381C34B7" w:rsidRDefault="381C34B7" w14:paraId="7B112E35" w14:textId="668A9581">
            <w:pPr>
              <w:spacing w:before="0" w:beforeAutospacing="off" w:after="0" w:afterAutospacing="off"/>
            </w:pPr>
            <w:r w:rsidR="381C34B7">
              <w:rPr/>
              <w:t>Production-maturity artefact deployable in a regulated environment</w:t>
            </w:r>
          </w:p>
        </w:tc>
        <w:tc>
          <w:tcPr>
            <w:tcW w:w="705" w:type="dxa"/>
            <w:tcMar/>
          </w:tcPr>
          <w:p w:rsidR="381C34B7" w:rsidP="381C34B7" w:rsidRDefault="381C34B7" w14:paraId="220C89D3" w14:textId="2CDE888C">
            <w:pPr>
              <w:spacing w:before="0" w:beforeAutospacing="off" w:after="0" w:afterAutospacing="off"/>
            </w:pPr>
            <w:r w:rsidR="381C34B7">
              <w:rPr/>
              <w:t>3–6 months</w:t>
            </w:r>
          </w:p>
        </w:tc>
      </w:tr>
      <w:tr w:rsidR="381C34B7" w:rsidTr="381C34B7" w14:paraId="0B416A37">
        <w:trPr>
          <w:trHeight w:val="300"/>
        </w:trPr>
        <w:tc>
          <w:tcPr>
            <w:tcW w:w="345" w:type="dxa"/>
            <w:tcMar/>
          </w:tcPr>
          <w:p w:rsidR="381C34B7" w:rsidP="381C34B7" w:rsidRDefault="381C34B7" w14:paraId="2B130521" w14:textId="2D2F0C7F">
            <w:pPr>
              <w:spacing w:before="0" w:beforeAutospacing="off" w:after="0" w:afterAutospacing="off"/>
            </w:pPr>
            <w:r w:rsidR="381C34B7">
              <w:rPr/>
              <w:t>5</w:t>
            </w:r>
          </w:p>
        </w:tc>
        <w:tc>
          <w:tcPr>
            <w:tcW w:w="1950" w:type="dxa"/>
            <w:tcMar/>
          </w:tcPr>
          <w:p w:rsidR="381C34B7" w:rsidP="381C34B7" w:rsidRDefault="381C34B7" w14:paraId="56AD04E5" w14:textId="2FB2D834">
            <w:pPr>
              <w:spacing w:before="0" w:beforeAutospacing="off" w:after="0" w:afterAutospacing="off"/>
            </w:pPr>
            <w:r w:rsidR="381C34B7">
              <w:rPr/>
              <w:t>Extension to COREP/FINREP or Solvency II</w:t>
            </w:r>
          </w:p>
        </w:tc>
        <w:tc>
          <w:tcPr>
            <w:tcW w:w="1346" w:type="dxa"/>
            <w:tcMar/>
          </w:tcPr>
          <w:p w:rsidR="381C34B7" w:rsidP="381C34B7" w:rsidRDefault="381C34B7" w14:paraId="4E06CAF0" w14:textId="1C697AD8">
            <w:pPr>
              <w:spacing w:before="0" w:beforeAutospacing="off" w:after="0" w:afterAutospacing="off"/>
            </w:pPr>
            <w:r w:rsidR="381C34B7">
              <w:rPr/>
              <w:t>Research</w:t>
            </w:r>
          </w:p>
        </w:tc>
        <w:tc>
          <w:tcPr>
            <w:tcW w:w="2655" w:type="dxa"/>
            <w:tcMar/>
          </w:tcPr>
          <w:p w:rsidR="381C34B7" w:rsidP="381C34B7" w:rsidRDefault="381C34B7" w14:paraId="242BD95C" w14:textId="578E9441">
            <w:pPr>
              <w:spacing w:before="0" w:beforeAutospacing="off" w:after="0" w:afterAutospacing="off"/>
            </w:pPr>
            <w:r w:rsidR="381C34B7">
              <w:rPr/>
              <w:t>DSR second iteration; new regulatory domain</w:t>
            </w:r>
          </w:p>
        </w:tc>
        <w:tc>
          <w:tcPr>
            <w:tcW w:w="2490" w:type="dxa"/>
            <w:tcMar/>
          </w:tcPr>
          <w:p w:rsidR="381C34B7" w:rsidP="381C34B7" w:rsidRDefault="381C34B7" w14:paraId="6F078DA5" w14:textId="1889CEBC">
            <w:pPr>
              <w:spacing w:before="0" w:beforeAutospacing="off" w:after="0" w:afterAutospacing="off"/>
            </w:pPr>
            <w:r w:rsidR="381C34B7">
              <w:rPr/>
              <w:t>Generalised RegTech compliance architecture pattern</w:t>
            </w:r>
          </w:p>
        </w:tc>
        <w:tc>
          <w:tcPr>
            <w:tcW w:w="705" w:type="dxa"/>
            <w:tcMar/>
          </w:tcPr>
          <w:p w:rsidR="381C34B7" w:rsidP="381C34B7" w:rsidRDefault="381C34B7" w14:paraId="5A3ECD6A" w14:textId="6E723CC5">
            <w:pPr>
              <w:spacing w:before="0" w:beforeAutospacing="off" w:after="0" w:afterAutospacing="off"/>
            </w:pPr>
            <w:r w:rsidR="381C34B7">
              <w:rPr/>
              <w:t>6–12 months</w:t>
            </w:r>
          </w:p>
        </w:tc>
      </w:tr>
    </w:tbl>
    <w:p xmlns:wp14="http://schemas.microsoft.com/office/word/2010/wordml" w:rsidP="381C34B7" wp14:paraId="7B63E905" wp14:textId="1D268F20">
      <w:pPr>
        <w:bidi w:val="0"/>
        <w:spacing w:before="0" w:beforeAutospacing="off" w:after="0" w:afterAutospacing="off"/>
      </w:pPr>
    </w:p>
    <w:p xmlns:wp14="http://schemas.microsoft.com/office/word/2010/wordml" w:rsidP="381C34B7" wp14:paraId="29FBF1C1" wp14:textId="1CF42EE8">
      <w:pPr>
        <w:pStyle w:val="Heading2"/>
        <w:bidi w:val="0"/>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7.6 Closing Statement</w:t>
      </w:r>
    </w:p>
    <w:p xmlns:wp14="http://schemas.microsoft.com/office/word/2010/wordml" w:rsidP="381C34B7" wp14:paraId="75385F22" wp14:textId="68C221CD">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Digital Operational Resilience Act represents a structural shift in how the EU regulates ICT risk in the financial sector — not as a soft governance expectation but as a mandatory, technically specified, supervisory-audited obligation. The ESA 2024 Dry Run, in which 93.5% of participating entities failed at least one data quality check, demonstrated starkly that this shift caught the majority of the sector — particularly its SME component — without adequate tooling. The compliance gap is not a gap of intent or understanding but a gap of infrastructure: entities that understand their DORA obligations and want to comply lack purpose-built tools that make compliance systematically achievable rather than heroically effortful.</w:t>
      </w:r>
    </w:p>
    <w:p xmlns:wp14="http://schemas.microsoft.com/office/word/2010/wordml" w:rsidP="381C34B7" wp14:paraId="209648BB" wp14:textId="5DEB4571">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This dissertation has addressed that gap by designing, implementing, and evaluating a purpose-built DORA RoI compliance platform that directly operationalises the EBA's ITS data model, embeds 220 of the EBA's own validation rules, enforces data quality through a pre-flight export gate, and produces submission-format files in both Excel and XBRL OIM-CSV formats — all within a deployment model proportionate to the resource constraints of Irish SME financial entities. The artefact is not a production system, and it does not claim to be. It is a demonstration that the compliance infrastructure gap can be closed, that the design pattern for closing it is tractable with standard web technologies, and that doing so is feasible within the time and resource envelope of a single-investigator master's research project.</w:t>
      </w:r>
    </w:p>
    <w:p xmlns:wp14="http://schemas.microsoft.com/office/word/2010/wordml" w:rsidP="381C34B7" wp14:paraId="4413723F" wp14:textId="7B418043">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The broader implication is that the regulatory technology gap documented by Arner et al. (2017), Butler and O'Brien (2019), and the EBA's own RegTech analysis (EBA, 2021) is not technically insurmountable for SME financial entities — it is organisationally and economically insurmountable under the assumption that compliance tooling must be expensive, proprietary, or technically complex. The DORA SaaS platform challenges that assumption by demonstrating that open-architecture, standard-technology, SME-proportionate compliance infrastructure is achievable, and that the primary barrier to its wider adoption is not technical feasibility but the absence of documented design patterns and reference implementations from which practitioners can build. This dissertation provides both.</w:t>
      </w:r>
    </w:p>
    <w:p xmlns:wp14="http://schemas.microsoft.com/office/word/2010/wordml" w:rsidP="381C34B7" wp14:paraId="700FE7BE" wp14:textId="57DBC47A">
      <w:pPr>
        <w:bidi w:val="0"/>
        <w:spacing w:before="0" w:beforeAutospacing="off" w:after="0" w:afterAutospacing="off"/>
      </w:pPr>
    </w:p>
    <w:p xmlns:wp14="http://schemas.microsoft.com/office/word/2010/wordml" w:rsidP="381C34B7" wp14:paraId="4D8FC313" wp14:textId="320E3658">
      <w:pPr>
        <w:pStyle w:val="Heading2"/>
        <w:bidi w:val="0"/>
        <w:spacing w:before="299" w:beforeAutospacing="off" w:after="299" w:afterAutospacing="off"/>
      </w:pPr>
      <w:r w:rsidRPr="381C34B7" w:rsidR="643E6107">
        <w:rPr>
          <w:rFonts w:ascii="Times New Roman" w:hAnsi="Times New Roman" w:eastAsia="Times New Roman" w:cs="Times New Roman"/>
          <w:b w:val="1"/>
          <w:bCs w:val="1"/>
          <w:noProof w:val="0"/>
          <w:sz w:val="36"/>
          <w:szCs w:val="36"/>
          <w:lang w:val="en-US"/>
        </w:rPr>
        <w:t>Chapter 7 — References</w:t>
      </w:r>
    </w:p>
    <w:p xmlns:wp14="http://schemas.microsoft.com/office/word/2010/wordml" w:rsidP="381C34B7" wp14:paraId="7E643DBB" wp14:textId="1BA5CD08">
      <w:pPr>
        <w:bidi w:val="0"/>
        <w:spacing w:before="240" w:beforeAutospacing="off" w:after="240" w:afterAutospacing="off"/>
      </w:pPr>
      <w:r w:rsidRPr="381C34B7" w:rsidR="643E6107">
        <w:rPr>
          <w:rFonts w:ascii="Times New Roman" w:hAnsi="Times New Roman" w:eastAsia="Times New Roman" w:cs="Times New Roman"/>
          <w:i w:val="1"/>
          <w:iCs w:val="1"/>
          <w:noProof w:val="0"/>
          <w:sz w:val="24"/>
          <w:szCs w:val="24"/>
          <w:lang w:val="en-US"/>
        </w:rPr>
        <w:t>(Harvard style, hanging indent, Times New Roman 12pt, alphabetical order)</w:t>
      </w:r>
    </w:p>
    <w:p xmlns:wp14="http://schemas.microsoft.com/office/word/2010/wordml" w:rsidP="381C34B7" wp14:paraId="73AA9CFB" wp14:textId="02A03325">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Anderson, R. J. (2020) </w:t>
      </w:r>
      <w:r w:rsidRPr="381C34B7" w:rsidR="643E6107">
        <w:rPr>
          <w:rFonts w:ascii="Times New Roman" w:hAnsi="Times New Roman" w:eastAsia="Times New Roman" w:cs="Times New Roman"/>
          <w:i w:val="1"/>
          <w:iCs w:val="1"/>
          <w:noProof w:val="0"/>
          <w:sz w:val="24"/>
          <w:szCs w:val="24"/>
          <w:lang w:val="en-US"/>
        </w:rPr>
        <w:t>Security engineering: A guide to building dependable distributed systems</w:t>
      </w:r>
      <w:r w:rsidRPr="381C34B7" w:rsidR="643E6107">
        <w:rPr>
          <w:rFonts w:ascii="Times New Roman" w:hAnsi="Times New Roman" w:eastAsia="Times New Roman" w:cs="Times New Roman"/>
          <w:noProof w:val="0"/>
          <w:sz w:val="24"/>
          <w:szCs w:val="24"/>
          <w:lang w:val="en-US"/>
        </w:rPr>
        <w:t>, 3rd edn. Chichester: Wiley.</w:t>
      </w:r>
    </w:p>
    <w:p xmlns:wp14="http://schemas.microsoft.com/office/word/2010/wordml" w:rsidP="381C34B7" wp14:paraId="4C9AC51C" wp14:textId="186E8509">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Arner, D. W., Barberis, J. N. and Buckley, R. P. (2017) 'FinTech, RegTech, and the reconceptualization of financial regulation', </w:t>
      </w:r>
      <w:r w:rsidRPr="381C34B7" w:rsidR="643E6107">
        <w:rPr>
          <w:rFonts w:ascii="Times New Roman" w:hAnsi="Times New Roman" w:eastAsia="Times New Roman" w:cs="Times New Roman"/>
          <w:i w:val="1"/>
          <w:iCs w:val="1"/>
          <w:noProof w:val="0"/>
          <w:sz w:val="24"/>
          <w:szCs w:val="24"/>
          <w:lang w:val="en-US"/>
        </w:rPr>
        <w:t>Northwestern Journal of International Law and Business</w:t>
      </w:r>
      <w:r w:rsidRPr="381C34B7" w:rsidR="643E6107">
        <w:rPr>
          <w:rFonts w:ascii="Times New Roman" w:hAnsi="Times New Roman" w:eastAsia="Times New Roman" w:cs="Times New Roman"/>
          <w:noProof w:val="0"/>
          <w:sz w:val="24"/>
          <w:szCs w:val="24"/>
          <w:lang w:val="en-US"/>
        </w:rPr>
        <w:t>, 37(3), pp. 371–413.</w:t>
      </w:r>
    </w:p>
    <w:p xmlns:wp14="http://schemas.microsoft.com/office/word/2010/wordml" w:rsidP="381C34B7" wp14:paraId="02B8EC21" wp14:textId="69F2C4C5">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Bass, L., Clements, P. and Kazman, R. (2021) </w:t>
      </w:r>
      <w:r w:rsidRPr="381C34B7" w:rsidR="643E6107">
        <w:rPr>
          <w:rFonts w:ascii="Times New Roman" w:hAnsi="Times New Roman" w:eastAsia="Times New Roman" w:cs="Times New Roman"/>
          <w:i w:val="1"/>
          <w:iCs w:val="1"/>
          <w:noProof w:val="0"/>
          <w:sz w:val="24"/>
          <w:szCs w:val="24"/>
          <w:lang w:val="en-US"/>
        </w:rPr>
        <w:t>Software architecture in practice</w:t>
      </w:r>
      <w:r w:rsidRPr="381C34B7" w:rsidR="643E6107">
        <w:rPr>
          <w:rFonts w:ascii="Times New Roman" w:hAnsi="Times New Roman" w:eastAsia="Times New Roman" w:cs="Times New Roman"/>
          <w:noProof w:val="0"/>
          <w:sz w:val="24"/>
          <w:szCs w:val="24"/>
          <w:lang w:val="en-US"/>
        </w:rPr>
        <w:t>, 4th edn. Boston: Addison-Wesley.</w:t>
      </w:r>
    </w:p>
    <w:p xmlns:wp14="http://schemas.microsoft.com/office/word/2010/wordml" w:rsidP="381C34B7" wp14:paraId="6B2BEFFA" wp14:textId="5DB4F22C">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Bhurat, S. C. (2025) 'Regulatory compliance automation for SMEs using cloud-based RegTech platforms', </w:t>
      </w:r>
      <w:r w:rsidRPr="381C34B7" w:rsidR="643E6107">
        <w:rPr>
          <w:rFonts w:ascii="Times New Roman" w:hAnsi="Times New Roman" w:eastAsia="Times New Roman" w:cs="Times New Roman"/>
          <w:i w:val="1"/>
          <w:iCs w:val="1"/>
          <w:noProof w:val="0"/>
          <w:sz w:val="24"/>
          <w:szCs w:val="24"/>
          <w:lang w:val="en-US"/>
        </w:rPr>
        <w:t>Journal of Financial Regulation and Compliance</w:t>
      </w:r>
      <w:r w:rsidRPr="381C34B7" w:rsidR="643E6107">
        <w:rPr>
          <w:rFonts w:ascii="Times New Roman" w:hAnsi="Times New Roman" w:eastAsia="Times New Roman" w:cs="Times New Roman"/>
          <w:noProof w:val="0"/>
          <w:sz w:val="24"/>
          <w:szCs w:val="24"/>
          <w:lang w:val="en-US"/>
        </w:rPr>
        <w:t>, 33(1), pp. 45–61.</w:t>
      </w:r>
    </w:p>
    <w:p xmlns:wp14="http://schemas.microsoft.com/office/word/2010/wordml" w:rsidP="381C34B7" wp14:paraId="3A591841" wp14:textId="6601168C">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Butler, T. and O'Brien, L. (2019) 'Understanding RegTech for digital regulatory compliance', in Palmié, M. et al. (eds.) </w:t>
      </w:r>
      <w:r w:rsidRPr="381C34B7" w:rsidR="643E6107">
        <w:rPr>
          <w:rFonts w:ascii="Times New Roman" w:hAnsi="Times New Roman" w:eastAsia="Times New Roman" w:cs="Times New Roman"/>
          <w:i w:val="1"/>
          <w:iCs w:val="1"/>
          <w:noProof w:val="0"/>
          <w:sz w:val="24"/>
          <w:szCs w:val="24"/>
          <w:lang w:val="en-US"/>
        </w:rPr>
        <w:t>Disrupting finance: FinTech and strategy in the 21st century</w:t>
      </w:r>
      <w:r w:rsidRPr="381C34B7" w:rsidR="643E6107">
        <w:rPr>
          <w:rFonts w:ascii="Times New Roman" w:hAnsi="Times New Roman" w:eastAsia="Times New Roman" w:cs="Times New Roman"/>
          <w:noProof w:val="0"/>
          <w:sz w:val="24"/>
          <w:szCs w:val="24"/>
          <w:lang w:val="en-US"/>
        </w:rPr>
        <w:t>. Cham: Springer, pp. 85–102.</w:t>
      </w:r>
    </w:p>
    <w:p xmlns:wp14="http://schemas.microsoft.com/office/word/2010/wordml" w:rsidP="381C34B7" wp14:paraId="5773D85E" wp14:textId="1597BAAB">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Central Bank of Ireland (2024a) </w:t>
      </w:r>
      <w:r w:rsidRPr="381C34B7" w:rsidR="643E6107">
        <w:rPr>
          <w:rFonts w:ascii="Times New Roman" w:hAnsi="Times New Roman" w:eastAsia="Times New Roman" w:cs="Times New Roman"/>
          <w:i w:val="1"/>
          <w:iCs w:val="1"/>
          <w:noProof w:val="0"/>
          <w:sz w:val="24"/>
          <w:szCs w:val="24"/>
          <w:lang w:val="en-US"/>
        </w:rPr>
        <w:t>DORA Register of Information: Guidance for Irish financial entities</w:t>
      </w:r>
      <w:r w:rsidRPr="381C34B7" w:rsidR="643E6107">
        <w:rPr>
          <w:rFonts w:ascii="Times New Roman" w:hAnsi="Times New Roman" w:eastAsia="Times New Roman" w:cs="Times New Roman"/>
          <w:noProof w:val="0"/>
          <w:sz w:val="24"/>
          <w:szCs w:val="24"/>
          <w:lang w:val="en-US"/>
        </w:rPr>
        <w:t>. Dublin: Central Bank of Ireland.</w:t>
      </w:r>
    </w:p>
    <w:p xmlns:wp14="http://schemas.microsoft.com/office/word/2010/wordml" w:rsidP="381C34B7" wp14:paraId="0A8F79FB" wp14:textId="2A706C23">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Davis, F. D. (1989) 'Perceived usefulness, perceived ease of use, and user acceptance of information technology', </w:t>
      </w:r>
      <w:r w:rsidRPr="381C34B7" w:rsidR="643E6107">
        <w:rPr>
          <w:rFonts w:ascii="Times New Roman" w:hAnsi="Times New Roman" w:eastAsia="Times New Roman" w:cs="Times New Roman"/>
          <w:i w:val="1"/>
          <w:iCs w:val="1"/>
          <w:noProof w:val="0"/>
          <w:sz w:val="24"/>
          <w:szCs w:val="24"/>
          <w:lang w:val="en-US"/>
        </w:rPr>
        <w:t>MIS Quarterly</w:t>
      </w:r>
      <w:r w:rsidRPr="381C34B7" w:rsidR="643E6107">
        <w:rPr>
          <w:rFonts w:ascii="Times New Roman" w:hAnsi="Times New Roman" w:eastAsia="Times New Roman" w:cs="Times New Roman"/>
          <w:noProof w:val="0"/>
          <w:sz w:val="24"/>
          <w:szCs w:val="24"/>
          <w:lang w:val="en-US"/>
        </w:rPr>
        <w:t>, 13(3), pp. 319–340.</w:t>
      </w:r>
    </w:p>
    <w:p xmlns:wp14="http://schemas.microsoft.com/office/word/2010/wordml" w:rsidP="381C34B7" wp14:paraId="164F2998" wp14:textId="68769BC9">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European Banking Authority (2021) </w:t>
      </w:r>
      <w:r w:rsidRPr="381C34B7" w:rsidR="643E6107">
        <w:rPr>
          <w:rFonts w:ascii="Times New Roman" w:hAnsi="Times New Roman" w:eastAsia="Times New Roman" w:cs="Times New Roman"/>
          <w:i w:val="1"/>
          <w:iCs w:val="1"/>
          <w:noProof w:val="0"/>
          <w:sz w:val="24"/>
          <w:szCs w:val="24"/>
          <w:lang w:val="en-US"/>
        </w:rPr>
        <w:t>EBA analysis of RegTech in the EU financial sector</w:t>
      </w:r>
      <w:r w:rsidRPr="381C34B7" w:rsidR="643E6107">
        <w:rPr>
          <w:rFonts w:ascii="Times New Roman" w:hAnsi="Times New Roman" w:eastAsia="Times New Roman" w:cs="Times New Roman"/>
          <w:noProof w:val="0"/>
          <w:sz w:val="24"/>
          <w:szCs w:val="24"/>
          <w:lang w:val="en-US"/>
        </w:rPr>
        <w:t xml:space="preserve">. Paris: EBA. Available at: </w:t>
      </w:r>
      <w:hyperlink r:id="R5c662d302d4344c3">
        <w:r w:rsidRPr="381C34B7" w:rsidR="643E6107">
          <w:rPr>
            <w:rStyle w:val="Hyperlink"/>
            <w:rFonts w:ascii="Times New Roman" w:hAnsi="Times New Roman" w:eastAsia="Times New Roman" w:cs="Times New Roman"/>
            <w:noProof w:val="0"/>
            <w:sz w:val="24"/>
            <w:szCs w:val="24"/>
            <w:lang w:val="en-US"/>
          </w:rPr>
          <w:t>https://www.eba.europa.eu/sites/default/files/document_library/Publications/Reports/2021/1015484/EBA%20analysis%20of%20RegTech%20in%20the%20EU%20financial%20sector.pdf</w:t>
        </w:r>
      </w:hyperlink>
      <w:r w:rsidRPr="381C34B7" w:rsidR="643E6107">
        <w:rPr>
          <w:rFonts w:ascii="Times New Roman" w:hAnsi="Times New Roman" w:eastAsia="Times New Roman" w:cs="Times New Roman"/>
          <w:noProof w:val="0"/>
          <w:sz w:val="24"/>
          <w:szCs w:val="24"/>
          <w:lang w:val="en-US"/>
        </w:rPr>
        <w:t xml:space="preserve"> (Accessed: 17 January 2026).</w:t>
      </w:r>
    </w:p>
    <w:p xmlns:wp14="http://schemas.microsoft.com/office/word/2010/wordml" w:rsidP="381C34B7" wp14:paraId="18A9774E" wp14:textId="721EC3B6">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European Banking Authority (2023a) </w:t>
      </w:r>
      <w:r w:rsidRPr="381C34B7" w:rsidR="643E6107">
        <w:rPr>
          <w:rFonts w:ascii="Times New Roman" w:hAnsi="Times New Roman" w:eastAsia="Times New Roman" w:cs="Times New Roman"/>
          <w:i w:val="1"/>
          <w:iCs w:val="1"/>
          <w:noProof w:val="0"/>
          <w:sz w:val="24"/>
          <w:szCs w:val="24"/>
          <w:lang w:val="en-US"/>
        </w:rPr>
        <w:t>Implementing Technical Standards on the Register of Information under DORA</w:t>
      </w:r>
      <w:r w:rsidRPr="381C34B7" w:rsidR="643E6107">
        <w:rPr>
          <w:rFonts w:ascii="Times New Roman" w:hAnsi="Times New Roman" w:eastAsia="Times New Roman" w:cs="Times New Roman"/>
          <w:noProof w:val="0"/>
          <w:sz w:val="24"/>
          <w:szCs w:val="24"/>
          <w:lang w:val="en-US"/>
        </w:rPr>
        <w:t>. Paris: EBA.</w:t>
      </w:r>
    </w:p>
    <w:p xmlns:wp14="http://schemas.microsoft.com/office/word/2010/wordml" w:rsidP="381C34B7" wp14:paraId="1DCFDE52" wp14:textId="5905E148">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European Banking Authority (2024a) </w:t>
      </w:r>
      <w:r w:rsidRPr="381C34B7" w:rsidR="643E6107">
        <w:rPr>
          <w:rFonts w:ascii="Times New Roman" w:hAnsi="Times New Roman" w:eastAsia="Times New Roman" w:cs="Times New Roman"/>
          <w:i w:val="1"/>
          <w:iCs w:val="1"/>
          <w:noProof w:val="0"/>
          <w:sz w:val="24"/>
          <w:szCs w:val="24"/>
          <w:lang w:val="en-US"/>
        </w:rPr>
        <w:t>Draft validation rules for DORA reporting of Register of Information</w:t>
      </w:r>
      <w:r w:rsidRPr="381C34B7" w:rsidR="643E6107">
        <w:rPr>
          <w:rFonts w:ascii="Times New Roman" w:hAnsi="Times New Roman" w:eastAsia="Times New Roman" w:cs="Times New Roman"/>
          <w:noProof w:val="0"/>
          <w:sz w:val="24"/>
          <w:szCs w:val="24"/>
          <w:lang w:val="en-US"/>
        </w:rPr>
        <w:t>. Paris: EBA.</w:t>
      </w:r>
    </w:p>
    <w:p xmlns:wp14="http://schemas.microsoft.com/office/word/2010/wordml" w:rsidP="381C34B7" wp14:paraId="456AC264" wp14:textId="04A7E17A">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European Banking Authority (2024b) </w:t>
      </w:r>
      <w:r w:rsidRPr="381C34B7" w:rsidR="643E6107">
        <w:rPr>
          <w:rFonts w:ascii="Times New Roman" w:hAnsi="Times New Roman" w:eastAsia="Times New Roman" w:cs="Times New Roman"/>
          <w:i w:val="1"/>
          <w:iCs w:val="1"/>
          <w:noProof w:val="0"/>
          <w:sz w:val="24"/>
          <w:szCs w:val="24"/>
          <w:lang w:val="en-US"/>
        </w:rPr>
        <w:t>XBRL OIM-CSV taxonomy for DORA Register of Information reporting</w:t>
      </w:r>
      <w:r w:rsidRPr="381C34B7" w:rsidR="643E6107">
        <w:rPr>
          <w:rFonts w:ascii="Times New Roman" w:hAnsi="Times New Roman" w:eastAsia="Times New Roman" w:cs="Times New Roman"/>
          <w:noProof w:val="0"/>
          <w:sz w:val="24"/>
          <w:szCs w:val="24"/>
          <w:lang w:val="en-US"/>
        </w:rPr>
        <w:t>. Paris: EBA.</w:t>
      </w:r>
    </w:p>
    <w:p xmlns:wp14="http://schemas.microsoft.com/office/word/2010/wordml" w:rsidP="381C34B7" wp14:paraId="24034922" wp14:textId="7BC1BD44">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European Commission (2022) </w:t>
      </w:r>
      <w:r w:rsidRPr="381C34B7" w:rsidR="643E6107">
        <w:rPr>
          <w:rFonts w:ascii="Times New Roman" w:hAnsi="Times New Roman" w:eastAsia="Times New Roman" w:cs="Times New Roman"/>
          <w:i w:val="1"/>
          <w:iCs w:val="1"/>
          <w:noProof w:val="0"/>
          <w:sz w:val="24"/>
          <w:szCs w:val="24"/>
          <w:lang w:val="en-US"/>
        </w:rPr>
        <w:t>Regulation (EU) 2022/2554 of the European Parliament and of the Council on digital operational resilience for the financial sector (DORA)</w:t>
      </w:r>
      <w:r w:rsidRPr="381C34B7" w:rsidR="643E6107">
        <w:rPr>
          <w:rFonts w:ascii="Times New Roman" w:hAnsi="Times New Roman" w:eastAsia="Times New Roman" w:cs="Times New Roman"/>
          <w:noProof w:val="0"/>
          <w:sz w:val="24"/>
          <w:szCs w:val="24"/>
          <w:lang w:val="en-US"/>
        </w:rPr>
        <w:t>. Official Journal of the European Union, L 333, pp. 1–79.</w:t>
      </w:r>
    </w:p>
    <w:p xmlns:wp14="http://schemas.microsoft.com/office/word/2010/wordml" w:rsidP="381C34B7" wp14:paraId="2B3C697A" wp14:textId="359DFBF3">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European Supervisory Authorities (2024) </w:t>
      </w:r>
      <w:r w:rsidRPr="381C34B7" w:rsidR="643E6107">
        <w:rPr>
          <w:rFonts w:ascii="Times New Roman" w:hAnsi="Times New Roman" w:eastAsia="Times New Roman" w:cs="Times New Roman"/>
          <w:i w:val="1"/>
          <w:iCs w:val="1"/>
          <w:noProof w:val="0"/>
          <w:sz w:val="24"/>
          <w:szCs w:val="24"/>
          <w:lang w:val="en-US"/>
        </w:rPr>
        <w:t>Joint ESA report on the 2024 DORA dry run exercise for the Register of Information</w:t>
      </w:r>
      <w:r w:rsidRPr="381C34B7" w:rsidR="643E6107">
        <w:rPr>
          <w:rFonts w:ascii="Times New Roman" w:hAnsi="Times New Roman" w:eastAsia="Times New Roman" w:cs="Times New Roman"/>
          <w:noProof w:val="0"/>
          <w:sz w:val="24"/>
          <w:szCs w:val="24"/>
          <w:lang w:val="en-US"/>
        </w:rPr>
        <w:t xml:space="preserve">. Frankfurt: ESA Joint Committee. Available at: </w:t>
      </w:r>
      <w:hyperlink r:id="Rd1cfc84b7f144707">
        <w:r w:rsidRPr="381C34B7" w:rsidR="643E6107">
          <w:rPr>
            <w:rStyle w:val="Hyperlink"/>
            <w:rFonts w:ascii="Times New Roman" w:hAnsi="Times New Roman" w:eastAsia="Times New Roman" w:cs="Times New Roman"/>
            <w:noProof w:val="0"/>
            <w:sz w:val="24"/>
            <w:szCs w:val="24"/>
            <w:lang w:val="en-US"/>
          </w:rPr>
          <w:t>https://www.esma.europa.eu/sites/default/files/2024-12/ESA_2024_35_DORA_Dry_Run_exercise_summary_report.pdf</w:t>
        </w:r>
      </w:hyperlink>
      <w:r w:rsidRPr="381C34B7" w:rsidR="643E6107">
        <w:rPr>
          <w:rFonts w:ascii="Times New Roman" w:hAnsi="Times New Roman" w:eastAsia="Times New Roman" w:cs="Times New Roman"/>
          <w:noProof w:val="0"/>
          <w:sz w:val="24"/>
          <w:szCs w:val="24"/>
          <w:lang w:val="en-US"/>
        </w:rPr>
        <w:t xml:space="preserve"> (Accessed: 17 January 2026).</w:t>
      </w:r>
    </w:p>
    <w:p xmlns:wp14="http://schemas.microsoft.com/office/word/2010/wordml" w:rsidP="381C34B7" wp14:paraId="3DCC67FB" wp14:textId="3B22004F">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Galati, F., Bigliardi, B. and Petroni, A. (2022) 'Digital technologies and regulatory compliance: Evidence from financial services SMEs', </w:t>
      </w:r>
      <w:r w:rsidRPr="381C34B7" w:rsidR="643E6107">
        <w:rPr>
          <w:rFonts w:ascii="Times New Roman" w:hAnsi="Times New Roman" w:eastAsia="Times New Roman" w:cs="Times New Roman"/>
          <w:i w:val="1"/>
          <w:iCs w:val="1"/>
          <w:noProof w:val="0"/>
          <w:sz w:val="24"/>
          <w:szCs w:val="24"/>
          <w:lang w:val="en-US"/>
        </w:rPr>
        <w:t>Journal of Financial Regulation and Compliance</w:t>
      </w:r>
      <w:r w:rsidRPr="381C34B7" w:rsidR="643E6107">
        <w:rPr>
          <w:rFonts w:ascii="Times New Roman" w:hAnsi="Times New Roman" w:eastAsia="Times New Roman" w:cs="Times New Roman"/>
          <w:noProof w:val="0"/>
          <w:sz w:val="24"/>
          <w:szCs w:val="24"/>
          <w:lang w:val="en-US"/>
        </w:rPr>
        <w:t>, 30(4), pp. 512–531.</w:t>
      </w:r>
    </w:p>
    <w:p xmlns:wp14="http://schemas.microsoft.com/office/word/2010/wordml" w:rsidP="381C34B7" wp14:paraId="4EA6D2E7" wp14:textId="5D28FE5E">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Governatori, G., Hashmi, M., Lam, H-P., Villata, S. and Palmirani, M. (2016) 'Semantic business process regulatory compliance checking using LegalRuleML', </w:t>
      </w:r>
      <w:r w:rsidRPr="381C34B7" w:rsidR="643E6107">
        <w:rPr>
          <w:rFonts w:ascii="Times New Roman" w:hAnsi="Times New Roman" w:eastAsia="Times New Roman" w:cs="Times New Roman"/>
          <w:i w:val="1"/>
          <w:iCs w:val="1"/>
          <w:noProof w:val="0"/>
          <w:sz w:val="24"/>
          <w:szCs w:val="24"/>
          <w:lang w:val="en-US"/>
        </w:rPr>
        <w:t>Proceedings of the 20th International Conference on Knowledge Engineering and Knowledge Management</w:t>
      </w:r>
      <w:r w:rsidRPr="381C34B7" w:rsidR="643E6107">
        <w:rPr>
          <w:rFonts w:ascii="Times New Roman" w:hAnsi="Times New Roman" w:eastAsia="Times New Roman" w:cs="Times New Roman"/>
          <w:noProof w:val="0"/>
          <w:sz w:val="24"/>
          <w:szCs w:val="24"/>
          <w:lang w:val="en-US"/>
        </w:rPr>
        <w:t>, pp. 746–761.</w:t>
      </w:r>
    </w:p>
    <w:p xmlns:wp14="http://schemas.microsoft.com/office/word/2010/wordml" w:rsidP="381C34B7" wp14:paraId="5017A101" wp14:textId="1E7B9696">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Gregor, S. and Jones, D. (2007) 'The anatomy of a design theory', </w:t>
      </w:r>
      <w:r w:rsidRPr="381C34B7" w:rsidR="643E6107">
        <w:rPr>
          <w:rFonts w:ascii="Times New Roman" w:hAnsi="Times New Roman" w:eastAsia="Times New Roman" w:cs="Times New Roman"/>
          <w:i w:val="1"/>
          <w:iCs w:val="1"/>
          <w:noProof w:val="0"/>
          <w:sz w:val="24"/>
          <w:szCs w:val="24"/>
          <w:lang w:val="en-US"/>
        </w:rPr>
        <w:t>Journal of the Association for Information Systems</w:t>
      </w:r>
      <w:r w:rsidRPr="381C34B7" w:rsidR="643E6107">
        <w:rPr>
          <w:rFonts w:ascii="Times New Roman" w:hAnsi="Times New Roman" w:eastAsia="Times New Roman" w:cs="Times New Roman"/>
          <w:noProof w:val="0"/>
          <w:sz w:val="24"/>
          <w:szCs w:val="24"/>
          <w:lang w:val="en-US"/>
        </w:rPr>
        <w:t>, 8(5), pp. 312–335.</w:t>
      </w:r>
    </w:p>
    <w:p xmlns:wp14="http://schemas.microsoft.com/office/word/2010/wordml" w:rsidP="381C34B7" wp14:paraId="6947D9AA" wp14:textId="6FF4B240">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Hevner, A. R., March, S. T., Park, J. and Ram, S. (2004) 'Design science in information systems research', </w:t>
      </w:r>
      <w:r w:rsidRPr="381C34B7" w:rsidR="643E6107">
        <w:rPr>
          <w:rFonts w:ascii="Times New Roman" w:hAnsi="Times New Roman" w:eastAsia="Times New Roman" w:cs="Times New Roman"/>
          <w:i w:val="1"/>
          <w:iCs w:val="1"/>
          <w:noProof w:val="0"/>
          <w:sz w:val="24"/>
          <w:szCs w:val="24"/>
          <w:lang w:val="en-US"/>
        </w:rPr>
        <w:t>MIS Quarterly</w:t>
      </w:r>
      <w:r w:rsidRPr="381C34B7" w:rsidR="643E6107">
        <w:rPr>
          <w:rFonts w:ascii="Times New Roman" w:hAnsi="Times New Roman" w:eastAsia="Times New Roman" w:cs="Times New Roman"/>
          <w:noProof w:val="0"/>
          <w:sz w:val="24"/>
          <w:szCs w:val="24"/>
          <w:lang w:val="en-US"/>
        </w:rPr>
        <w:t>, 28(1), pp. 75–105.</w:t>
      </w:r>
    </w:p>
    <w:p xmlns:wp14="http://schemas.microsoft.com/office/word/2010/wordml" w:rsidP="381C34B7" wp14:paraId="0434888F" wp14:textId="45D34585">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Newman, S. (2019) </w:t>
      </w:r>
      <w:r w:rsidRPr="381C34B7" w:rsidR="643E6107">
        <w:rPr>
          <w:rFonts w:ascii="Times New Roman" w:hAnsi="Times New Roman" w:eastAsia="Times New Roman" w:cs="Times New Roman"/>
          <w:i w:val="1"/>
          <w:iCs w:val="1"/>
          <w:noProof w:val="0"/>
          <w:sz w:val="24"/>
          <w:szCs w:val="24"/>
          <w:lang w:val="en-US"/>
        </w:rPr>
        <w:t>Monolith to microservices: Evolutionary patterns to transform your monolith</w:t>
      </w:r>
      <w:r w:rsidRPr="381C34B7" w:rsidR="643E6107">
        <w:rPr>
          <w:rFonts w:ascii="Times New Roman" w:hAnsi="Times New Roman" w:eastAsia="Times New Roman" w:cs="Times New Roman"/>
          <w:noProof w:val="0"/>
          <w:sz w:val="24"/>
          <w:szCs w:val="24"/>
          <w:lang w:val="en-US"/>
        </w:rPr>
        <w:t>. Sebastopol: O'Reilly Media.</w:t>
      </w:r>
    </w:p>
    <w:p xmlns:wp14="http://schemas.microsoft.com/office/word/2010/wordml" w:rsidP="381C34B7" wp14:paraId="0807BA77" wp14:textId="3F59D1F9">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NIST (2018) </w:t>
      </w:r>
      <w:r w:rsidRPr="381C34B7" w:rsidR="643E6107">
        <w:rPr>
          <w:rFonts w:ascii="Times New Roman" w:hAnsi="Times New Roman" w:eastAsia="Times New Roman" w:cs="Times New Roman"/>
          <w:i w:val="1"/>
          <w:iCs w:val="1"/>
          <w:noProof w:val="0"/>
          <w:sz w:val="24"/>
          <w:szCs w:val="24"/>
          <w:lang w:val="en-US"/>
        </w:rPr>
        <w:t>Special publication 800-63B: Digital identity guidelines — Authentication and lifecycle management</w:t>
      </w:r>
      <w:r w:rsidRPr="381C34B7" w:rsidR="643E6107">
        <w:rPr>
          <w:rFonts w:ascii="Times New Roman" w:hAnsi="Times New Roman" w:eastAsia="Times New Roman" w:cs="Times New Roman"/>
          <w:noProof w:val="0"/>
          <w:sz w:val="24"/>
          <w:szCs w:val="24"/>
          <w:lang w:val="en-US"/>
        </w:rPr>
        <w:t>. Gaithersburg: National Institute of Standards and Technology.</w:t>
      </w:r>
    </w:p>
    <w:p xmlns:wp14="http://schemas.microsoft.com/office/word/2010/wordml" w:rsidP="381C34B7" wp14:paraId="60D68231" wp14:textId="7D1F13E8">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Palmirani, M., Governatori, G. and Rotolo, A. (2018) 'LegalRuleML: Design principles and foundations', in Morgenstern, L. et al. (eds.) </w:t>
      </w:r>
      <w:r w:rsidRPr="381C34B7" w:rsidR="643E6107">
        <w:rPr>
          <w:rFonts w:ascii="Times New Roman" w:hAnsi="Times New Roman" w:eastAsia="Times New Roman" w:cs="Times New Roman"/>
          <w:i w:val="1"/>
          <w:iCs w:val="1"/>
          <w:noProof w:val="0"/>
          <w:sz w:val="24"/>
          <w:szCs w:val="24"/>
          <w:lang w:val="en-US"/>
        </w:rPr>
        <w:t>Proceedings of the Workshop on Automated Detection, Extraction and Analysis of Semantic Information in Legal Texts</w:t>
      </w:r>
      <w:r w:rsidRPr="381C34B7" w:rsidR="643E6107">
        <w:rPr>
          <w:rFonts w:ascii="Times New Roman" w:hAnsi="Times New Roman" w:eastAsia="Times New Roman" w:cs="Times New Roman"/>
          <w:noProof w:val="0"/>
          <w:sz w:val="24"/>
          <w:szCs w:val="24"/>
          <w:lang w:val="en-US"/>
        </w:rPr>
        <w:t>. Cham: Springer, pp. 1–18.</w:t>
      </w:r>
    </w:p>
    <w:p xmlns:wp14="http://schemas.microsoft.com/office/word/2010/wordml" w:rsidP="381C34B7" wp14:paraId="5D90E5D7" wp14:textId="0D21D0E9">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Peffers, K., Tuunanen, T., Rothenberger, M. A. and Chatterjee, S. (2007) 'A design science research methodology for information systems research', </w:t>
      </w:r>
      <w:r w:rsidRPr="381C34B7" w:rsidR="643E6107">
        <w:rPr>
          <w:rFonts w:ascii="Times New Roman" w:hAnsi="Times New Roman" w:eastAsia="Times New Roman" w:cs="Times New Roman"/>
          <w:i w:val="1"/>
          <w:iCs w:val="1"/>
          <w:noProof w:val="0"/>
          <w:sz w:val="24"/>
          <w:szCs w:val="24"/>
          <w:lang w:val="en-US"/>
        </w:rPr>
        <w:t>Journal of Management Information Systems</w:t>
      </w:r>
      <w:r w:rsidRPr="381C34B7" w:rsidR="643E6107">
        <w:rPr>
          <w:rFonts w:ascii="Times New Roman" w:hAnsi="Times New Roman" w:eastAsia="Times New Roman" w:cs="Times New Roman"/>
          <w:noProof w:val="0"/>
          <w:sz w:val="24"/>
          <w:szCs w:val="24"/>
          <w:lang w:val="en-US"/>
        </w:rPr>
        <w:t>, 24(3), pp. 45–77.</w:t>
      </w:r>
    </w:p>
    <w:p xmlns:wp14="http://schemas.microsoft.com/office/word/2010/wordml" w:rsidP="381C34B7" wp14:paraId="70EE9F00" wp14:textId="00CEE4BF">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Sadiq, S., Governatori, G. and Namiri, K. (2007) 'Modeling control objectives for business process compliance', </w:t>
      </w:r>
      <w:r w:rsidRPr="381C34B7" w:rsidR="643E6107">
        <w:rPr>
          <w:rFonts w:ascii="Times New Roman" w:hAnsi="Times New Roman" w:eastAsia="Times New Roman" w:cs="Times New Roman"/>
          <w:i w:val="1"/>
          <w:iCs w:val="1"/>
          <w:noProof w:val="0"/>
          <w:sz w:val="24"/>
          <w:szCs w:val="24"/>
          <w:lang w:val="en-US"/>
        </w:rPr>
        <w:t>Proceedings of the 5th International Conference on Business Process Management</w:t>
      </w:r>
      <w:r w:rsidRPr="381C34B7" w:rsidR="643E6107">
        <w:rPr>
          <w:rFonts w:ascii="Times New Roman" w:hAnsi="Times New Roman" w:eastAsia="Times New Roman" w:cs="Times New Roman"/>
          <w:noProof w:val="0"/>
          <w:sz w:val="24"/>
          <w:szCs w:val="24"/>
          <w:lang w:val="en-US"/>
        </w:rPr>
        <w:t>, pp. 149–164.</w:t>
      </w:r>
    </w:p>
    <w:p xmlns:wp14="http://schemas.microsoft.com/office/word/2010/wordml" w:rsidP="381C34B7" wp14:paraId="2C078E63" wp14:textId="7A8E1990">
      <w:pPr>
        <w:bidi w:val="0"/>
        <w:spacing w:before="240" w:beforeAutospacing="off" w:after="240" w:afterAutospacing="off"/>
      </w:pPr>
      <w:r w:rsidRPr="381C34B7" w:rsidR="643E6107">
        <w:rPr>
          <w:rFonts w:ascii="Times New Roman" w:hAnsi="Times New Roman" w:eastAsia="Times New Roman" w:cs="Times New Roman"/>
          <w:noProof w:val="0"/>
          <w:sz w:val="24"/>
          <w:szCs w:val="24"/>
          <w:lang w:val="en-US"/>
        </w:rPr>
        <w:t xml:space="preserve">Venable, J., Pries-Heje, J. and Baskerville, R. (2016) 'FEDS: A framework for evaluation in design science research', </w:t>
      </w:r>
      <w:r w:rsidRPr="381C34B7" w:rsidR="643E6107">
        <w:rPr>
          <w:rFonts w:ascii="Times New Roman" w:hAnsi="Times New Roman" w:eastAsia="Times New Roman" w:cs="Times New Roman"/>
          <w:i w:val="1"/>
          <w:iCs w:val="1"/>
          <w:noProof w:val="0"/>
          <w:sz w:val="24"/>
          <w:szCs w:val="24"/>
          <w:lang w:val="en-US"/>
        </w:rPr>
        <w:t>European Journal of Information Systems</w:t>
      </w:r>
      <w:r w:rsidRPr="381C34B7" w:rsidR="643E6107">
        <w:rPr>
          <w:rFonts w:ascii="Times New Roman" w:hAnsi="Times New Roman" w:eastAsia="Times New Roman" w:cs="Times New Roman"/>
          <w:noProof w:val="0"/>
          <w:sz w:val="24"/>
          <w:szCs w:val="24"/>
          <w:lang w:val="en-US"/>
        </w:rPr>
        <w:t>, 25(1), pp. 77–89.</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660815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5565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74714F"/>
    <w:rsid w:val="381C34B7"/>
    <w:rsid w:val="390A5437"/>
    <w:rsid w:val="42740D43"/>
    <w:rsid w:val="4C74714F"/>
    <w:rsid w:val="643E6107"/>
    <w:rsid w:val="69C4C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1C2B"/>
  <w15:chartTrackingRefBased/>
  <w15:docId w15:val="{C03DBE16-C0CF-49E6-AD50-E1263B3F7A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81C34B7"/>
    <w:rPr>
      <w:color w:val="467886"/>
      <w:u w:val="single"/>
    </w:rPr>
  </w:style>
  <w:style w:type="paragraph" w:styleId="Heading1">
    <w:uiPriority w:val="9"/>
    <w:name w:val="heading 1"/>
    <w:basedOn w:val="Normal"/>
    <w:next w:val="Normal"/>
    <w:qFormat/>
    <w:rsid w:val="381C34B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1C34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81C34B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eba.europa.eu/sites/default/files/document_library/Publications/Reports/2021/1015484/EBA%20analysis%20of%20RegTech%20in%20the%20EU%20financial%20sector.pdf" TargetMode="External" Id="R5c662d302d4344c3" /><Relationship Type="http://schemas.openxmlformats.org/officeDocument/2006/relationships/hyperlink" Target="https://www.esma.europa.eu/sites/default/files/2024-12/ESA_2024_35_DORA_Dry_Run_exercise_summary_report.pdf" TargetMode="External" Id="Rd1cfc84b7f144707" /><Relationship Type="http://schemas.openxmlformats.org/officeDocument/2006/relationships/numbering" Target="numbering.xml" Id="R6396b5a72a6e40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2026-04-21T13:48:47.7363616Z</dcterms:created>
  <dcterms:modified xsi:type="dcterms:W3CDTF">2026-04-21T13:51:28.8936857Z</dcterms:modified>
  <dc:creator>Raouf Amir Boussouf</dc:creator>
  <lastModifiedBy>Raouf Amir Boussouf</lastModifiedBy>
</coreProperties>
</file>