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数据看板；</w:t>
      </w:r>
    </w:p>
    <w:p>
      <w:pPr>
        <w:pStyle w:val="4"/>
        <w:rPr>
          <w:rFonts w:hint="eastAsia"/>
        </w:rPr>
      </w:pPr>
      <w:r>
        <w:rPr>
          <w:rFonts w:hint="eastAsia"/>
        </w:rPr>
        <w:t>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4"/>
      </w:pPr>
      <w:r>
        <w:rPr>
          <w:rFonts w:hint="eastAsia"/>
        </w:rPr>
        <w:t>告警数据，核实数据。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1；监测。2；监护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自动化设备监控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eqMonitorInfo   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离线线设备明细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4"/>
      </w:pPr>
      <w:r>
        <w:rPr>
          <w:rFonts w:hint="eastAsia"/>
        </w:rPr>
        <w:t>项目设备状态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status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获取总的在线离线和总数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18"/>
        <w:shd w:val="clear" w:color="auto" w:fill="FFFFFF"/>
      </w:pPr>
      <w:r>
        <w:rPr>
          <w:rStyle w:val="36"/>
        </w:rPr>
        <w:t>自动化设备监控</w:t>
      </w:r>
      <w:r>
        <w:rPr>
          <w:rStyle w:val="36"/>
          <w:rFonts w:hint="eastAsia"/>
        </w:rPr>
        <w:t xml:space="preserve"> </w:t>
      </w:r>
      <w:r>
        <w:t xml:space="preserve">     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 xml:space="preserve">eqMonitorInfo   </w:t>
      </w: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pPr>
        <w:pStyle w:val="4"/>
        <w:rPr>
          <w:rFonts w:hint="eastAsia"/>
        </w:rPr>
      </w:pPr>
      <w:r>
        <w:rPr>
          <w:rStyle w:val="35"/>
          <w:b w:val="0"/>
          <w:bCs w:val="0"/>
        </w:rPr>
        <w:t>基本信息</w:t>
      </w:r>
      <w:r>
        <w:rPr>
          <w:rStyle w:val="35"/>
          <w:rFonts w:hint="eastAsia"/>
          <w:b w:val="0"/>
          <w:bCs w:val="0"/>
        </w:rPr>
        <w:t>和设备检测</w:t>
      </w:r>
    </w:p>
    <w:p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检测：</w:t>
      </w:r>
    </w:p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warnFlag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数据类型：1：告警项目 2：全部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  <w:rPr>
          <w:rStyle w:val="67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</w:p>
    <w:p>
      <w:pPr>
        <w:pStyle w:val="57"/>
        <w:ind w:left="1260" w:leftChars="0" w:firstLine="420" w:firstLineChars="0"/>
        <w:rPr>
          <w:rStyle w:val="67"/>
          <w:i w:val="0"/>
        </w:rPr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positionName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职位</w:t>
      </w:r>
      <w:r>
        <w:rPr>
          <w:rStyle w:val="67"/>
          <w:i w:val="0"/>
        </w:rPr>
        <w:t>"</w:t>
      </w:r>
    </w:p>
    <w:p>
      <w:pPr>
        <w:pStyle w:val="57"/>
      </w:pP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成果分析</w:t>
      </w:r>
    </w:p>
    <w:p>
      <w:pPr>
        <w:pStyle w:val="45"/>
      </w:pPr>
      <w:r>
        <w:t>请求路径：analysis/analysisOfResult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76"/>
        <w:gridCol w:w="3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项目id（必填）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genre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1:自动化 2：非自动化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pointName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测点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开始时间 （eg:2020-10-12）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 xml:space="preserve">String </w:t>
            </w:r>
          </w:p>
        </w:tc>
        <w:tc>
          <w:p>
            <w:pPr>
              <w:pStyle w:val="46"/>
              <w:jc w:val="left"/>
            </w:pPr>
            <w:r>
              <w:t>结束时间 （eg:2020-10-14）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"sumNum"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  <w:bookmarkStart w:id="47" w:name="_GoBack"/>
      <w:bookmarkEnd w:id="47"/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416"/>
      <w:bookmarkStart w:id="18" w:name="header-n18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startDate : 上传日期 (String: yyyy-MM-dd) (必填) 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146"/>
    <w:multiLevelType w:val="multilevel"/>
    <w:tmpl w:val="4E3801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qFormat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qFormat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qFormat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qFormat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qFormat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qFormat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2020-10-14T10:31:46Z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