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B52C" w14:textId="192C5945" w:rsidR="00C55F7F" w:rsidRDefault="00C55F7F">
      <w:r>
        <w:t xml:space="preserve">To address these gaps, the following chapters leverage diversity panels in two Brassica crop species, </w:t>
      </w:r>
      <w:r>
        <w:rPr>
          <w:rStyle w:val="Emphasis"/>
        </w:rPr>
        <w:t>Brassica rapa</w:t>
      </w:r>
      <w:r>
        <w:t xml:space="preserve"> and </w:t>
      </w:r>
      <w:r>
        <w:rPr>
          <w:rStyle w:val="Emphasis"/>
        </w:rPr>
        <w:t>Brassica napus</w:t>
      </w:r>
      <w:r>
        <w:t>, to examine how temporal regulation shapes paralog-specific stress responses across both evolutionary and physiological contexts.</w:t>
      </w:r>
    </w:p>
    <w:sectPr w:rsidR="00C55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7F"/>
    <w:rsid w:val="00172919"/>
    <w:rsid w:val="009853C5"/>
    <w:rsid w:val="00C5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3FC98"/>
  <w15:chartTrackingRefBased/>
  <w15:docId w15:val="{555B0348-468C-DD4E-9654-FF732557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F7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C55F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Ricono, Angela</dc:creator>
  <cp:keywords/>
  <dc:description/>
  <cp:lastModifiedBy>Ricono, Angela</cp:lastModifiedBy>
  <cp:revision>1</cp:revision>
  <dcterms:created xsi:type="dcterms:W3CDTF">2026-03-31T01:45:00Z</dcterms:created>
  <dcterms:modified xsi:type="dcterms:W3CDTF">2026-03-31T01:45:00Z</dcterms:modified>
</cp:coreProperties>
</file>