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3DFB" w14:textId="62C30384" w:rsidR="00D277A4" w:rsidRPr="00592320" w:rsidRDefault="00D277A4">
      <w:pPr>
        <w:rPr>
          <w:rFonts w:ascii="Times New Roman" w:hAnsi="Times New Roman" w:cs="Times New Roman"/>
        </w:rPr>
      </w:pPr>
      <w:r w:rsidRPr="00592320">
        <w:rPr>
          <w:rFonts w:ascii="Times New Roman" w:hAnsi="Times New Roman" w:cs="Times New Roman"/>
        </w:rPr>
        <w:t>From the Gene to Behavior</w:t>
      </w:r>
    </w:p>
    <w:p w14:paraId="281AFB3F" w14:textId="669047E0" w:rsidR="00237FE5" w:rsidRPr="00592320" w:rsidRDefault="00D277A4">
      <w:pPr>
        <w:rPr>
          <w:rFonts w:ascii="Times New Roman" w:hAnsi="Times New Roman" w:cs="Times New Roman"/>
        </w:rPr>
      </w:pPr>
      <w:hyperlink r:id="rId4" w:history="1">
        <w:r w:rsidRPr="00592320">
          <w:rPr>
            <w:rStyle w:val="Hyperlink"/>
            <w:rFonts w:ascii="Times New Roman" w:hAnsi="Times New Roman" w:cs="Times New Roman"/>
          </w:rPr>
          <w:t>https://jamanetwork.com/journals/jama/article-abstract/339822</w:t>
        </w:r>
      </w:hyperlink>
    </w:p>
    <w:p w14:paraId="0F069802" w14:textId="77777777" w:rsidR="00D277A4" w:rsidRPr="00592320" w:rsidRDefault="00D277A4">
      <w:pPr>
        <w:rPr>
          <w:rFonts w:ascii="Times New Roman" w:hAnsi="Times New Roman" w:cs="Times New Roman"/>
        </w:rPr>
      </w:pPr>
    </w:p>
    <w:p w14:paraId="02C11354" w14:textId="6FC705CD" w:rsidR="00D277A4" w:rsidRPr="00592320" w:rsidRDefault="00D277A4" w:rsidP="00D277A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>A Mutation of the Circadian System in Golden Hamsters</w:t>
      </w:r>
    </w:p>
    <w:p w14:paraId="3D5A95D8" w14:textId="732DAF4F" w:rsidR="00D277A4" w:rsidRPr="00592320" w:rsidRDefault="00D277A4">
      <w:pPr>
        <w:rPr>
          <w:rFonts w:ascii="Times New Roman" w:hAnsi="Times New Roman" w:cs="Times New Roman"/>
        </w:rPr>
      </w:pPr>
      <w:hyperlink r:id="rId5" w:history="1">
        <w:r w:rsidRPr="00592320">
          <w:rPr>
            <w:rStyle w:val="Hyperlink"/>
            <w:rFonts w:ascii="Times New Roman" w:hAnsi="Times New Roman" w:cs="Times New Roman"/>
          </w:rPr>
          <w:t>https:</w:t>
        </w:r>
        <w:r w:rsidRPr="00592320">
          <w:rPr>
            <w:rStyle w:val="Hyperlink"/>
            <w:rFonts w:ascii="Times New Roman" w:hAnsi="Times New Roman" w:cs="Times New Roman"/>
          </w:rPr>
          <w:t>/</w:t>
        </w:r>
        <w:r w:rsidRPr="00592320">
          <w:rPr>
            <w:rStyle w:val="Hyperlink"/>
            <w:rFonts w:ascii="Times New Roman" w:hAnsi="Times New Roman" w:cs="Times New Roman"/>
          </w:rPr>
          <w:t>/www.science.org/doi/10.1126/science.3413487</w:t>
        </w:r>
      </w:hyperlink>
    </w:p>
    <w:p w14:paraId="5FAF18AC" w14:textId="77777777" w:rsidR="00D277A4" w:rsidRPr="00592320" w:rsidRDefault="00D277A4">
      <w:pPr>
        <w:rPr>
          <w:rFonts w:ascii="Times New Roman" w:hAnsi="Times New Roman" w:cs="Times New Roman"/>
        </w:rPr>
      </w:pPr>
    </w:p>
    <w:p w14:paraId="5A329CC5" w14:textId="77777777" w:rsidR="00D277A4" w:rsidRPr="00592320" w:rsidRDefault="00D277A4" w:rsidP="00D277A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>Circadian Clock Mutants in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1A1A1A"/>
          <w:kern w:val="36"/>
          <w14:ligatures w14:val="none"/>
        </w:rPr>
        <w:t>Arabidopsis</w:t>
      </w:r>
      <w:r w:rsidRPr="00D277A4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> Identified by Luciferase Imaging</w:t>
      </w:r>
    </w:p>
    <w:p w14:paraId="4E2631DD" w14:textId="381FE052" w:rsidR="00D277A4" w:rsidRPr="00D277A4" w:rsidRDefault="00D277A4" w:rsidP="00D277A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</w:pPr>
      <w:r w:rsidRPr="00592320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>https://www.science.org/doi/10.1126/science.7855595</w:t>
      </w:r>
    </w:p>
    <w:p w14:paraId="48ED9369" w14:textId="77777777" w:rsidR="00D277A4" w:rsidRPr="00592320" w:rsidRDefault="00D277A4">
      <w:pPr>
        <w:rPr>
          <w:rFonts w:ascii="Times New Roman" w:hAnsi="Times New Roman" w:cs="Times New Roman"/>
        </w:rPr>
      </w:pPr>
    </w:p>
    <w:p w14:paraId="5718B940" w14:textId="77777777" w:rsidR="00D277A4" w:rsidRPr="00D277A4" w:rsidRDefault="00D277A4" w:rsidP="00D277A4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222222"/>
          <w:kern w:val="36"/>
          <w14:ligatures w14:val="none"/>
        </w:rPr>
        <w:t>Feedback of the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222222"/>
          <w:kern w:val="36"/>
          <w14:ligatures w14:val="none"/>
        </w:rPr>
        <w:t>Drosophila</w:t>
      </w:r>
      <w:r w:rsidRPr="00D277A4">
        <w:rPr>
          <w:rFonts w:ascii="Times New Roman" w:eastAsia="Times New Roman" w:hAnsi="Times New Roman" w:cs="Times New Roman"/>
          <w:b/>
          <w:bCs/>
          <w:color w:val="222222"/>
          <w:kern w:val="36"/>
          <w14:ligatures w14:val="none"/>
        </w:rPr>
        <w:t> period gene product on circadian cycling of its messenger RNA levels</w:t>
      </w:r>
    </w:p>
    <w:p w14:paraId="241E0721" w14:textId="09AA7BB8" w:rsidR="00D277A4" w:rsidRPr="00592320" w:rsidRDefault="00D277A4" w:rsidP="00D277A4">
      <w:pPr>
        <w:rPr>
          <w:rFonts w:ascii="Times New Roman" w:hAnsi="Times New Roman" w:cs="Times New Roman"/>
        </w:rPr>
      </w:pPr>
      <w:hyperlink r:id="rId6" w:history="1">
        <w:r w:rsidRPr="00592320">
          <w:rPr>
            <w:rStyle w:val="Hyperlink"/>
            <w:rFonts w:ascii="Times New Roman" w:hAnsi="Times New Roman" w:cs="Times New Roman"/>
          </w:rPr>
          <w:t>https://www.nature.com/articles/343536a0</w:t>
        </w:r>
      </w:hyperlink>
    </w:p>
    <w:p w14:paraId="04DBF785" w14:textId="77777777" w:rsidR="00D277A4" w:rsidRPr="00592320" w:rsidRDefault="00D277A4" w:rsidP="00D277A4">
      <w:pPr>
        <w:rPr>
          <w:rFonts w:ascii="Times New Roman" w:hAnsi="Times New Roman" w:cs="Times New Roman"/>
        </w:rPr>
      </w:pPr>
    </w:p>
    <w:p w14:paraId="4DACF475" w14:textId="77777777" w:rsidR="00D277A4" w:rsidRPr="00D277A4" w:rsidRDefault="00D277A4" w:rsidP="00D277A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TIMELESS‐dependent positive and negative autoregulation in the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14:ligatures w14:val="none"/>
        </w:rPr>
        <w:t>Drosophila</w:t>
      </w:r>
      <w:r w:rsidRPr="00D277A4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 circadian clock</w:t>
      </w:r>
    </w:p>
    <w:p w14:paraId="4B6A391A" w14:textId="4D19E0A4" w:rsidR="00D277A4" w:rsidRPr="00592320" w:rsidRDefault="00D277A4" w:rsidP="00D277A4">
      <w:pPr>
        <w:rPr>
          <w:rFonts w:ascii="Times New Roman" w:hAnsi="Times New Roman" w:cs="Times New Roman"/>
        </w:rPr>
      </w:pPr>
      <w:hyperlink r:id="rId7" w:history="1">
        <w:r w:rsidRPr="00592320">
          <w:rPr>
            <w:rStyle w:val="Hyperlink"/>
            <w:rFonts w:ascii="Times New Roman" w:hAnsi="Times New Roman" w:cs="Times New Roman"/>
          </w:rPr>
          <w:t>https://www.embopress.org/doi/full/10.1093/emboj/18.3.675</w:t>
        </w:r>
      </w:hyperlink>
    </w:p>
    <w:p w14:paraId="7BD5F314" w14:textId="77777777" w:rsidR="00D277A4" w:rsidRPr="00592320" w:rsidRDefault="00D277A4" w:rsidP="00D277A4">
      <w:pPr>
        <w:rPr>
          <w:rFonts w:ascii="Times New Roman" w:hAnsi="Times New Roman" w:cs="Times New Roman"/>
        </w:rPr>
      </w:pPr>
    </w:p>
    <w:p w14:paraId="79E0B62A" w14:textId="77777777" w:rsidR="00D277A4" w:rsidRPr="00D277A4" w:rsidRDefault="00D277A4" w:rsidP="00D277A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 xml:space="preserve">Reconstitution of Circadian Oscillation of Cyanobacterial </w:t>
      </w:r>
      <w:proofErr w:type="spellStart"/>
      <w:r w:rsidRPr="00D277A4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>KaiC</w:t>
      </w:r>
      <w:proofErr w:type="spellEnd"/>
      <w:r w:rsidRPr="00D277A4">
        <w:rPr>
          <w:rFonts w:ascii="Times New Roman" w:eastAsia="Times New Roman" w:hAnsi="Times New Roman" w:cs="Times New Roman"/>
          <w:b/>
          <w:bCs/>
          <w:color w:val="1A1A1A"/>
          <w:kern w:val="36"/>
          <w14:ligatures w14:val="none"/>
        </w:rPr>
        <w:t xml:space="preserve"> Phosphorylation in Vitro</w:t>
      </w:r>
    </w:p>
    <w:p w14:paraId="4EC90E7E" w14:textId="16D0DEDE" w:rsidR="00D277A4" w:rsidRPr="00592320" w:rsidRDefault="00D277A4" w:rsidP="00D277A4">
      <w:pPr>
        <w:rPr>
          <w:rFonts w:ascii="Times New Roman" w:hAnsi="Times New Roman" w:cs="Times New Roman"/>
        </w:rPr>
      </w:pPr>
      <w:hyperlink r:id="rId8" w:history="1">
        <w:r w:rsidRPr="00592320">
          <w:rPr>
            <w:rStyle w:val="Hyperlink"/>
            <w:rFonts w:ascii="Times New Roman" w:hAnsi="Times New Roman" w:cs="Times New Roman"/>
          </w:rPr>
          <w:t>https://www.science.org/doi/10.1126/science.1108451</w:t>
        </w:r>
      </w:hyperlink>
    </w:p>
    <w:p w14:paraId="3A5261ED" w14:textId="77777777" w:rsidR="00D277A4" w:rsidRPr="00592320" w:rsidRDefault="00D277A4" w:rsidP="00D277A4">
      <w:pPr>
        <w:rPr>
          <w:rFonts w:ascii="Times New Roman" w:hAnsi="Times New Roman" w:cs="Times New Roman"/>
        </w:rPr>
      </w:pPr>
    </w:p>
    <w:p w14:paraId="022FD8A6" w14:textId="77777777" w:rsidR="00D277A4" w:rsidRPr="00D277A4" w:rsidRDefault="00D277A4" w:rsidP="00D277A4">
      <w:pPr>
        <w:shd w:val="clear" w:color="auto" w:fill="FFFFFF"/>
        <w:spacing w:beforeAutospacing="1" w:after="0" w:afterAutospacing="1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383636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383636"/>
          <w:kern w:val="36"/>
          <w14:ligatures w14:val="none"/>
        </w:rPr>
        <w:t>The short-period mutant,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383636"/>
          <w:kern w:val="36"/>
          <w:bdr w:val="none" w:sz="0" w:space="0" w:color="auto" w:frame="1"/>
          <w14:ligatures w14:val="none"/>
        </w:rPr>
        <w:t>toc1-1</w:t>
      </w:r>
      <w:r w:rsidRPr="00D277A4">
        <w:rPr>
          <w:rFonts w:ascii="Times New Roman" w:eastAsia="Times New Roman" w:hAnsi="Times New Roman" w:cs="Times New Roman"/>
          <w:b/>
          <w:bCs/>
          <w:color w:val="383636"/>
          <w:kern w:val="36"/>
          <w14:ligatures w14:val="none"/>
        </w:rPr>
        <w:t>, alters circadian clock regulation of multiple outputs throughout development in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383636"/>
          <w:kern w:val="36"/>
          <w:bdr w:val="none" w:sz="0" w:space="0" w:color="auto" w:frame="1"/>
          <w14:ligatures w14:val="none"/>
        </w:rPr>
        <w:t>Arabidopsis thaliana</w:t>
      </w:r>
    </w:p>
    <w:p w14:paraId="5A5135D1" w14:textId="2A3807EE" w:rsidR="00D277A4" w:rsidRPr="00592320" w:rsidRDefault="00D277A4" w:rsidP="00D277A4">
      <w:pPr>
        <w:rPr>
          <w:rFonts w:ascii="Times New Roman" w:hAnsi="Times New Roman" w:cs="Times New Roman"/>
        </w:rPr>
      </w:pPr>
      <w:hyperlink r:id="rId9" w:history="1">
        <w:r w:rsidRPr="00592320">
          <w:rPr>
            <w:rStyle w:val="Hyperlink"/>
            <w:rFonts w:ascii="Times New Roman" w:hAnsi="Times New Roman" w:cs="Times New Roman"/>
          </w:rPr>
          <w:t>https://journals.biologists.com/dev/article-abstract/125/3/485/40116/The-short-period-mutant-toc1-1-alters-circadian?redirectedFrom=fulltext</w:t>
        </w:r>
      </w:hyperlink>
    </w:p>
    <w:p w14:paraId="31949FD0" w14:textId="77777777" w:rsidR="00D277A4" w:rsidRPr="00592320" w:rsidRDefault="00D277A4" w:rsidP="00D277A4">
      <w:pPr>
        <w:rPr>
          <w:rFonts w:ascii="Times New Roman" w:hAnsi="Times New Roman" w:cs="Times New Roman"/>
        </w:rPr>
      </w:pPr>
    </w:p>
    <w:p w14:paraId="2CFB489C" w14:textId="097899C7" w:rsidR="00D277A4" w:rsidRPr="00592320" w:rsidRDefault="00D277A4" w:rsidP="00D277A4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222222"/>
          <w:kern w:val="36"/>
          <w14:ligatures w14:val="none"/>
        </w:rPr>
        <w:t>The singularity response reveals entrainment properties of the plant circadian clock</w:t>
      </w:r>
    </w:p>
    <w:p w14:paraId="5770C8B5" w14:textId="38B3B115" w:rsidR="00D277A4" w:rsidRPr="00592320" w:rsidRDefault="00D277A4" w:rsidP="00D277A4">
      <w:pPr>
        <w:rPr>
          <w:rFonts w:ascii="Times New Roman" w:hAnsi="Times New Roman" w:cs="Times New Roman"/>
        </w:rPr>
      </w:pPr>
      <w:hyperlink r:id="rId10" w:history="1">
        <w:r w:rsidRPr="00592320">
          <w:rPr>
            <w:rStyle w:val="Hyperlink"/>
            <w:rFonts w:ascii="Times New Roman" w:hAnsi="Times New Roman" w:cs="Times New Roman"/>
          </w:rPr>
          <w:t>https://www.nature.com/articles/s41467-021-21167-7</w:t>
        </w:r>
      </w:hyperlink>
    </w:p>
    <w:p w14:paraId="3AD3F01C" w14:textId="77777777" w:rsidR="00D277A4" w:rsidRPr="00592320" w:rsidRDefault="00D277A4" w:rsidP="00D277A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</w:pPr>
    </w:p>
    <w:p w14:paraId="66F4A0C6" w14:textId="739381DD" w:rsidR="00D277A4" w:rsidRPr="00592320" w:rsidRDefault="00D277A4" w:rsidP="00D277A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  <w:t>Ambient temperature response establishes ELF3 as a required component of the core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0B0B0B"/>
          <w:kern w:val="36"/>
          <w14:ligatures w14:val="none"/>
        </w:rPr>
        <w:t>Arabidopsis</w:t>
      </w:r>
      <w:r w:rsidRPr="00D277A4"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  <w:t> circadian clock</w:t>
      </w:r>
    </w:p>
    <w:p w14:paraId="254960C4" w14:textId="11212888" w:rsidR="00D277A4" w:rsidRPr="00592320" w:rsidRDefault="00D277A4" w:rsidP="00D277A4">
      <w:pPr>
        <w:rPr>
          <w:rFonts w:ascii="Times New Roman" w:hAnsi="Times New Roman" w:cs="Times New Roman"/>
        </w:rPr>
      </w:pPr>
      <w:hyperlink r:id="rId11" w:history="1">
        <w:r w:rsidRPr="00592320">
          <w:rPr>
            <w:rStyle w:val="Hyperlink"/>
            <w:rFonts w:ascii="Times New Roman" w:hAnsi="Times New Roman" w:cs="Times New Roman"/>
          </w:rPr>
          <w:t>https://www.pnas.org/doi/full/10.1073/pnas.0911006107</w:t>
        </w:r>
      </w:hyperlink>
    </w:p>
    <w:p w14:paraId="3C09E1ED" w14:textId="77777777" w:rsidR="00D277A4" w:rsidRPr="00592320" w:rsidRDefault="00D277A4" w:rsidP="00D277A4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b/>
          <w:bCs/>
          <w:color w:val="1B1B1B"/>
          <w:kern w:val="36"/>
          <w14:ligatures w14:val="none"/>
        </w:rPr>
      </w:pPr>
    </w:p>
    <w:p w14:paraId="7C26B937" w14:textId="15798FEF" w:rsidR="00D277A4" w:rsidRPr="00592320" w:rsidRDefault="00D277A4" w:rsidP="00D277A4">
      <w:pPr>
        <w:shd w:val="clear" w:color="auto" w:fill="FFFFFF"/>
        <w:spacing w:after="0" w:line="450" w:lineRule="atLeast"/>
        <w:outlineLvl w:val="0"/>
        <w:rPr>
          <w:rFonts w:ascii="Times New Roman" w:eastAsia="Times New Roman" w:hAnsi="Times New Roman" w:cs="Times New Roman"/>
          <w:b/>
          <w:bCs/>
          <w:color w:val="1B1B1B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1B1B1B"/>
          <w:kern w:val="36"/>
          <w14:ligatures w14:val="none"/>
        </w:rPr>
        <w:t>The Molecular Basis of Temperature Compensation in the </w:t>
      </w:r>
      <w:r w:rsidRPr="00D277A4">
        <w:rPr>
          <w:rFonts w:ascii="Times New Roman" w:eastAsia="Times New Roman" w:hAnsi="Times New Roman" w:cs="Times New Roman"/>
          <w:b/>
          <w:bCs/>
          <w:i/>
          <w:iCs/>
          <w:color w:val="1B1B1B"/>
          <w:kern w:val="36"/>
          <w14:ligatures w14:val="none"/>
        </w:rPr>
        <w:t>Arabidopsis</w:t>
      </w:r>
      <w:r w:rsidRPr="00D277A4">
        <w:rPr>
          <w:rFonts w:ascii="Times New Roman" w:eastAsia="Times New Roman" w:hAnsi="Times New Roman" w:cs="Times New Roman"/>
          <w:b/>
          <w:bCs/>
          <w:color w:val="1B1B1B"/>
          <w:kern w:val="36"/>
          <w14:ligatures w14:val="none"/>
        </w:rPr>
        <w:t> Circadian Clock</w:t>
      </w:r>
    </w:p>
    <w:p w14:paraId="5AA3659E" w14:textId="038311A2" w:rsidR="00D277A4" w:rsidRPr="00592320" w:rsidRDefault="00D277A4" w:rsidP="00D277A4">
      <w:pPr>
        <w:rPr>
          <w:rFonts w:ascii="Times New Roman" w:hAnsi="Times New Roman" w:cs="Times New Roman"/>
        </w:rPr>
      </w:pPr>
      <w:hyperlink r:id="rId12" w:history="1">
        <w:r w:rsidRPr="00592320">
          <w:rPr>
            <w:rStyle w:val="Hyperlink"/>
            <w:rFonts w:ascii="Times New Roman" w:hAnsi="Times New Roman" w:cs="Times New Roman"/>
          </w:rPr>
          <w:t>https://pmc.ncbi.nlm.nih.gov/articles/PMC1456873/</w:t>
        </w:r>
      </w:hyperlink>
    </w:p>
    <w:p w14:paraId="76762E64" w14:textId="77777777" w:rsidR="00D277A4" w:rsidRPr="00592320" w:rsidRDefault="00D277A4" w:rsidP="00D277A4">
      <w:pPr>
        <w:rPr>
          <w:rFonts w:ascii="Times New Roman" w:hAnsi="Times New Roman" w:cs="Times New Roman"/>
          <w:b/>
          <w:bCs/>
          <w:color w:val="2A2A2A"/>
          <w:shd w:val="clear" w:color="auto" w:fill="FFFFFF"/>
        </w:rPr>
      </w:pPr>
    </w:p>
    <w:p w14:paraId="081332C5" w14:textId="38217444" w:rsidR="00D277A4" w:rsidRPr="00592320" w:rsidRDefault="00D277A4" w:rsidP="00D277A4">
      <w:pPr>
        <w:rPr>
          <w:rFonts w:ascii="Times New Roman" w:hAnsi="Times New Roman" w:cs="Times New Roman"/>
        </w:rPr>
      </w:pPr>
      <w:r w:rsidRPr="00592320">
        <w:rPr>
          <w:rFonts w:ascii="Times New Roman" w:hAnsi="Times New Roman" w:cs="Times New Roman"/>
          <w:b/>
          <w:bCs/>
          <w:color w:val="2A2A2A"/>
          <w:shd w:val="clear" w:color="auto" w:fill="FFFFFF"/>
        </w:rPr>
        <w:t>The Role of the </w:t>
      </w:r>
      <w:r w:rsidRPr="00592320">
        <w:rPr>
          <w:rStyle w:val="Emphasis"/>
          <w:rFonts w:ascii="Times New Roman" w:hAnsi="Times New Roman" w:cs="Times New Roman"/>
          <w:b/>
          <w:bCs/>
          <w:color w:val="2A2A2A"/>
          <w:bdr w:val="none" w:sz="0" w:space="0" w:color="auto" w:frame="1"/>
          <w:shd w:val="clear" w:color="auto" w:fill="FFFFFF"/>
        </w:rPr>
        <w:t>Arabidopsis</w:t>
      </w:r>
      <w:r w:rsidRPr="00592320">
        <w:rPr>
          <w:rFonts w:ascii="Times New Roman" w:hAnsi="Times New Roman" w:cs="Times New Roman"/>
          <w:b/>
          <w:bCs/>
          <w:color w:val="2A2A2A"/>
          <w:shd w:val="clear" w:color="auto" w:fill="FFFFFF"/>
        </w:rPr>
        <w:t> Morning Loop Components CCA1, LHY, PRR7, and PRR9 in Temperature Compensation</w:t>
      </w:r>
    </w:p>
    <w:p w14:paraId="1792A378" w14:textId="22927E82" w:rsidR="00D277A4" w:rsidRPr="00592320" w:rsidRDefault="00D277A4" w:rsidP="00D277A4">
      <w:pPr>
        <w:rPr>
          <w:rFonts w:ascii="Times New Roman" w:hAnsi="Times New Roman" w:cs="Times New Roman"/>
        </w:rPr>
      </w:pPr>
      <w:hyperlink r:id="rId13" w:history="1">
        <w:r w:rsidRPr="00592320">
          <w:rPr>
            <w:rStyle w:val="Hyperlink"/>
            <w:rFonts w:ascii="Times New Roman" w:hAnsi="Times New Roman" w:cs="Times New Roman"/>
          </w:rPr>
          <w:t>https://academic.oup.com/plcell/article-abstract/22/11/3650/6097047?redirectedFrom=fulltext</w:t>
        </w:r>
      </w:hyperlink>
    </w:p>
    <w:p w14:paraId="2D23E33B" w14:textId="77777777" w:rsidR="00D277A4" w:rsidRPr="00592320" w:rsidRDefault="00D277A4" w:rsidP="00D277A4">
      <w:pPr>
        <w:rPr>
          <w:rFonts w:ascii="Times New Roman" w:hAnsi="Times New Roman" w:cs="Times New Roman"/>
        </w:rPr>
      </w:pPr>
    </w:p>
    <w:p w14:paraId="1C404B03" w14:textId="77777777" w:rsidR="00D277A4" w:rsidRPr="00D277A4" w:rsidRDefault="00D277A4" w:rsidP="00D277A4">
      <w:pPr>
        <w:shd w:val="clear" w:color="auto" w:fill="FFFFFF"/>
        <w:spacing w:after="135" w:line="405" w:lineRule="atLeast"/>
        <w:outlineLvl w:val="0"/>
        <w:rPr>
          <w:rFonts w:ascii="Times New Roman" w:eastAsia="Times New Roman" w:hAnsi="Times New Roman" w:cs="Times New Roman"/>
          <w:b/>
          <w:bCs/>
          <w:color w:val="202020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202020"/>
          <w:kern w:val="36"/>
          <w14:ligatures w14:val="none"/>
        </w:rPr>
        <w:t xml:space="preserve">Network Discovery Pipeline Elucidates Conserved Time-of-Day–Specific </w:t>
      </w:r>
      <w:proofErr w:type="gramStart"/>
      <w:r w:rsidRPr="00D277A4">
        <w:rPr>
          <w:rFonts w:ascii="Times New Roman" w:eastAsia="Times New Roman" w:hAnsi="Times New Roman" w:cs="Times New Roman"/>
          <w:b/>
          <w:bCs/>
          <w:color w:val="202020"/>
          <w:kern w:val="36"/>
          <w14:ligatures w14:val="none"/>
        </w:rPr>
        <w:t>cis</w:t>
      </w:r>
      <w:proofErr w:type="gramEnd"/>
      <w:r w:rsidRPr="00D277A4">
        <w:rPr>
          <w:rFonts w:ascii="Times New Roman" w:eastAsia="Times New Roman" w:hAnsi="Times New Roman" w:cs="Times New Roman"/>
          <w:b/>
          <w:bCs/>
          <w:color w:val="202020"/>
          <w:kern w:val="36"/>
          <w14:ligatures w14:val="none"/>
        </w:rPr>
        <w:t>-Regulatory Modules</w:t>
      </w:r>
    </w:p>
    <w:p w14:paraId="72A55C28" w14:textId="6E7C753D" w:rsidR="00D277A4" w:rsidRPr="00592320" w:rsidRDefault="00D277A4" w:rsidP="00D277A4">
      <w:pPr>
        <w:rPr>
          <w:rFonts w:ascii="Times New Roman" w:hAnsi="Times New Roman" w:cs="Times New Roman"/>
        </w:rPr>
      </w:pPr>
      <w:hyperlink r:id="rId14" w:history="1">
        <w:r w:rsidRPr="00592320">
          <w:rPr>
            <w:rStyle w:val="Hyperlink"/>
            <w:rFonts w:ascii="Times New Roman" w:hAnsi="Times New Roman" w:cs="Times New Roman"/>
          </w:rPr>
          <w:t>https://journals.plos.org/plosgenetics/article?id=10.1371/journal.pgen.0040014</w:t>
        </w:r>
      </w:hyperlink>
    </w:p>
    <w:p w14:paraId="73ECD4F9" w14:textId="77777777" w:rsidR="00D277A4" w:rsidRPr="00592320" w:rsidRDefault="00D277A4" w:rsidP="00D277A4">
      <w:pPr>
        <w:rPr>
          <w:rFonts w:ascii="Times New Roman" w:hAnsi="Times New Roman" w:cs="Times New Roman"/>
        </w:rPr>
      </w:pPr>
    </w:p>
    <w:p w14:paraId="15BACF18" w14:textId="77777777" w:rsidR="00D277A4" w:rsidRPr="00D277A4" w:rsidRDefault="00D277A4" w:rsidP="00D277A4">
      <w:pPr>
        <w:shd w:val="clear" w:color="auto" w:fill="FFFFFF"/>
        <w:spacing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B3051"/>
          <w:kern w:val="36"/>
          <w14:ligatures w14:val="none"/>
        </w:rPr>
      </w:pPr>
      <w:r w:rsidRPr="00D277A4">
        <w:rPr>
          <w:rFonts w:ascii="Times New Roman" w:eastAsia="Times New Roman" w:hAnsi="Times New Roman" w:cs="Times New Roman"/>
          <w:b/>
          <w:bCs/>
          <w:color w:val="1B3051"/>
          <w:kern w:val="36"/>
          <w14:ligatures w14:val="none"/>
        </w:rPr>
        <w:t>Global transcriptome analysis reveals circadian regulation of key pathways in plant growth and development</w:t>
      </w:r>
    </w:p>
    <w:p w14:paraId="40C07FB1" w14:textId="659D252F" w:rsidR="00D277A4" w:rsidRPr="00592320" w:rsidRDefault="00592320" w:rsidP="00D277A4">
      <w:pPr>
        <w:rPr>
          <w:rFonts w:ascii="Times New Roman" w:hAnsi="Times New Roman" w:cs="Times New Roman"/>
        </w:rPr>
      </w:pPr>
      <w:hyperlink r:id="rId15" w:history="1">
        <w:r w:rsidRPr="00592320">
          <w:rPr>
            <w:rStyle w:val="Hyperlink"/>
            <w:rFonts w:ascii="Times New Roman" w:hAnsi="Times New Roman" w:cs="Times New Roman"/>
          </w:rPr>
          <w:t>https://genomebiology.biomedcentral.com/articles/10.1186/gb-2008-9-8-r130</w:t>
        </w:r>
      </w:hyperlink>
    </w:p>
    <w:p w14:paraId="0F20FD5F" w14:textId="77777777" w:rsidR="00592320" w:rsidRPr="00592320" w:rsidRDefault="00592320" w:rsidP="00D277A4">
      <w:pPr>
        <w:rPr>
          <w:rFonts w:ascii="Times New Roman" w:hAnsi="Times New Roman" w:cs="Times New Roman"/>
        </w:rPr>
      </w:pPr>
    </w:p>
    <w:p w14:paraId="6D190045" w14:textId="77777777" w:rsidR="00592320" w:rsidRPr="00592320" w:rsidRDefault="00592320" w:rsidP="0059232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C1D1E"/>
          <w:kern w:val="36"/>
          <w14:ligatures w14:val="none"/>
        </w:rPr>
      </w:pPr>
      <w:r w:rsidRPr="00592320">
        <w:rPr>
          <w:rFonts w:ascii="Times New Roman" w:eastAsia="Times New Roman" w:hAnsi="Times New Roman" w:cs="Times New Roman"/>
          <w:b/>
          <w:bCs/>
          <w:color w:val="1C1D1E"/>
          <w:kern w:val="36"/>
          <w14:ligatures w14:val="none"/>
        </w:rPr>
        <w:t>Organ specificity in the plant circadian system is explained by different light inputs to the shoot and root clocks</w:t>
      </w:r>
    </w:p>
    <w:p w14:paraId="4F140B3D" w14:textId="752E7686" w:rsidR="00592320" w:rsidRPr="00592320" w:rsidRDefault="00592320" w:rsidP="00D277A4">
      <w:pPr>
        <w:rPr>
          <w:rFonts w:ascii="Times New Roman" w:hAnsi="Times New Roman" w:cs="Times New Roman"/>
        </w:rPr>
      </w:pPr>
      <w:hyperlink r:id="rId16" w:history="1">
        <w:r w:rsidRPr="00592320">
          <w:rPr>
            <w:rStyle w:val="Hyperlink"/>
            <w:rFonts w:ascii="Times New Roman" w:hAnsi="Times New Roman" w:cs="Times New Roman"/>
          </w:rPr>
          <w:t>https://nph.onlinelibrary.wiley.com/doi/full/10.1111/nph.14024</w:t>
        </w:r>
      </w:hyperlink>
    </w:p>
    <w:p w14:paraId="591A4F22" w14:textId="77777777" w:rsidR="00592320" w:rsidRPr="00592320" w:rsidRDefault="00592320" w:rsidP="00D277A4">
      <w:pPr>
        <w:rPr>
          <w:rFonts w:ascii="Times New Roman" w:hAnsi="Times New Roman" w:cs="Times New Roman"/>
        </w:rPr>
      </w:pPr>
    </w:p>
    <w:p w14:paraId="1E01B011" w14:textId="77777777" w:rsidR="00592320" w:rsidRPr="00592320" w:rsidRDefault="00592320" w:rsidP="00592320">
      <w:pPr>
        <w:shd w:val="clear" w:color="auto" w:fill="FFFFFF"/>
        <w:spacing w:after="135" w:line="405" w:lineRule="atLeast"/>
        <w:outlineLvl w:val="0"/>
        <w:rPr>
          <w:rFonts w:ascii="Times New Roman" w:eastAsia="Times New Roman" w:hAnsi="Times New Roman" w:cs="Times New Roman"/>
          <w:b/>
          <w:bCs/>
          <w:color w:val="202020"/>
          <w:kern w:val="36"/>
          <w14:ligatures w14:val="none"/>
        </w:rPr>
      </w:pPr>
      <w:r w:rsidRPr="00592320">
        <w:rPr>
          <w:rFonts w:ascii="Times New Roman" w:eastAsia="Times New Roman" w:hAnsi="Times New Roman" w:cs="Times New Roman"/>
          <w:b/>
          <w:bCs/>
          <w:color w:val="202020"/>
          <w:kern w:val="36"/>
          <w14:ligatures w14:val="none"/>
        </w:rPr>
        <w:t>The Circadian Clock Regulates Auxin Signaling and Responses in </w:t>
      </w:r>
      <w:r w:rsidRPr="00592320">
        <w:rPr>
          <w:rFonts w:ascii="Times New Roman" w:eastAsia="Times New Roman" w:hAnsi="Times New Roman" w:cs="Times New Roman"/>
          <w:b/>
          <w:bCs/>
          <w:i/>
          <w:iCs/>
          <w:color w:val="202020"/>
          <w:kern w:val="36"/>
          <w14:ligatures w14:val="none"/>
        </w:rPr>
        <w:t>Arabidopsis</w:t>
      </w:r>
    </w:p>
    <w:p w14:paraId="33A7892F" w14:textId="5757B0EB" w:rsidR="00592320" w:rsidRPr="00592320" w:rsidRDefault="00592320" w:rsidP="00D277A4">
      <w:pPr>
        <w:rPr>
          <w:rFonts w:ascii="Times New Roman" w:hAnsi="Times New Roman" w:cs="Times New Roman"/>
        </w:rPr>
      </w:pPr>
      <w:hyperlink r:id="rId17" w:history="1">
        <w:r w:rsidRPr="00592320">
          <w:rPr>
            <w:rStyle w:val="Hyperlink"/>
            <w:rFonts w:ascii="Times New Roman" w:hAnsi="Times New Roman" w:cs="Times New Roman"/>
          </w:rPr>
          <w:t>https://journals.plos.org/plosbiology/article?id=10.1371/journal.pbio.0050222</w:t>
        </w:r>
      </w:hyperlink>
    </w:p>
    <w:p w14:paraId="1D87A597" w14:textId="77777777" w:rsidR="00592320" w:rsidRPr="00592320" w:rsidRDefault="00592320" w:rsidP="00D277A4">
      <w:pPr>
        <w:rPr>
          <w:rFonts w:ascii="Times New Roman" w:hAnsi="Times New Roman" w:cs="Times New Roman"/>
        </w:rPr>
      </w:pPr>
    </w:p>
    <w:p w14:paraId="11F7D1E0" w14:textId="77777777" w:rsidR="00592320" w:rsidRPr="00592320" w:rsidRDefault="00592320" w:rsidP="0059232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</w:pPr>
      <w:r w:rsidRPr="00592320"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  <w:t>Resonating circadian clocks enhance fitness in cyanobacteria</w:t>
      </w:r>
    </w:p>
    <w:p w14:paraId="591B556A" w14:textId="77777777" w:rsidR="00592320" w:rsidRPr="00592320" w:rsidRDefault="00592320" w:rsidP="00D277A4">
      <w:pPr>
        <w:rPr>
          <w:rFonts w:ascii="Times New Roman" w:hAnsi="Times New Roman" w:cs="Times New Roman"/>
        </w:rPr>
      </w:pPr>
    </w:p>
    <w:p w14:paraId="3DFFD01E" w14:textId="484B9958" w:rsidR="00592320" w:rsidRPr="00592320" w:rsidRDefault="00592320" w:rsidP="00D277A4">
      <w:pPr>
        <w:rPr>
          <w:rFonts w:ascii="Times New Roman" w:hAnsi="Times New Roman" w:cs="Times New Roman"/>
        </w:rPr>
      </w:pPr>
      <w:hyperlink r:id="rId18" w:history="1">
        <w:r w:rsidRPr="00592320">
          <w:rPr>
            <w:rStyle w:val="Hyperlink"/>
            <w:rFonts w:ascii="Times New Roman" w:hAnsi="Times New Roman" w:cs="Times New Roman"/>
          </w:rPr>
          <w:t>https://www.pnas.org/doi/full/10.1073/pnas.95.15.8660</w:t>
        </w:r>
      </w:hyperlink>
    </w:p>
    <w:p w14:paraId="66315600" w14:textId="77777777" w:rsidR="00592320" w:rsidRPr="00592320" w:rsidRDefault="00592320" w:rsidP="00D277A4">
      <w:pPr>
        <w:rPr>
          <w:rFonts w:ascii="Times New Roman" w:hAnsi="Times New Roman" w:cs="Times New Roman"/>
        </w:rPr>
      </w:pPr>
    </w:p>
    <w:p w14:paraId="735DDE7B" w14:textId="77777777" w:rsidR="00592320" w:rsidRPr="00592320" w:rsidRDefault="00592320" w:rsidP="00592320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</w:pPr>
      <w:r w:rsidRPr="00592320">
        <w:rPr>
          <w:rFonts w:ascii="Times New Roman" w:eastAsia="Times New Roman" w:hAnsi="Times New Roman" w:cs="Times New Roman"/>
          <w:b/>
          <w:bCs/>
          <w:color w:val="0B0B0B"/>
          <w:kern w:val="36"/>
          <w14:ligatures w14:val="none"/>
        </w:rPr>
        <w:t>Resonating circadian clocks enhance fitness in cyanobacteria</w:t>
      </w:r>
    </w:p>
    <w:p w14:paraId="2196D3CB" w14:textId="2239A937" w:rsidR="00592320" w:rsidRPr="00592320" w:rsidRDefault="00592320" w:rsidP="00D277A4">
      <w:pPr>
        <w:rPr>
          <w:rFonts w:ascii="Times New Roman" w:hAnsi="Times New Roman" w:cs="Times New Roman"/>
        </w:rPr>
      </w:pPr>
      <w:r w:rsidRPr="00592320">
        <w:rPr>
          <w:rFonts w:ascii="Times New Roman" w:hAnsi="Times New Roman" w:cs="Times New Roman"/>
        </w:rPr>
        <w:t>https://www.nature.com/articles/nature05946</w:t>
      </w:r>
    </w:p>
    <w:sectPr w:rsidR="00592320" w:rsidRPr="00592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A4"/>
    <w:rsid w:val="00195014"/>
    <w:rsid w:val="00237FE5"/>
    <w:rsid w:val="0043577E"/>
    <w:rsid w:val="00483BE8"/>
    <w:rsid w:val="004A47ED"/>
    <w:rsid w:val="00592320"/>
    <w:rsid w:val="005C09B0"/>
    <w:rsid w:val="00902459"/>
    <w:rsid w:val="00D2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245B3"/>
  <w15:chartTrackingRefBased/>
  <w15:docId w15:val="{E9C874AF-9BFD-5843-9E08-4405E4CF7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7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7A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277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.org/doi/10.1126/science.1108451" TargetMode="External"/><Relationship Id="rId13" Type="http://schemas.openxmlformats.org/officeDocument/2006/relationships/hyperlink" Target="https://academic.oup.com/plcell/article-abstract/22/11/3650/6097047?redirectedFrom=fulltext" TargetMode="External"/><Relationship Id="rId18" Type="http://schemas.openxmlformats.org/officeDocument/2006/relationships/hyperlink" Target="https://www.pnas.org/doi/full/10.1073/pnas.95.15.866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embopress.org/doi/full/10.1093/emboj/18.3.675" TargetMode="External"/><Relationship Id="rId12" Type="http://schemas.openxmlformats.org/officeDocument/2006/relationships/hyperlink" Target="https://pmc.ncbi.nlm.nih.gov/articles/PMC1456873/" TargetMode="External"/><Relationship Id="rId17" Type="http://schemas.openxmlformats.org/officeDocument/2006/relationships/hyperlink" Target="https://journals.plos.org/plosbiology/article?id=10.1371/journal.pbio.005022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ph.onlinelibrary.wiley.com/doi/full/10.1111/nph.14024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343536a0" TargetMode="External"/><Relationship Id="rId11" Type="http://schemas.openxmlformats.org/officeDocument/2006/relationships/hyperlink" Target="https://www.pnas.org/doi/full/10.1073/pnas.0911006107" TargetMode="External"/><Relationship Id="rId5" Type="http://schemas.openxmlformats.org/officeDocument/2006/relationships/hyperlink" Target="https://www.science.org/doi/10.1126/science.3413487" TargetMode="External"/><Relationship Id="rId15" Type="http://schemas.openxmlformats.org/officeDocument/2006/relationships/hyperlink" Target="https://genomebiology.biomedcentral.com/articles/10.1186/gb-2008-9-8-r130" TargetMode="External"/><Relationship Id="rId10" Type="http://schemas.openxmlformats.org/officeDocument/2006/relationships/hyperlink" Target="https://www.nature.com/articles/s41467-021-21167-7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jamanetwork.com/journals/jama/article-abstract/339822" TargetMode="External"/><Relationship Id="rId9" Type="http://schemas.openxmlformats.org/officeDocument/2006/relationships/hyperlink" Target="https://journals.biologists.com/dev/article-abstract/125/3/485/40116/The-short-period-mutant-toc1-1-alters-circadian?redirectedFrom=fulltext" TargetMode="External"/><Relationship Id="rId14" Type="http://schemas.openxmlformats.org/officeDocument/2006/relationships/hyperlink" Target="https://journals.plos.org/plosgenetics/article?id=10.1371/journal.pgen.0040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Ricono</dc:creator>
  <cp:keywords/>
  <dc:description/>
  <cp:lastModifiedBy>Angela Ricono</cp:lastModifiedBy>
  <cp:revision>2</cp:revision>
  <dcterms:created xsi:type="dcterms:W3CDTF">2025-04-23T02:40:00Z</dcterms:created>
  <dcterms:modified xsi:type="dcterms:W3CDTF">2025-04-23T02:40:00Z</dcterms:modified>
</cp:coreProperties>
</file>