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135FF3" w14:textId="624A6BAC" w:rsidR="00521EB5" w:rsidRDefault="00DA44D2" w:rsidP="002664CD">
      <w:r>
        <w:t>The Department of Health and Human Services</w:t>
      </w:r>
      <w:r>
        <w:t xml:space="preserve"> </w:t>
      </w:r>
      <w:r>
        <w:t xml:space="preserve">updated </w:t>
      </w:r>
      <w:r>
        <w:t>45 CFR Parts 147, 155, and 156</w:t>
      </w:r>
      <w:r>
        <w:t xml:space="preserve"> (</w:t>
      </w:r>
      <w:r>
        <w:t>[CMS–9906–F] RIN 0938–AU60</w:t>
      </w:r>
      <w:r>
        <w:t xml:space="preserve">) relating to the </w:t>
      </w:r>
      <w:r w:rsidRPr="00DA44D2">
        <w:t xml:space="preserve">Patient Protection and Affordable Care Act; Updating Payment Parameters, Section 1332 Waiver Implementing Regulations, and Improving Health Insurance Markets for 2022 and </w:t>
      </w:r>
      <w:r>
        <w:t>b</w:t>
      </w:r>
      <w:r w:rsidRPr="00DA44D2">
        <w:t>eyond</w:t>
      </w:r>
      <w:r>
        <w:t xml:space="preserve"> have been updated that restrict agencies and insurer’s ability to develop innovative healthcare plans and solutions.</w:t>
      </w:r>
      <w:r w:rsidR="00521EB5">
        <w:t xml:space="preserve"> </w:t>
      </w:r>
      <w:r w:rsidR="000154AD">
        <w:t xml:space="preserve">Executive Orders </w:t>
      </w:r>
      <w:r w:rsidR="000154AD" w:rsidRPr="000154AD">
        <w:t>13985</w:t>
      </w:r>
      <w:r w:rsidR="000154AD">
        <w:t xml:space="preserve"> and </w:t>
      </w:r>
      <w:r w:rsidR="000154AD" w:rsidRPr="000154AD">
        <w:t>14009</w:t>
      </w:r>
      <w:r w:rsidR="000154AD">
        <w:t xml:space="preserve"> should be removed or amended to alleviate the restrictions. The four</w:t>
      </w:r>
      <w:r w:rsidR="000154AD" w:rsidRPr="000154AD">
        <w:t xml:space="preserve"> statutory guardrails</w:t>
      </w:r>
      <w:r w:rsidR="000154AD" w:rsidRPr="000154AD">
        <w:t xml:space="preserve"> </w:t>
      </w:r>
      <w:r w:rsidR="000154AD">
        <w:t xml:space="preserve">should be amended to </w:t>
      </w:r>
      <w:r w:rsidR="006D5178">
        <w:t xml:space="preserve">eliminate restrictive development of </w:t>
      </w:r>
      <w:r w:rsidR="000154AD">
        <w:t>innova</w:t>
      </w:r>
      <w:r w:rsidR="006D5178">
        <w:t>tive plans and solutions. The comprehensive section 1332 waiver requirements should consider all aspects and impacts of the waiver including Medicaid 1115 waivers submitted in conjunction with the 1332 waiver.</w:t>
      </w:r>
    </w:p>
    <w:p w14:paraId="7DC93DE6" w14:textId="6BE06DE4" w:rsidR="00521EB5" w:rsidRDefault="00521EB5" w:rsidP="002664CD">
      <w:r w:rsidRPr="00521EB5">
        <w:t>Sections 1311(b) and 1321(b) of the ACA provide that each state has the opportunity to establish an individual market Exchange that facilitates the purchase of insurance coverage by qualified individuals through QHPs and meets other standards specified in the ACA. Additionally, Section 5000A of the Internal Revenue Code (‘‘the Code’’), as added by section 1501(b) of the ACA, requires individuals to have minimum essential coverage (MEC) for each month, qualify for an exemption, or make an individual shared responsibility payment. Section 1312(c) of the ACA generally requires a health insurance issuer to consider all enrollees in all health plans (except grandfathered health plans) offered by such issuer to be members of a single risk pool for each of its individual and small group markets. States have the option to merge the individual and small group market risk pools under section 1312(c)(3) of the ACA. Section 1332(a)(4)(B) of the ACA requires the Secretaries to issue regulations regarding procedures for section 1332 waivers.</w:t>
      </w:r>
    </w:p>
    <w:p w14:paraId="6E28672C" w14:textId="5FAF7038" w:rsidR="00DA44D2" w:rsidRDefault="00DA44D2" w:rsidP="002664CD">
      <w:r>
        <w:t>On January 28, 2021, President Biden</w:t>
      </w:r>
      <w:r>
        <w:t xml:space="preserve"> </w:t>
      </w:r>
      <w:r>
        <w:t>issued Executive Order 14009, ‘‘Executive Order on Strengthening Medicaid and the Affordable Care Act’’ (E.O. 14009), which stated the Administration’s policy to protect and strengthen the ACA and to make high- quality health care accessible and affordable for every American.</w:t>
      </w:r>
      <w:r>
        <w:t xml:space="preserve"> </w:t>
      </w:r>
      <w:r w:rsidR="0051324D" w:rsidRPr="0051324D">
        <w:t>E.O. 14009 directed agencies to look at demonstrations and waivers, as well as demonstration and waiver policies that may reduce coverage under or otherwise undermine Medicaid or the ACA</w:t>
      </w:r>
      <w:r w:rsidR="0051324D">
        <w:t xml:space="preserve">. </w:t>
      </w:r>
      <w:r w:rsidR="002664CD">
        <w:t>On January 20, 2021, President Biden</w:t>
      </w:r>
      <w:r w:rsidR="002664CD">
        <w:t xml:space="preserve"> </w:t>
      </w:r>
      <w:r w:rsidR="002664CD">
        <w:t>issued Executive Order 13985, ‘‘On Advancing Racial Equity and Support for Underserved Communities Through the Federal Government’’ (E.O. 13985),3 directing that as a policy matter, the</w:t>
      </w:r>
      <w:r w:rsidR="002664CD">
        <w:t xml:space="preserve"> </w:t>
      </w:r>
      <w:r w:rsidR="002664CD" w:rsidRPr="002664CD">
        <w:t>Federal Government should pursue a comprehensive approach to advancing equity for all, including people of color and others who have been historically underserved, marginalized, and adversely affected by persistent poverty and inequality. E.O. 13985 also directs HHS to assess whether, and to what extent, its programs and policies perpetuate systemic barriers to opportunities and benefits for people of color and other underserved groups.</w:t>
      </w:r>
      <w:r w:rsidR="00521EB5">
        <w:t xml:space="preserve"> In </w:t>
      </w:r>
      <w:r w:rsidR="00521EB5" w:rsidRPr="00521EB5">
        <w:t>July 2021, President Biden’s Executive Order 14036 on Promoting Competition in the American Economy directed HHS to standardize plan options in order to facilitate the plan selection process for consumers on the Exchanges</w:t>
      </w:r>
      <w:r w:rsidR="00521EB5">
        <w:t>.</w:t>
      </w:r>
    </w:p>
    <w:p w14:paraId="2D6D7AF5" w14:textId="0A9FCE57" w:rsidR="00DA44D2" w:rsidRDefault="002664CD" w:rsidP="00521EB5">
      <w:r>
        <w:t xml:space="preserve">With regard to these executive orders, </w:t>
      </w:r>
      <w:r w:rsidR="00DA44D2">
        <w:t>HHS finalize</w:t>
      </w:r>
      <w:r w:rsidR="00DA44D2">
        <w:t>d</w:t>
      </w:r>
      <w:r w:rsidR="00DA44D2">
        <w:t xml:space="preserve"> the removal of</w:t>
      </w:r>
      <w:r w:rsidR="00DA44D2">
        <w:t xml:space="preserve"> </w:t>
      </w:r>
      <w:r w:rsidR="00DA44D2">
        <w:t>§ 155.221(j) and repeal of the Exchange Direct Enrollment option which established a process for State Exchanges, State-based Exchanges on the Federal platform (SBE–FPs), and FFEs to work directly with private sector entities (including QHP issuers, web-brokers, and agents and brokers) to operate enrollment websites through which consumers can apply for coverage, receive an eligibility determination from the Exchange, and purchase an individual market QHP offered through the Exchange with APTC and cost-sharing reductions (CSRs)</w:t>
      </w:r>
      <w:r w:rsidR="00DA44D2">
        <w:t>.</w:t>
      </w:r>
      <w:r w:rsidR="00521EB5">
        <w:t xml:space="preserve"> R</w:t>
      </w:r>
      <w:r w:rsidR="00521EB5">
        <w:t>epealing the</w:t>
      </w:r>
      <w:r w:rsidR="00521EB5">
        <w:t xml:space="preserve"> </w:t>
      </w:r>
      <w:r w:rsidR="00521EB5">
        <w:t>Exchange DE option will not foreclose states’ option to leverage the existing FFE DE pathways,49 nor the ability of State Exchanges to implement DE pathways similar to the FFEs, should they find that it is appropriate given their specific market dynamics, priorities, and needs</w:t>
      </w:r>
      <w:r w:rsidR="00521EB5">
        <w:t xml:space="preserve">. </w:t>
      </w:r>
      <w:r w:rsidR="00DA44D2" w:rsidRPr="00DA44D2">
        <w:t xml:space="preserve">Notice of </w:t>
      </w:r>
      <w:r w:rsidR="00DA44D2" w:rsidRPr="00DA44D2">
        <w:lastRenderedPageBreak/>
        <w:t>Benefit and Payment</w:t>
      </w:r>
      <w:r w:rsidR="00DA44D2" w:rsidRPr="00DA44D2">
        <w:t xml:space="preserve"> </w:t>
      </w:r>
      <w:r w:rsidR="00DA44D2">
        <w:t>Parameters for 2022 (referred</w:t>
      </w:r>
      <w:r w:rsidR="00DA44D2">
        <w:t xml:space="preserve"> </w:t>
      </w:r>
      <w:r w:rsidR="00DA44D2">
        <w:t xml:space="preserve">to as ‘‘part 1 of the 2022 Payment Notice final rule’’). </w:t>
      </w:r>
      <w:r w:rsidR="00DA44D2" w:rsidRPr="00DA44D2">
        <w:t>HHS is finaliz</w:t>
      </w:r>
      <w:r w:rsidR="00DA44D2">
        <w:t>ed</w:t>
      </w:r>
      <w:r w:rsidR="00DA44D2" w:rsidRPr="00DA44D2">
        <w:t xml:space="preserve"> the 2022 user fee rate at 2.75 percent of total monthly premiums charged by the issuer for each policy under plans offered through an FFE, and 2.25 percent of the total monthly premiums charged by the issuer for each policy under plans offered through an SBE–FP</w:t>
      </w:r>
      <w:r w:rsidR="00DA44D2">
        <w:t>.</w:t>
      </w:r>
    </w:p>
    <w:p w14:paraId="404927F1" w14:textId="77777777" w:rsidR="0051324D" w:rsidRDefault="0051324D" w:rsidP="0051324D">
      <w:r w:rsidRPr="0051324D">
        <w:t>Section 1332 of the ACA permits states to apply for a section 1332 waiver</w:t>
      </w:r>
      <w:r>
        <w:t xml:space="preserve"> </w:t>
      </w:r>
      <w:r w:rsidRPr="0051324D">
        <w:t>to pursue innovative strategies for</w:t>
      </w:r>
      <w:r w:rsidRPr="0051324D">
        <w:t xml:space="preserve"> </w:t>
      </w:r>
      <w:r w:rsidRPr="0051324D">
        <w:t>providing their residents with access to</w:t>
      </w:r>
      <w:r>
        <w:t xml:space="preserve"> </w:t>
      </w:r>
      <w:r>
        <w:t>higher value, more affordable health coverage.</w:t>
      </w:r>
      <w:r>
        <w:t xml:space="preserve"> </w:t>
      </w:r>
      <w:r>
        <w:t xml:space="preserve">Under section 1332 of the ACA, the Secretary of HHS and the Secretary of the Treasury (collectively, the Secretaries) may exercise their discretion to approve a request for a section 1332 waiver only if the Secretaries determine that the proposal for the section 1332 waiver meets the following four requirements, referred to as the statutory guardrails: </w:t>
      </w:r>
    </w:p>
    <w:p w14:paraId="52EA1D99" w14:textId="77777777" w:rsidR="0051324D" w:rsidRDefault="0051324D" w:rsidP="0051324D">
      <w:r>
        <w:t xml:space="preserve">(1) The proposal will provide coverage that is at least as comprehensive as coverage defined in section 1302(b) of the ACA and offered through Exchanges established under title I of the ACA, as certified by the Office of the Actuary of CMS, based on sufficient data from the state and from comparable states about their experience with programs created by the ACA and the provisions of the ACA that would be waived; </w:t>
      </w:r>
    </w:p>
    <w:p w14:paraId="70C81FCA" w14:textId="77777777" w:rsidR="0051324D" w:rsidRDefault="0051324D" w:rsidP="0051324D">
      <w:r>
        <w:t>(2) the proposal will provide coverage and cost- sharing protections against excessive out-of-pocket spending that are at least as affordable for the state’s residents as would be provided under title I of the ACA;</w:t>
      </w:r>
    </w:p>
    <w:p w14:paraId="29485DA8" w14:textId="77777777" w:rsidR="0051324D" w:rsidRDefault="0051324D" w:rsidP="0051324D">
      <w:r>
        <w:t>(3) the proposal will provide coverage to at least a comparable number of the state’s residents as would be provided under title I of the ACA; and</w:t>
      </w:r>
    </w:p>
    <w:p w14:paraId="45DD9DF8" w14:textId="5056B41B" w:rsidR="00521EB5" w:rsidRDefault="0051324D" w:rsidP="0051324D">
      <w:r>
        <w:t>(4) the proposal will not increase the Federal deficit. The Secretaries retain their discretionary authority under section 1332 to deny waivers when appropriate given consideration of the application as a whole, even if an application meets the four statutory guardrails.</w:t>
      </w:r>
    </w:p>
    <w:p w14:paraId="49E8747E" w14:textId="6095DF33" w:rsidR="0051324D" w:rsidRDefault="0051324D" w:rsidP="0051324D">
      <w:r w:rsidRPr="0051324D">
        <w:t>Regulations at 31 CFR 33.102 and 45 CFR 155.1302 permit, but do not require, states to submit a single application for a section 1332 waiver and a waiver under one or more of the existing waiver processes applicable under titles XVIII, XIX, and XXI of the Social Security Act (the Act), or under any other Federal law relating to the provision of health care items or services, provided that the application is consistent with the procedures outlined in the 2012 Final Rule,145 the procedures for demonstrations under section 1115 of the Act (section 1115 demonstrations)</w:t>
      </w:r>
      <w:r>
        <w:t>.</w:t>
      </w:r>
      <w:r w:rsidR="00622373">
        <w:t xml:space="preserve"> </w:t>
      </w:r>
      <w:r w:rsidR="00622373" w:rsidRPr="00622373">
        <w:t>The Departments also will not consider the impact of changes contingent on other Federal determinations, including approval of Federal waivers (such as waivers under section 1115 or titles XVIII, XIX, or XXI of the Act) pursuant to statutory provisions other than section 1332 of the ACA. Therefore, as proposed, the Departments will not take into account proposed changes to Medicaid or CHIP state plans, waivers, or demonstration projects that require separate Federal approval, such as changes in coverage or Federal Medicaid or CHIP spending that would result from a proposed section 1115 demonstration, regardless of whether the section 1115 demonstration proposal is submitted as part of a coordinated waiver application with a section 1332 waiver. Savings accrued under either proposed or current Medicaid or CHIP section 1115 demonstrations will not be factored into the assessment of whether a proposed section 1332 waiver meets the deficit neutrality requirement. The Departments’ determination also will</w:t>
      </w:r>
      <w:r w:rsidR="00622373">
        <w:t xml:space="preserve"> </w:t>
      </w:r>
      <w:r w:rsidR="00622373" w:rsidRPr="00622373">
        <w:t>not take into account any proposed changes to the Medicaid or CHIP state plan that are subject to Federal approval</w:t>
      </w:r>
      <w:r w:rsidR="00622373">
        <w:t xml:space="preserve">. </w:t>
      </w:r>
      <w:r w:rsidR="00622373" w:rsidRPr="00622373">
        <w:t xml:space="preserve">Section 1115 demonstrations are required to be budget neutral, meaning that Federal spending under the section </w:t>
      </w:r>
      <w:r w:rsidR="00622373" w:rsidRPr="00622373">
        <w:lastRenderedPageBreak/>
        <w:t>1115 demonstration cannot exceed the aggregate budget neutrality limit of what Federal spending would have been in absence of the section 1115 demonstration, and states are liable for additional demonstration spending over the budget neutrality limit. Section 1332 waivers are required by statute to not increase the Federal deficit.</w:t>
      </w:r>
      <w:r w:rsidR="00622373">
        <w:t xml:space="preserve"> This inhibits a </w:t>
      </w:r>
      <w:proofErr w:type="gramStart"/>
      <w:r w:rsidR="00622373">
        <w:t>State’s</w:t>
      </w:r>
      <w:proofErr w:type="gramEnd"/>
      <w:r w:rsidR="00622373">
        <w:t xml:space="preserve"> ability to meet the statutory guardrails regarding deficit and budget neutrality.</w:t>
      </w:r>
    </w:p>
    <w:p w14:paraId="175E7FAF" w14:textId="77777777" w:rsidR="000154AD" w:rsidRDefault="00622373" w:rsidP="004E7723">
      <w:r>
        <w:t>T</w:t>
      </w:r>
      <w:r w:rsidRPr="00622373">
        <w:t>he regulations at 31 CFR 33.108(f)(3)(iv)(A) and 45 CFR 155.1308(f)(3)(iv)(A) to satisfy the comprehensive coverage requirement, the Departments, as applicable, must determine that the section 1332 waiver will provide coverage that is at least as comprehensive overall for residents of the state as coverage absent the waiver.</w:t>
      </w:r>
      <w:r>
        <w:t xml:space="preserve"> </w:t>
      </w:r>
      <w:r>
        <w:t>To meet the comprehensiveness</w:t>
      </w:r>
      <w:r>
        <w:t xml:space="preserve"> </w:t>
      </w:r>
      <w:r>
        <w:t>guardrail, health care coverage under a</w:t>
      </w:r>
      <w:r>
        <w:t xml:space="preserve"> </w:t>
      </w:r>
      <w:r w:rsidRPr="00622373">
        <w:t>section 1332 waiver is required to be</w:t>
      </w:r>
      <w:r w:rsidRPr="00622373">
        <w:t xml:space="preserve"> </w:t>
      </w:r>
      <w:r>
        <w:t>forecast to be at least as comprehensive</w:t>
      </w:r>
      <w:r>
        <w:t xml:space="preserve"> </w:t>
      </w:r>
      <w:r>
        <w:t>overall for residents of the state as coverage absent the waiver</w:t>
      </w:r>
      <w:r>
        <w:t xml:space="preserve"> </w:t>
      </w:r>
      <w:r w:rsidR="004E7723" w:rsidRPr="004E7723">
        <w:t>be measured by the extent to which coverage meets the requirements for EHBs as defined in section 1302(b) of the ACA and offered through Exchanges established by Title I of the ACA, or, as appropriate, Medicaid or CHIP standards</w:t>
      </w:r>
      <w:r w:rsidR="004E7723">
        <w:t xml:space="preserve">. </w:t>
      </w:r>
      <w:r w:rsidR="004E7723" w:rsidRPr="004E7723">
        <w:t>A section 1332 waiver will not satisfy the comprehensiveness requirement if the waiver decreases: (1) The number of residents with coverage that is at least as comprehensive as the EHB- benchmark plan in all ten EHB categories; (2) for any of the ten EHB categories, the number of residents with coverage that is at least as comprehensive as the benchmark in that category; or (3) the number of residents whose coverage includes the full set of services that would be covered under the state’s Medicaid or CHIP programs, holding the state’s Medicaid and CHIP policies constant. That is, the section 1332 waiver cannot decrease the number of individuals with coverage that satisfies EHB requirements, the number of individuals with coverage of any particular category of EHB, or the number of individuals with coverage that includes the services covered under the state’s Medicaid or CHIP programs.</w:t>
      </w:r>
      <w:r w:rsidR="004E7723">
        <w:t xml:space="preserve"> </w:t>
      </w:r>
      <w:r w:rsidR="004E7723" w:rsidRPr="004E7723">
        <w:t>A section 1332 waiver will be highly unlikely to be approved by the Secretaries under the</w:t>
      </w:r>
      <w:r w:rsidR="004E7723">
        <w:t xml:space="preserve"> </w:t>
      </w:r>
      <w:r w:rsidR="004E7723" w:rsidRPr="004E7723">
        <w:t>interpretation outlined in the preambles to the proposed rule and this final rule if the waiver would reduce the comprehensiveness of coverage provided to these types of vulnerable or underserved groups, even if the waiver maintained comprehensiveness in the aggregate. This condition generally must be forecast to be met in each year that the section 1332 waiver would be in effect.</w:t>
      </w:r>
      <w:r w:rsidR="004E7723">
        <w:t xml:space="preserve"> </w:t>
      </w:r>
      <w:r w:rsidR="004E7723" w:rsidRPr="004E7723">
        <w:t>As finalized, to meet the comprehensiveness guardrail, coverage under a section 1332 waiver must be forecast to be at least as comprehensive overall for residents of the state as coverage absent the waiver. For this purpose, comprehensiveness refers to the scope of benefits provided and will be measured by the extent to which coverage meets EHB or, as appropriate, Medicaid or CHIP standards. The impact on all state residents will be considered as part of this analysis, regardless of the type of coverage they would have had absent the section 1332 waiver</w:t>
      </w:r>
      <w:r w:rsidR="004E7723">
        <w:t xml:space="preserve">. Additionally, </w:t>
      </w:r>
      <w:r w:rsidR="004E7723" w:rsidRPr="004E7723">
        <w:t>plans that could be offered to individuals under section 1332 waivers as codified in part 1 of the 2022 Payment Notice final rule could therefore allow for more individuals to enroll in medically underwritten plans that only offer limited benefits, which is inconsistent with the goal of E.O. 14009 to reduce barriers for expanding comprehensive affordable coverage</w:t>
      </w:r>
      <w:r w:rsidR="004E7723">
        <w:t xml:space="preserve">. </w:t>
      </w:r>
    </w:p>
    <w:p w14:paraId="1030E2E4" w14:textId="068472BD" w:rsidR="00622373" w:rsidRDefault="004E7723" w:rsidP="004E7723">
      <w:r>
        <w:t>Modifications to</w:t>
      </w:r>
      <w:r>
        <w:t xml:space="preserve"> the regulations at 31 CFR 33.108(f)(3)(iv)(B) and 45 CFR</w:t>
      </w:r>
      <w:r>
        <w:t xml:space="preserve"> </w:t>
      </w:r>
      <w:r>
        <w:t>155.1308(f)(3)(iv)(B) such that satisfy the affordability requirement, the Departments, as applicable, must determine that the section 1332 waiver would provide coverage that is at least as affordable overall for residents of the state as coverage absent the waiver.</w:t>
      </w:r>
      <w:r>
        <w:t xml:space="preserve"> </w:t>
      </w:r>
      <w:r>
        <w:t>Section 1332 waivers will be</w:t>
      </w:r>
      <w:r>
        <w:t xml:space="preserve"> </w:t>
      </w:r>
      <w:r>
        <w:t xml:space="preserve">evaluated not only based on how they affect affordability on average, but also on how they affect the number of individuals with large health care spending burdens relative to their incomes. Increasing the number of state residents with large health care spending burdens will cause a section 1332 waiver proposal to fail the affordability requirement, </w:t>
      </w:r>
      <w:r>
        <w:lastRenderedPageBreak/>
        <w:t>even if the waiver would increase affordability for many other state residents.</w:t>
      </w:r>
      <w:r>
        <w:t xml:space="preserve"> S</w:t>
      </w:r>
      <w:r w:rsidRPr="004E7723">
        <w:t xml:space="preserve">ection 1332 waivers that reduce the number of people with insurance coverage that provides both an AV equal to or greater than 60 percent and an out-of-pocket maximum that complies with section 1302(c)(1) of the ACA, will fail to meet this guardrail under the policies and interpretations set forth in this rule. Section 1332 waivers that reduce the number of people with coverage that meets the affordability requirements set forth in sections 1916 and 1916A of the Act, as codified in 42 CFR part 447, subpart A, while holding the state’s Medicaid policies constant will also fail under the </w:t>
      </w:r>
      <w:r w:rsidRPr="004E7723">
        <w:t>affordability guardrail</w:t>
      </w:r>
      <w:r w:rsidRPr="004E7723">
        <w:t>.</w:t>
      </w:r>
      <w:r w:rsidR="000154AD">
        <w:t xml:space="preserve"> </w:t>
      </w:r>
      <w:r w:rsidR="000154AD" w:rsidRPr="000154AD">
        <w:t>States should also include in their analysis of the aforementioned guardrails whether the proposed section 1332 waiver would increase health equity in keeping with goals of with E.O. 13985, which will provide the Departments with information to evaluate the impact on vulnerable populations.</w:t>
      </w:r>
    </w:p>
    <w:sectPr w:rsidR="00622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D2"/>
    <w:rsid w:val="000154AD"/>
    <w:rsid w:val="001004D3"/>
    <w:rsid w:val="002664CD"/>
    <w:rsid w:val="0046499A"/>
    <w:rsid w:val="004E7723"/>
    <w:rsid w:val="0051324D"/>
    <w:rsid w:val="00521EB5"/>
    <w:rsid w:val="00622373"/>
    <w:rsid w:val="006D5178"/>
    <w:rsid w:val="00DA44D2"/>
    <w:rsid w:val="00F57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282F0"/>
  <w15:chartTrackingRefBased/>
  <w15:docId w15:val="{9A5356EC-F648-4A37-8D42-3D4D2DD9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Packer</dc:creator>
  <cp:keywords/>
  <dc:description/>
  <cp:lastModifiedBy>Raymond Packer</cp:lastModifiedBy>
  <cp:revision>1</cp:revision>
  <dcterms:created xsi:type="dcterms:W3CDTF">2024-12-17T14:27:00Z</dcterms:created>
  <dcterms:modified xsi:type="dcterms:W3CDTF">2024-12-17T15:44:00Z</dcterms:modified>
</cp:coreProperties>
</file>