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80"/>
        <w:jc w:val="center"/>
      </w:pPr>
      <w:r>
        <w:drawing>
          <wp:inline xmlns:a="http://schemas.openxmlformats.org/drawingml/2006/main" xmlns:pic="http://schemas.openxmlformats.org/drawingml/2006/picture">
            <wp:extent cx="2520000" cy="1744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o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4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 Narrow" w:hAnsi="Arial Narrow"/>
          <w:b/>
          <w:color w:val="1E3A5F"/>
          <w:sz w:val="44"/>
        </w:rPr>
        <w:t>Manual da Suíte COGER</w:t>
      </w:r>
    </w:p>
    <w:p>
      <w:pPr>
        <w:spacing w:after="200"/>
        <w:jc w:val="center"/>
      </w:pPr>
      <w:r>
        <w:rPr>
          <w:rFonts w:ascii="Arial Narrow" w:hAnsi="Arial Narrow"/>
          <w:b/>
          <w:color w:val="BFA040"/>
          <w:sz w:val="30"/>
        </w:rPr>
        <w:t>Veritas · Nexo Coger · Nexo PAR · Oitiva 360</w:t>
      </w:r>
    </w:p>
    <w:p>
      <w:pPr>
        <w:spacing w:before="120" w:after="120"/>
        <w:pBdr>
          <w:bottom w:val="single" w:sz="8" w:space="1" w:color="BFA040"/>
        </w:pBdr>
      </w:pPr>
    </w:p>
    <w:p>
      <w:pPr>
        <w:spacing w:before="160"/>
        <w:jc w:val="center"/>
      </w:pPr>
      <w:r>
        <w:rPr>
          <w:rFonts w:ascii="Calibri" w:hAnsi="Calibri"/>
          <w:color w:val="707070"/>
          <w:sz w:val="20"/>
        </w:rPr>
        <w:t>Lei nº 8.112, de 11 de dezembro de 1990 — Processo Administrativo Disciplinar; Lei nº 12.846, de 1º de agosto de 2013 — Responsabilização Administrativa (LAC)</w:t>
      </w:r>
      <w:r>
        <w:br/>
      </w:r>
      <w:r>
        <w:rPr>
          <w:rFonts w:ascii="Calibri" w:hAnsi="Calibri"/>
          <w:color w:val="707070"/>
          <w:sz w:val="20"/>
        </w:rPr>
        <w:t>Suíte de 4 ferramentas offline/locais, integráveis mas independentes entre si</w:t>
      </w:r>
      <w:r>
        <w:br/>
      </w:r>
      <w:r>
        <w:rPr>
          <w:rFonts w:ascii="Calibri" w:hAnsi="Calibri"/>
          <w:color w:val="707070"/>
          <w:sz w:val="20"/>
        </w:rPr>
        <w:t>Corregedoria da Receita Federal do Brasil (Coger/RFB)</w:t>
      </w:r>
    </w:p>
    <w:p>
      <w:r>
        <w:br w:type="page"/>
      </w:r>
    </w:p>
    <w:p>
      <w:pPr>
        <w:jc w:val="left"/>
      </w:pPr>
      <w:r>
        <w:rPr>
          <w:rFonts w:ascii="Arial Narrow" w:hAnsi="Arial Narrow"/>
          <w:b/>
          <w:color w:val="1E3A5F"/>
          <w:sz w:val="36"/>
        </w:rPr>
        <w:t>SUMÁRIO</w:t>
      </w:r>
    </w:p>
    <w:p>
      <w:r>
        <w:fldChar w:fldCharType="begin"/>
        <w:instrText xml:space="preserve"> TOC \o "1-3" \h \z \u </w:instrText>
        <w:fldChar w:fldCharType="separate"/>
        <w:t>Clique com o botão direito → Atualizar campo para ver o sumário com páginas.</w:t>
        <w:fldChar w:fldCharType="end"/>
      </w:r>
    </w:p>
    <w:p>
      <w:r>
        <w:br w:type="page"/>
      </w:r>
    </w:p>
    <w:p>
      <w:r>
        <w:br w:type="page"/>
      </w:r>
    </w:p>
    <w:p>
      <w:pPr>
        <w:spacing w:after="40"/>
      </w:pPr>
      <w:r>
        <w:rPr>
          <w:rFonts w:ascii="Arial Narrow" w:hAnsi="Arial Narrow"/>
          <w:b/>
          <w:color w:val="BFA040"/>
          <w:sz w:val="18"/>
        </w:rPr>
        <w:t>SEÇÃO 1</w:t>
      </w:r>
    </w:p>
    <w:p>
      <w:pPr>
        <w:pStyle w:val="Heading1"/>
      </w:pPr>
      <w:r>
        <w:rPr>
          <w:rFonts w:ascii="Arial Narrow" w:hAnsi="Arial Narrow"/>
          <w:b/>
          <w:color w:val="1E3A5F"/>
          <w:sz w:val="40"/>
        </w:rPr>
        <w:t>Introdução Geral</w:t>
      </w:r>
    </w:p>
    <w:p>
      <w:pPr>
        <w:spacing w:before="120" w:after="120"/>
        <w:pBdr>
          <w:bottom w:val="single" w:sz="8" w:space="1" w:color="BFA040"/>
        </w:pBdr>
      </w:pP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sz w:val="22"/>
        </w:rPr>
        <w:t>Suíte COGER</w:t>
      </w:r>
      <w:r>
        <w:rPr>
          <w:rFonts w:ascii="Calibri" w:hAnsi="Calibri"/>
          <w:b w:val="0"/>
          <w:i w:val="0"/>
          <w:sz w:val="22"/>
        </w:rPr>
        <w:t xml:space="preserve"> reúne quatro ferramentas de apoio ao trabalho de comissões de Processo Administrativo Disciplinar (PAD), Processo Administrativo de Responsabilização (PAR) e sindicância, no âmbito da Corregedoria da Receita Federal do Brasil. A suíte cobre dois domínios normativos distintos: o </w:t>
      </w:r>
      <w:r>
        <w:rPr>
          <w:rFonts w:ascii="Calibri" w:hAnsi="Calibri"/>
          <w:b/>
          <w:i w:val="0"/>
          <w:sz w:val="22"/>
        </w:rPr>
        <w:t>PAD</w:t>
      </w:r>
      <w:r>
        <w:rPr>
          <w:rFonts w:ascii="Calibri" w:hAnsi="Calibri"/>
          <w:b w:val="0"/>
          <w:i w:val="0"/>
          <w:sz w:val="22"/>
        </w:rPr>
        <w:t xml:space="preserve"> e a sindicância, à luz da </w:t>
      </w:r>
      <w:r>
        <w:rPr>
          <w:rFonts w:ascii="Calibri" w:hAnsi="Calibri"/>
          <w:b/>
          <w:i w:val="0"/>
          <w:sz w:val="22"/>
        </w:rPr>
        <w:t>Lei nº 8.112, de 11 de dezembro de 1990</w:t>
      </w:r>
      <w:r>
        <w:rPr>
          <w:rFonts w:ascii="Calibri" w:hAnsi="Calibri"/>
          <w:b w:val="0"/>
          <w:i w:val="0"/>
          <w:sz w:val="22"/>
        </w:rPr>
        <w:t xml:space="preserve">, e o </w:t>
      </w:r>
      <w:r>
        <w:rPr>
          <w:rFonts w:ascii="Calibri" w:hAnsi="Calibri"/>
          <w:b/>
          <w:i w:val="0"/>
          <w:sz w:val="22"/>
        </w:rPr>
        <w:t>PAR</w:t>
      </w:r>
      <w:r>
        <w:rPr>
          <w:rFonts w:ascii="Calibri" w:hAnsi="Calibri"/>
          <w:b w:val="0"/>
          <w:i w:val="0"/>
          <w:sz w:val="22"/>
        </w:rPr>
        <w:t xml:space="preserve">, à luz da </w:t>
      </w:r>
      <w:r>
        <w:rPr>
          <w:rFonts w:ascii="Calibri" w:hAnsi="Calibri"/>
          <w:b/>
          <w:i w:val="0"/>
          <w:sz w:val="22"/>
        </w:rPr>
        <w:t>Lei nº 12.846, de 1º de agosto de 2013</w:t>
      </w:r>
      <w:r>
        <w:rPr>
          <w:rFonts w:ascii="Calibri" w:hAnsi="Calibri"/>
          <w:b w:val="0"/>
          <w:i w:val="0"/>
          <w:sz w:val="22"/>
        </w:rPr>
        <w:t xml:space="preserve"> (Lei Anticorrupção — LAC), que trata da responsabilização objetiva de entes privados por atos lesivos à Administração. As quatro ferramentas — </w:t>
      </w:r>
      <w:r>
        <w:rPr>
          <w:rFonts w:ascii="Calibri" w:hAnsi="Calibri"/>
          <w:b/>
          <w:i w:val="0"/>
          <w:sz w:val="22"/>
        </w:rPr>
        <w:t>Veritas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Nexo Coger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Nexo PAR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Oitiva 360</w:t>
      </w:r>
      <w:r>
        <w:rPr>
          <w:rFonts w:ascii="Calibri" w:hAnsi="Calibri"/>
          <w:b w:val="0"/>
          <w:i w:val="0"/>
          <w:sz w:val="22"/>
        </w:rPr>
        <w:t xml:space="preserve"> — são páginas HTML autocontidas, executadas inteiramente no navegador do usuário, </w:t>
      </w:r>
      <w:r>
        <w:rPr>
          <w:rFonts w:ascii="Calibri" w:hAnsi="Calibri"/>
          <w:b/>
          <w:i w:val="0"/>
          <w:sz w:val="22"/>
        </w:rPr>
        <w:t>sem servidor, sem nuvem e sem envio de dados a terceiros</w:t>
      </w:r>
      <w:r>
        <w:rPr>
          <w:rFonts w:ascii="Calibri" w:hAnsi="Calibri"/>
          <w:b w:val="0"/>
          <w:i w:val="0"/>
          <w:sz w:val="22"/>
        </w:rPr>
        <w:t>. Todo o armazenamento é local (localStorage do navegador) e a persistência entre sessões depende de exportação/importação manual de arquivos `.json` pelo próprio usuário.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Este manual destina-se às </w:t>
      </w:r>
      <w:r>
        <w:rPr>
          <w:rFonts w:ascii="Calibri" w:hAnsi="Calibri"/>
          <w:b/>
          <w:i w:val="0"/>
          <w:sz w:val="22"/>
        </w:rPr>
        <w:t>comissões de PAD/PAR/sindicância da Corregedoria</w:t>
      </w:r>
      <w:r>
        <w:rPr>
          <w:rFonts w:ascii="Calibri" w:hAnsi="Calibri"/>
          <w:b w:val="0"/>
          <w:i w:val="0"/>
          <w:sz w:val="22"/>
        </w:rPr>
        <w:t xml:space="preserve"> e a servidores que atuam no apoio à instrução disciplinar — presidentes e membros de comissão, secretários, e equipes técnicas que auxiliam na organização de provas, na construção do nexo fático-probatório e na condução de oitivas e interrogatórios.</w:t>
      </w:r>
    </w:p>
    <w:p>
      <w:pPr>
        <w:spacing w:before="100" w:after="2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AS QUATRO FERRAMENTAS DA SUÍTE  </w:t>
      </w:r>
      <w:r>
        <w:rPr>
          <w:rFonts w:ascii="Calibri" w:hAnsi="Calibri"/>
          <w:b/>
          <w:i w:val="0"/>
          <w:sz w:val="20"/>
        </w:rPr>
        <w:t>Veritas</w:t>
      </w:r>
      <w:r>
        <w:rPr>
          <w:rFonts w:ascii="Calibri" w:hAnsi="Calibri"/>
          <w:b w:val="0"/>
          <w:i w:val="0"/>
          <w:sz w:val="20"/>
        </w:rPr>
        <w:t xml:space="preserve"> — cadastro de provas com cadeia de custódia (proveniência, hash, linha do tempo); opera em modo dual (PAD/PAR).</w:t>
      </w:r>
    </w:p>
    <w:p>
      <w:pPr>
        <w:spacing w:before="0" w:after="2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Calibri" w:hAnsi="Calibri"/>
          <w:b/>
          <w:i w:val="0"/>
          <w:sz w:val="20"/>
        </w:rPr>
        <w:t>Nexo Coger</w:t>
      </w:r>
      <w:r>
        <w:rPr>
          <w:rFonts w:ascii="Calibri" w:hAnsi="Calibri"/>
          <w:b w:val="0"/>
          <w:i w:val="0"/>
          <w:sz w:val="20"/>
        </w:rPr>
        <w:t xml:space="preserve"> — mapa fato-prova-norma e apoio à indiciação no domínio </w:t>
      </w:r>
      <w:r>
        <w:rPr>
          <w:rFonts w:ascii="Calibri" w:hAnsi="Calibri"/>
          <w:b/>
          <w:i w:val="0"/>
          <w:sz w:val="20"/>
        </w:rPr>
        <w:t>PAD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0" w:after="2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Calibri" w:hAnsi="Calibri"/>
          <w:b/>
          <w:i w:val="0"/>
          <w:sz w:val="20"/>
        </w:rPr>
        <w:t>Nexo PAR</w:t>
      </w:r>
      <w:r>
        <w:rPr>
          <w:rFonts w:ascii="Calibri" w:hAnsi="Calibri"/>
          <w:b w:val="0"/>
          <w:i w:val="0"/>
          <w:sz w:val="20"/>
        </w:rPr>
        <w:t xml:space="preserve"> — mapa fato-prova-norma e apoio à Nota de Indiciação no domínio </w:t>
      </w:r>
      <w:r>
        <w:rPr>
          <w:rFonts w:ascii="Calibri" w:hAnsi="Calibri"/>
          <w:b/>
          <w:i w:val="0"/>
          <w:sz w:val="20"/>
        </w:rPr>
        <w:t>PAR</w:t>
      </w:r>
      <w:r>
        <w:rPr>
          <w:rFonts w:ascii="Calibri" w:hAnsi="Calibri"/>
          <w:b w:val="0"/>
          <w:i w:val="0"/>
          <w:sz w:val="20"/>
        </w:rPr>
        <w:t xml:space="preserve"> (LAC), com cadastro de ente privado.</w:t>
      </w:r>
    </w:p>
    <w:p>
      <w:pPr>
        <w:spacing w:before="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Calibri" w:hAnsi="Calibri"/>
          <w:b/>
          <w:i w:val="0"/>
          <w:sz w:val="20"/>
        </w:rPr>
        <w:t>Oitiva 360</w:t>
      </w:r>
      <w:r>
        <w:rPr>
          <w:rFonts w:ascii="Calibri" w:hAnsi="Calibri"/>
          <w:b w:val="0"/>
          <w:i w:val="0"/>
          <w:sz w:val="20"/>
        </w:rPr>
        <w:t xml:space="preserve"> — apoio à condução de oitivas e interrogatórios, com roteiro e termo; opera em modo dual (PAD/PAR).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cobertura dos dois domínios se distribui de duas formas. O </w:t>
      </w:r>
      <w:r>
        <w:rPr>
          <w:rFonts w:ascii="Calibri" w:hAnsi="Calibri"/>
          <w:b/>
          <w:i w:val="0"/>
          <w:sz w:val="22"/>
        </w:rPr>
        <w:t>Nexo</w:t>
      </w:r>
      <w:r>
        <w:rPr>
          <w:rFonts w:ascii="Calibri" w:hAnsi="Calibri"/>
          <w:b w:val="0"/>
          <w:i w:val="0"/>
          <w:sz w:val="22"/>
        </w:rPr>
        <w:t xml:space="preserve"> é </w:t>
      </w:r>
      <w:r>
        <w:rPr>
          <w:rFonts w:ascii="Calibri" w:hAnsi="Calibri"/>
          <w:b/>
          <w:i w:val="0"/>
          <w:sz w:val="22"/>
        </w:rPr>
        <w:t>bifurcado por domínio</w:t>
      </w:r>
      <w:r>
        <w:rPr>
          <w:rFonts w:ascii="Calibri" w:hAnsi="Calibri"/>
          <w:b w:val="0"/>
          <w:i w:val="0"/>
          <w:sz w:val="22"/>
        </w:rPr>
        <w:t xml:space="preserve">: o </w:t>
      </w:r>
      <w:r>
        <w:rPr>
          <w:rFonts w:ascii="Calibri" w:hAnsi="Calibri"/>
          <w:b/>
          <w:i w:val="0"/>
          <w:sz w:val="22"/>
        </w:rPr>
        <w:t>Nexo Coger</w:t>
      </w:r>
      <w:r>
        <w:rPr>
          <w:rFonts w:ascii="Calibri" w:hAnsi="Calibri"/>
          <w:b w:val="0"/>
          <w:i w:val="0"/>
          <w:sz w:val="22"/>
        </w:rPr>
        <w:t xml:space="preserve"> atende o PAD e o </w:t>
      </w:r>
      <w:r>
        <w:rPr>
          <w:rFonts w:ascii="Calibri" w:hAnsi="Calibri"/>
          <w:b/>
          <w:i w:val="0"/>
          <w:sz w:val="22"/>
        </w:rPr>
        <w:t>Nexo PAR</w:t>
      </w:r>
      <w:r>
        <w:rPr>
          <w:rFonts w:ascii="Calibri" w:hAnsi="Calibri"/>
          <w:b w:val="0"/>
          <w:i w:val="0"/>
          <w:sz w:val="22"/>
        </w:rPr>
        <w:t xml:space="preserve"> atende o PAR, cada um em seu próprio arquivo. Já o </w:t>
      </w:r>
      <w:r>
        <w:rPr>
          <w:rFonts w:ascii="Calibri" w:hAnsi="Calibri"/>
          <w:b/>
          <w:i w:val="0"/>
          <w:sz w:val="22"/>
        </w:rPr>
        <w:t>Veritas</w:t>
      </w:r>
      <w:r>
        <w:rPr>
          <w:rFonts w:ascii="Calibri" w:hAnsi="Calibri"/>
          <w:b w:val="0"/>
          <w:i w:val="0"/>
          <w:sz w:val="22"/>
        </w:rPr>
        <w:t xml:space="preserve"> e o </w:t>
      </w:r>
      <w:r>
        <w:rPr>
          <w:rFonts w:ascii="Calibri" w:hAnsi="Calibri"/>
          <w:b/>
          <w:i w:val="0"/>
          <w:sz w:val="22"/>
        </w:rPr>
        <w:t>Oitiva 360</w:t>
      </w:r>
      <w:r>
        <w:rPr>
          <w:rFonts w:ascii="Calibri" w:hAnsi="Calibri"/>
          <w:b w:val="0"/>
          <w:i w:val="0"/>
          <w:sz w:val="22"/>
        </w:rPr>
        <w:t xml:space="preserve"> operam em </w:t>
      </w:r>
      <w:r>
        <w:rPr>
          <w:rFonts w:ascii="Calibri" w:hAnsi="Calibri"/>
          <w:b/>
          <w:i w:val="0"/>
          <w:sz w:val="22"/>
        </w:rPr>
        <w:t>modo dual</w:t>
      </w:r>
      <w:r>
        <w:rPr>
          <w:rFonts w:ascii="Calibri" w:hAnsi="Calibri"/>
          <w:b w:val="0"/>
          <w:i w:val="0"/>
          <w:sz w:val="22"/>
        </w:rPr>
        <w:t xml:space="preserve"> — um único arquivo que ajusta seu comportamento conforme o domínio do processo em curso.</w:t>
      </w:r>
    </w:p>
    <w:p>
      <w:pPr>
        <w:spacing w:before="100" w:after="2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MODO DUAL × MODO FORK  </w:t>
      </w:r>
      <w:r>
        <w:rPr>
          <w:rFonts w:ascii="Calibri" w:hAnsi="Calibri"/>
          <w:b/>
          <w:i w:val="0"/>
          <w:sz w:val="20"/>
        </w:rPr>
        <w:t>Modo dual</w:t>
      </w:r>
      <w:r>
        <w:rPr>
          <w:rFonts w:ascii="Calibri" w:hAnsi="Calibri"/>
          <w:b w:val="0"/>
          <w:i w:val="0"/>
          <w:sz w:val="20"/>
        </w:rPr>
        <w:t xml:space="preserve"> — um único arquivo, com comportamento condicional ao domínio do processo (PAD ou PAR). É o caso do </w:t>
      </w:r>
      <w:r>
        <w:rPr>
          <w:rFonts w:ascii="Calibri" w:hAnsi="Calibri"/>
          <w:b/>
          <w:i w:val="0"/>
          <w:sz w:val="20"/>
        </w:rPr>
        <w:t>Veritas</w:t>
      </w:r>
      <w:r>
        <w:rPr>
          <w:rFonts w:ascii="Calibri" w:hAnsi="Calibri"/>
          <w:b w:val="0"/>
          <w:i w:val="0"/>
          <w:sz w:val="20"/>
        </w:rPr>
        <w:t xml:space="preserve"> e do </w:t>
      </w:r>
      <w:r>
        <w:rPr>
          <w:rFonts w:ascii="Calibri" w:hAnsi="Calibri"/>
          <w:b/>
          <w:i w:val="0"/>
          <w:sz w:val="20"/>
        </w:rPr>
        <w:t>Oitiva 360</w:t>
      </w:r>
      <w:r>
        <w:rPr>
          <w:rFonts w:ascii="Calibri" w:hAnsi="Calibri"/>
          <w:b w:val="0"/>
          <w:i w:val="0"/>
          <w:sz w:val="20"/>
        </w:rPr>
        <w:t>: a mesma ferramenta acomoda os dois ritos, revelando campos e regras próprios de cada domínio conforme o tipo de processo em uso.</w:t>
      </w:r>
    </w:p>
    <w:p>
      <w:pPr>
        <w:spacing w:before="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Calibri" w:hAnsi="Calibri"/>
          <w:b/>
          <w:i w:val="0"/>
          <w:sz w:val="20"/>
        </w:rPr>
        <w:t>Modo fork</w:t>
      </w:r>
      <w:r>
        <w:rPr>
          <w:rFonts w:ascii="Calibri" w:hAnsi="Calibri"/>
          <w:b w:val="0"/>
          <w:i w:val="0"/>
          <w:sz w:val="20"/>
        </w:rPr>
        <w:t xml:space="preserve"> — dois arquivos independentes, um por domínio. É o caso do par </w:t>
      </w:r>
      <w:r>
        <w:rPr>
          <w:rFonts w:ascii="Calibri" w:hAnsi="Calibri"/>
          <w:b/>
          <w:i w:val="0"/>
          <w:sz w:val="20"/>
        </w:rPr>
        <w:t>Nexo Coger</w:t>
      </w:r>
      <w:r>
        <w:rPr>
          <w:rFonts w:ascii="Calibri" w:hAnsi="Calibri"/>
          <w:b w:val="0"/>
          <w:i w:val="0"/>
          <w:sz w:val="20"/>
        </w:rPr>
        <w:t xml:space="preserve"> (PAD) / </w:t>
      </w:r>
      <w:r>
        <w:rPr>
          <w:rFonts w:ascii="Calibri" w:hAnsi="Calibri"/>
          <w:b/>
          <w:i w:val="0"/>
          <w:sz w:val="20"/>
        </w:rPr>
        <w:t>Nexo PAR</w:t>
      </w:r>
      <w:r>
        <w:rPr>
          <w:rFonts w:ascii="Calibri" w:hAnsi="Calibri"/>
          <w:b w:val="0"/>
          <w:i w:val="0"/>
          <w:sz w:val="20"/>
        </w:rPr>
        <w:t xml:space="preserve"> (PAR): não é uma ferramenta com duas variações, mas duas ferramentas distintas que compartilham a mesma mecânica de mapa fato-prova-norma. Isso explica por que só o Nexo aparece em "duas versões" e o Veritas e o Oitiva 360 não.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Cada ferramenta é </w:t>
      </w:r>
      <w:r>
        <w:rPr>
          <w:rFonts w:ascii="Calibri" w:hAnsi="Calibri"/>
          <w:b/>
          <w:i w:val="0"/>
          <w:sz w:val="22"/>
        </w:rPr>
        <w:t>funcionalmente completa por si só</w:t>
      </w:r>
      <w:r>
        <w:rPr>
          <w:rFonts w:ascii="Calibri" w:hAnsi="Calibri"/>
          <w:b w:val="0"/>
          <w:i w:val="0"/>
          <w:sz w:val="22"/>
        </w:rPr>
        <w:t xml:space="preserve"> — é inteiramente possível cadastrar provas no Veritas, montar o mapa fático no Nexo Coger ou no Nexo PAR e conduzir oitivas no Oitiva 360 sem que nenhuma delas jamais troque um arquivo com as outras. As Seções 2 a 5 deste manual documentam cada ferramenta </w:t>
      </w:r>
      <w:r>
        <w:rPr>
          <w:rFonts w:ascii="Calibri" w:hAnsi="Calibri"/>
          <w:b/>
          <w:i w:val="0"/>
          <w:sz w:val="22"/>
        </w:rPr>
        <w:t>em uso isolado</w:t>
      </w:r>
      <w:r>
        <w:rPr>
          <w:rFonts w:ascii="Calibri" w:hAnsi="Calibri"/>
          <w:b w:val="0"/>
          <w:i w:val="0"/>
          <w:sz w:val="22"/>
        </w:rPr>
        <w:t>, exatamente como ela se comporta quando usada sozinha.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Ainda assim, as quatro ferramentas </w:t>
      </w:r>
      <w:r>
        <w:rPr>
          <w:rFonts w:ascii="Calibri" w:hAnsi="Calibri"/>
          <w:b/>
          <w:i w:val="0"/>
          <w:sz w:val="22"/>
        </w:rPr>
        <w:t>podem</w:t>
      </w:r>
      <w:r>
        <w:rPr>
          <w:rFonts w:ascii="Calibri" w:hAnsi="Calibri"/>
          <w:b w:val="0"/>
          <w:i w:val="0"/>
          <w:sz w:val="22"/>
        </w:rPr>
        <w:t xml:space="preserve"> trocar informações entre si por meio de exportação e importação de arquivos `.json` — por exemplo, provas cadastradas no Veritas podem alimentar o mapa do Nexo Coger ou do Nexo PAR, e um termo de oitiva gerado no Oitiva 360 pode ser importado como prova no Veritas. Cada contrato carrega, hoje, um campo de </w:t>
      </w:r>
      <w:r>
        <w:rPr>
          <w:rFonts w:ascii="Calibri" w:hAnsi="Calibri"/>
          <w:b/>
          <w:i w:val="0"/>
          <w:sz w:val="22"/>
        </w:rPr>
        <w:t>domínio</w:t>
      </w:r>
      <w:r>
        <w:rPr>
          <w:rFonts w:ascii="Calibri" w:hAnsi="Calibri"/>
          <w:b w:val="0"/>
          <w:i w:val="0"/>
          <w:sz w:val="22"/>
        </w:rPr>
        <w:t xml:space="preserve"> (PAD/PAR) que a ferramenta receptora confere na importação. Essa integração é </w:t>
      </w:r>
      <w:r>
        <w:rPr>
          <w:rFonts w:ascii="Calibri" w:hAnsi="Calibri"/>
          <w:b/>
          <w:i w:val="0"/>
          <w:sz w:val="22"/>
        </w:rPr>
        <w:t>opcional e aditiva</w:t>
      </w:r>
      <w:r>
        <w:rPr>
          <w:rFonts w:ascii="Calibri" w:hAnsi="Calibri"/>
          <w:b w:val="0"/>
          <w:i w:val="0"/>
          <w:sz w:val="22"/>
        </w:rPr>
        <w:t xml:space="preserve">: nenhuma das ferramentas exige a outra para funcionar, e os detalhes de cada contrato de integração ficam reservados para a </w:t>
      </w:r>
      <w:r>
        <w:rPr>
          <w:rFonts w:ascii="Calibri" w:hAnsi="Calibri"/>
          <w:b/>
          <w:i w:val="0"/>
          <w:sz w:val="22"/>
        </w:rPr>
        <w:t>Seção 6 — Integração entre as quatro ferramentas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20" w:after="120"/>
        <w:pBdr>
          <w:bottom w:val="single" w:sz="4" w:space="1" w:color="BFA040"/>
        </w:pBdr>
      </w:pPr>
    </w:p>
    <w:p>
      <w:pPr>
        <w:jc w:val="center"/>
      </w:pPr>
      <w:r>
        <w:rPr>
          <w:rFonts w:ascii="Calibri" w:hAnsi="Calibri"/>
          <w:i/>
          <w:color w:val="707070"/>
          <w:sz w:val="18"/>
        </w:rPr>
        <w:t>As capturas de tela deste manual foram produzidas a partir de dados fictícios, usados exclusivamente para fins de ilustração.</w:t>
      </w:r>
    </w:p>
    <w:p>
      <w:r>
        <w:br w:type="page"/>
      </w:r>
    </w:p>
    <w:p>
      <w:pPr>
        <w:spacing w:after="40"/>
      </w:pPr>
      <w:r>
        <w:rPr>
          <w:rFonts w:ascii="Arial Narrow" w:hAnsi="Arial Narrow"/>
          <w:b/>
          <w:color w:val="BFA040"/>
          <w:sz w:val="18"/>
        </w:rPr>
        <w:t>SEÇÃO 2</w:t>
      </w:r>
    </w:p>
    <w:p>
      <w:pPr>
        <w:pStyle w:val="Heading1"/>
      </w:pPr>
      <w:r>
        <w:rPr>
          <w:rFonts w:ascii="Arial Narrow" w:hAnsi="Arial Narrow"/>
          <w:b/>
          <w:color w:val="1E3A5F"/>
          <w:sz w:val="40"/>
        </w:rPr>
        <w:t>Veritas (uso isolado)</w:t>
      </w:r>
    </w:p>
    <w:p>
      <w:pPr>
        <w:spacing w:before="120" w:after="120"/>
        <w:pBdr>
          <w:bottom w:val="single" w:sz="8" w:space="1" w:color="BFA040"/>
        </w:pBdr>
      </w:pP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Veritas</w:t>
      </w:r>
      <w:r>
        <w:rPr>
          <w:rFonts w:ascii="Calibri" w:hAnsi="Calibri"/>
          <w:b w:val="0"/>
          <w:i w:val="0"/>
          <w:sz w:val="22"/>
        </w:rPr>
        <w:t xml:space="preserve"> é a ferramenta de cadastro de provas com cadeia de custódia da Suíte COGER. Sua epígrafe resume o propósito: </w:t>
      </w:r>
      <w:r>
        <w:rPr>
          <w:rFonts w:ascii="Calibri" w:hAnsi="Calibri"/>
          <w:b w:val="0"/>
          <w:i/>
          <w:sz w:val="22"/>
        </w:rPr>
        <w:t>"Toda prova, antes de provar, deve ser provada."</w:t>
      </w:r>
      <w:r>
        <w:rPr>
          <w:rFonts w:ascii="Calibri" w:hAnsi="Calibri"/>
          <w:b w:val="0"/>
          <w:i w:val="0"/>
          <w:sz w:val="22"/>
        </w:rPr>
        <w:t xml:space="preserve"> (Iacoviello). O Veritas documenta a consistência interna e a continuidade de elementos de prova digitais e físicos ao longo do processo — de onde vieram, como foram recebidos, se o conteúdo é íntegro, e quem os custodia a cada momento.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DISCLAIMER  </w:t>
      </w:r>
      <w:r>
        <w:rPr>
          <w:rFonts w:ascii="Calibri" w:hAnsi="Calibri"/>
          <w:b w:val="0"/>
          <w:i w:val="0"/>
          <w:sz w:val="20"/>
        </w:rPr>
        <w:t>Ferramenta de apoio à decisão. Não realiza perícia técnica, não valida assinatura digital ICP-Brasil e não substitui laudo pericial formal.</w:t>
      </w:r>
    </w:p>
    <w:p>
      <w:pPr>
        <w:spacing w:before="100" w:after="6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Arial Narrow" w:hAnsi="Arial Narrow"/>
          <w:b/>
          <w:color w:val="707070"/>
          <w:sz w:val="18"/>
        </w:rPr>
        <w:t xml:space="preserve">FUNDAMENTAÇÃO DOUTRINÁRIA  </w:t>
      </w:r>
      <w:r>
        <w:rPr>
          <w:rFonts w:ascii="Calibri" w:hAnsi="Calibri"/>
          <w:b w:val="0"/>
          <w:i w:val="0"/>
          <w:sz w:val="20"/>
        </w:rPr>
        <w:t>A cadeia de custódia tem disciplina legal expressa apenas no processo penal (art. 158-A a 158-F do CPP, Lei 13.964/2019). No PAD, sua aplicação decorre por analogia e principiologia — verdade real, devido processo, ampla defesa — reforçada pela intercambialidade doutrinária de provas entre PAD e processo penal. O Veritas não sugere vinculação normativa direta ao CPP.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Nos </w:t>
      </w:r>
      <w:r>
        <w:rPr>
          <w:rFonts w:ascii="Calibri" w:hAnsi="Calibri"/>
          <w:b/>
          <w:i w:val="0"/>
          <w:sz w:val="22"/>
        </w:rPr>
        <w:t>Dados do processo</w:t>
      </w:r>
      <w:r>
        <w:rPr>
          <w:rFonts w:ascii="Calibri" w:hAnsi="Calibri"/>
          <w:b w:val="0"/>
          <w:i w:val="0"/>
          <w:sz w:val="22"/>
        </w:rPr>
        <w:t xml:space="preserve"> (o cabeçalho da tela do dossiê, onde ficam o número do processo e o botão de exportação), há um campo </w:t>
      </w:r>
      <w:r>
        <w:rPr>
          <w:rFonts w:ascii="Calibri" w:hAnsi="Calibri"/>
          <w:b/>
          <w:i w:val="0"/>
          <w:sz w:val="22"/>
        </w:rPr>
        <w:t>Tipo de processo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opcional</w:t>
      </w:r>
      <w:r>
        <w:rPr>
          <w:rFonts w:ascii="Calibri" w:hAnsi="Calibri"/>
          <w:b w:val="0"/>
          <w:i w:val="0"/>
          <w:sz w:val="22"/>
        </w:rPr>
        <w:t xml:space="preserve">. É dele que o Veritas deriva o </w:t>
      </w:r>
      <w:r>
        <w:rPr>
          <w:rFonts w:ascii="Calibri" w:hAnsi="Calibri"/>
          <w:b/>
          <w:i w:val="0"/>
          <w:sz w:val="22"/>
        </w:rPr>
        <w:t>domínio</w:t>
      </w:r>
      <w:r>
        <w:rPr>
          <w:rFonts w:ascii="Calibri" w:hAnsi="Calibri"/>
          <w:b w:val="0"/>
          <w:i w:val="0"/>
          <w:sz w:val="22"/>
        </w:rPr>
        <w:t xml:space="preserve"> do dossiê: se o tipo escolhido for um tipo PAR, o domínio passa a `par`; se for um tipo PAD ou de sindicância, o domínio é `pad`. Esse domínio é o que sensibiliza, mais adiante, as categorias de prova disponíveis (Etapa 1) e é emitido nos contratos de exportação (Seção 2.3). Preencher o Tipo de processo não é exigido para cadastrar provas.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SEM TIPO DE PROCESSO, O VERITAS É AGNÓSTICO DE DOMÍNIO  </w:t>
      </w:r>
      <w:r>
        <w:rPr>
          <w:rFonts w:ascii="Calibri" w:hAnsi="Calibri"/>
          <w:b w:val="0"/>
          <w:i w:val="0"/>
          <w:sz w:val="20"/>
        </w:rPr>
        <w:t xml:space="preserve">Sem </w:t>
      </w:r>
      <w:r>
        <w:rPr>
          <w:rFonts w:ascii="Calibri" w:hAnsi="Calibri"/>
          <w:b/>
          <w:i w:val="0"/>
          <w:sz w:val="20"/>
        </w:rPr>
        <w:t>Tipo de processo</w:t>
      </w:r>
      <w:r>
        <w:rPr>
          <w:rFonts w:ascii="Calibri" w:hAnsi="Calibri"/>
          <w:b w:val="0"/>
          <w:i w:val="0"/>
          <w:sz w:val="20"/>
        </w:rPr>
        <w:t xml:space="preserve"> definido, o Veritas permanece </w:t>
      </w:r>
      <w:r>
        <w:rPr>
          <w:rFonts w:ascii="Calibri" w:hAnsi="Calibri"/>
          <w:b/>
          <w:i w:val="0"/>
          <w:sz w:val="20"/>
        </w:rPr>
        <w:t>agnóstico de domínio</w:t>
      </w:r>
      <w:r>
        <w:rPr>
          <w:rFonts w:ascii="Calibri" w:hAnsi="Calibri"/>
          <w:b w:val="0"/>
          <w:i w:val="0"/>
          <w:sz w:val="20"/>
        </w:rPr>
        <w:t>: aceita prova de qualquer origem, sem filtro, e não marca `pad` nem `par` no dossiê. O campo só passa a influenciar o comportamento da ferramenta quando efetivamente preenchido — dossiês antigos, sem esse campo, seguem funcionando exatamente como antes.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2.1 O wizard de cadastro de prova nova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cadastro de uma nova prova é feito por um </w:t>
      </w:r>
      <w:r>
        <w:rPr>
          <w:rFonts w:ascii="Calibri" w:hAnsi="Calibri"/>
          <w:b/>
          <w:i w:val="0"/>
          <w:sz w:val="22"/>
        </w:rPr>
        <w:t>wizard de 4 etapas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 w:val="0"/>
          <w:i/>
          <w:sz w:val="22"/>
        </w:rPr>
        <w:t>Identificação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 w:val="0"/>
          <w:i/>
          <w:sz w:val="22"/>
        </w:rPr>
        <w:t>Proveniência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 w:val="0"/>
          <w:i/>
          <w:sz w:val="22"/>
        </w:rPr>
        <w:t>Arquivos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 w:val="0"/>
          <w:i/>
          <w:sz w:val="22"/>
        </w:rPr>
        <w:t>Linha do tempo</w:t>
      </w:r>
      <w:r>
        <w:rPr>
          <w:rFonts w:ascii="Calibri" w:hAnsi="Calibri"/>
          <w:b w:val="0"/>
          <w:i w:val="0"/>
          <w:sz w:val="22"/>
        </w:rPr>
        <w:t xml:space="preserve"> — indicadas por uma barra de progresso no topo da tela. O botão </w:t>
      </w:r>
      <w:r>
        <w:rPr>
          <w:rFonts w:ascii="Calibri" w:hAnsi="Calibri"/>
          <w:b/>
          <w:i w:val="0"/>
          <w:sz w:val="22"/>
        </w:rPr>
        <w:t>"Avançar →"</w:t>
      </w:r>
      <w:r>
        <w:rPr>
          <w:rFonts w:ascii="Calibri" w:hAnsi="Calibri"/>
          <w:b w:val="0"/>
          <w:i w:val="0"/>
          <w:sz w:val="22"/>
        </w:rPr>
        <w:t xml:space="preserve"> só libera a etapa seguinte se a etapa atual passar na validação; o botão </w:t>
      </w:r>
      <w:r>
        <w:rPr>
          <w:rFonts w:ascii="Calibri" w:hAnsi="Calibri"/>
          <w:b/>
          <w:i w:val="0"/>
          <w:sz w:val="22"/>
        </w:rPr>
        <w:t>"Voltar ←"</w:t>
      </w:r>
      <w:r>
        <w:rPr>
          <w:rFonts w:ascii="Calibri" w:hAnsi="Calibri"/>
          <w:b w:val="0"/>
          <w:i w:val="0"/>
          <w:sz w:val="22"/>
        </w:rPr>
        <w:t xml:space="preserve">, a partir da etapa 2, não é validado. Na última etapa, o botão muda para </w:t>
      </w:r>
      <w:r>
        <w:rPr>
          <w:rFonts w:ascii="Calibri" w:hAnsi="Calibri"/>
          <w:b/>
          <w:i w:val="0"/>
          <w:sz w:val="22"/>
        </w:rPr>
        <w:t>"Salvar item"</w:t>
      </w:r>
      <w:r>
        <w:rPr>
          <w:rFonts w:ascii="Calibri" w:hAnsi="Calibri"/>
          <w:b w:val="0"/>
          <w:i w:val="0"/>
          <w:sz w:val="22"/>
        </w:rPr>
        <w:t>, que revalida novamente as etapas 1, 2 e 3 antes de gravar o item.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4600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tas-wizard-identific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460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 — Wizard de cadastro de prova — Etapa 1, Identificação.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Etapa 1 — Identificação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DICA — FOCO INVESTIGATIVO  </w:t>
      </w:r>
      <w:r>
        <w:rPr>
          <w:rFonts w:ascii="Calibri" w:hAnsi="Calibri"/>
          <w:b w:val="0"/>
          <w:i w:val="0"/>
          <w:sz w:val="20"/>
        </w:rPr>
        <w:t>Mantenha o objeto da apuração determinado: fato, pessoa e meios de prova. Evite incorporar elementos coletados sem relação direta com a hipótese investigativa em curso.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Título/descrição</w:t>
      </w:r>
      <w:r>
        <w:rPr>
          <w:rFonts w:ascii="Calibri" w:hAnsi="Calibri"/>
          <w:b w:val="0"/>
          <w:i w:val="0"/>
          <w:sz w:val="22"/>
        </w:rPr>
        <w:t xml:space="preserve"> — campo de texto livre. </w:t>
      </w:r>
      <w:r>
        <w:rPr>
          <w:rFonts w:ascii="Calibri" w:hAnsi="Calibri"/>
          <w:b/>
          <w:i w:val="0"/>
          <w:sz w:val="22"/>
        </w:rPr>
        <w:t>Obrigatório</w:t>
      </w:r>
      <w:r>
        <w:rPr>
          <w:rFonts w:ascii="Calibri" w:hAnsi="Calibri"/>
          <w:b w:val="0"/>
          <w:i w:val="0"/>
          <w:sz w:val="22"/>
        </w:rPr>
        <w:t xml:space="preserve">: se deixado em branco, o Veritas bloqueia o avanço com a mensagem "Informe o título/descrição.". Placeholder de exemplo: </w:t>
      </w:r>
      <w:r>
        <w:rPr>
          <w:rFonts w:ascii="Calibri" w:hAnsi="Calibri"/>
          <w:b w:val="0"/>
          <w:i/>
          <w:sz w:val="22"/>
        </w:rPr>
        <w:t>Ex.: Extrato bancário — conta XXXX, período 01/2023 a 12/2023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Categoria</w:t>
      </w:r>
      <w:r>
        <w:rPr>
          <w:rFonts w:ascii="Calibri" w:hAnsi="Calibri"/>
          <w:b w:val="0"/>
          <w:i w:val="0"/>
          <w:sz w:val="22"/>
        </w:rPr>
        <w:t xml:space="preserve"> — seleção em lista. </w:t>
      </w:r>
      <w:r>
        <w:rPr>
          <w:rFonts w:ascii="Calibri" w:hAnsi="Calibri"/>
          <w:b/>
          <w:i w:val="0"/>
          <w:sz w:val="22"/>
        </w:rPr>
        <w:t>Obrigatória</w:t>
      </w:r>
      <w:r>
        <w:rPr>
          <w:rFonts w:ascii="Calibri" w:hAnsi="Calibri"/>
          <w:b w:val="0"/>
          <w:i w:val="0"/>
          <w:sz w:val="22"/>
        </w:rPr>
        <w:t xml:space="preserve">: se não selecionada, a mensagem é "Selecione a categoria.". As opções são: Print de sistema, Documento financeiro, Comunicação (e-mail/mensagem), Foto/vídeo, Laudo/perícia, Ofício, Decisão judicial, Documento físico, Dispositivo/mídia física (HD, celular, pendrive etc.) e Outro. Existe ainda a categoria </w:t>
      </w:r>
      <w:r>
        <w:rPr>
          <w:rFonts w:ascii="Calibri" w:hAnsi="Calibri"/>
          <w:b/>
          <w:i w:val="0"/>
          <w:sz w:val="22"/>
        </w:rPr>
        <w:t>"Termo de oitiva"</w:t>
      </w:r>
      <w:r>
        <w:rPr>
          <w:rFonts w:ascii="Calibri" w:hAnsi="Calibri"/>
          <w:b w:val="0"/>
          <w:i w:val="0"/>
          <w:sz w:val="22"/>
        </w:rPr>
        <w:t>, mas ela é reservada — só é atribuída automaticamente quando um termo do Oitiva 360 é importado (ver Seção 6); não é um fluxo de criação manual normal.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Nº/folha nos autos</w:t>
      </w:r>
      <w:r>
        <w:rPr>
          <w:rFonts w:ascii="Calibri" w:hAnsi="Calibri"/>
          <w:b w:val="0"/>
          <w:i w:val="0"/>
          <w:sz w:val="22"/>
        </w:rPr>
        <w:t xml:space="preserve"> — texto livre, opcional (marcado como "opcional" na própria tela).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Vinculado à matriz de apuração</w:t>
      </w:r>
      <w:r>
        <w:rPr>
          <w:rFonts w:ascii="Calibri" w:hAnsi="Calibri"/>
          <w:b w:val="0"/>
          <w:i w:val="0"/>
          <w:sz w:val="22"/>
        </w:rPr>
        <w:t xml:space="preserve"> — texto livre, opcional, para anotar a que fato/hipótese este elemento de prova sustenta.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Sigilo/classificação</w:t>
      </w:r>
      <w:r>
        <w:rPr>
          <w:rFonts w:ascii="Calibri" w:hAnsi="Calibri"/>
          <w:b w:val="0"/>
          <w:i w:val="0"/>
          <w:sz w:val="22"/>
        </w:rPr>
        <w:t xml:space="preserve"> — seleção em lista, opcional, com valor padrão "Acesso restrito". Opções: Público nos autos, Acesso restrito, Sigiloso.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6.  </w:t>
      </w:r>
      <w:r>
        <w:rPr>
          <w:rFonts w:ascii="Calibri" w:hAnsi="Calibri"/>
          <w:b/>
          <w:i w:val="0"/>
          <w:sz w:val="22"/>
        </w:rPr>
        <w:t>Extrato ou conteúdo integral?</w:t>
      </w:r>
      <w:r>
        <w:rPr>
          <w:rFonts w:ascii="Calibri" w:hAnsi="Calibri"/>
          <w:b w:val="0"/>
          <w:i w:val="0"/>
          <w:sz w:val="22"/>
        </w:rPr>
        <w:t xml:space="preserve"> — grupo de opções ("Sim — conteúdo integral" / "Não — extrato/trecho parcial"), com valor padrão "Sim".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CATEGORIAS DE PROVA ADICIONAIS NO DOMÍNIO PAR  </w:t>
      </w:r>
      <w:r>
        <w:rPr>
          <w:rFonts w:ascii="Calibri" w:hAnsi="Calibri"/>
          <w:b w:val="0"/>
          <w:i w:val="0"/>
          <w:sz w:val="20"/>
        </w:rPr>
        <w:t xml:space="preserve">Quando o dossiê está no </w:t>
      </w:r>
      <w:r>
        <w:rPr>
          <w:rFonts w:ascii="Calibri" w:hAnsi="Calibri"/>
          <w:b/>
          <w:i w:val="0"/>
          <w:sz w:val="20"/>
        </w:rPr>
        <w:t>domínio PAR</w:t>
      </w:r>
      <w:r>
        <w:rPr>
          <w:rFonts w:ascii="Calibri" w:hAnsi="Calibri"/>
          <w:b w:val="0"/>
          <w:i w:val="0"/>
          <w:sz w:val="20"/>
        </w:rPr>
        <w:t xml:space="preserve"> (Tipo de processo PAR — ver a nota de abertura desta seção), a lista de </w:t>
      </w:r>
      <w:r>
        <w:rPr>
          <w:rFonts w:ascii="Calibri" w:hAnsi="Calibri"/>
          <w:b/>
          <w:i w:val="0"/>
          <w:sz w:val="20"/>
        </w:rPr>
        <w:t>Categoria</w:t>
      </w:r>
      <w:r>
        <w:rPr>
          <w:rFonts w:ascii="Calibri" w:hAnsi="Calibri"/>
          <w:b w:val="0"/>
          <w:i w:val="0"/>
          <w:sz w:val="20"/>
        </w:rPr>
        <w:t xml:space="preserve"> ganha duas opções adicionais, próprias da responsabilização de entes privados: </w:t>
      </w:r>
      <w:r>
        <w:rPr>
          <w:rFonts w:ascii="Calibri" w:hAnsi="Calibri"/>
          <w:b/>
          <w:i w:val="0"/>
          <w:sz w:val="20"/>
        </w:rPr>
        <w:t>"Programa de integridade"</w:t>
      </w:r>
      <w:r>
        <w:rPr>
          <w:rFonts w:ascii="Calibri" w:hAnsi="Calibri"/>
          <w:b w:val="0"/>
          <w:i w:val="0"/>
          <w:sz w:val="20"/>
        </w:rPr>
        <w:t xml:space="preserve"> e </w:t>
      </w:r>
      <w:r>
        <w:rPr>
          <w:rFonts w:ascii="Calibri" w:hAnsi="Calibri"/>
          <w:b/>
          <w:i w:val="0"/>
          <w:sz w:val="20"/>
        </w:rPr>
        <w:t>"Informações do COAF"</w:t>
      </w:r>
      <w:r>
        <w:rPr>
          <w:rFonts w:ascii="Calibri" w:hAnsi="Calibri"/>
          <w:b w:val="0"/>
          <w:i w:val="0"/>
          <w:sz w:val="20"/>
        </w:rPr>
        <w:t xml:space="preserve">. Elas não aparecem em dossiês PAD ou sem tipo definido. A categoria </w:t>
      </w:r>
      <w:r>
        <w:rPr>
          <w:rFonts w:ascii="Calibri" w:hAnsi="Calibri"/>
          <w:b/>
          <w:i w:val="0"/>
          <w:sz w:val="20"/>
        </w:rPr>
        <w:t>"Prova emprestada"</w:t>
      </w:r>
      <w:r>
        <w:rPr>
          <w:rFonts w:ascii="Calibri" w:hAnsi="Calibri"/>
          <w:b w:val="0"/>
          <w:i w:val="0"/>
          <w:sz w:val="20"/>
        </w:rPr>
        <w:t xml:space="preserve"> permanece comum aos dois domínios.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Se a </w:t>
      </w:r>
      <w:r>
        <w:rPr>
          <w:rFonts w:ascii="Calibri" w:hAnsi="Calibri"/>
          <w:b/>
          <w:i w:val="0"/>
          <w:sz w:val="22"/>
        </w:rPr>
        <w:t>Categoria</w:t>
      </w:r>
      <w:r>
        <w:rPr>
          <w:rFonts w:ascii="Calibri" w:hAnsi="Calibri"/>
          <w:b w:val="0"/>
          <w:i w:val="0"/>
          <w:sz w:val="22"/>
        </w:rPr>
        <w:t xml:space="preserve"> escolhida for </w:t>
      </w:r>
      <w:r>
        <w:rPr>
          <w:rFonts w:ascii="Calibri" w:hAnsi="Calibri"/>
          <w:b/>
          <w:i w:val="0"/>
          <w:sz w:val="22"/>
        </w:rPr>
        <w:t>"Comunicação (e-mail/mensagem)"</w:t>
      </w:r>
      <w:r>
        <w:rPr>
          <w:rFonts w:ascii="Calibri" w:hAnsi="Calibri"/>
          <w:b w:val="0"/>
          <w:i w:val="0"/>
          <w:sz w:val="22"/>
        </w:rPr>
        <w:t>, aparece um aviso adicional: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Calibri" w:hAnsi="Calibri"/>
          <w:b w:val="0"/>
          <w:i w:val="0"/>
          <w:sz w:val="20"/>
        </w:rPr>
        <w:t>Ao registrar mensagens ou gravações, observe as normas de privacidade aplicáveis e, quando pertinente, documente se houve consentimento na colaboração de quem forneceu o material.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Se </w:t>
      </w:r>
      <w:r>
        <w:rPr>
          <w:rFonts w:ascii="Calibri" w:hAnsi="Calibri"/>
          <w:b/>
          <w:i w:val="0"/>
          <w:sz w:val="22"/>
        </w:rPr>
        <w:t>"Extrato ou conteúdo integral?"</w:t>
      </w:r>
      <w:r>
        <w:rPr>
          <w:rFonts w:ascii="Calibri" w:hAnsi="Calibri"/>
          <w:b w:val="0"/>
          <w:i w:val="0"/>
          <w:sz w:val="22"/>
        </w:rPr>
        <w:t xml:space="preserve"> for marcado como </w:t>
      </w:r>
      <w:r>
        <w:rPr>
          <w:rFonts w:ascii="Calibri" w:hAnsi="Calibri"/>
          <w:b/>
          <w:i w:val="0"/>
          <w:sz w:val="22"/>
        </w:rPr>
        <w:t>"Não"</w:t>
      </w:r>
      <w:r>
        <w:rPr>
          <w:rFonts w:ascii="Calibri" w:hAnsi="Calibri"/>
          <w:b w:val="0"/>
          <w:i w:val="0"/>
          <w:sz w:val="22"/>
        </w:rPr>
        <w:t xml:space="preserve">, surge o campo </w:t>
      </w:r>
      <w:r>
        <w:rPr>
          <w:rFonts w:ascii="Calibri" w:hAnsi="Calibri"/>
          <w:b/>
          <w:i w:val="0"/>
          <w:sz w:val="22"/>
        </w:rPr>
        <w:t>Justificativa</w:t>
      </w:r>
      <w:r>
        <w:rPr>
          <w:rFonts w:ascii="Calibri" w:hAnsi="Calibri"/>
          <w:b w:val="0"/>
          <w:i w:val="0"/>
          <w:sz w:val="22"/>
        </w:rPr>
        <w:t xml:space="preserve"> (área de texto, com o próprio rótulo indicando "obrigatória"). Se deixada em branco, o Veritas bloqueia com "Justificativa obrigatória para extrato parcial.". Junto do campo aparece a dica: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DICA — INTEGRALIDADE  </w:t>
      </w:r>
      <w:r>
        <w:rPr>
          <w:rFonts w:ascii="Calibri" w:hAnsi="Calibri"/>
          <w:b w:val="0"/>
          <w:i w:val="0"/>
          <w:sz w:val="20"/>
        </w:rPr>
        <w:t>Cuidado: decisões não devem se fundamentar em prints de tela, áudios isolados ou trechos sem contexto. Se este é um extrato parcial, registre por que o conteúdo integral não foi anexado e avalie a necessidade de complementação.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Etapa 2 — Proveniência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campo central da Etapa 2 é a escolha do </w:t>
      </w:r>
      <w:r>
        <w:rPr>
          <w:rFonts w:ascii="Calibri" w:hAnsi="Calibri"/>
          <w:b/>
          <w:i w:val="0"/>
          <w:sz w:val="22"/>
        </w:rPr>
        <w:t>tipo de proveniência</w:t>
      </w:r>
      <w:r>
        <w:rPr>
          <w:rFonts w:ascii="Calibri" w:hAnsi="Calibri"/>
          <w:b w:val="0"/>
          <w:i w:val="0"/>
          <w:sz w:val="22"/>
        </w:rPr>
        <w:t>, um grupo de opções sem rótulo próprio (é obrigatório escolher um; caso contrário, "Selecione o tipo de proveniência."). Há três tipos, cada um revelando um conjunto próprio de campos: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2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Quando usar</w:t>
            </w:r>
          </w:p>
        </w:tc>
        <w:tc>
          <w:tcPr>
            <w:tcW w:type="dxa" w:w="3005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Campos revelados</w:t>
            </w:r>
          </w:p>
        </w:tc>
      </w:tr>
      <w:tr>
        <w:tc>
          <w:tcPr>
            <w:tcW w:type="dxa" w:w="238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A) Gerado internamente</w:t>
            </w:r>
          </w:p>
        </w:tc>
        <w:tc>
          <w:tcPr>
            <w:tcW w:type="dxa" w:w="340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Print, PDF exportado, foto de diligência — o Veritas calcula o hash no momento da coleta.</w:t>
            </w:r>
          </w:p>
        </w:tc>
        <w:tc>
          <w:tcPr>
            <w:tcW w:type="dxa" w:w="300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Quem coletou; Contexto da coleta; Local/situação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B) Recebido com hash oficial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PJe, ofício de compartilhamento, operação conjunta — a comissão declara o hash da origem.</w:t>
            </w:r>
          </w:p>
        </w:tc>
        <w:tc>
          <w:tcPr>
            <w:tcW w:type="dxa" w:w="300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Processo judicial de origem; Órgão expedidor; Natureza do compartilhamento; Nome/codinome da operação; Data do ofício/decisão; Data de recebimento pela Coger; Nº do ofício/expediente; Modo do hash declarado (por arquivo / pacote)</w:t>
            </w:r>
          </w:p>
        </w:tc>
      </w:tr>
      <w:tr>
        <w:tc>
          <w:tcPr>
            <w:tcW w:type="dxa" w:w="238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C) Extraído de sistema com trilha própria</w:t>
            </w:r>
          </w:p>
        </w:tc>
        <w:tc>
          <w:tcPr>
            <w:tcW w:type="dxa" w:w="340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Extração ativa pela própria Coger, com acesso institucional.</w:t>
            </w:r>
          </w:p>
        </w:tc>
        <w:tc>
          <w:tcPr>
            <w:tcW w:type="dxa" w:w="300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Sistema de origem; ID do documento no sistema de origem; Nº do processo de origem; Usuário que extraiu; Data/hora da extração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No </w:t>
      </w:r>
      <w:r>
        <w:rPr>
          <w:rFonts w:ascii="Calibri" w:hAnsi="Calibri"/>
          <w:b/>
          <w:i w:val="0"/>
          <w:sz w:val="22"/>
        </w:rPr>
        <w:t>tipo B</w:t>
      </w:r>
      <w:r>
        <w:rPr>
          <w:rFonts w:ascii="Calibri" w:hAnsi="Calibri"/>
          <w:b w:val="0"/>
          <w:i w:val="0"/>
          <w:sz w:val="22"/>
        </w:rPr>
        <w:t xml:space="preserve">, ao lado dos campos de recebimento aparece o grupo </w:t>
      </w:r>
      <w:r>
        <w:rPr>
          <w:rFonts w:ascii="Calibri" w:hAnsi="Calibri"/>
          <w:b/>
          <w:i w:val="0"/>
          <w:sz w:val="22"/>
        </w:rPr>
        <w:t>"Modo do hash declarado pela origem"</w:t>
      </w:r>
      <w:r>
        <w:rPr>
          <w:rFonts w:ascii="Calibri" w:hAnsi="Calibri"/>
          <w:b w:val="0"/>
          <w:i w:val="0"/>
          <w:sz w:val="22"/>
        </w:rPr>
        <w:t xml:space="preserve">, com duas opções: </w:t>
      </w:r>
      <w:r>
        <w:rPr>
          <w:rFonts w:ascii="Calibri" w:hAnsi="Calibri"/>
          <w:b/>
          <w:i w:val="0"/>
          <w:sz w:val="22"/>
        </w:rPr>
        <w:t>"Hash declarado individualmente por arquivo"</w:t>
      </w:r>
      <w:r>
        <w:rPr>
          <w:rFonts w:ascii="Calibri" w:hAnsi="Calibri"/>
          <w:b w:val="0"/>
          <w:i w:val="0"/>
          <w:sz w:val="22"/>
        </w:rPr>
        <w:t xml:space="preserve"> (o padrão) ou </w:t>
      </w:r>
      <w:r>
        <w:rPr>
          <w:rFonts w:ascii="Calibri" w:hAnsi="Calibri"/>
          <w:b/>
          <w:i w:val="0"/>
          <w:sz w:val="22"/>
        </w:rPr>
        <w:t>"Hash único do pacote compactado"</w:t>
      </w:r>
      <w:r>
        <w:rPr>
          <w:rFonts w:ascii="Calibri" w:hAnsi="Calibri"/>
          <w:b w:val="0"/>
          <w:i w:val="0"/>
          <w:sz w:val="22"/>
        </w:rPr>
        <w:t xml:space="preserve">. Se o modo for "pacote", aparecem ainda os campos </w:t>
      </w:r>
      <w:r>
        <w:rPr>
          <w:rFonts w:ascii="Calibri" w:hAnsi="Calibri"/>
          <w:b/>
          <w:i w:val="0"/>
          <w:sz w:val="22"/>
        </w:rPr>
        <w:t>Hash declarado do pacote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Algoritmo declarado</w:t>
      </w:r>
      <w:r>
        <w:rPr>
          <w:rFonts w:ascii="Calibri" w:hAnsi="Calibri"/>
          <w:b w:val="0"/>
          <w:i w:val="0"/>
          <w:sz w:val="22"/>
        </w:rPr>
        <w:t xml:space="preserve"> (padrão "SHA-256"), e o Veritas exibe um aviso fixo explicando que, nesse modo, a comparação por arquivo individual não se aplica: cada arquivo é conferido, na Conferência Geral, contra o hash local originalmente registrado (consistência interna), não contra o hash do pacote.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DICA — CUSTÓDIA EXTERNA (TIPO B)  </w:t>
      </w:r>
      <w:r>
        <w:rPr>
          <w:rFonts w:ascii="Calibri" w:hAnsi="Calibri"/>
          <w:b w:val="0"/>
          <w:i w:val="0"/>
          <w:sz w:val="20"/>
        </w:rPr>
        <w:t xml:space="preserve">A partir daqui você documenta a </w:t>
      </w:r>
      <w:r>
        <w:rPr>
          <w:rFonts w:ascii="Calibri" w:hAnsi="Calibri"/>
          <w:b/>
          <w:i w:val="0"/>
          <w:sz w:val="20"/>
        </w:rPr>
        <w:t>cadeia externa</w:t>
      </w:r>
      <w:r>
        <w:rPr>
          <w:rFonts w:ascii="Calibri" w:hAnsi="Calibri"/>
          <w:b w:val="0"/>
          <w:i w:val="0"/>
          <w:sz w:val="20"/>
        </w:rPr>
        <w:t>: o que aconteceu antes do recebimento pela Coger não está sob seu controle direto. Registre com precisão a origem e o hash declarado — é essa comparação que sustenta a continuidade da prova.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Ao final da Etapa 2, independentemente do tipo escolhido, o Veritas pergunta se </w:t>
      </w:r>
      <w:r>
        <w:rPr>
          <w:rFonts w:ascii="Calibri" w:hAnsi="Calibri"/>
          <w:b/>
          <w:i w:val="0"/>
          <w:sz w:val="22"/>
        </w:rPr>
        <w:t>"Este item inclui um elemento físico (documento físico, HD, celular, mídia removível etc.), além do(s) arquivo(s) digital(is)?"</w:t>
      </w:r>
      <w:r>
        <w:rPr>
          <w:rFonts w:ascii="Calibri" w:hAnsi="Calibri"/>
          <w:b w:val="0"/>
          <w:i w:val="0"/>
          <w:sz w:val="22"/>
        </w:rPr>
        <w:t>. Se marcado, revela: Tipo de elemento físico (Documento físico, HD/dispositivo de armazenamento, Celular/smartphone, Mídia removível, Outro); Nº do lacre; Condição do lacre (Íntegro, Rompido, Não lacrado); Descrição do lacre (cor/característica); Local de guarda física; e Responsável pela guarda física.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30899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tas-cadeia-custo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308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2 — Etapa 2, Proveniência — detalhamento do tipo de proveniência e do bloco de elemento físico.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DICA — LACRE FÍSICO  </w:t>
      </w:r>
      <w:r>
        <w:rPr>
          <w:rFonts w:ascii="Calibri" w:hAnsi="Calibri"/>
          <w:b w:val="0"/>
          <w:i w:val="0"/>
          <w:sz w:val="20"/>
        </w:rPr>
        <w:t>Documentos físicos e dispositivos (HD, celular, mídia removível) não têm hash — a integridade deles se sustenta pelo lacre. Registre o nº do lacre, sua condição no recebimento/coleta e o local de guarda física; use "Registrar evento → Conferência do lacre" sempre que o objeto for reaberto ou transferido.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Nenhum campo da Etapa 2 é, individualmente, obrigatório em si — a única checagem de fato é a escolha do tipo de proveniência. Marcar o elemento físico como presente, porém, tem um efeito importante na Etapa 3: dispensa a exigência de anexar arquivo digital.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Como o Veritas calcula o hash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hash de cada arquivo é calculado </w:t>
      </w:r>
      <w:r>
        <w:rPr>
          <w:rFonts w:ascii="Calibri" w:hAnsi="Calibri"/>
          <w:b/>
          <w:i w:val="0"/>
          <w:sz w:val="22"/>
        </w:rPr>
        <w:t>no momento em que o usuário anexa o arquivo</w:t>
      </w:r>
      <w:r>
        <w:rPr>
          <w:rFonts w:ascii="Calibri" w:hAnsi="Calibri"/>
          <w:b w:val="0"/>
          <w:i w:val="0"/>
          <w:sz w:val="22"/>
        </w:rPr>
        <w:t xml:space="preserve"> — ao clicar no botão </w:t>
      </w:r>
      <w:r>
        <w:rPr>
          <w:rFonts w:ascii="Calibri" w:hAnsi="Calibri"/>
          <w:b/>
          <w:i w:val="0"/>
          <w:sz w:val="22"/>
        </w:rPr>
        <w:t>"Calcular hash e adicionar"</w:t>
      </w:r>
      <w:r>
        <w:rPr>
          <w:rFonts w:ascii="Calibri" w:hAnsi="Calibri"/>
          <w:b w:val="0"/>
          <w:i w:val="0"/>
          <w:sz w:val="22"/>
        </w:rPr>
        <w:t xml:space="preserve"> — e não ao salvar o item inteiro, nem automaticamente ao apenas selecionar o arquivo no campo de upload. O cálculo é feito com o algoritmo SHA-256 sobre </w:t>
      </w:r>
      <w:r>
        <w:rPr>
          <w:rFonts w:ascii="Calibri" w:hAnsi="Calibri"/>
          <w:b/>
          <w:i w:val="0"/>
          <w:sz w:val="22"/>
        </w:rPr>
        <w:t>o conteúdo binário bruto do arquivo anexado</w:t>
      </w:r>
      <w:r>
        <w:rPr>
          <w:rFonts w:ascii="Calibri" w:hAnsi="Calibri"/>
          <w:b w:val="0"/>
          <w:i w:val="0"/>
          <w:sz w:val="22"/>
        </w:rPr>
        <w:t xml:space="preserve"> (os bytes do arquivo em si, não metadados como nome ou data). No mesmo instante, o Veritas grava um carimbo de data/hora local (relógio do computador do usuário).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DICA — CARIMBO LOCAL  </w:t>
      </w:r>
      <w:r>
        <w:rPr>
          <w:rFonts w:ascii="Calibri" w:hAnsi="Calibri"/>
          <w:b w:val="0"/>
          <w:i w:val="0"/>
          <w:sz w:val="20"/>
        </w:rPr>
        <w:t>O carimbo de data/hora é o relógio deste computador, não um selo de tempo com autoridade certificadora. Tem valor para mostrar consistência interna do arquivo, não para provar o instante exato de forma inatacável.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sz w:val="22"/>
        </w:rPr>
        <w:t>comparação automática</w:t>
      </w:r>
      <w:r>
        <w:rPr>
          <w:rFonts w:ascii="Calibri" w:hAnsi="Calibri"/>
          <w:b w:val="0"/>
          <w:i w:val="0"/>
          <w:sz w:val="22"/>
        </w:rPr>
        <w:t xml:space="preserve"> entre o hash calculado localmente e um hash declarado pela origem só ocorre em um caso específico: proveniência do </w:t>
      </w:r>
      <w:r>
        <w:rPr>
          <w:rFonts w:ascii="Calibri" w:hAnsi="Calibri"/>
          <w:b/>
          <w:i w:val="0"/>
          <w:sz w:val="22"/>
        </w:rPr>
        <w:t>tipo B (recebido com hash oficial)</w:t>
      </w:r>
      <w:r>
        <w:rPr>
          <w:rFonts w:ascii="Calibri" w:hAnsi="Calibri"/>
          <w:b w:val="0"/>
          <w:i w:val="0"/>
          <w:sz w:val="22"/>
        </w:rPr>
        <w:t xml:space="preserve">, com </w:t>
      </w:r>
      <w:r>
        <w:rPr>
          <w:rFonts w:ascii="Calibri" w:hAnsi="Calibri"/>
          <w:b/>
          <w:i w:val="0"/>
          <w:sz w:val="22"/>
        </w:rPr>
        <w:t>modo "por arquivo"</w:t>
      </w:r>
      <w:r>
        <w:rPr>
          <w:rFonts w:ascii="Calibri" w:hAnsi="Calibri"/>
          <w:b w:val="0"/>
          <w:i w:val="0"/>
          <w:sz w:val="22"/>
        </w:rPr>
        <w:t xml:space="preserve">, e apenas quando o campo </w:t>
      </w:r>
      <w:r>
        <w:rPr>
          <w:rFonts w:ascii="Calibri" w:hAnsi="Calibri"/>
          <w:b/>
          <w:i w:val="0"/>
          <w:sz w:val="22"/>
        </w:rPr>
        <w:t>"Hash declarado pela origem (deste arquivo)"</w:t>
      </w:r>
      <w:r>
        <w:rPr>
          <w:rFonts w:ascii="Calibri" w:hAnsi="Calibri"/>
          <w:b w:val="0"/>
          <w:i w:val="0"/>
          <w:sz w:val="22"/>
        </w:rPr>
        <w:t xml:space="preserve"> foi preenchido para aquele arquivo. Nesse caso o resultado é </w:t>
      </w:r>
      <w:r>
        <w:rPr>
          <w:rFonts w:ascii="Calibri" w:hAnsi="Calibri"/>
          <w:b/>
          <w:i w:val="0"/>
          <w:sz w:val="22"/>
        </w:rPr>
        <w:t>"Confere"</w:t>
      </w:r>
      <w:r>
        <w:rPr>
          <w:rFonts w:ascii="Calibri" w:hAnsi="Calibri"/>
          <w:b w:val="0"/>
          <w:i w:val="0"/>
          <w:sz w:val="22"/>
        </w:rPr>
        <w:t xml:space="preserve"> ou </w:t>
      </w:r>
      <w:r>
        <w:rPr>
          <w:rFonts w:ascii="Calibri" w:hAnsi="Calibri"/>
          <w:b/>
          <w:i w:val="0"/>
          <w:sz w:val="22"/>
        </w:rPr>
        <w:t>"Diverge"</w:t>
      </w:r>
      <w:r>
        <w:rPr>
          <w:rFonts w:ascii="Calibri" w:hAnsi="Calibri"/>
          <w:b w:val="0"/>
          <w:i w:val="0"/>
          <w:sz w:val="22"/>
        </w:rPr>
        <w:t xml:space="preserve">. Em todos os demais casos — tipo A, tipo C, tipo B em modo "pacote", ou campo de hash declarado vazio — o resultado é </w:t>
      </w:r>
      <w:r>
        <w:rPr>
          <w:rFonts w:ascii="Calibri" w:hAnsi="Calibri"/>
          <w:b/>
          <w:i w:val="0"/>
          <w:sz w:val="22"/>
        </w:rPr>
        <w:t>"Não aplicável"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Depois de salvo o item, um novo arquivo pode ser anexado a qualquer momento para uma </w:t>
      </w:r>
      <w:r>
        <w:rPr>
          <w:rFonts w:ascii="Calibri" w:hAnsi="Calibri"/>
          <w:b/>
          <w:i w:val="0"/>
          <w:sz w:val="22"/>
        </w:rPr>
        <w:t>Conferência de integridade</w:t>
      </w:r>
      <w:r>
        <w:rPr>
          <w:rFonts w:ascii="Calibri" w:hAnsi="Calibri"/>
          <w:b w:val="0"/>
          <w:i w:val="0"/>
          <w:sz w:val="22"/>
        </w:rPr>
        <w:t>: o Veritas recalcula o hash do arquivo reanexado e o compara com a referência gravada originalmente, registrando um evento de "Conferência" na linha do tempo. Em caso de divergência, a observação fixa registrada é "Divergência encontrada na conferência — ver princípio do prejuízo.".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PRINCÍPIO DO PREJUÍZO  </w:t>
      </w:r>
      <w:r>
        <w:rPr>
          <w:rFonts w:ascii="Calibri" w:hAnsi="Calibri"/>
          <w:b w:val="0"/>
          <w:i w:val="0"/>
          <w:sz w:val="20"/>
        </w:rPr>
        <w:t>Uma divergência ou lacuna formal na cadeia de custódia não gera nulidade automática. Registre o ocorrido com precisão e avalie se há prejuízo concreto e demonstrável para a acusação ou para a defesa — esse é o critério que prevalece, não a falha formal isolada em si.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Etapa 3 — Arquivos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Para cada arquivo anexado, o formulário oferece: </w:t>
      </w:r>
      <w:r>
        <w:rPr>
          <w:rFonts w:ascii="Calibri" w:hAnsi="Calibri"/>
          <w:b/>
          <w:i w:val="0"/>
          <w:sz w:val="22"/>
        </w:rPr>
        <w:t>Descrição do arquivo no pacote</w:t>
      </w:r>
      <w:r>
        <w:rPr>
          <w:rFonts w:ascii="Calibri" w:hAnsi="Calibri"/>
          <w:b w:val="0"/>
          <w:i w:val="0"/>
          <w:sz w:val="22"/>
        </w:rPr>
        <w:t xml:space="preserve"> (texto livre, opcional); </w:t>
      </w:r>
      <w:r>
        <w:rPr>
          <w:rFonts w:ascii="Calibri" w:hAnsi="Calibri"/>
          <w:b/>
          <w:i w:val="0"/>
          <w:sz w:val="22"/>
        </w:rPr>
        <w:t>Hash declarado pela origem (deste arquivo)</w:t>
      </w:r>
      <w:r>
        <w:rPr>
          <w:rFonts w:ascii="Calibri" w:hAnsi="Calibri"/>
          <w:b w:val="0"/>
          <w:i w:val="0"/>
          <w:sz w:val="22"/>
        </w:rPr>
        <w:t xml:space="preserve"> (só aparece quando a proveniência é tipo B em modo "por arquivo"); e o próprio </w:t>
      </w:r>
      <w:r>
        <w:rPr>
          <w:rFonts w:ascii="Calibri" w:hAnsi="Calibri"/>
          <w:b/>
          <w:i w:val="0"/>
          <w:sz w:val="22"/>
        </w:rPr>
        <w:t>Arquivo</w:t>
      </w:r>
      <w:r>
        <w:rPr>
          <w:rFonts w:ascii="Calibri" w:hAnsi="Calibri"/>
          <w:b w:val="0"/>
          <w:i w:val="0"/>
          <w:sz w:val="22"/>
        </w:rPr>
        <w:t xml:space="preserve"> (seleção de arquivo), obrigatório para clicar em "Calcular hash e adicionar" — sem arquivo selecionado, a mensagem é "Selecione um arquivo.".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validação da etapa exige </w:t>
      </w:r>
      <w:r>
        <w:rPr>
          <w:rFonts w:ascii="Calibri" w:hAnsi="Calibri"/>
          <w:b/>
          <w:i w:val="0"/>
          <w:sz w:val="22"/>
        </w:rPr>
        <w:t>ao menos um arquivo anexado</w:t>
      </w:r>
      <w:r>
        <w:rPr>
          <w:rFonts w:ascii="Calibri" w:hAnsi="Calibri"/>
          <w:b w:val="0"/>
          <w:i w:val="0"/>
          <w:sz w:val="22"/>
        </w:rPr>
        <w:t>, a menos que o elemento físico tenha sido marcado como presente na Etapa 2 — nesse caso, o arquivo digital passa a ser opcional (por exemplo, uma foto do objeto lacrado). Sem arquivo e sem elemento físico, a mensagem de bloqueio é "Adicione ao menos um arquivo (ou marque o elemento físico na Proveniência).".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Etapa 4 — Linha do tempo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última etapa oferece três campos, todos opcionais e não validados: </w:t>
      </w:r>
      <w:r>
        <w:rPr>
          <w:rFonts w:ascii="Calibri" w:hAnsi="Calibri"/>
          <w:b/>
          <w:i w:val="0"/>
          <w:sz w:val="22"/>
        </w:rPr>
        <w:t>Responsável pelo registro na ferramenta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Custodiante atual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Observações livres</w:t>
      </w:r>
      <w:r>
        <w:rPr>
          <w:rFonts w:ascii="Calibri" w:hAnsi="Calibri"/>
          <w:b w:val="0"/>
          <w:i w:val="0"/>
          <w:sz w:val="22"/>
        </w:rPr>
        <w:t>. Abaixo, uma prévia mostra os eventos automáticos que serão gerados ao salvar (identificação do item, cálculo de hash de cada arquivo etc.).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2.2 Consulta e edição de prova já cadastrada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Uma prova salva é reaberta clicando em sua linha na tabela de itens da tela do processo (ou no ícone de edição ao final da linha).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6757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tas-consulta-listag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67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3 — Listagem de itens cadastrados na tela do processo — consulta.</w:t>
      </w:r>
    </w:p>
    <w:p>
      <w:pPr>
        <w:spacing w:after="100" w:line="280" w:lineRule="exact"/>
        <w:jc w:val="both"/>
      </w:pPr>
      <w:r>
        <w:rPr>
          <w:rFonts w:ascii="Calibri" w:hAnsi="Calibri"/>
          <w:b/>
          <w:i w:val="0"/>
          <w:sz w:val="22"/>
        </w:rPr>
        <w:t>Campos que permanecem editáveis</w:t>
      </w:r>
      <w:r>
        <w:rPr>
          <w:rFonts w:ascii="Calibri" w:hAnsi="Calibri"/>
          <w:b w:val="0"/>
          <w:i w:val="0"/>
          <w:sz w:val="22"/>
        </w:rPr>
        <w:t xml:space="preserve"> depois de salvo (cada alteração é gravada imediatamente):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Título/descrição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Categoria (não pode ser esvaziada de volta para "Selecione…")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Nº/folha nos autos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Vinculado à matriz de apuração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Sigilo/classificação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Custodiante atual</w:t>
      </w:r>
    </w:p>
    <w:p>
      <w:pPr>
        <w:spacing w:after="100" w:line="280" w:lineRule="exact"/>
        <w:jc w:val="both"/>
      </w:pPr>
      <w:r>
        <w:rPr>
          <w:rFonts w:ascii="Calibri" w:hAnsi="Calibri"/>
          <w:b/>
          <w:i w:val="0"/>
          <w:sz w:val="22"/>
        </w:rPr>
        <w:t>Campos que ficam travados</w:t>
      </w:r>
      <w:r>
        <w:rPr>
          <w:rFonts w:ascii="Calibri" w:hAnsi="Calibri"/>
          <w:b w:val="0"/>
          <w:i w:val="0"/>
          <w:sz w:val="22"/>
        </w:rPr>
        <w:t xml:space="preserve"> (somente leitura) depois que o item é salvo: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Todo o bloco de Proveniência — tipo e todos os subcampos (quem coletou, processo judicial de origem, hash declarado do pacote, sistema de origem etc.)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O resumo de elemento físico, exceto a condição do lacre, que só muda através do evento "Conferência do lacre"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"Extrato ou conteúdo integral?" e a Justificativa associada (mostrados como selo, sem campo editável)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Status do item (só se altera pelo modal "Registrar evento")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Fundamentação de contestação (só via evento)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Arquivos podem ser </w:t>
      </w:r>
      <w:r>
        <w:rPr>
          <w:rFonts w:ascii="Calibri" w:hAnsi="Calibri"/>
          <w:b/>
          <w:i w:val="0"/>
          <w:sz w:val="22"/>
        </w:rPr>
        <w:t>adicionados</w:t>
      </w:r>
      <w:r>
        <w:rPr>
          <w:rFonts w:ascii="Calibri" w:hAnsi="Calibri"/>
          <w:b w:val="0"/>
          <w:i w:val="0"/>
          <w:sz w:val="22"/>
        </w:rPr>
        <w:t xml:space="preserve"> à prova já salva (pelo mesmo formulário "Calcular hash e adicionar"), mas não podem ser removidos ou substituídos. Eventos de linha do tempo só são incluídos por meio do modal </w:t>
      </w:r>
      <w:r>
        <w:rPr>
          <w:rFonts w:ascii="Calibri" w:hAnsi="Calibri"/>
          <w:b/>
          <w:i w:val="0"/>
          <w:sz w:val="22"/>
        </w:rPr>
        <w:t>"Registrar evento"</w:t>
      </w:r>
      <w:r>
        <w:rPr>
          <w:rFonts w:ascii="Calibri" w:hAnsi="Calibri"/>
          <w:b w:val="0"/>
          <w:i w:val="0"/>
          <w:sz w:val="22"/>
        </w:rPr>
        <w:t xml:space="preserve"> — nunca editados nem removidos depois de registrados. Os tipos de evento disponíveis são: Transferência de custódia, Enviado para perícia formal, Status alterado, Item descartado, Descrição/contexto registrado, e Conferência do lacre (só quando o item tem elemento físico presente).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2.3 Exportação isolada do dossiê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botão </w:t>
      </w:r>
      <w:r>
        <w:rPr>
          <w:rFonts w:ascii="Calibri" w:hAnsi="Calibri"/>
          <w:b/>
          <w:i w:val="0"/>
          <w:sz w:val="22"/>
        </w:rPr>
        <w:t>"Exportar .json"</w:t>
      </w:r>
      <w:r>
        <w:rPr>
          <w:rFonts w:ascii="Calibri" w:hAnsi="Calibri"/>
          <w:b w:val="0"/>
          <w:i w:val="0"/>
          <w:sz w:val="22"/>
        </w:rPr>
        <w:t xml:space="preserve">, disponível no cabeçalho "Dados do processo" e também dentro do modal "Reiniciar dossiê" (como "Exportar .json antes"), gera um arquivo contendo </w:t>
      </w:r>
      <w:r>
        <w:rPr>
          <w:rFonts w:ascii="Calibri" w:hAnsi="Calibri"/>
          <w:b/>
          <w:i w:val="0"/>
          <w:sz w:val="22"/>
        </w:rPr>
        <w:t>o dossiê inteiro</w:t>
      </w:r>
      <w:r>
        <w:rPr>
          <w:rFonts w:ascii="Calibri" w:hAnsi="Calibri"/>
          <w:b w:val="0"/>
          <w:i w:val="0"/>
          <w:sz w:val="22"/>
        </w:rPr>
        <w:t xml:space="preserve"> — dados do processo, comissão, todos os itens, arquivos, proveniência e linhas do tempo — em um único JSON. O nome do arquivo segue o padrão `dossie-&lt;número do processo&gt;.json` (ou `dossie-veritas-digital-coger.json` se o processo não tiver número preenchido).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ATENÇÃO — NÃO CONFUNDIR AS DUAS EXPORTAÇÕES  </w:t>
      </w:r>
      <w:r>
        <w:rPr>
          <w:rFonts w:ascii="Calibri" w:hAnsi="Calibri"/>
          <w:b w:val="0"/>
          <w:i w:val="0"/>
          <w:sz w:val="20"/>
        </w:rPr>
        <w:t xml:space="preserve">Não confunda </w:t>
      </w:r>
      <w:r>
        <w:rPr>
          <w:rFonts w:ascii="Calibri" w:hAnsi="Calibri"/>
          <w:b/>
          <w:i w:val="0"/>
          <w:sz w:val="20"/>
        </w:rPr>
        <w:t>"Exportar .json"</w:t>
      </w:r>
      <w:r>
        <w:rPr>
          <w:rFonts w:ascii="Calibri" w:hAnsi="Calibri"/>
          <w:b w:val="0"/>
          <w:i w:val="0"/>
          <w:sz w:val="20"/>
        </w:rPr>
        <w:t xml:space="preserve"> (exportação isolada do dossiê inteiro, para backup ou reabertura em outro navegador) com </w:t>
      </w:r>
      <w:r>
        <w:rPr>
          <w:rFonts w:ascii="Calibri" w:hAnsi="Calibri"/>
          <w:b/>
          <w:i w:val="0"/>
          <w:sz w:val="20"/>
        </w:rPr>
        <w:t>"Exportar provas → Nexo Coger"</w:t>
      </w:r>
      <w:r>
        <w:rPr>
          <w:rFonts w:ascii="Calibri" w:hAnsi="Calibri"/>
          <w:b w:val="0"/>
          <w:i w:val="0"/>
          <w:sz w:val="20"/>
        </w:rPr>
        <w:t xml:space="preserve"> — um botão diferente, que gera apenas as provas convertidas para o catálogo canônico de tipos de prova do Nexo Coger. Essa segunda exportação é o contrato de integração com o Nexo Coger e está documentada na Seção 6 deste manual.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Os </w:t>
      </w:r>
      <w:r>
        <w:rPr>
          <w:rFonts w:ascii="Calibri" w:hAnsi="Calibri"/>
          <w:b/>
          <w:i w:val="0"/>
          <w:sz w:val="22"/>
        </w:rPr>
        <w:t>dois contratos de exportação</w:t>
      </w:r>
      <w:r>
        <w:rPr>
          <w:rFonts w:ascii="Calibri" w:hAnsi="Calibri"/>
          <w:b w:val="0"/>
          <w:i w:val="0"/>
          <w:sz w:val="22"/>
        </w:rPr>
        <w:t xml:space="preserve"> — o "Exportar .json" (dossiê inteiro) e o "Exportar provas → Nexo Coger" — emitem, no envelope, o campo </w:t>
      </w:r>
      <w:r>
        <w:rPr>
          <w:rFonts w:ascii="Calibri" w:hAnsi="Calibri"/>
          <w:b/>
          <w:i w:val="0"/>
          <w:sz w:val="22"/>
        </w:rPr>
        <w:t>`dominio`</w:t>
      </w:r>
      <w:r>
        <w:rPr>
          <w:rFonts w:ascii="Calibri" w:hAnsi="Calibri"/>
          <w:b w:val="0"/>
          <w:i w:val="0"/>
          <w:sz w:val="22"/>
        </w:rPr>
        <w:t xml:space="preserve"> (`pad` ou `par`) derivado do Tipo de processo. É esse campo que a ferramenta receptora (Nexo Coger ou Nexo PAR) confere na importação, aceitando apenas provas do seu próprio domínio. Quando o dossiê não tem Tipo de processo definido, o envelope sai sem domínio marcado (agnóstico); o tratamento dessa conferência na importação é detalhado na Seção 6.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Antes de reiniciar um dossiê (apagar os dados salvos no navegador), o Veritas sempre avisa: </w:t>
      </w:r>
      <w:r>
        <w:rPr>
          <w:rFonts w:ascii="Calibri" w:hAnsi="Calibri"/>
          <w:b/>
          <w:i w:val="0"/>
          <w:sz w:val="22"/>
        </w:rPr>
        <w:t>"Esta ação não pode ser desfeita — o dossiê só será recuperável se você tiver exportado o .json antes."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2.4 Reabertura de dossiê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Um dossiê exportado anteriormente ("Exportar .json", Seção 2.3) pode ser reaberto por importação de arquivo `.json`. O botão de importação aparece em </w:t>
      </w:r>
      <w:r>
        <w:rPr>
          <w:rFonts w:ascii="Calibri" w:hAnsi="Calibri"/>
          <w:b/>
          <w:i w:val="0"/>
          <w:sz w:val="22"/>
        </w:rPr>
        <w:t>dois pontos</w:t>
      </w:r>
      <w:r>
        <w:rPr>
          <w:rFonts w:ascii="Calibri" w:hAnsi="Calibri"/>
          <w:b w:val="0"/>
          <w:i w:val="0"/>
          <w:sz w:val="22"/>
        </w:rPr>
        <w:t xml:space="preserve"> da ferramenta: na tela inicial, ao lado de "+ Novo dossiê", com o rótulo </w:t>
      </w:r>
      <w:r>
        <w:rPr>
          <w:rFonts w:ascii="Calibri" w:hAnsi="Calibri"/>
          <w:b/>
          <w:i w:val="0"/>
          <w:sz w:val="22"/>
        </w:rPr>
        <w:t>"Importar dossiê (.json)"</w:t>
      </w:r>
      <w:r>
        <w:rPr>
          <w:rFonts w:ascii="Calibri" w:hAnsi="Calibri"/>
          <w:b w:val="0"/>
          <w:i w:val="0"/>
          <w:sz w:val="22"/>
        </w:rPr>
        <w:t xml:space="preserve">; e na tela do Processo, no cabeçalho "Dados do processo", como um botão pequeno de rótulo </w:t>
      </w:r>
      <w:r>
        <w:rPr>
          <w:rFonts w:ascii="Calibri" w:hAnsi="Calibri"/>
          <w:b/>
          <w:i w:val="0"/>
          <w:sz w:val="22"/>
        </w:rPr>
        <w:t>"Importar"</w:t>
      </w:r>
      <w:r>
        <w:rPr>
          <w:rFonts w:ascii="Calibri" w:hAnsi="Calibri"/>
          <w:b w:val="0"/>
          <w:i w:val="0"/>
          <w:sz w:val="22"/>
        </w:rPr>
        <w:t>. Em ambos os casos, selecionar o arquivo já dispara a importação — não há um botão de confirmação separado do seletor de arquivo.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387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tas-reabertura-doss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38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4 — Pontos de acesso à reabertura de dossiê — tela inicial e tela do Processo.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 validação, nessa ordem, é: (1) o conteúdo precisa ser um JSON válido — senão, "Arquivo .json inválido."; (2) o campo `versaoEsquema` do arquivo precisa ser `"2.0"` — senão, "Versão de esquema não suportada: &lt;versão&gt;.", e a importação é interrompida em ambos os casos.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SUBSTITUIÇÃO, NUNCA MESCLAGEM  </w:t>
      </w:r>
      <w:r>
        <w:rPr>
          <w:rFonts w:ascii="Calibri" w:hAnsi="Calibri"/>
          <w:b w:val="0"/>
          <w:i w:val="0"/>
          <w:sz w:val="20"/>
        </w:rPr>
        <w:t>Se já houver um dossiê aberto no navegador com pelo menos 1 item, o Veritas abre um modal de confirmação antes de importar — "Você tem um dossiê aberto com N item(ns). A importação nunca mescla dossiês — o dossiê atual será substituído nesta sessão." — com os botões "Cancelar" e "Substituir e importar". Se o dossiê aberto estiver vazio (0 itens), a importação ocorre direto, sem esse modal.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Se o arquivo importado trouxer um `hashDoDossie` que não confere com o conteúdo recebido, o Veritas </w:t>
      </w:r>
      <w:r>
        <w:rPr>
          <w:rFonts w:ascii="Calibri" w:hAnsi="Calibri"/>
          <w:b/>
          <w:i w:val="0"/>
          <w:sz w:val="22"/>
        </w:rPr>
        <w:t>não bloqueia</w:t>
      </w:r>
      <w:r>
        <w:rPr>
          <w:rFonts w:ascii="Calibri" w:hAnsi="Calibri"/>
          <w:b w:val="0"/>
          <w:i w:val="0"/>
          <w:sz w:val="22"/>
        </w:rPr>
        <w:t xml:space="preserve"> a importação — apenas acrescenta um alerta ao modal ("O hashDoDossie do arquivo importado não confere com o conteúdo — possível indício de alteração externa do arquivo.") e, ao concluir, mostra o toast "Dossiê importado — hashDoDossie divergente, verifique a origem do arquivo." em vez do toast normal de sucesso. A importação prossegue de qualquer forma.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NÃO CONFUNDIR COM O BLOQUEIO DA IMPORTAÇÃO DE TERMO DE OITIVA  </w:t>
      </w:r>
      <w:r>
        <w:rPr>
          <w:rFonts w:ascii="Calibri" w:hAnsi="Calibri"/>
          <w:b w:val="0"/>
          <w:i w:val="0"/>
          <w:sz w:val="20"/>
        </w:rPr>
        <w:t xml:space="preserve">Não confunda esse comportamento com o da </w:t>
      </w:r>
      <w:r>
        <w:rPr>
          <w:rFonts w:ascii="Calibri" w:hAnsi="Calibri"/>
          <w:b/>
          <w:i w:val="0"/>
          <w:sz w:val="20"/>
        </w:rPr>
        <w:t>importação de termo de oitiva</w:t>
      </w:r>
      <w:r>
        <w:rPr>
          <w:rFonts w:ascii="Calibri" w:hAnsi="Calibri"/>
          <w:b w:val="0"/>
          <w:i w:val="0"/>
          <w:sz w:val="20"/>
        </w:rPr>
        <w:t xml:space="preserve"> (Seção 6.3): ali, um hash (`hash_origem`) divergente </w:t>
      </w:r>
      <w:r>
        <w:rPr>
          <w:rFonts w:ascii="Calibri" w:hAnsi="Calibri"/>
          <w:b/>
          <w:i w:val="0"/>
          <w:sz w:val="20"/>
        </w:rPr>
        <w:t>bloqueia totalmente</w:t>
      </w:r>
      <w:r>
        <w:rPr>
          <w:rFonts w:ascii="Calibri" w:hAnsi="Calibri"/>
          <w:b w:val="0"/>
          <w:i w:val="0"/>
          <w:sz w:val="20"/>
        </w:rPr>
        <w:t xml:space="preserve"> a importação e nada é gravado. Na reabertura de dossiê (este fluxo), a divergência de `hashDoDossie` é apenas um aviso — a importação do dossiê inteiro segue adiante mesmo assim. São dois fluxos distintos, com políticas de bloqueio diferentes; não os trate como equivalentes.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2.5 Busca e filtro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RECURSO INEXISTENTE  </w:t>
      </w:r>
      <w:r>
        <w:rPr>
          <w:rFonts w:ascii="Calibri" w:hAnsi="Calibri"/>
          <w:b w:val="0"/>
          <w:i w:val="0"/>
          <w:sz w:val="20"/>
        </w:rPr>
        <w:t>Não há campo de busca, filtro por categoria/status/proveniência nem ordenação de colunas na listagem de itens — a tabela mostra os itens na ordem em que foram cadastrados.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2.6 Tipos de evento — detalhamento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Seção 2.2 já apresentou os 6 tipos de evento disponíveis no modal "Registrar evento". Esta seção detalha, tipo a tipo, os campos extras pedidos e o efeito real de cada um ao salvar. O modal sempre abre pré-selecionado em "Transferência de custódia", e traz, ao final de qualquer tipo escolhido, os campos </w:t>
      </w:r>
      <w:r>
        <w:rPr>
          <w:rFonts w:ascii="Calibri" w:hAnsi="Calibri"/>
          <w:b/>
          <w:i w:val="0"/>
          <w:sz w:val="22"/>
        </w:rPr>
        <w:t>Responsável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Observação</w:t>
      </w:r>
      <w:r>
        <w:rPr>
          <w:rFonts w:ascii="Calibri" w:hAnsi="Calibri"/>
          <w:b w:val="0"/>
          <w:i w:val="0"/>
          <w:sz w:val="22"/>
        </w:rPr>
        <w:t xml:space="preserve"> — nenhum dos dois é obrigatório. A opção "Conferência do lacre" só aparece no seletor de tipo quando o item tem elemento físico presente.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387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tas-modal-ev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38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5 — Modal "Registrar evento" — seleção do tipo de evento e campos extras dinâmicos.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38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685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Campos extras</w:t>
            </w:r>
          </w:p>
        </w:tc>
        <w:tc>
          <w:tcPr>
            <w:tcW w:type="dxa" w:w="3118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Efeito no item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Transferência de custódia</w:t>
            </w:r>
          </w:p>
        </w:tc>
        <w:tc>
          <w:tcPr>
            <w:tcW w:type="dxa" w:w="368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Novo custodiante (obrigatório)</w:t>
            </w:r>
          </w:p>
        </w:tc>
        <w:tc>
          <w:tcPr>
            <w:tcW w:type="dxa" w:w="311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Atualiza custodianteAtual do item.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Enviado para perícia formal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Arquivo (seleção)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 registra evento no arquivo — não altera status.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Status alterado</w:t>
            </w:r>
          </w:p>
        </w:tc>
        <w:tc>
          <w:tcPr>
            <w:tcW w:type="dxa" w:w="368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Novo status; + Referência ao item substituto (se "Substituído") ou Fundamentação da contestação obrigatória (se "Contestado")</w:t>
            </w:r>
          </w:p>
        </w:tc>
        <w:tc>
          <w:tcPr>
            <w:tcW w:type="dxa" w:w="311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Único fluxo que altera o campo status do item; se contestado, grava fundamentacaoContestacao.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Item descartado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Justificativa (obrigatória)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Força status = "Descartado", independentemente do status anterior.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Descrição/contexto registrado</w:t>
            </w:r>
          </w:p>
        </w:tc>
        <w:tc>
          <w:tcPr>
            <w:tcW w:type="dxa" w:w="368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Escopo (Item/Arquivo) + Texto</w:t>
            </w:r>
          </w:p>
        </w:tc>
        <w:tc>
          <w:tcPr>
            <w:tcW w:type="dxa" w:w="311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 registra evento textual — não altera nenhum campo de estado.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Conferência do lacre*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Condição do lacre nesta conferência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Único fluxo que altera a condição do lacre após a criação do item; recalcula o indicador de integridade do item.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/>
          <w:sz w:val="18"/>
        </w:rPr>
        <w:t xml:space="preserve"> Só disponível quando o item tem elemento físico marcado como presente na Etapa 2 do wizard.</w:t>
      </w:r>
    </w:p>
    <w:p>
      <w:r>
        <w:br w:type="page"/>
      </w:r>
    </w:p>
    <w:p>
      <w:pPr>
        <w:spacing w:after="40"/>
      </w:pPr>
      <w:r>
        <w:rPr>
          <w:rFonts w:ascii="Arial Narrow" w:hAnsi="Arial Narrow"/>
          <w:b/>
          <w:color w:val="BFA040"/>
          <w:sz w:val="18"/>
        </w:rPr>
        <w:t>SEÇÃO 3</w:t>
      </w:r>
    </w:p>
    <w:p>
      <w:pPr>
        <w:pStyle w:val="Heading1"/>
      </w:pPr>
      <w:r>
        <w:rPr>
          <w:rFonts w:ascii="Arial Narrow" w:hAnsi="Arial Narrow"/>
          <w:b/>
          <w:color w:val="1E3A5F"/>
          <w:sz w:val="40"/>
        </w:rPr>
        <w:t>Nexo Coger (uso isolado)</w:t>
      </w:r>
    </w:p>
    <w:p>
      <w:pPr>
        <w:spacing w:before="120" w:after="120"/>
        <w:pBdr>
          <w:bottom w:val="single" w:sz="8" w:space="1" w:color="BFA040"/>
        </w:pBdr>
      </w:pP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Nexo Coger</w:t>
      </w:r>
      <w:r>
        <w:rPr>
          <w:rFonts w:ascii="Calibri" w:hAnsi="Calibri"/>
          <w:b w:val="0"/>
          <w:i w:val="0"/>
          <w:sz w:val="22"/>
        </w:rPr>
        <w:t xml:space="preserve"> constrói o </w:t>
      </w:r>
      <w:r>
        <w:rPr>
          <w:rFonts w:ascii="Calibri" w:hAnsi="Calibri"/>
          <w:b/>
          <w:i w:val="0"/>
          <w:sz w:val="22"/>
        </w:rPr>
        <w:t>mapa fato-prova-norma</w:t>
      </w:r>
      <w:r>
        <w:rPr>
          <w:rFonts w:ascii="Calibri" w:hAnsi="Calibri"/>
          <w:b w:val="0"/>
          <w:i w:val="0"/>
          <w:sz w:val="22"/>
        </w:rPr>
        <w:t xml:space="preserve"> de um processo disciplinar: para cada fato apurado, associa as provas que o sustentam e os enquadramentos legais aplicáveis, calcula automaticamente o estado probatório de cada fato, sinaliza pendências, e — quando a apuração estiver suficientemente madura — apoia a geração da minuta do termo de indiciação.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387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-mapa-fato-prova-nor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38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6 — Mapa fato-prova-norma do Nexo Coger, com arestas ligando fatos às provas vinculadas.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ESCOPO DESTA SEÇÃO — DOMÍNIO PAD  </w:t>
      </w:r>
      <w:r>
        <w:rPr>
          <w:rFonts w:ascii="Calibri" w:hAnsi="Calibri"/>
          <w:b w:val="0"/>
          <w:i w:val="0"/>
          <w:sz w:val="20"/>
        </w:rPr>
        <w:t xml:space="preserve">Esta seção documenta o </w:t>
      </w:r>
      <w:r>
        <w:rPr>
          <w:rFonts w:ascii="Calibri" w:hAnsi="Calibri"/>
          <w:b/>
          <w:i w:val="0"/>
          <w:sz w:val="20"/>
        </w:rPr>
        <w:t>Nexo Coger no domínio PAD</w:t>
      </w:r>
      <w:r>
        <w:rPr>
          <w:rFonts w:ascii="Calibri" w:hAnsi="Calibri"/>
          <w:b w:val="0"/>
          <w:i w:val="0"/>
          <w:sz w:val="20"/>
        </w:rPr>
        <w:t xml:space="preserve"> — a apuração de responsabilidade de servidores à luz da </w:t>
      </w:r>
      <w:r>
        <w:rPr>
          <w:rFonts w:ascii="Calibri" w:hAnsi="Calibri"/>
          <w:b/>
          <w:i w:val="0"/>
          <w:sz w:val="20"/>
        </w:rPr>
        <w:t>Lei nº 8.112, de 11 de dezembro de 1990</w:t>
      </w:r>
      <w:r>
        <w:rPr>
          <w:rFonts w:ascii="Calibri" w:hAnsi="Calibri"/>
          <w:b w:val="0"/>
          <w:i w:val="0"/>
          <w:sz w:val="20"/>
        </w:rPr>
        <w:t xml:space="preserve">. O domínio </w:t>
      </w:r>
      <w:r>
        <w:rPr>
          <w:rFonts w:ascii="Calibri" w:hAnsi="Calibri"/>
          <w:b/>
          <w:i w:val="0"/>
          <w:sz w:val="20"/>
        </w:rPr>
        <w:t>PAR</w:t>
      </w:r>
      <w:r>
        <w:rPr>
          <w:rFonts w:ascii="Calibri" w:hAnsi="Calibri"/>
          <w:b w:val="0"/>
          <w:i w:val="0"/>
          <w:sz w:val="20"/>
        </w:rPr>
        <w:t xml:space="preserve"> (responsabilização de entes privados pela </w:t>
      </w:r>
      <w:r>
        <w:rPr>
          <w:rFonts w:ascii="Calibri" w:hAnsi="Calibri"/>
          <w:b/>
          <w:i w:val="0"/>
          <w:sz w:val="20"/>
        </w:rPr>
        <w:t>Lei nº 12.846, de 1º de agosto de 2013</w:t>
      </w:r>
      <w:r>
        <w:rPr>
          <w:rFonts w:ascii="Calibri" w:hAnsi="Calibri"/>
          <w:b w:val="0"/>
          <w:i w:val="0"/>
          <w:sz w:val="20"/>
        </w:rPr>
        <w:t xml:space="preserve"> — LAC) é atendido por uma ferramenta própria e independente, o </w:t>
      </w:r>
      <w:r>
        <w:rPr>
          <w:rFonts w:ascii="Calibri" w:hAnsi="Calibri"/>
          <w:b/>
          <w:i w:val="0"/>
          <w:sz w:val="20"/>
        </w:rPr>
        <w:t>Nexo PAR</w:t>
      </w:r>
      <w:r>
        <w:rPr>
          <w:rFonts w:ascii="Calibri" w:hAnsi="Calibri"/>
          <w:b w:val="0"/>
          <w:i w:val="0"/>
          <w:sz w:val="20"/>
        </w:rPr>
        <w:t xml:space="preserve">, documentada na </w:t>
      </w:r>
      <w:r>
        <w:rPr>
          <w:rFonts w:ascii="Calibri" w:hAnsi="Calibri"/>
          <w:b/>
          <w:i w:val="0"/>
          <w:sz w:val="20"/>
        </w:rPr>
        <w:t>Seção 4</w:t>
      </w:r>
      <w:r>
        <w:rPr>
          <w:rFonts w:ascii="Calibri" w:hAnsi="Calibri"/>
          <w:b w:val="0"/>
          <w:i w:val="0"/>
          <w:sz w:val="20"/>
        </w:rPr>
        <w:t>. Os dois compartilham a mesma mecânica de mapa fato-prova-norma (modo fork — dois arquivos, um por domínio), mas têm campos, papéis, pendências e documento final distintos.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3.1 Dados do Processo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Antes de acessar o cadastro de fatos, provas ou o mapa, o Nexo Coger exibe uma tela-gate, em tela cheia, chamada </w:t>
      </w:r>
      <w:r>
        <w:rPr>
          <w:rFonts w:ascii="Calibri" w:hAnsi="Calibri"/>
          <w:b/>
          <w:i w:val="0"/>
          <w:sz w:val="22"/>
        </w:rPr>
        <w:t>"Dados do Processo"</w:t>
      </w:r>
      <w:r>
        <w:rPr>
          <w:rFonts w:ascii="Calibri" w:hAnsi="Calibri"/>
          <w:b w:val="0"/>
          <w:i w:val="0"/>
          <w:sz w:val="22"/>
        </w:rPr>
        <w:t>. Ela é a primeira coisa que aparece ao abrir a ferramenta sem um processo já iniciado (rascunhos anteriores que já tenham o número do processo preenchido não veem o gate de novo — é uma tela de primeiro uso, não uma barreira a cada carregamento).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387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-dados-proces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38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7 — Tela "Dados do Processo" — gate exibido antes do acesso ao cadastro de fatos.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Os campos, nesta ordem exata: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Número do processo</w:t>
      </w:r>
      <w:r>
        <w:rPr>
          <w:rFonts w:ascii="Calibri" w:hAnsi="Calibri"/>
          <w:b w:val="0"/>
          <w:i w:val="0"/>
          <w:sz w:val="22"/>
        </w:rPr>
        <w:t xml:space="preserve"> — texto livre. </w:t>
      </w:r>
      <w:r>
        <w:rPr>
          <w:rFonts w:ascii="Calibri" w:hAnsi="Calibri"/>
          <w:b/>
          <w:i w:val="0"/>
          <w:sz w:val="22"/>
        </w:rPr>
        <w:t>É o único campo que efetivamente libera o gate.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Tipo (PN CGU 27)</w:t>
      </w:r>
      <w:r>
        <w:rPr>
          <w:rFonts w:ascii="Calibri" w:hAnsi="Calibri"/>
          <w:b w:val="0"/>
          <w:i w:val="0"/>
          <w:sz w:val="22"/>
        </w:rPr>
        <w:t xml:space="preserve"> — seleção agrupada, com os 5 tipos reais da Portaria Normativa CGU nº 27/2022 (Investigativos: IP, SINVE, SINPA, SINAC; Acusatórios: PAD).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Portaria de instauração — nº</w:t>
      </w:r>
      <w:r>
        <w:rPr>
          <w:rFonts w:ascii="Calibri" w:hAnsi="Calibri"/>
          <w:b w:val="0"/>
          <w:i w:val="0"/>
          <w:sz w:val="22"/>
        </w:rPr>
        <w:t xml:space="preserve"> — texto livre.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Data de instauração</w:t>
      </w:r>
      <w:r>
        <w:rPr>
          <w:rFonts w:ascii="Calibri" w:hAnsi="Calibri"/>
          <w:b w:val="0"/>
          <w:i w:val="0"/>
          <w:sz w:val="22"/>
        </w:rPr>
        <w:t xml:space="preserve"> — data, com hint indicando que é o marco de interrupção da prescrição (art. 142, §3º, Lei 8.112/90).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Presidente da comissão</w:t>
      </w:r>
      <w:r>
        <w:rPr>
          <w:rFonts w:ascii="Calibri" w:hAnsi="Calibri"/>
          <w:b w:val="0"/>
          <w:i w:val="0"/>
          <w:sz w:val="22"/>
        </w:rPr>
        <w:t xml:space="preserve"> — trio Nome/Cargo/Matrícula.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6.  </w:t>
      </w:r>
      <w:r>
        <w:rPr>
          <w:rFonts w:ascii="Calibri" w:hAnsi="Calibri"/>
          <w:b/>
          <w:i w:val="0"/>
          <w:sz w:val="22"/>
        </w:rPr>
        <w:t>Secretário(a)</w:t>
      </w:r>
      <w:r>
        <w:rPr>
          <w:rFonts w:ascii="Calibri" w:hAnsi="Calibri"/>
          <w:b w:val="0"/>
          <w:i w:val="0"/>
          <w:sz w:val="22"/>
        </w:rPr>
        <w:t xml:space="preserve"> — trio Nome/Cargo/Matrícula.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7.  </w:t>
      </w:r>
      <w:r>
        <w:rPr>
          <w:rFonts w:ascii="Calibri" w:hAnsi="Calibri"/>
          <w:b/>
          <w:i w:val="0"/>
          <w:sz w:val="22"/>
        </w:rPr>
        <w:t>Vogal(is)</w:t>
      </w:r>
      <w:r>
        <w:rPr>
          <w:rFonts w:ascii="Calibri" w:hAnsi="Calibri"/>
          <w:b w:val="0"/>
          <w:i w:val="0"/>
          <w:sz w:val="22"/>
        </w:rPr>
        <w:t xml:space="preserve"> — lista repetível de trios Nome/Cargo/Matrícula, com botão "+ Adicionar vogal" e remoção linha a linha.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ÚNICO CAMPO BLOQUEANTE  </w:t>
      </w:r>
      <w:r>
        <w:rPr>
          <w:rFonts w:ascii="Calibri" w:hAnsi="Calibri"/>
          <w:b w:val="0"/>
          <w:i w:val="0"/>
          <w:sz w:val="20"/>
        </w:rPr>
        <w:t xml:space="preserve">Enquanto o </w:t>
      </w:r>
      <w:r>
        <w:rPr>
          <w:rFonts w:ascii="Calibri" w:hAnsi="Calibri"/>
          <w:b/>
          <w:i w:val="0"/>
          <w:sz w:val="20"/>
        </w:rPr>
        <w:t>Número do processo</w:t>
      </w:r>
      <w:r>
        <w:rPr>
          <w:rFonts w:ascii="Calibri" w:hAnsi="Calibri"/>
          <w:b w:val="0"/>
          <w:i w:val="0"/>
          <w:sz w:val="20"/>
        </w:rPr>
        <w:t xml:space="preserve"> não estiver preenchido, o botão de continuar permanece desabilitado e a tela mostra o aviso: "Preencha ao menos o \"Número do processo\" para liberar o acesso ao cadastro de fatos, provas e ao mapa — o número também nomeia os arquivos exportados.". Os demais 6 campos (tipo, portaria, datas, comissão) não são exigidos para liberar o gate — só o número do processo é checado.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Cada alteração nesta tela é salva automaticamente (não há botão "Salvar" separado). O número do processo, além de liberar o gate, também nomeia os arquivos `.json` exportados pelo Nexo Coger — por exemplo, a exportação geral do processo segue o padrão `nexo-coger-&lt;número&gt;-&lt;data&gt;.json`, e a pauta de instrução por depoente segue `nexo-coger-pauta-&lt;número&gt;-&lt;depoente&gt;-&lt;data&gt;.json`.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3.2 Cadastro de um fato apurado — campo a campo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Os campos do formulário "Fato" aparecem, nesta ordem exata: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Título</w:t>
      </w:r>
      <w:r>
        <w:rPr>
          <w:rFonts w:ascii="Calibri" w:hAnsi="Calibri"/>
          <w:b w:val="0"/>
          <w:i w:val="0"/>
          <w:sz w:val="22"/>
        </w:rPr>
        <w:t xml:space="preserve"> — texto livre. </w:t>
      </w:r>
      <w:r>
        <w:rPr>
          <w:rFonts w:ascii="Calibri" w:hAnsi="Calibri"/>
          <w:b/>
          <w:i w:val="0"/>
          <w:sz w:val="22"/>
        </w:rPr>
        <w:t>Obrigatório</w:t>
      </w:r>
      <w:r>
        <w:rPr>
          <w:rFonts w:ascii="Calibri" w:hAnsi="Calibri"/>
          <w:b w:val="0"/>
          <w:i w:val="0"/>
          <w:sz w:val="22"/>
        </w:rPr>
        <w:t>: se vazio, "Informe o título do fato.".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Descrição pormenorizada</w:t>
      </w:r>
      <w:r>
        <w:rPr>
          <w:rFonts w:ascii="Calibri" w:hAnsi="Calibri"/>
          <w:b w:val="0"/>
          <w:i w:val="0"/>
          <w:sz w:val="22"/>
        </w:rPr>
        <w:t xml:space="preserve"> — área de texto, com hint referenciando o "delineamento fático claro e individualizado" (STJ, MS 13.110/DF) e contador de caracteres.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Início do período</w:t>
      </w:r>
      <w:r>
        <w:rPr>
          <w:rFonts w:ascii="Calibri" w:hAnsi="Calibri"/>
          <w:b w:val="0"/>
          <w:i w:val="0"/>
          <w:sz w:val="22"/>
        </w:rPr>
        <w:t xml:space="preserve"> — data.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Fim do período</w:t>
      </w:r>
      <w:r>
        <w:rPr>
          <w:rFonts w:ascii="Calibri" w:hAnsi="Calibri"/>
          <w:b w:val="0"/>
          <w:i w:val="0"/>
          <w:sz w:val="22"/>
        </w:rPr>
        <w:t xml:space="preserve"> — data.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Local</w:t>
      </w:r>
      <w:r>
        <w:rPr>
          <w:rFonts w:ascii="Calibri" w:hAnsi="Calibri"/>
          <w:b w:val="0"/>
          <w:i w:val="0"/>
          <w:sz w:val="22"/>
        </w:rPr>
        <w:t xml:space="preserve"> — texto livre.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6.  </w:t>
      </w:r>
      <w:r>
        <w:rPr>
          <w:rFonts w:ascii="Calibri" w:hAnsi="Calibri"/>
          <w:b/>
          <w:i w:val="0"/>
          <w:sz w:val="22"/>
        </w:rPr>
        <w:t>Data de ciência da autoridade (art. 142, §1º)</w:t>
      </w:r>
      <w:r>
        <w:rPr>
          <w:rFonts w:ascii="Calibri" w:hAnsi="Calibri"/>
          <w:b w:val="0"/>
          <w:i w:val="0"/>
          <w:sz w:val="22"/>
        </w:rPr>
        <w:t xml:space="preserve"> — data, com hint explicando que é o marco inicial da prescrição, e </w:t>
      </w:r>
      <w:r>
        <w:rPr>
          <w:rFonts w:ascii="Calibri" w:hAnsi="Calibri"/>
          <w:b/>
          <w:i w:val="0"/>
          <w:sz w:val="22"/>
        </w:rPr>
        <w:t>não</w:t>
      </w:r>
      <w:r>
        <w:rPr>
          <w:rFonts w:ascii="Calibri" w:hAnsi="Calibri"/>
          <w:b w:val="0"/>
          <w:i w:val="0"/>
          <w:sz w:val="22"/>
        </w:rPr>
        <w:t xml:space="preserve"> a data do fato; se deixada vazia, o cálculo de prazos usa o fim do período como estimativa.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7.  </w:t>
      </w:r>
      <w:r>
        <w:rPr>
          <w:rFonts w:ascii="Calibri" w:hAnsi="Calibri"/>
          <w:b/>
          <w:i w:val="0"/>
          <w:sz w:val="22"/>
        </w:rPr>
        <w:t>Condutas individualizadas (uma por acusado)</w:t>
      </w:r>
      <w:r>
        <w:rPr>
          <w:rFonts w:ascii="Calibri" w:hAnsi="Calibri"/>
          <w:b w:val="0"/>
          <w:i w:val="0"/>
          <w:sz w:val="22"/>
        </w:rPr>
        <w:t xml:space="preserve"> — bloco repetível: para cada linha, seleção do acusado, área de texto para a conduta individualizada e seleção Comissiva/Omissiva. Se não há acusados cadastrados no processo, o Nexo Coger orienta a cadastrá-los primeiro.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8.  </w:t>
      </w:r>
      <w:r>
        <w:rPr>
          <w:rFonts w:ascii="Calibri" w:hAnsi="Calibri"/>
          <w:b/>
          <w:i w:val="0"/>
          <w:sz w:val="22"/>
        </w:rPr>
        <w:t>Provas vinculadas</w:t>
      </w:r>
      <w:r>
        <w:rPr>
          <w:rFonts w:ascii="Calibri" w:hAnsi="Calibri"/>
          <w:b w:val="0"/>
          <w:i w:val="0"/>
          <w:sz w:val="22"/>
        </w:rPr>
        <w:t xml:space="preserve"> — ver seção 3.2 abaixo.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9.  </w:t>
      </w:r>
      <w:r>
        <w:rPr>
          <w:rFonts w:ascii="Calibri" w:hAnsi="Calibri"/>
          <w:b/>
          <w:i w:val="0"/>
          <w:sz w:val="22"/>
        </w:rPr>
        <w:t>Enquadramentos legais</w:t>
      </w:r>
      <w:r>
        <w:rPr>
          <w:rFonts w:ascii="Calibri" w:hAnsi="Calibri"/>
          <w:b w:val="0"/>
          <w:i w:val="0"/>
          <w:sz w:val="22"/>
        </w:rPr>
        <w:t xml:space="preserve"> — ver detalhamento abaixo.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10.  </w:t>
      </w:r>
      <w:r>
        <w:rPr>
          <w:rFonts w:ascii="Calibri" w:hAnsi="Calibri"/>
          <w:b/>
          <w:i w:val="0"/>
          <w:sz w:val="22"/>
        </w:rPr>
        <w:t>Estado probatório</w:t>
      </w:r>
      <w:r>
        <w:rPr>
          <w:rFonts w:ascii="Calibri" w:hAnsi="Calibri"/>
          <w:b w:val="0"/>
          <w:i w:val="0"/>
          <w:sz w:val="22"/>
        </w:rPr>
        <w:t xml:space="preserve"> — ver detalhamento abaixo.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11.  </w:t>
      </w:r>
      <w:r>
        <w:rPr>
          <w:rFonts w:ascii="Calibri" w:hAnsi="Calibri"/>
          <w:b/>
          <w:i w:val="0"/>
          <w:sz w:val="22"/>
        </w:rPr>
        <w:t>Situação do fato</w:t>
      </w:r>
      <w:r>
        <w:rPr>
          <w:rFonts w:ascii="Calibri" w:hAnsi="Calibri"/>
          <w:b w:val="0"/>
          <w:i w:val="0"/>
          <w:sz w:val="22"/>
        </w:rPr>
        <w:t xml:space="preserve"> — ver detalhamento abaixo.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Enquadramento legal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escolha da norma </w:t>
      </w:r>
      <w:r>
        <w:rPr>
          <w:rFonts w:ascii="Calibri" w:hAnsi="Calibri"/>
          <w:b/>
          <w:i w:val="0"/>
          <w:sz w:val="22"/>
        </w:rPr>
        <w:t>não é feita por busca em texto livre</w:t>
      </w:r>
      <w:r>
        <w:rPr>
          <w:rFonts w:ascii="Calibri" w:hAnsi="Calibri"/>
          <w:b w:val="0"/>
          <w:i w:val="0"/>
          <w:sz w:val="22"/>
        </w:rPr>
        <w:t xml:space="preserve">: é uma lista de seleção agrupada por categoria ("optgroup"), na seguinte ordem de grupos: Lei 8.112/90 — Deveres (art. 116); Lei 8.112/90 — Proibições (art. 117); Lei 8.112/90 — Demissão (art. 132); Outras (art. 130); LAI (Lei 12.527/2011); e, por fim, sem grupo visível, as normas "Criadas pelo usuário". O catálogo de fábrica traz </w:t>
      </w:r>
      <w:r>
        <w:rPr>
          <w:rFonts w:ascii="Calibri" w:hAnsi="Calibri"/>
          <w:b/>
          <w:i w:val="0"/>
          <w:sz w:val="22"/>
        </w:rPr>
        <w:t>65 normas pré-cadastradas</w:t>
      </w:r>
      <w:r>
        <w:rPr>
          <w:rFonts w:ascii="Calibri" w:hAnsi="Calibri"/>
          <w:b w:val="0"/>
          <w:i w:val="0"/>
          <w:sz w:val="22"/>
        </w:rPr>
        <w:t>; normas adicionais, fora desse catálogo, só podem ser criadas por um formulário separado ("+ enquadramento" → "nova norma"), sempre entrando no grupo "Criadas pelo usuário". Ao lado da lista, um selo colorido mostra a gravidade e a pena prevista da norma escolhida.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Para cada enquadramento adicionado ao fato, o Nexo Coger pede o </w:t>
      </w:r>
      <w:r>
        <w:rPr>
          <w:rFonts w:ascii="Calibri" w:hAnsi="Calibri"/>
          <w:b/>
          <w:i w:val="0"/>
          <w:sz w:val="22"/>
        </w:rPr>
        <w:t>Elemento subjetivo</w:t>
      </w:r>
      <w:r>
        <w:rPr>
          <w:rFonts w:ascii="Calibri" w:hAnsi="Calibri"/>
          <w:b w:val="0"/>
          <w:i w:val="0"/>
          <w:sz w:val="22"/>
        </w:rPr>
        <w:t>, um grupo de opções com exatamente estas 5 alternativas, nesta ordem: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Dolo direto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Dolo eventual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Negligência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Imprudência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Imperícia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Se o elemento subjetivo escolhido conflitar com o que a norma exige (por exemplo, marcar "Negligência" em uma norma que exige dolo), o Nexo Coger exibe um aviso inline explicando a inconsistência. Depois, o campo </w:t>
      </w:r>
      <w:r>
        <w:rPr>
          <w:rFonts w:ascii="Calibri" w:hAnsi="Calibri"/>
          <w:b/>
          <w:i w:val="0"/>
          <w:sz w:val="22"/>
        </w:rPr>
        <w:t>Fundamentação</w:t>
      </w:r>
      <w:r>
        <w:rPr>
          <w:rFonts w:ascii="Calibri" w:hAnsi="Calibri"/>
          <w:b w:val="0"/>
          <w:i w:val="0"/>
          <w:sz w:val="22"/>
        </w:rPr>
        <w:t xml:space="preserve"> (texto livre) fecha o bloco de cada enquadramento.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Quando um fato acumula </w:t>
      </w:r>
      <w:r>
        <w:rPr>
          <w:rFonts w:ascii="Calibri" w:hAnsi="Calibri"/>
          <w:b/>
          <w:i w:val="0"/>
          <w:sz w:val="22"/>
        </w:rPr>
        <w:t>2 ou mais enquadramentos ativos</w:t>
      </w:r>
      <w:r>
        <w:rPr>
          <w:rFonts w:ascii="Calibri" w:hAnsi="Calibri"/>
          <w:b w:val="0"/>
          <w:i w:val="0"/>
          <w:sz w:val="22"/>
        </w:rPr>
        <w:t xml:space="preserve"> (não afastados), surge um banner de </w:t>
      </w:r>
      <w:r>
        <w:rPr>
          <w:rFonts w:ascii="Calibri" w:hAnsi="Calibri"/>
          <w:b/>
          <w:i w:val="0"/>
          <w:sz w:val="22"/>
        </w:rPr>
        <w:t>multiplicidade de enquadramentos</w:t>
      </w:r>
      <w:r>
        <w:rPr>
          <w:rFonts w:ascii="Calibri" w:hAnsi="Calibri"/>
          <w:b w:val="0"/>
          <w:i w:val="0"/>
          <w:sz w:val="22"/>
        </w:rPr>
        <w:t xml:space="preserve">, com um pequeno assistente de 2 passos: primeiro pergunta se uma única conduta violou mais de uma hipótese legal (concurso formal) ou se apenas uma hipótese deve prevalecer (conflito aparente); se conflito aparente, pede o princípio aplicado (alternatividade, consunção, subsidiariedade ou especialidade), a norma prevalente e uma </w:t>
      </w:r>
      <w:r>
        <w:rPr>
          <w:rFonts w:ascii="Calibri" w:hAnsi="Calibri"/>
          <w:b/>
          <w:i w:val="0"/>
          <w:sz w:val="22"/>
        </w:rPr>
        <w:t>justificativa obrigatória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Estado probatório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estado probatório de cada fato é </w:t>
      </w:r>
      <w:r>
        <w:rPr>
          <w:rFonts w:ascii="Calibri" w:hAnsi="Calibri"/>
          <w:b/>
          <w:i w:val="0"/>
          <w:sz w:val="22"/>
        </w:rPr>
        <w:t>calculado automaticamente</w:t>
      </w:r>
      <w:r>
        <w:rPr>
          <w:rFonts w:ascii="Calibri" w:hAnsi="Calibri"/>
          <w:b w:val="0"/>
          <w:i w:val="0"/>
          <w:sz w:val="22"/>
        </w:rPr>
        <w:t xml:space="preserve"> pelo Nexo Coger e exibido como "Calculado automaticamente: &lt;valor&gt;". A comissão pode </w:t>
      </w:r>
      <w:r>
        <w:rPr>
          <w:rFonts w:ascii="Calibri" w:hAnsi="Calibri"/>
          <w:b/>
          <w:i w:val="0"/>
          <w:sz w:val="22"/>
        </w:rPr>
        <w:t>sobrescrever</w:t>
      </w:r>
      <w:r>
        <w:rPr>
          <w:rFonts w:ascii="Calibri" w:hAnsi="Calibri"/>
          <w:b w:val="0"/>
          <w:i w:val="0"/>
          <w:sz w:val="22"/>
        </w:rPr>
        <w:t xml:space="preserve"> esse cálculo, escolhendo entre "usar calculado", "Sobrescrever: suficiente", "Sobrescrever: indícios" ou "Sobrescrever: ausente" — qualquer override exige uma </w:t>
      </w:r>
      <w:r>
        <w:rPr>
          <w:rFonts w:ascii="Calibri" w:hAnsi="Calibri"/>
          <w:b/>
          <w:i w:val="0"/>
          <w:sz w:val="22"/>
        </w:rPr>
        <w:t>Justificativa</w:t>
      </w:r>
      <w:r>
        <w:rPr>
          <w:rFonts w:ascii="Calibri" w:hAnsi="Calibri"/>
          <w:b w:val="0"/>
          <w:i w:val="0"/>
          <w:sz w:val="22"/>
        </w:rPr>
        <w:t xml:space="preserve"> obrigatória. Sempre que o estado exibido (calculado ou sobrescrito) não for "suficiente", surge o campo </w:t>
      </w:r>
      <w:r>
        <w:rPr>
          <w:rFonts w:ascii="Calibri" w:hAnsi="Calibri"/>
          <w:b/>
          <w:i w:val="0"/>
          <w:sz w:val="22"/>
        </w:rPr>
        <w:t>Elementos buscados</w:t>
      </w:r>
      <w:r>
        <w:rPr>
          <w:rFonts w:ascii="Calibri" w:hAnsi="Calibri"/>
          <w:b w:val="0"/>
          <w:i w:val="0"/>
          <w:sz w:val="22"/>
        </w:rPr>
        <w:t>, com o hint "O que falta provar? Vira 'elementos buscados' da próxima oitiva." — este campo alimenta diretamente o Oitiva 360 (ver Seção 6).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Situação do fato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Um grupo de opções define a disposição da comissão sobre o fato: </w:t>
      </w:r>
      <w:r>
        <w:rPr>
          <w:rFonts w:ascii="Calibri" w:hAnsi="Calibri"/>
          <w:b/>
          <w:i w:val="0"/>
          <w:sz w:val="22"/>
        </w:rPr>
        <w:t>"Ativo — será indiciado"</w:t>
      </w:r>
      <w:r>
        <w:rPr>
          <w:rFonts w:ascii="Calibri" w:hAnsi="Calibri"/>
          <w:b w:val="0"/>
          <w:i w:val="0"/>
          <w:sz w:val="22"/>
        </w:rPr>
        <w:t xml:space="preserve"> ou </w:t>
      </w:r>
      <w:r>
        <w:rPr>
          <w:rFonts w:ascii="Calibri" w:hAnsi="Calibri"/>
          <w:b/>
          <w:i w:val="0"/>
          <w:sz w:val="22"/>
        </w:rPr>
        <w:t>"Arquivado — apurado, não indiciado"</w:t>
      </w:r>
      <w:r>
        <w:rPr>
          <w:rFonts w:ascii="Calibri" w:hAnsi="Calibri"/>
          <w:b w:val="0"/>
          <w:i w:val="0"/>
          <w:sz w:val="22"/>
        </w:rPr>
        <w:t xml:space="preserve">. Se arquivado, o Nexo Coger explica que o fato arquivado não gera pendências e não entra na minuta, permanecendo no mapa apenas como memória da decisão, e exige uma </w:t>
      </w:r>
      <w:r>
        <w:rPr>
          <w:rFonts w:ascii="Calibri" w:hAnsi="Calibri"/>
          <w:b/>
          <w:i w:val="0"/>
          <w:sz w:val="22"/>
        </w:rPr>
        <w:t>Justificativa do arquivamento</w:t>
      </w:r>
      <w:r>
        <w:rPr>
          <w:rFonts w:ascii="Calibri" w:hAnsi="Calibri"/>
          <w:b w:val="0"/>
          <w:i w:val="0"/>
          <w:sz w:val="22"/>
        </w:rPr>
        <w:t xml:space="preserve"> obrigatória, com hint pedindo a "motivação jurídica: por que a comissão decidiu não indiciar este fato".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3.3 Vinculação de prova a fato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vinculação é feita por </w:t>
      </w:r>
      <w:r>
        <w:rPr>
          <w:rFonts w:ascii="Calibri" w:hAnsi="Calibri"/>
          <w:b/>
          <w:i w:val="0"/>
          <w:sz w:val="22"/>
        </w:rPr>
        <w:t>checkboxes de múltipla seleção</w:t>
      </w:r>
      <w:r>
        <w:rPr>
          <w:rFonts w:ascii="Calibri" w:hAnsi="Calibri"/>
          <w:b w:val="0"/>
          <w:i w:val="0"/>
          <w:sz w:val="22"/>
        </w:rPr>
        <w:t xml:space="preserve">, uma por prova cadastrada — cada linha exibe o id, o título e o tipo da prova. Marcar a caixa vincula a prova ao fato; desmarcar remove o vínculo. Um botão </w:t>
      </w:r>
      <w:r>
        <w:rPr>
          <w:rFonts w:ascii="Calibri" w:hAnsi="Calibri"/>
          <w:b/>
          <w:i w:val="0"/>
          <w:sz w:val="22"/>
        </w:rPr>
        <w:t>"+ criar prova daqui"</w:t>
      </w:r>
      <w:r>
        <w:rPr>
          <w:rFonts w:ascii="Calibri" w:hAnsi="Calibri"/>
          <w:b w:val="0"/>
          <w:i w:val="0"/>
          <w:sz w:val="22"/>
        </w:rPr>
        <w:t xml:space="preserve"> permite cadastrar uma prova nova diretamente do formulário do fato.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No mapa visual, cada vínculo é desenhado como uma linha entre o cartão do fato e o cartão da prova: </w:t>
      </w:r>
      <w:r>
        <w:rPr>
          <w:rFonts w:ascii="Calibri" w:hAnsi="Calibri"/>
          <w:b/>
          <w:i w:val="0"/>
          <w:sz w:val="22"/>
        </w:rPr>
        <w:t>traço contínuo</w:t>
      </w:r>
      <w:r>
        <w:rPr>
          <w:rFonts w:ascii="Calibri" w:hAnsi="Calibri"/>
          <w:b w:val="0"/>
          <w:i w:val="0"/>
          <w:sz w:val="22"/>
        </w:rPr>
        <w:t xml:space="preserve"> quando a prova é direta e sem pendências; </w:t>
      </w:r>
      <w:r>
        <w:rPr>
          <w:rFonts w:ascii="Calibri" w:hAnsi="Calibri"/>
          <w:b/>
          <w:i w:val="0"/>
          <w:sz w:val="22"/>
        </w:rPr>
        <w:t>traço tracejado</w:t>
      </w:r>
      <w:r>
        <w:rPr>
          <w:rFonts w:ascii="Calibri" w:hAnsi="Calibri"/>
          <w:b w:val="0"/>
          <w:i w:val="0"/>
          <w:sz w:val="22"/>
        </w:rPr>
        <w:t xml:space="preserve"> nos demais casos. Um fato </w:t>
      </w:r>
      <w:r>
        <w:rPr>
          <w:rFonts w:ascii="Calibri" w:hAnsi="Calibri"/>
          <w:b/>
          <w:i w:val="0"/>
          <w:sz w:val="22"/>
        </w:rPr>
        <w:t>sem nenhuma prova vinculada</w:t>
      </w:r>
      <w:r>
        <w:rPr>
          <w:rFonts w:ascii="Calibri" w:hAnsi="Calibri"/>
          <w:b w:val="0"/>
          <w:i w:val="0"/>
          <w:sz w:val="22"/>
        </w:rPr>
        <w:t xml:space="preserve"> recebe uma aresta tracejada vermelha terminada em seta, sinalizando a pendência crítica de lacuna probatória. Provas que não sustentam nenhum fato ("órfãs") aparecem visualmente deslocadas no mapa, como sinal deliberado dessa condição.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3.4 Papel de pessoa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24702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-papel-pesso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2470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8 — Seleção de papel do depoente no formulário de prova testemunhal/declaração de informante.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 catálogo do Nexo Coger define exatamente 5 papéis de pessoa: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6236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</w:tr>
      <w:tr>
        <w:tc>
          <w:tcPr>
            <w:tcW w:type="dxa" w:w="255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Investigado/Acusado</w:t>
            </w:r>
          </w:p>
        </w:tc>
        <w:tc>
          <w:tcPr>
            <w:tcW w:type="dxa" w:w="6236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Servidor submetido a apuração; não presta compromisso; direito ao silêncio.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Vítima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 presta compromisso legal; sujeita-se à denunciação caluniosa.</w:t>
            </w:r>
          </w:p>
        </w:tc>
      </w:tr>
      <w:tr>
        <w:tc>
          <w:tcPr>
            <w:tcW w:type="dxa" w:w="255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Testemunha</w:t>
            </w:r>
          </w:p>
        </w:tc>
        <w:tc>
          <w:tcPr>
            <w:tcW w:type="dxa" w:w="6236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Presta compromisso legal de dizer a verdade (art. 342, CP); dever de depor.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Declarante/Informante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 presta compromisso; colaboração voluntária, sem responder por falso testemunho.</w:t>
            </w:r>
          </w:p>
        </w:tc>
      </w:tr>
      <w:tr>
        <w:tc>
          <w:tcPr>
            <w:tcW w:type="dxa" w:w="255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Pessoa em Situação Indefinida</w:t>
            </w:r>
          </w:p>
        </w:tc>
        <w:tc>
          <w:tcPr>
            <w:tcW w:type="dxa" w:w="6236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Envolvimento possível, ainda sem elementos para tratar como investigado.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seletor de papel aparece em dois pontos do Nexo Coger: (a) no formulário de prova, quando o </w:t>
      </w:r>
      <w:r>
        <w:rPr>
          <w:rFonts w:ascii="Calibri" w:hAnsi="Calibri"/>
          <w:b/>
          <w:i w:val="0"/>
          <w:sz w:val="22"/>
        </w:rPr>
        <w:t>Tipo de prova</w:t>
      </w:r>
      <w:r>
        <w:rPr>
          <w:rFonts w:ascii="Calibri" w:hAnsi="Calibri"/>
          <w:b w:val="0"/>
          <w:i w:val="0"/>
          <w:sz w:val="22"/>
        </w:rPr>
        <w:t xml:space="preserve"> é "Testemunhal" ou "Declaração de informante" — junto com os campos </w:t>
      </w:r>
      <w:r>
        <w:rPr>
          <w:rFonts w:ascii="Calibri" w:hAnsi="Calibri"/>
          <w:b/>
          <w:i w:val="0"/>
          <w:sz w:val="22"/>
        </w:rPr>
        <w:t>Deponente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Papel do depoente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Compromissada?</w:t>
      </w:r>
      <w:r>
        <w:rPr>
          <w:rFonts w:ascii="Calibri" w:hAnsi="Calibri"/>
          <w:b w:val="0"/>
          <w:i w:val="0"/>
          <w:sz w:val="22"/>
        </w:rPr>
        <w:t xml:space="preserve"> e o trio de campos sobre contradita; e (b) na tela </w:t>
      </w:r>
      <w:r>
        <w:rPr>
          <w:rFonts w:ascii="Calibri" w:hAnsi="Calibri"/>
          <w:b/>
          <w:i w:val="0"/>
          <w:sz w:val="22"/>
        </w:rPr>
        <w:t>"Revisão de pauta"</w:t>
      </w:r>
      <w:r>
        <w:rPr>
          <w:rFonts w:ascii="Calibri" w:hAnsi="Calibri"/>
          <w:b w:val="0"/>
          <w:i w:val="0"/>
          <w:sz w:val="22"/>
        </w:rPr>
        <w:t xml:space="preserve"> (usada para preparar a exportação de pauta para o Oitiva 360 — ver Seção 6), no bloco "Depoente", com os campos </w:t>
      </w:r>
      <w:r>
        <w:rPr>
          <w:rFonts w:ascii="Calibri" w:hAnsi="Calibri"/>
          <w:b/>
          <w:i w:val="0"/>
          <w:sz w:val="22"/>
        </w:rPr>
        <w:t>Nome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Papel (catálogo canônico)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Ao trocar o </w:t>
      </w:r>
      <w:r>
        <w:rPr>
          <w:rFonts w:ascii="Calibri" w:hAnsi="Calibri"/>
          <w:b/>
          <w:i w:val="0"/>
          <w:sz w:val="22"/>
        </w:rPr>
        <w:t>Papel do depoente</w:t>
      </w:r>
      <w:r>
        <w:rPr>
          <w:rFonts w:ascii="Calibri" w:hAnsi="Calibri"/>
          <w:b w:val="0"/>
          <w:i w:val="0"/>
          <w:sz w:val="22"/>
        </w:rPr>
        <w:t xml:space="preserve"> no formulário de prova, o campo </w:t>
      </w:r>
      <w:r>
        <w:rPr>
          <w:rFonts w:ascii="Calibri" w:hAnsi="Calibri"/>
          <w:b/>
          <w:i w:val="0"/>
          <w:sz w:val="22"/>
        </w:rPr>
        <w:t>"Compromissada?"</w:t>
      </w:r>
      <w:r>
        <w:rPr>
          <w:rFonts w:ascii="Calibri" w:hAnsi="Calibri"/>
          <w:b w:val="0"/>
          <w:i w:val="0"/>
          <w:sz w:val="22"/>
        </w:rPr>
        <w:t xml:space="preserve"> é automaticamente ajustado conforme o papel escolhido: só o papel "Testemunha" define o valor inicial como "Sim"; os outros quatro papéis definem "Não". O usuário pode, ainda assim, sobrescrever manualmente esse valor pelo próprio campo — a mudança de papel apenas define o valor inicial, não trava o campo.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CONFIRA MANUALMENTE  </w:t>
      </w:r>
      <w:r>
        <w:rPr>
          <w:rFonts w:ascii="Calibri" w:hAnsi="Calibri"/>
          <w:b w:val="0"/>
          <w:i w:val="0"/>
          <w:sz w:val="20"/>
        </w:rPr>
        <w:t xml:space="preserve">Ao abrir uma prova </w:t>
      </w:r>
      <w:r>
        <w:rPr>
          <w:rFonts w:ascii="Calibri" w:hAnsi="Calibri"/>
          <w:b/>
          <w:i w:val="0"/>
          <w:sz w:val="20"/>
        </w:rPr>
        <w:t>nova</w:t>
      </w:r>
      <w:r>
        <w:rPr>
          <w:rFonts w:ascii="Calibri" w:hAnsi="Calibri"/>
          <w:b w:val="0"/>
          <w:i w:val="0"/>
          <w:sz w:val="20"/>
        </w:rPr>
        <w:t xml:space="preserve"> do tipo "Declaração de informante" pela primeira vez, o campo "Compromissada?" pode nascer marcado em "Sim", mesmo esse papel não prevendo compromisso no catálogo. Isso se corrige automaticamente se o usuário reselecionar o papel no campo — mas, até lá, </w:t>
      </w:r>
      <w:r>
        <w:rPr>
          <w:rFonts w:ascii="Calibri" w:hAnsi="Calibri"/>
          <w:b/>
          <w:i w:val="0"/>
          <w:sz w:val="20"/>
        </w:rPr>
        <w:t>confira manualmente</w:t>
      </w:r>
      <w:r>
        <w:rPr>
          <w:rFonts w:ascii="Calibri" w:hAnsi="Calibri"/>
          <w:b w:val="0"/>
          <w:i w:val="0"/>
          <w:sz w:val="20"/>
        </w:rPr>
        <w:t xml:space="preserve"> o valor de "Compromissada?" sempre que cadastrar uma declaração de informante nova.</w:t>
      </w:r>
    </w:p>
    <w:p>
      <w:pPr>
        <w:spacing w:after="100" w:line="280" w:lineRule="exact"/>
        <w:jc w:val="both"/>
      </w:pPr>
      <w:r>
        <w:rPr>
          <w:rFonts w:ascii="Calibri" w:hAnsi="Calibri"/>
          <w:b/>
          <w:i w:val="0"/>
          <w:sz w:val="22"/>
        </w:rPr>
        <w:t>Orientação prática deste manual</w:t>
      </w:r>
      <w:r>
        <w:rPr>
          <w:rFonts w:ascii="Calibri" w:hAnsi="Calibri"/>
          <w:b w:val="0"/>
          <w:i w:val="0"/>
          <w:sz w:val="22"/>
        </w:rPr>
        <w:t xml:space="preserve"> (não é texto exibido pela ferramenta): o papel </w:t>
      </w:r>
      <w:r>
        <w:rPr>
          <w:rFonts w:ascii="Calibri" w:hAnsi="Calibri"/>
          <w:b/>
          <w:i w:val="0"/>
          <w:sz w:val="22"/>
        </w:rPr>
        <w:t>"Pessoa em Situação Indefinida"</w:t>
      </w:r>
      <w:r>
        <w:rPr>
          <w:rFonts w:ascii="Calibri" w:hAnsi="Calibri"/>
          <w:b w:val="0"/>
          <w:i w:val="0"/>
          <w:sz w:val="22"/>
        </w:rPr>
        <w:t xml:space="preserve"> destina-se a situações em que os autos indicam um possível envolvimento da pessoa no contexto fático, mas ainda não há elementos suficientes para tratá-la formalmente como investigada — por cautela, a ela também se faculta o direito ao silêncio, por analogia à vedação à autoincriminação, e recomenda-se consultar previamente a defesa sobre o enquadramento adotado antes de qualquer oitiva nessa condição.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3.5 Geração da indiciação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387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-indici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387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9 — Tela de geração da minuta do termo de indiciação.</w:t>
      </w:r>
    </w:p>
    <w:p>
      <w:pPr>
        <w:spacing w:before="100" w:after="6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Arial Narrow" w:hAnsi="Arial Narrow"/>
          <w:b/>
          <w:color w:val="C00000"/>
          <w:sz w:val="18"/>
        </w:rPr>
        <w:t xml:space="preserve">ATO FINAL — USE COM CAUTELA  </w:t>
      </w:r>
      <w:r>
        <w:rPr>
          <w:rFonts w:ascii="Calibri" w:hAnsi="Calibri"/>
          <w:b w:val="0"/>
          <w:i w:val="0"/>
          <w:sz w:val="20"/>
        </w:rPr>
        <w:t xml:space="preserve">A geração da indiciação é um </w:t>
      </w:r>
      <w:r>
        <w:rPr>
          <w:rFonts w:ascii="Calibri" w:hAnsi="Calibri"/>
          <w:b/>
          <w:i w:val="0"/>
          <w:sz w:val="20"/>
        </w:rPr>
        <w:t>ato final</w:t>
      </w:r>
      <w:r>
        <w:rPr>
          <w:rFonts w:ascii="Calibri" w:hAnsi="Calibri"/>
          <w:b w:val="0"/>
          <w:i w:val="0"/>
          <w:sz w:val="20"/>
        </w:rPr>
        <w:t xml:space="preserve"> da instrução — gera o documento formal de indiciação de cada acusado selecionado. Não a use prematuramente, antes que os fatos, provas e enquadramentos estejam efetivamente consolidados.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Antes mesmo de abrir a tela de geração, o Nexo Coger verifica se existem </w:t>
      </w:r>
      <w:r>
        <w:rPr>
          <w:rFonts w:ascii="Calibri" w:hAnsi="Calibri"/>
          <w:b/>
          <w:i w:val="0"/>
          <w:sz w:val="22"/>
        </w:rPr>
        <w:t>pendências críticas</w:t>
      </w:r>
      <w:r>
        <w:rPr>
          <w:rFonts w:ascii="Calibri" w:hAnsi="Calibri"/>
          <w:b w:val="0"/>
          <w:i w:val="0"/>
          <w:sz w:val="22"/>
        </w:rPr>
        <w:t xml:space="preserve"> em qualquer fato, prova ou acusado do processo (não apenas do indiciado que se deseja gerar). Havendo qualquer uma, a geração é bloqueada com o alerta "Há pendências críticas que impedem a indiciação. Veja o painel.". As pendências críticas bloqueantes são: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P1</w:t>
      </w:r>
      <w:r>
        <w:rPr>
          <w:rFonts w:ascii="Calibri" w:hAnsi="Calibri"/>
          <w:b w:val="0"/>
          <w:i w:val="0"/>
          <w:sz w:val="22"/>
        </w:rPr>
        <w:t xml:space="preserve"> — Fato sem prova vinculada (alegação sem evidência), salvo se houver override de estado probatório justificado.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P2</w:t>
      </w:r>
      <w:r>
        <w:rPr>
          <w:rFonts w:ascii="Calibri" w:hAnsi="Calibri"/>
          <w:b w:val="0"/>
          <w:i w:val="0"/>
          <w:sz w:val="22"/>
        </w:rPr>
        <w:t xml:space="preserve"> — Fato sem enquadramento legal, crítica a partir da fase de indiciação em elaboração em diante.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P5</w:t>
      </w:r>
      <w:r>
        <w:rPr>
          <w:rFonts w:ascii="Calibri" w:hAnsi="Calibri"/>
          <w:b w:val="0"/>
          <w:i w:val="0"/>
          <w:sz w:val="22"/>
        </w:rPr>
        <w:t xml:space="preserve"> — Conduta não individualizada — risco de indiciação genérica (nulidade).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P8</w:t>
      </w:r>
      <w:r>
        <w:rPr>
          <w:rFonts w:ascii="Calibri" w:hAnsi="Calibri"/>
          <w:b w:val="0"/>
          <w:i w:val="0"/>
          <w:sz w:val="22"/>
        </w:rPr>
        <w:t xml:space="preserve"> — Alternatividade violada: enquadramentos doloso e culposo simultâneos no mesmo fato.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Pendências </w:t>
      </w:r>
      <w:r>
        <w:rPr>
          <w:rFonts w:ascii="Calibri" w:hAnsi="Calibri"/>
          <w:b/>
          <w:i w:val="0"/>
          <w:sz w:val="22"/>
        </w:rPr>
        <w:t>frágeis</w:t>
      </w:r>
      <w:r>
        <w:rPr>
          <w:rFonts w:ascii="Calibri" w:hAnsi="Calibri"/>
          <w:b w:val="0"/>
          <w:i w:val="0"/>
          <w:sz w:val="22"/>
        </w:rPr>
        <w:t xml:space="preserve"> (P3, P6a, P6b, P6c, P7) não bloqueiam a geração, mas aparecem como aviso na própria tela: "Pendências frágeis ainda abertas: &lt;códigos&gt;. A minuta pode ser gerada, mas revise-as.". O detalhamento confirmado de cada uma: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531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7257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53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725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Prova órfã — prova cadastrada que não sustenta nenhum fato (aparece deslocada no mapa).</w:t>
            </w:r>
          </w:p>
        </w:tc>
      </w:tr>
      <w:tr>
        <w:tc>
          <w:tcPr>
            <w:tcW w:type="dxa" w:w="153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P6a / P6b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Prova vinculada não classificada como "direta" — reflete-se no mapa como aresta tracejada em vez de contínua (pendência frágil — não bloqueia geração de minuta, mas deve ser revisada antes de finalizar).</w:t>
            </w:r>
          </w:p>
        </w:tc>
      </w:tr>
      <w:tr>
        <w:tc>
          <w:tcPr>
            <w:tcW w:type="dxa" w:w="153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P6c</w:t>
            </w:r>
          </w:p>
        </w:tc>
        <w:tc>
          <w:tcPr>
            <w:tcW w:type="dxa" w:w="725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Intimação para o interrogatório com antecedência inferior a 3 dias úteis (art. 41, Lei nº 9.784/99) — calculada quando o acusado tem Notificação prévia e Interrogatório com data preenchidas (Seção 3.6). É a única pendência do sistema vinculada a um acusado, não a um fato ou prova; clicar nela abre o cadastro do próprio acusado.</w:t>
            </w:r>
          </w:p>
        </w:tc>
      </w:tr>
      <w:tr>
        <w:tc>
          <w:tcPr>
            <w:tcW w:type="dxa" w:w="153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P7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Sustentação exclusivamente indiciária/informal — explicitar raciocínio indutivo. Dispara quando o fato tem ao menos uma prova vinculada e todas as provas vinculadas são do tipo "Prova indiciária" ou "Declaração de informante" (nenhuma prova documental, pericial, testemunhal, emprestada, de interrogatório ou de diligência sustenta o fato).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Passada a checagem, a tela de geração pede: uma </w:t>
      </w:r>
      <w:r>
        <w:rPr>
          <w:rFonts w:ascii="Calibri" w:hAnsi="Calibri"/>
          <w:b/>
          <w:i w:val="0"/>
          <w:sz w:val="22"/>
        </w:rPr>
        <w:t>checkbox por acusado cadastrado</w:t>
      </w:r>
      <w:r>
        <w:rPr>
          <w:rFonts w:ascii="Calibri" w:hAnsi="Calibri"/>
          <w:b w:val="0"/>
          <w:i w:val="0"/>
          <w:sz w:val="22"/>
        </w:rPr>
        <w:t xml:space="preserve"> (todas marcadas por padrão, um documento é gerado por indiciado selecionado) e a </w:t>
      </w:r>
      <w:r>
        <w:rPr>
          <w:rFonts w:ascii="Calibri" w:hAnsi="Calibri"/>
          <w:b/>
          <w:i w:val="0"/>
          <w:sz w:val="22"/>
        </w:rPr>
        <w:t>Data do documento</w:t>
      </w:r>
      <w:r>
        <w:rPr>
          <w:rFonts w:ascii="Calibri" w:hAnsi="Calibri"/>
          <w:b w:val="0"/>
          <w:i w:val="0"/>
          <w:sz w:val="22"/>
        </w:rPr>
        <w:t>, pré-preenchida com a data de hoje, usada no fecho e nas assinaturas.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Ao clicar em "Gerar minuta", o Nexo Coger roda uma checagem de campos essenciais (`validaMinuta`) e lista tudo o que faltar, sem gerar nada até que esteja completo: número do processo, nome do presidente da comissão, nome e cargo de cada indiciado, existência de ao menos um fato ativo imputado ao indiciado, e — para cada fato ativo dele — descrição e enquadramento preenchidos.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 documento gerado ("Indiciação") traz, nesta ordem: cabeçalho institucional e dados do processo; tabela de qualificação do servidor; "Dos fatos e das condutas"; "Das provas"; "Do enquadramento legal"; uma tabela-síntese de fatos × provas × enquadramentos; "Das alegações da defesa não acatadas"; e "Do encerramento", com bloco de assinatura em três colunas (Vogal | Presidente | Vogal).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3.6 Cadastro de acusado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formulário de acusado (`doc.acusados[]`) é um </w:t>
      </w:r>
      <w:r>
        <w:rPr>
          <w:rFonts w:ascii="Calibri" w:hAnsi="Calibri"/>
          <w:b/>
          <w:i w:val="0"/>
          <w:sz w:val="22"/>
        </w:rPr>
        <w:t>modelo de dados totalmente separado</w:t>
      </w:r>
      <w:r>
        <w:rPr>
          <w:rFonts w:ascii="Calibri" w:hAnsi="Calibri"/>
          <w:b w:val="0"/>
          <w:i w:val="0"/>
          <w:sz w:val="22"/>
        </w:rPr>
        <w:t xml:space="preserve"> do sistema de papéis de pessoa (Seção 3.4) — um acusado nunca recebe um `papelId`; o conceito de "papel" só existe no contexto de depoente (prova testemunhal/declaração de informante) e na tela "Revisão de pauta".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Os campos do formulário "Acusado" aparecem, nesta ordem exata: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Nome</w:t>
      </w:r>
      <w:r>
        <w:rPr>
          <w:rFonts w:ascii="Calibri" w:hAnsi="Calibri"/>
          <w:b w:val="0"/>
          <w:i w:val="0"/>
          <w:sz w:val="22"/>
        </w:rPr>
        <w:t xml:space="preserve"> — texto livre. </w:t>
      </w:r>
      <w:r>
        <w:rPr>
          <w:rFonts w:ascii="Calibri" w:hAnsi="Calibri"/>
          <w:b/>
          <w:i w:val="0"/>
          <w:sz w:val="22"/>
        </w:rPr>
        <w:t>Obrigatório</w:t>
      </w:r>
      <w:r>
        <w:rPr>
          <w:rFonts w:ascii="Calibri" w:hAnsi="Calibri"/>
          <w:b w:val="0"/>
          <w:i w:val="0"/>
          <w:sz w:val="22"/>
        </w:rPr>
        <w:t>: se vazio, "Informe o nome do acusado." — é o único campo bloqueante no cadastro.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Matrícula (SIAPE)</w:t>
      </w:r>
      <w:r>
        <w:rPr>
          <w:rFonts w:ascii="Calibri" w:hAnsi="Calibri"/>
          <w:b w:val="0"/>
          <w:i w:val="0"/>
          <w:sz w:val="22"/>
        </w:rPr>
        <w:t xml:space="preserve"> — texto livre.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Cargo</w:t>
      </w:r>
      <w:r>
        <w:rPr>
          <w:rFonts w:ascii="Calibri" w:hAnsi="Calibri"/>
          <w:b w:val="0"/>
          <w:i w:val="0"/>
          <w:sz w:val="22"/>
        </w:rPr>
        <w:t xml:space="preserve"> — texto livre. Não é exigido para salvar o cadastro, mas passa a ser obrigatório mais adiante, no momento de gerar a minuta de indiciação (Seção 3.5).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Lotação</w:t>
      </w:r>
      <w:r>
        <w:rPr>
          <w:rFonts w:ascii="Calibri" w:hAnsi="Calibri"/>
          <w:b w:val="0"/>
          <w:i w:val="0"/>
          <w:sz w:val="22"/>
        </w:rPr>
        <w:t xml:space="preserve"> — texto livre.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Qualificação complementar</w:t>
      </w:r>
      <w:r>
        <w:rPr>
          <w:rFonts w:ascii="Calibri" w:hAnsi="Calibri"/>
          <w:b w:val="0"/>
          <w:i w:val="0"/>
          <w:sz w:val="22"/>
        </w:rPr>
        <w:t xml:space="preserve"> — área de texto livre; funciona como campo de escape para qualquer dado de qualificação sem campo dedicado (não há campo de CPF nem de endereço no formulário).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6.  </w:t>
      </w:r>
      <w:r>
        <w:rPr>
          <w:rFonts w:ascii="Calibri" w:hAnsi="Calibri"/>
          <w:b/>
          <w:i w:val="0"/>
          <w:sz w:val="22"/>
        </w:rPr>
        <w:t>Situação funcional</w:t>
      </w:r>
      <w:r>
        <w:rPr>
          <w:rFonts w:ascii="Calibri" w:hAnsi="Calibri"/>
          <w:b w:val="0"/>
          <w:i w:val="0"/>
          <w:sz w:val="22"/>
        </w:rPr>
        <w:t xml:space="preserve"> — seleção com 4 opções: "Ativo (não licenciado/afastado)", "Licenciado/afastado", "Inativo (aposentado)" e "Ex-servidor".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7.  </w:t>
      </w:r>
      <w:r>
        <w:rPr>
          <w:rFonts w:ascii="Calibri" w:hAnsi="Calibri"/>
          <w:b/>
          <w:i w:val="0"/>
          <w:sz w:val="22"/>
        </w:rPr>
        <w:t>Telefone(s) móvel(is)</w:t>
      </w:r>
      <w:r>
        <w:rPr>
          <w:rFonts w:ascii="Calibri" w:hAnsi="Calibri"/>
          <w:b w:val="0"/>
          <w:i w:val="0"/>
          <w:sz w:val="22"/>
        </w:rPr>
        <w:t xml:space="preserve"> — texto livre, usado no bloco "Contatos:" dos termos de intimação.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8.  </w:t>
      </w:r>
      <w:r>
        <w:rPr>
          <w:rFonts w:ascii="Calibri" w:hAnsi="Calibri"/>
          <w:b/>
          <w:i w:val="0"/>
          <w:sz w:val="22"/>
        </w:rPr>
        <w:t>E-mail(s)</w:t>
      </w:r>
      <w:r>
        <w:rPr>
          <w:rFonts w:ascii="Calibri" w:hAnsi="Calibri"/>
          <w:b w:val="0"/>
          <w:i w:val="0"/>
          <w:sz w:val="22"/>
        </w:rPr>
        <w:t xml:space="preserve"> — texto livre.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9.  </w:t>
      </w:r>
      <w:r>
        <w:rPr>
          <w:rFonts w:ascii="Calibri" w:hAnsi="Calibri"/>
          <w:b/>
          <w:i w:val="0"/>
          <w:sz w:val="22"/>
        </w:rPr>
        <w:t>Alegações da defesa não acatadas</w:t>
      </w:r>
      <w:r>
        <w:rPr>
          <w:rFonts w:ascii="Calibri" w:hAnsi="Calibri"/>
          <w:b w:val="0"/>
          <w:i w:val="0"/>
          <w:sz w:val="22"/>
        </w:rPr>
        <w:t xml:space="preserve"> — área de texto, preenchida antes da impressão final da indiciação (também ajustável na própria tela de impressão).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10.  </w:t>
      </w:r>
      <w:r>
        <w:rPr>
          <w:rFonts w:ascii="Calibri" w:hAnsi="Calibri"/>
          <w:b/>
          <w:i w:val="0"/>
          <w:sz w:val="22"/>
        </w:rPr>
        <w:t>Bloco "Notificação prévia"</w:t>
      </w:r>
      <w:r>
        <w:rPr>
          <w:rFonts w:ascii="Calibri" w:hAnsi="Calibri"/>
          <w:b w:val="0"/>
          <w:i w:val="0"/>
          <w:sz w:val="22"/>
        </w:rPr>
        <w:t xml:space="preserve"> — três campos: "Realizada?" (Sim/Não), "Data" e "Ref. autos".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11.  </w:t>
      </w:r>
      <w:r>
        <w:rPr>
          <w:rFonts w:ascii="Calibri" w:hAnsi="Calibri"/>
          <w:b/>
          <w:i w:val="0"/>
          <w:sz w:val="22"/>
        </w:rPr>
        <w:t>Bloco "Interrogatório"</w:t>
      </w:r>
      <w:r>
        <w:rPr>
          <w:rFonts w:ascii="Calibri" w:hAnsi="Calibri"/>
          <w:b w:val="0"/>
          <w:i w:val="0"/>
          <w:sz w:val="22"/>
        </w:rPr>
        <w:t xml:space="preserve"> — quatro campos: "Status" (Pendente / Realizado / Silêncio formalizado / Cancelado), "Data", "Ref. autos" e "Realizado após todas as provas?" (Sim/Não).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12.  </w:t>
      </w:r>
      <w:r>
        <w:rPr>
          <w:rFonts w:ascii="Calibri" w:hAnsi="Calibri"/>
          <w:b/>
          <w:i w:val="0"/>
          <w:sz w:val="22"/>
        </w:rPr>
        <w:t>Bloco "Contexto de oitiva"</w:t>
      </w:r>
      <w:r>
        <w:rPr>
          <w:rFonts w:ascii="Calibri" w:hAnsi="Calibri"/>
          <w:b w:val="0"/>
          <w:i w:val="0"/>
          <w:sz w:val="22"/>
        </w:rPr>
        <w:t xml:space="preserve"> — condicional: só aparece quando o acusado já recebeu algum retorno de oitiva do Oitiva 360 (Seção 6.4). Lista cada item recebido com a referência do fato e da prova de origem, a citação do resumo da resposta (quando houver) e uma caixa "Revisado" para a comissão marcar a conferência.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SÓ O NOME É OBRIGATÓRIO PARA SALVAR  </w:t>
      </w:r>
      <w:r>
        <w:rPr>
          <w:rFonts w:ascii="Calibri" w:hAnsi="Calibri"/>
          <w:b w:val="0"/>
          <w:i w:val="0"/>
          <w:sz w:val="20"/>
        </w:rPr>
        <w:t xml:space="preserve">Nenhum dos campos 2 a 11 é exigido para </w:t>
      </w:r>
      <w:r>
        <w:rPr>
          <w:rFonts w:ascii="Calibri" w:hAnsi="Calibri"/>
          <w:b/>
          <w:i w:val="0"/>
          <w:sz w:val="20"/>
        </w:rPr>
        <w:t>salvar</w:t>
      </w:r>
      <w:r>
        <w:rPr>
          <w:rFonts w:ascii="Calibri" w:hAnsi="Calibri"/>
          <w:b w:val="0"/>
          <w:i w:val="0"/>
          <w:sz w:val="20"/>
        </w:rPr>
        <w:t xml:space="preserve"> o cadastro do acusado — só o </w:t>
      </w:r>
      <w:r>
        <w:rPr>
          <w:rFonts w:ascii="Calibri" w:hAnsi="Calibri"/>
          <w:b/>
          <w:i w:val="0"/>
          <w:sz w:val="20"/>
        </w:rPr>
        <w:t>Nome</w:t>
      </w:r>
      <w:r>
        <w:rPr>
          <w:rFonts w:ascii="Calibri" w:hAnsi="Calibri"/>
          <w:b w:val="0"/>
          <w:i w:val="0"/>
          <w:sz w:val="20"/>
        </w:rPr>
        <w:t xml:space="preserve"> bloqueia. "Cargo" volta a ser cobrado, mas só no momento de </w:t>
      </w:r>
      <w:r>
        <w:rPr>
          <w:rFonts w:ascii="Calibri" w:hAnsi="Calibri"/>
          <w:b/>
          <w:i w:val="0"/>
          <w:sz w:val="20"/>
        </w:rPr>
        <w:t>gerar a minuta de indiciação</w:t>
      </w:r>
      <w:r>
        <w:rPr>
          <w:rFonts w:ascii="Calibri" w:hAnsi="Calibri"/>
          <w:b w:val="0"/>
          <w:i w:val="0"/>
          <w:sz w:val="20"/>
        </w:rPr>
        <w:t>; os campos de "Notificação prévia" e "Interrogatório" não bloqueiam nada diretamente, mas alimentam o checklist de encerramento e a pendência P6c (Seção 3.9).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Ao excluir um acusado, o Nexo Coger pede confirmação: "Excluir este acusado? As condutas vinculadas a ele nos fatos serão removidas.".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Esses mesmos campos fecham o ciclo com a Seção 3.5: a </w:t>
      </w:r>
      <w:r>
        <w:rPr>
          <w:rFonts w:ascii="Calibri" w:hAnsi="Calibri"/>
          <w:b/>
          <w:i w:val="0"/>
          <w:sz w:val="22"/>
        </w:rPr>
        <w:t>tabela de qualificação</w:t>
      </w:r>
      <w:r>
        <w:rPr>
          <w:rFonts w:ascii="Calibri" w:hAnsi="Calibri"/>
          <w:b w:val="0"/>
          <w:i w:val="0"/>
          <w:sz w:val="22"/>
        </w:rPr>
        <w:t xml:space="preserve"> que abre a minuta do termo de indiciação lê exatamente </w:t>
      </w:r>
      <w:r>
        <w:rPr>
          <w:rFonts w:ascii="Calibri" w:hAnsi="Calibri"/>
          <w:b/>
          <w:i w:val="0"/>
          <w:sz w:val="22"/>
        </w:rPr>
        <w:t>Nome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Matrícula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Cargo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Lotação</w:t>
      </w:r>
      <w:r>
        <w:rPr>
          <w:rFonts w:ascii="Calibri" w:hAnsi="Calibri"/>
          <w:b w:val="0"/>
          <w:i w:val="0"/>
          <w:sz w:val="22"/>
        </w:rPr>
        <w:t xml:space="preserve"> do cadastro do acusado (mostrando "—" para os que estiverem vazios), acrescida da linha </w:t>
      </w:r>
      <w:r>
        <w:rPr>
          <w:rFonts w:ascii="Calibri" w:hAnsi="Calibri"/>
          <w:b/>
          <w:i w:val="0"/>
          <w:sz w:val="22"/>
        </w:rPr>
        <w:t>"Qualificação"</w:t>
      </w:r>
      <w:r>
        <w:rPr>
          <w:rFonts w:ascii="Calibri" w:hAnsi="Calibri"/>
          <w:b w:val="0"/>
          <w:i w:val="0"/>
          <w:sz w:val="22"/>
        </w:rPr>
        <w:t xml:space="preserve"> apenas quando o campo "Qualificação complementar" estiver preenchido. Os demais campos do cadastro (situação funcional, telefone, e-mail, notificação prévia, interrogatório) não são lidos pela minuta de indiciação — servem a outros fins, como o checklist de encerramento e o painel de Prazos (Seção 3.9).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3.7 Cadastro de prova no Nexo Coger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detalhamento do formulário de prova para os tipos </w:t>
      </w:r>
      <w:r>
        <w:rPr>
          <w:rFonts w:ascii="Calibri" w:hAnsi="Calibri"/>
          <w:b/>
          <w:i w:val="0"/>
          <w:sz w:val="22"/>
        </w:rPr>
        <w:t>Testemunhal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Declaração de informante</w:t>
      </w:r>
      <w:r>
        <w:rPr>
          <w:rFonts w:ascii="Calibri" w:hAnsi="Calibri"/>
          <w:b w:val="0"/>
          <w:i w:val="0"/>
          <w:sz w:val="22"/>
        </w:rPr>
        <w:t xml:space="preserve"> — Deponente, Papel do depoente, Compromissada?, trio de contradita — já foi apresentado na Seção 3.4 (Papel de pessoa). Esta seção cobre os campos </w:t>
      </w:r>
      <w:r>
        <w:rPr>
          <w:rFonts w:ascii="Calibri" w:hAnsi="Calibri"/>
          <w:b/>
          <w:i w:val="0"/>
          <w:sz w:val="22"/>
        </w:rPr>
        <w:t>gerais</w:t>
      </w:r>
      <w:r>
        <w:rPr>
          <w:rFonts w:ascii="Calibri" w:hAnsi="Calibri"/>
          <w:b w:val="0"/>
          <w:i w:val="0"/>
          <w:sz w:val="22"/>
        </w:rPr>
        <w:t xml:space="preserve"> do formulário de prova, presentes independentemente do tipo escolhido, e o catálogo completo do campo "Tipo de prova".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Os campos gerais do formulário "Prova" aparecem, nesta ordem exata: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Tipo de prova</w:t>
      </w:r>
      <w:r>
        <w:rPr>
          <w:rFonts w:ascii="Calibri" w:hAnsi="Calibri"/>
          <w:b w:val="0"/>
          <w:i w:val="0"/>
          <w:sz w:val="22"/>
        </w:rPr>
        <w:t xml:space="preserve"> — seleção com 8 opções (ver tabela abaixo). Decide quais campos de detalhe adicionais aparecem.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Título</w:t>
      </w:r>
      <w:r>
        <w:rPr>
          <w:rFonts w:ascii="Calibri" w:hAnsi="Calibri"/>
          <w:b w:val="0"/>
          <w:i w:val="0"/>
          <w:sz w:val="22"/>
        </w:rPr>
        <w:t xml:space="preserve"> — texto livre. </w:t>
      </w:r>
      <w:r>
        <w:rPr>
          <w:rFonts w:ascii="Calibri" w:hAnsi="Calibri"/>
          <w:b/>
          <w:i w:val="0"/>
          <w:sz w:val="22"/>
        </w:rPr>
        <w:t>Obrigatório</w:t>
      </w:r>
      <w:r>
        <w:rPr>
          <w:rFonts w:ascii="Calibri" w:hAnsi="Calibri"/>
          <w:b w:val="0"/>
          <w:i w:val="0"/>
          <w:sz w:val="22"/>
        </w:rPr>
        <w:t>: se vazio, "Informe o título da prova.".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Descrição</w:t>
      </w:r>
      <w:r>
        <w:rPr>
          <w:rFonts w:ascii="Calibri" w:hAnsi="Calibri"/>
          <w:b w:val="0"/>
          <w:i w:val="0"/>
          <w:sz w:val="22"/>
        </w:rPr>
        <w:t xml:space="preserve"> — área de texto livre.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Documento (ref. autos)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Folhas</w:t>
      </w:r>
      <w:r>
        <w:rPr>
          <w:rFonts w:ascii="Calibri" w:hAnsi="Calibri"/>
          <w:b w:val="0"/>
          <w:i w:val="0"/>
          <w:sz w:val="22"/>
        </w:rPr>
        <w:t xml:space="preserve"> — dupla de campos que registra a referência da prova aos autos do processo (distinta da "Ref. autos" da contradita, que só existe no bloco de depoente testemunhal/declaração de informante).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Código do anexo (opcional)</w:t>
      </w:r>
      <w:r>
        <w:rPr>
          <w:rFonts w:ascii="Calibri" w:hAnsi="Calibri"/>
          <w:b w:val="0"/>
          <w:i w:val="0"/>
          <w:sz w:val="22"/>
        </w:rPr>
        <w:t xml:space="preserve"> — texto livre; se vazio, a minuta gera automaticamente "Prova nº N" no índice.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6.  </w:t>
      </w:r>
      <w:r>
        <w:rPr>
          <w:rFonts w:ascii="Calibri" w:hAnsi="Calibri"/>
          <w:b/>
          <w:i w:val="0"/>
          <w:sz w:val="22"/>
        </w:rPr>
        <w:t>Hash Veritas Digital - Coger</w:t>
      </w:r>
      <w:r>
        <w:rPr>
          <w:rFonts w:ascii="Calibri" w:hAnsi="Calibri"/>
          <w:b w:val="0"/>
          <w:i w:val="0"/>
          <w:sz w:val="22"/>
        </w:rPr>
        <w:t xml:space="preserve"> — texto livre, referência manual ao hash do item no Veritas (sem integração automática — ver Seção 6 para a integração real via arquivo).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7.  </w:t>
      </w:r>
      <w:r>
        <w:rPr>
          <w:rFonts w:ascii="Calibri" w:hAnsi="Calibri"/>
          <w:b/>
          <w:i w:val="0"/>
          <w:sz w:val="22"/>
        </w:rPr>
        <w:t>Bloco de detalhe do tipo</w:t>
      </w:r>
      <w:r>
        <w:rPr>
          <w:rFonts w:ascii="Calibri" w:hAnsi="Calibri"/>
          <w:b w:val="0"/>
          <w:i w:val="0"/>
          <w:sz w:val="22"/>
        </w:rPr>
        <w:t xml:space="preserve"> — ver tabela abaixo; varia conforme o "Tipo de prova" escolhido.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8.  </w:t>
      </w:r>
      <w:r>
        <w:rPr>
          <w:rFonts w:ascii="Calibri" w:hAnsi="Calibri"/>
          <w:b/>
          <w:i w:val="0"/>
          <w:sz w:val="22"/>
        </w:rPr>
        <w:t>Trechos significativos</w:t>
      </w:r>
      <w:r>
        <w:rPr>
          <w:rFonts w:ascii="Calibri" w:hAnsi="Calibri"/>
          <w:b w:val="0"/>
          <w:i w:val="0"/>
          <w:sz w:val="22"/>
        </w:rPr>
        <w:t xml:space="preserve"> — lista repetível de pares Citação / Referência, com botão para adicionar/remover linhas.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9.  </w:t>
      </w:r>
      <w:r>
        <w:rPr>
          <w:rFonts w:ascii="Calibri" w:hAnsi="Calibri"/>
          <w:b/>
          <w:i w:val="0"/>
          <w:sz w:val="22"/>
        </w:rPr>
        <w:t>Contraditório — acusado intimado da produção?</w:t>
      </w:r>
      <w:r>
        <w:rPr>
          <w:rFonts w:ascii="Calibri" w:hAnsi="Calibri"/>
          <w:b w:val="0"/>
          <w:i w:val="0"/>
          <w:sz w:val="22"/>
        </w:rPr>
        <w:t xml:space="preserve"> — três opções: "Intimado", "Não intimado" ou "Não avaliado".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prova também carrega uma lista de </w:t>
      </w:r>
      <w:r>
        <w:rPr>
          <w:rFonts w:ascii="Calibri" w:hAnsi="Calibri"/>
          <w:b/>
          <w:i w:val="0"/>
          <w:sz w:val="22"/>
        </w:rPr>
        <w:t>fatos aos quais está vinculada</w:t>
      </w:r>
      <w:r>
        <w:rPr>
          <w:rFonts w:ascii="Calibri" w:hAnsi="Calibri"/>
          <w:b w:val="0"/>
          <w:i w:val="0"/>
          <w:sz w:val="22"/>
        </w:rPr>
        <w:t xml:space="preserve"> (`fatoIds`) — o mesmo vínculo tratado do lado do fato na Seção 3.3: marcar a checkbox no formulário do fato e vincular pelo lado da prova refletem o mesmo relacionamento.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As 8 opções do campo </w:t>
      </w:r>
      <w:r>
        <w:rPr>
          <w:rFonts w:ascii="Calibri" w:hAnsi="Calibri"/>
          <w:b/>
          <w:i w:val="0"/>
          <w:sz w:val="22"/>
        </w:rPr>
        <w:t>"Tipo de prova"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94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Revela bloco de detalhe próprio?</w:t>
            </w:r>
          </w:p>
        </w:tc>
        <w:tc>
          <w:tcPr>
            <w:tcW w:type="dxa" w:w="4252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Campos do bloco (se houver)</w:t>
            </w:r>
          </w:p>
        </w:tc>
      </w:tr>
      <w:tr>
        <w:tc>
          <w:tcPr>
            <w:tcW w:type="dxa" w:w="204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Documental</w:t>
            </w:r>
          </w:p>
        </w:tc>
        <w:tc>
          <w:tcPr>
            <w:tcW w:type="dxa" w:w="2494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425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Pericial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Perito; Quesitos formulados? (Sim/Não)</w:t>
            </w:r>
          </w:p>
        </w:tc>
      </w:tr>
      <w:tr>
        <w:tc>
          <w:tcPr>
            <w:tcW w:type="dxa" w:w="204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Testemunhal</w:t>
            </w:r>
          </w:p>
        </w:tc>
        <w:tc>
          <w:tcPr>
            <w:tcW w:type="dxa" w:w="2494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425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Deponente; Papel do depoente; Compromissada?; trio de contradita (Seção 3.4)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Declaração de informante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Mesmo bloco de Testemunhal, só muda o valor padrão do Papel do depoente</w:t>
            </w:r>
          </w:p>
        </w:tc>
      </w:tr>
      <w:tr>
        <w:tc>
          <w:tcPr>
            <w:tcW w:type="dxa" w:w="204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Interrogatório</w:t>
            </w:r>
          </w:p>
        </w:tc>
        <w:tc>
          <w:tcPr>
            <w:tcW w:type="dxa" w:w="2494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425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Diligência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204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Prova emprestada</w:t>
            </w:r>
          </w:p>
        </w:tc>
        <w:tc>
          <w:tcPr>
            <w:tcW w:type="dxa" w:w="2494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425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Processo de origem; Certidão de juntada?; Origem judicial?; Autorização judicial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Prova indiciária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Fato secundário provado; Raciocínio indutivo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"Interrogatório" e "Diligência" são tipos de prova </w:t>
      </w:r>
      <w:r>
        <w:rPr>
          <w:rFonts w:ascii="Calibri" w:hAnsi="Calibri"/>
          <w:b/>
          <w:i w:val="0"/>
          <w:sz w:val="22"/>
        </w:rPr>
        <w:t>sem nenhum campo de detalhe específico</w:t>
      </w:r>
      <w:r>
        <w:rPr>
          <w:rFonts w:ascii="Calibri" w:hAnsi="Calibri"/>
          <w:b w:val="0"/>
          <w:i w:val="0"/>
          <w:sz w:val="22"/>
        </w:rPr>
        <w:t xml:space="preserve"> — mesmo "Interrogatório" sendo, no cadastro de acusado (Seção 3.6), um ato com campos próprios (Status/Data/Ref. autos), o tipo de prova homônimo usa só os campos gerais listados acima.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PREENCHA O DETALHE SÓ DEPOIS DE FIXAR O TIPO  </w:t>
      </w:r>
      <w:r>
        <w:rPr>
          <w:rFonts w:ascii="Calibri" w:hAnsi="Calibri"/>
          <w:b/>
          <w:i w:val="0"/>
          <w:sz w:val="20"/>
        </w:rPr>
        <w:t>Trocar o "Tipo de prova" zera o bloco de detalhe já preenchido.</w:t>
      </w:r>
      <w:r>
        <w:rPr>
          <w:rFonts w:ascii="Calibri" w:hAnsi="Calibri"/>
          <w:b w:val="0"/>
          <w:i w:val="0"/>
          <w:sz w:val="20"/>
        </w:rPr>
        <w:t xml:space="preserve"> Escolha o tipo definitivo antes de preencher o detalhe (Perito, Deponente, Processo de origem etc.) — se você mudar o tipo depois, o Nexo Coger descarta silenciosamente os dados de detalhe já digitados.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3.8 Selo de origem — retorno de oitiva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Quando uma prova é criada no Nexo Coger a partir da exportação </w:t>
      </w:r>
      <w:r>
        <w:rPr>
          <w:rFonts w:ascii="Calibri" w:hAnsi="Calibri"/>
          <w:b/>
          <w:i w:val="0"/>
          <w:sz w:val="22"/>
        </w:rPr>
        <w:t>"Exportar prova(s) para o Nexo"</w:t>
      </w:r>
      <w:r>
        <w:rPr>
          <w:rFonts w:ascii="Calibri" w:hAnsi="Calibri"/>
          <w:b w:val="0"/>
          <w:i w:val="0"/>
          <w:sz w:val="22"/>
        </w:rPr>
        <w:t xml:space="preserve"> do Oitiva 360 (Seção 6.4), o cartão dessa prova no mapa fato-prova-norma recebe um selo dourado </w:t>
      </w:r>
      <w:r>
        <w:rPr>
          <w:rFonts w:ascii="Calibri" w:hAnsi="Calibri"/>
          <w:b/>
          <w:i w:val="0"/>
          <w:sz w:val="22"/>
        </w:rPr>
        <w:t>🎙</w:t>
      </w:r>
      <w:r>
        <w:rPr>
          <w:rFonts w:ascii="Calibri" w:hAnsi="Calibri"/>
          <w:b w:val="0"/>
          <w:i w:val="0"/>
          <w:sz w:val="22"/>
        </w:rPr>
        <w:t>, ao lado dos demais selos do cartão de prova (como o 🌐 de origem Veritas). O tooltip do selo mostra os campos `pauta_id`, `rodada_id` e `id_ponto` do retorno de oitiva.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14402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-selo-oiti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1440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10 — Selo 🎙 no cartão de prova, indicando origem em retorno de oitiva do Oitiva 360.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IDS DO TOOLTIP: PREENCHIDOS COM ORIGEM DE PAUTA, NULL SEM ELA  </w:t>
      </w:r>
      <w:r>
        <w:rPr>
          <w:rFonts w:ascii="Calibri" w:hAnsi="Calibri"/>
          <w:b/>
          <w:i w:val="0"/>
          <w:sz w:val="20"/>
        </w:rPr>
        <w:t>Atualização (rodada 2026-07-12)</w:t>
      </w:r>
      <w:r>
        <w:rPr>
          <w:rFonts w:ascii="Calibri" w:hAnsi="Calibri"/>
          <w:b w:val="0"/>
          <w:i w:val="0"/>
          <w:sz w:val="20"/>
        </w:rPr>
        <w:t xml:space="preserve">: os três campos do tooltip (`pauta_id`, `rodada_id`, `id_ponto`) vêm preenchidos sempre que a prova exportada por "Exportar prova(s) para o Nexo" tem origem em um ponto de pauta respondido — o Oitiva 360 passou a incluir os três identificadores por item de prova nesse contrato, lidos do mesmo ponto de pauta (`estado.pautaImportada.itens`) já usado pelo contrato de retorno de contexto. Quando a prova foi </w:t>
      </w:r>
      <w:r>
        <w:rPr>
          <w:rFonts w:ascii="Calibri" w:hAnsi="Calibri"/>
          <w:b/>
          <w:i w:val="0"/>
          <w:sz w:val="20"/>
        </w:rPr>
        <w:t>adicionada manualmente na sessão, sem vínculo de pauta</w:t>
      </w:r>
      <w:r>
        <w:rPr>
          <w:rFonts w:ascii="Calibri" w:hAnsi="Calibri"/>
          <w:b w:val="0"/>
          <w:i w:val="0"/>
          <w:sz w:val="20"/>
        </w:rPr>
        <w:t>, os três campos saem `null` — comportamento correto e documentado, não uma limitação: ver audit-oitiva-360.md §10 e audit-nexo-coger.md §6.5 para o detalhe e o teste end-to-end.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Não confunda este selo de </w:t>
      </w:r>
      <w:r>
        <w:rPr>
          <w:rFonts w:ascii="Calibri" w:hAnsi="Calibri"/>
          <w:b/>
          <w:i w:val="0"/>
          <w:sz w:val="22"/>
        </w:rPr>
        <w:t>prova</w:t>
      </w:r>
      <w:r>
        <w:rPr>
          <w:rFonts w:ascii="Calibri" w:hAnsi="Calibri"/>
          <w:b w:val="0"/>
          <w:i w:val="0"/>
          <w:sz w:val="22"/>
        </w:rPr>
        <w:t xml:space="preserve"> com o selo pré-existente, também dourado (🎙), que aparece no </w:t>
      </w:r>
      <w:r>
        <w:rPr>
          <w:rFonts w:ascii="Calibri" w:hAnsi="Calibri"/>
          <w:b/>
          <w:i w:val="0"/>
          <w:sz w:val="22"/>
        </w:rPr>
        <w:t>cartão de fato</w:t>
      </w:r>
      <w:r>
        <w:rPr>
          <w:rFonts w:ascii="Calibri" w:hAnsi="Calibri"/>
          <w:b w:val="0"/>
          <w:i w:val="0"/>
          <w:sz w:val="22"/>
        </w:rPr>
        <w:t xml:space="preserve"> quando o fato recebe contexto de um retorno de oitiva importado pelo fluxo "Exportar retorno (contexto do acusado)" (Seção 6.4) — esse outro selo, no cartão de fato, é anterior a esta rodada de implementação e já funciona plenamente.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3.9 Toolbar lateral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Nexo Coger mantém uma barra lateral com quatro painéis de apoio à condução da apuração: </w:t>
      </w:r>
      <w:r>
        <w:rPr>
          <w:rFonts w:ascii="Calibri" w:hAnsi="Calibri"/>
          <w:b/>
          <w:i w:val="0"/>
          <w:sz w:val="22"/>
        </w:rPr>
        <w:t>Pendências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Ordem dos fatos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Checklist de encerramento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Prazos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Pendências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Lista, em tempo real, todos os códigos de pendência crítica (P1, P2, P5, P8) e frágil (P3, P6a, P6b, P6c, P7) presentes no processo — o mesmo catálogo apresentado na Seção 3.5. Clicar num item do tipo "acusado" (P6c) abre diretamente o cadastro do acusado correspondente.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Ordem dos fatos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Lista apenas os </w:t>
      </w:r>
      <w:r>
        <w:rPr>
          <w:rFonts w:ascii="Calibri" w:hAnsi="Calibri"/>
          <w:b/>
          <w:i w:val="0"/>
          <w:sz w:val="22"/>
        </w:rPr>
        <w:t>fatos ativos</w:t>
      </w:r>
      <w:r>
        <w:rPr>
          <w:rFonts w:ascii="Calibri" w:hAnsi="Calibri"/>
          <w:b w:val="0"/>
          <w:i w:val="0"/>
          <w:sz w:val="22"/>
        </w:rPr>
        <w:t xml:space="preserve"> (fatos arquivados nunca aparecem aqui, mas o cabeçalho informa a contagem de arquivados que não constam da minuta). A ordenação </w:t>
      </w:r>
      <w:r>
        <w:rPr>
          <w:rFonts w:ascii="Calibri" w:hAnsi="Calibri"/>
          <w:b/>
          <w:i w:val="0"/>
          <w:sz w:val="22"/>
        </w:rPr>
        <w:t>não é cronológica nem automática por gravidade — é inteiramente manual</w:t>
      </w:r>
      <w:r>
        <w:rPr>
          <w:rFonts w:ascii="Calibri" w:hAnsi="Calibri"/>
          <w:b w:val="0"/>
          <w:i w:val="0"/>
          <w:sz w:val="22"/>
        </w:rPr>
        <w:t>, feita arrastando cada linha para a posição desejada. O próprio painel avisa: "Arraste para reordenar. Afeta apenas a sequência da minuta — não o mapa.". Ao soltar, o Nexo Coger renumera 1..N os fatos ativos nessa nova sequência, que é exatamente a ordem em que "Dos fatos e das condutas" aparece na minuta de indiciação (Seção 3.5).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Checklist de encerramento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Sempre visível (não é um painel recolhível). Traz 5 itens, quase todos calculados automaticamente a partir do estado do processo — não são checkboxes que o usuário marca diretamente: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880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Condição</w:t>
            </w:r>
          </w:p>
        </w:tc>
      </w:tr>
      <w:tr>
        <w:tc>
          <w:tcPr>
            <w:tcW w:type="dxa" w:w="90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C1</w:t>
            </w:r>
          </w:p>
        </w:tc>
        <w:tc>
          <w:tcPr>
            <w:tcW w:type="dxa" w:w="788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Notificação prévia registrada para todos os acusados.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C2</w:t>
            </w:r>
          </w:p>
        </w:tc>
        <w:tc>
          <w:tcPr>
            <w:tcW w:type="dxa" w:w="7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Interrogatório realizado ou silêncio formalizado para todos, após todas as provas.</w:t>
            </w:r>
          </w:p>
        </w:tc>
      </w:tr>
      <w:tr>
        <w:tc>
          <w:tcPr>
            <w:tcW w:type="dxa" w:w="90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C3</w:t>
            </w:r>
          </w:p>
        </w:tc>
        <w:tc>
          <w:tcPr>
            <w:tcW w:type="dxa" w:w="788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Zero pendências críticas (P1, P2, P5, P8).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C4</w:t>
            </w:r>
          </w:p>
        </w:tc>
        <w:tc>
          <w:tcPr>
            <w:tcW w:type="dxa" w:w="7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Pendências frágeis todas marcadas como revisadas (único item com insumo manual — a revisão é feita no próprio painel de Pendências, item a item, não neste checklist).</w:t>
            </w:r>
          </w:p>
        </w:tc>
      </w:tr>
      <w:tr>
        <w:tc>
          <w:tcPr>
            <w:tcW w:type="dxa" w:w="90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C5</w:t>
            </w:r>
          </w:p>
        </w:tc>
        <w:tc>
          <w:tcPr>
            <w:tcW w:type="dxa" w:w="788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Multiplicidades classificadas (zero pendências P4).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Abaixo dos 5 itens, o botão "Gerar minuta do termo de indiciação" fica desabilitado enquanto houver qualquer pendência crítica, com a mesma mensagem já citada na Seção 3.5.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Prazos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Calcula o </w:t>
      </w:r>
      <w:r>
        <w:rPr>
          <w:rFonts w:ascii="Calibri" w:hAnsi="Calibri"/>
          <w:b/>
          <w:i w:val="0"/>
          <w:sz w:val="22"/>
        </w:rPr>
        <w:t>prazo de conclusão do processo</w:t>
      </w:r>
      <w:r>
        <w:rPr>
          <w:rFonts w:ascii="Calibri" w:hAnsi="Calibri"/>
          <w:b w:val="0"/>
          <w:i w:val="0"/>
          <w:sz w:val="22"/>
        </w:rPr>
        <w:t xml:space="preserve"> a partir da data de instauração (o mesmo campo "Data de instauração" da tela "Dados do Processo", Seção 3.1), somada ao prazo padrão do rito e a eventuais prorrogações registradas. Sem data de instauração preenchida, o painel pede que ela seja informada em vez de mostrar a barra de prazo. A barra muda de cor conforme a proximidade do vencimento (verde / âmbar com 15 dias ou menos restantes / vermelho se excedido).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Quando há pendência </w:t>
      </w:r>
      <w:r>
        <w:rPr>
          <w:rFonts w:ascii="Calibri" w:hAnsi="Calibri"/>
          <w:b/>
          <w:i w:val="0"/>
          <w:sz w:val="22"/>
        </w:rPr>
        <w:t>P6c</w:t>
      </w:r>
      <w:r>
        <w:rPr>
          <w:rFonts w:ascii="Calibri" w:hAnsi="Calibri"/>
          <w:b w:val="0"/>
          <w:i w:val="0"/>
          <w:sz w:val="22"/>
        </w:rPr>
        <w:t xml:space="preserve"> aberta para algum acusado, o painel exibe um aviso com link direto para o cadastro daquele acusado — e, se a cor do prazo de conclusão estiver verde, o painel força o indicador para âmbar mesmo sendo P6c uma pendência de outro assunto (intimação para o interrogatório, não prazo de conclusão do processo).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Após a primeira geração bem-sucedida da minuta de indiciação, o painel de Prazos </w:t>
      </w:r>
      <w:r>
        <w:rPr>
          <w:rFonts w:ascii="Calibri" w:hAnsi="Calibri"/>
          <w:b/>
          <w:i w:val="0"/>
          <w:sz w:val="22"/>
        </w:rPr>
        <w:t>abre automaticamente</w:t>
      </w:r>
      <w:r>
        <w:rPr>
          <w:rFonts w:ascii="Calibri" w:hAnsi="Calibri"/>
          <w:b w:val="0"/>
          <w:i w:val="0"/>
          <w:sz w:val="22"/>
        </w:rPr>
        <w:t xml:space="preserve"> e ganha uma subseção nova, "Citação e defesa escrita (art. 161)" (data da citação, meio — Pessoal ou Edital, com ajuste automático do prazo padrão de defesa —, prazo de defesa em dias, e a data calculada do termo final da defesa escrita). Esse bloco só é renderizado quando a mesma variável interna que marca "minuta já gerada" está ativa — por isso o painel abre sozinho justamente nesse momento: é quando ele passa a ter conteúdo novo e relevante, chamando a atenção da comissão para o prazo de defesa que passa a correr a partir da indiciação.</w:t>
      </w:r>
    </w:p>
    <w:p>
      <w:r>
        <w:br w:type="page"/>
      </w:r>
    </w:p>
    <w:p>
      <w:pPr>
        <w:spacing w:after="40"/>
      </w:pPr>
      <w:r>
        <w:rPr>
          <w:rFonts w:ascii="Arial Narrow" w:hAnsi="Arial Narrow"/>
          <w:b/>
          <w:color w:val="BFA040"/>
          <w:sz w:val="18"/>
        </w:rPr>
        <w:t>SEÇÃO 4</w:t>
      </w:r>
    </w:p>
    <w:p>
      <w:pPr>
        <w:pStyle w:val="Heading1"/>
      </w:pPr>
      <w:r>
        <w:rPr>
          <w:rFonts w:ascii="Arial Narrow" w:hAnsi="Arial Narrow"/>
          <w:b/>
          <w:color w:val="1E3A5F"/>
          <w:sz w:val="40"/>
        </w:rPr>
        <w:t>Nexo PAR (uso isolado)</w:t>
      </w:r>
    </w:p>
    <w:p>
      <w:pPr>
        <w:spacing w:before="120" w:after="120"/>
        <w:pBdr>
          <w:bottom w:val="single" w:sz="8" w:space="1" w:color="BFA040"/>
        </w:pBdr>
      </w:pP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Nexo PAR</w:t>
      </w:r>
      <w:r>
        <w:rPr>
          <w:rFonts w:ascii="Calibri" w:hAnsi="Calibri"/>
          <w:b w:val="0"/>
          <w:i w:val="0"/>
          <w:sz w:val="22"/>
        </w:rPr>
        <w:t xml:space="preserve"> é a ferramenta de mapa fato-prova-norma da Suíte COGER para o domínio </w:t>
      </w:r>
      <w:r>
        <w:rPr>
          <w:rFonts w:ascii="Calibri" w:hAnsi="Calibri"/>
          <w:b/>
          <w:i w:val="0"/>
          <w:sz w:val="22"/>
        </w:rPr>
        <w:t>PAR</w:t>
      </w:r>
      <w:r>
        <w:rPr>
          <w:rFonts w:ascii="Calibri" w:hAnsi="Calibri"/>
          <w:b w:val="0"/>
          <w:i w:val="0"/>
          <w:sz w:val="22"/>
        </w:rPr>
        <w:t xml:space="preserve"> — o Processo Administrativo de Responsabilização de entes privados, à luz da </w:t>
      </w:r>
      <w:r>
        <w:rPr>
          <w:rFonts w:ascii="Calibri" w:hAnsi="Calibri"/>
          <w:b/>
          <w:i w:val="0"/>
          <w:sz w:val="22"/>
        </w:rPr>
        <w:t>Lei nº 12.846, de 1º de agosto de 2013</w:t>
      </w:r>
      <w:r>
        <w:rPr>
          <w:rFonts w:ascii="Calibri" w:hAnsi="Calibri"/>
          <w:b w:val="0"/>
          <w:i w:val="0"/>
          <w:sz w:val="22"/>
        </w:rPr>
        <w:t xml:space="preserve"> (Lei Anticorrupção — LAC). É um </w:t>
      </w:r>
      <w:r>
        <w:rPr>
          <w:rFonts w:ascii="Calibri" w:hAnsi="Calibri"/>
          <w:b/>
          <w:i w:val="0"/>
          <w:sz w:val="22"/>
        </w:rPr>
        <w:t>fork</w:t>
      </w:r>
      <w:r>
        <w:rPr>
          <w:rFonts w:ascii="Calibri" w:hAnsi="Calibri"/>
          <w:b w:val="0"/>
          <w:i w:val="0"/>
          <w:sz w:val="22"/>
        </w:rPr>
        <w:t xml:space="preserve"> independente do Nexo Coger: compartilha a mesma mecânica de mapa fato-prova-norma, o mesmo design e a mesma barra lateral, mas trabalha com um objeto distinto — a </w:t>
      </w:r>
      <w:r>
        <w:rPr>
          <w:rFonts w:ascii="Calibri" w:hAnsi="Calibri"/>
          <w:b/>
          <w:i w:val="0"/>
          <w:sz w:val="22"/>
        </w:rPr>
        <w:t>pessoa jurídica</w:t>
      </w:r>
      <w:r>
        <w:rPr>
          <w:rFonts w:ascii="Calibri" w:hAnsi="Calibri"/>
          <w:b w:val="0"/>
          <w:i w:val="0"/>
          <w:sz w:val="22"/>
        </w:rPr>
        <w:t xml:space="preserve"> —, um enquadramento próprio (art. 5º da LAC) e um documento final próprio, a </w:t>
      </w:r>
      <w:r>
        <w:rPr>
          <w:rFonts w:ascii="Calibri" w:hAnsi="Calibri"/>
          <w:b/>
          <w:i w:val="0"/>
          <w:sz w:val="22"/>
        </w:rPr>
        <w:t>Nota de Indiciação</w:t>
      </w:r>
      <w:r>
        <w:rPr>
          <w:rFonts w:ascii="Calibri" w:hAnsi="Calibri"/>
          <w:b w:val="0"/>
          <w:i w:val="0"/>
          <w:sz w:val="22"/>
        </w:rPr>
        <w:t xml:space="preserve">. Esta seção documenta o que </w:t>
      </w:r>
      <w:r>
        <w:rPr>
          <w:rFonts w:ascii="Calibri" w:hAnsi="Calibri"/>
          <w:b/>
          <w:i w:val="0"/>
          <w:sz w:val="22"/>
        </w:rPr>
        <w:t>difere</w:t>
      </w:r>
      <w:r>
        <w:rPr>
          <w:rFonts w:ascii="Calibri" w:hAnsi="Calibri"/>
          <w:b w:val="0"/>
          <w:i w:val="0"/>
          <w:sz w:val="22"/>
        </w:rPr>
        <w:t xml:space="preserve"> do Nexo Coger; para os comportamentos herdados sem alteração, remete-se à Seção 3 (ver a nota de fecho, Seção 4.8).</w:t>
      </w:r>
    </w:p>
    <w:p>
      <w:pPr>
        <w:spacing w:before="100" w:after="6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Arial Narrow" w:hAnsi="Arial Narrow"/>
          <w:b/>
          <w:color w:val="707070"/>
          <w:sz w:val="18"/>
        </w:rPr>
        <w:t xml:space="preserve">DESAMBIGUAÇÃO — OS TRÊS "NEXOS"  </w:t>
      </w:r>
      <w:r>
        <w:rPr>
          <w:rFonts w:ascii="Calibri" w:hAnsi="Calibri"/>
          <w:b w:val="0"/>
          <w:i w:val="0"/>
          <w:sz w:val="20"/>
        </w:rPr>
        <w:t xml:space="preserve">Três sentidos de "nexo" convivem nesta seção e não devem ser confundidos: </w:t>
      </w:r>
      <w:r>
        <w:rPr>
          <w:rFonts w:ascii="Calibri" w:hAnsi="Calibri"/>
          <w:b/>
          <w:i w:val="0"/>
          <w:sz w:val="20"/>
        </w:rPr>
        <w:t>Nexo PAR</w:t>
      </w:r>
      <w:r>
        <w:rPr>
          <w:rFonts w:ascii="Calibri" w:hAnsi="Calibri"/>
          <w:b w:val="0"/>
          <w:i w:val="0"/>
          <w:sz w:val="20"/>
        </w:rPr>
        <w:t xml:space="preserve"> e </w:t>
      </w:r>
      <w:r>
        <w:rPr>
          <w:rFonts w:ascii="Calibri" w:hAnsi="Calibri"/>
          <w:b/>
          <w:i w:val="0"/>
          <w:sz w:val="20"/>
        </w:rPr>
        <w:t>Nexo Coger</w:t>
      </w:r>
      <w:r>
        <w:rPr>
          <w:rFonts w:ascii="Calibri" w:hAnsi="Calibri"/>
          <w:b w:val="0"/>
          <w:i w:val="0"/>
          <w:sz w:val="20"/>
        </w:rPr>
        <w:t xml:space="preserve"> são nomes próprios de ferramentas; o </w:t>
      </w:r>
      <w:r>
        <w:rPr>
          <w:rFonts w:ascii="Calibri" w:hAnsi="Calibri"/>
          <w:b/>
          <w:i w:val="0"/>
          <w:sz w:val="20"/>
        </w:rPr>
        <w:t>nexo fático-probatório</w:t>
      </w:r>
      <w:r>
        <w:rPr>
          <w:rFonts w:ascii="Calibri" w:hAnsi="Calibri"/>
          <w:b w:val="0"/>
          <w:i w:val="0"/>
          <w:sz w:val="20"/>
        </w:rPr>
        <w:t xml:space="preserve"> é a ligação entre um fato e as provas que o sustentam (a mecânica do mapa); e o </w:t>
      </w:r>
      <w:r>
        <w:rPr>
          <w:rFonts w:ascii="Calibri" w:hAnsi="Calibri"/>
          <w:b/>
          <w:i w:val="0"/>
          <w:sz w:val="20"/>
        </w:rPr>
        <w:t>nexo de causalidade</w:t>
      </w:r>
      <w:r>
        <w:rPr>
          <w:rFonts w:ascii="Calibri" w:hAnsi="Calibri"/>
          <w:b w:val="0"/>
          <w:i w:val="0"/>
          <w:sz w:val="20"/>
        </w:rPr>
        <w:t xml:space="preserve"> é um conceito jurídico da LAC — a correlação entre o ato lesivo e o benefício ou interesse da pessoa jurídica —, que aqui vira um campo do fato (Seção 4.3).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4.1 Identidade e Dados do Processo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Ao abrir o Nexo PAR, aparece a mesma tela-gate </w:t>
      </w:r>
      <w:r>
        <w:rPr>
          <w:rFonts w:ascii="Calibri" w:hAnsi="Calibri"/>
          <w:b/>
          <w:i w:val="0"/>
          <w:sz w:val="22"/>
        </w:rPr>
        <w:t>Dados do Processo</w:t>
      </w:r>
      <w:r>
        <w:rPr>
          <w:rFonts w:ascii="Calibri" w:hAnsi="Calibri"/>
          <w:b w:val="0"/>
          <w:i w:val="0"/>
          <w:sz w:val="22"/>
        </w:rPr>
        <w:t xml:space="preserve"> descrita na Seção 3.1, com uma diferença estrutural: o campo </w:t>
      </w:r>
      <w:r>
        <w:rPr>
          <w:rFonts w:ascii="Calibri" w:hAnsi="Calibri"/>
          <w:b/>
          <w:i w:val="0"/>
          <w:sz w:val="22"/>
        </w:rPr>
        <w:t>Tipo de processo</w:t>
      </w:r>
      <w:r>
        <w:rPr>
          <w:rFonts w:ascii="Calibri" w:hAnsi="Calibri"/>
          <w:b w:val="0"/>
          <w:i w:val="0"/>
          <w:sz w:val="22"/>
        </w:rPr>
        <w:t xml:space="preserve"> já vem </w:t>
      </w:r>
      <w:r>
        <w:rPr>
          <w:rFonts w:ascii="Calibri" w:hAnsi="Calibri"/>
          <w:b/>
          <w:i w:val="0"/>
          <w:sz w:val="22"/>
        </w:rPr>
        <w:t>fixado em PAR</w:t>
      </w:r>
      <w:r>
        <w:rPr>
          <w:rFonts w:ascii="Calibri" w:hAnsi="Calibri"/>
          <w:b w:val="0"/>
          <w:i w:val="0"/>
          <w:sz w:val="22"/>
        </w:rPr>
        <w:t xml:space="preserve"> — o domínio do processo é, portanto, sempre `par`, sem escolha do usuário. Os campos de portaria, datas e composição da comissão funcionam como no Nexo Coger, e, como lá, </w:t>
      </w:r>
      <w:r>
        <w:rPr>
          <w:rFonts w:ascii="Calibri" w:hAnsi="Calibri"/>
          <w:b/>
          <w:i w:val="0"/>
          <w:sz w:val="22"/>
        </w:rPr>
        <w:t>apenas o Número do processo</w:t>
      </w:r>
      <w:r>
        <w:rPr>
          <w:rFonts w:ascii="Calibri" w:hAnsi="Calibri"/>
          <w:b w:val="0"/>
          <w:i w:val="0"/>
          <w:sz w:val="22"/>
        </w:rPr>
        <w:t xml:space="preserve"> libera o gate.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Todos os arquivos exportados pelo Nexo PAR seguem o prefixo `nexo-par-` — a exportação geral segue `nexo-par-&lt;número&gt;-&lt;data&gt;.json` e a pauta de instrução por depoente segue `nexo-par-pauta-&lt;número&gt;-&lt;depoente&gt;-&lt;data&gt;.json`. Esse prefixo, somado ao campo `dominio` (`par`) emitido no envelope, é o que permite à validação de domínio na importação (Seção 6) recusar o cruzamento indevido de um arquivo PAR importado no Nexo Coger, ou vice-versa.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4.2 Cadastro do ente privado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No lugar do cadastro de </w:t>
      </w:r>
      <w:r>
        <w:rPr>
          <w:rFonts w:ascii="Calibri" w:hAnsi="Calibri"/>
          <w:b/>
          <w:i w:val="0"/>
          <w:sz w:val="22"/>
        </w:rPr>
        <w:t>acusado</w:t>
      </w:r>
      <w:r>
        <w:rPr>
          <w:rFonts w:ascii="Calibri" w:hAnsi="Calibri"/>
          <w:b w:val="0"/>
          <w:i w:val="0"/>
          <w:sz w:val="22"/>
        </w:rPr>
        <w:t xml:space="preserve"> (servidor) da Seção 3.6, o Nexo PAR cadastra o </w:t>
      </w:r>
      <w:r>
        <w:rPr>
          <w:rFonts w:ascii="Calibri" w:hAnsi="Calibri"/>
          <w:b/>
          <w:i w:val="0"/>
          <w:sz w:val="22"/>
        </w:rPr>
        <w:t>ente privado</w:t>
      </w:r>
      <w:r>
        <w:rPr>
          <w:rFonts w:ascii="Calibri" w:hAnsi="Calibri"/>
          <w:b w:val="0"/>
          <w:i w:val="0"/>
          <w:sz w:val="22"/>
        </w:rPr>
        <w:t xml:space="preserve"> — a pessoa jurídica sujeita à responsabilização. Os campos do formulário aparecem nesta ordem: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025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Rótulo exato / hint</w:t>
            </w:r>
          </w:p>
        </w:tc>
        <w:tc>
          <w:tcPr>
            <w:tcW w:type="dxa" w:w="2835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Obrigatoriedade</w:t>
            </w:r>
          </w:p>
        </w:tc>
      </w:tr>
      <w:tr>
        <w:tc>
          <w:tcPr>
            <w:tcW w:type="dxa" w:w="192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Razão social</w:t>
            </w:r>
          </w:p>
        </w:tc>
        <w:tc>
          <w:tcPr>
            <w:tcW w:type="dxa" w:w="402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"Razão social"</w:t>
            </w:r>
          </w:p>
        </w:tc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Obrigatória — bloqueio: "Informe a razão social do ente."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CNPJ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"CNPJ"; hint "14 dígitos, com ou sem máscara."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Opcional; se preenchido, valida o formato (14 dígitos) — bloqueio: "CNPJ inválido: informe 14 dígitos (com ou sem máscara)."</w:t>
            </w:r>
          </w:p>
        </w:tc>
      </w:tr>
      <w:tr>
        <w:tc>
          <w:tcPr>
            <w:tcW w:type="dxa" w:w="192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Nome fantasia</w:t>
            </w:r>
          </w:p>
        </w:tc>
        <w:tc>
          <w:tcPr>
            <w:tcW w:type="dxa" w:w="402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"Nome fantasia (opcional)"</w:t>
            </w:r>
          </w:p>
        </w:tc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Opcional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Faturamento bruto</w:t>
            </w:r>
          </w:p>
        </w:tc>
        <w:tc>
          <w:tcPr>
            <w:tcW w:type="dxa" w:w="402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"Faturamento bruto (opcional)"; hint "Base para a futura dosimetria da multa (Multa_PAR)."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Opcional</w:t>
            </w:r>
          </w:p>
        </w:tc>
      </w:tr>
      <w:tr>
        <w:tc>
          <w:tcPr>
            <w:tcW w:type="dxa" w:w="192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Endereço da sede</w:t>
            </w:r>
          </w:p>
        </w:tc>
        <w:tc>
          <w:tcPr>
            <w:tcW w:type="dxa" w:w="402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"Endereço da sede (opcional)"</w:t>
            </w:r>
          </w:p>
        </w:tc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Opcional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Abaixo dos dados de qualificação, um bloco repetível </w:t>
      </w:r>
      <w:r>
        <w:rPr>
          <w:rFonts w:ascii="Calibri" w:hAnsi="Calibri"/>
          <w:b/>
          <w:i w:val="0"/>
          <w:sz w:val="22"/>
        </w:rPr>
        <w:t>Representantes</w:t>
      </w:r>
      <w:r>
        <w:rPr>
          <w:rFonts w:ascii="Calibri" w:hAnsi="Calibri"/>
          <w:b w:val="0"/>
          <w:i w:val="0"/>
          <w:sz w:val="22"/>
        </w:rPr>
        <w:t xml:space="preserve"> registra as pessoas físicas ligadas ao ente. Cada linha tem </w:t>
      </w:r>
      <w:r>
        <w:rPr>
          <w:rFonts w:ascii="Calibri" w:hAnsi="Calibri"/>
          <w:b/>
          <w:i w:val="0"/>
          <w:sz w:val="22"/>
        </w:rPr>
        <w:t>Nome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CPF (opcional)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Vínculo</w:t>
      </w:r>
      <w:r>
        <w:rPr>
          <w:rFonts w:ascii="Calibri" w:hAnsi="Calibri"/>
          <w:b w:val="0"/>
          <w:i w:val="0"/>
          <w:sz w:val="22"/>
        </w:rPr>
        <w:t xml:space="preserve"> (lista de seleção), com o botão </w:t>
      </w:r>
      <w:r>
        <w:rPr>
          <w:rFonts w:ascii="Calibri" w:hAnsi="Calibri"/>
          <w:b/>
          <w:i w:val="0"/>
          <w:sz w:val="22"/>
        </w:rPr>
        <w:t>"+ Adicionar representante"</w:t>
      </w:r>
      <w:r>
        <w:rPr>
          <w:rFonts w:ascii="Calibri" w:hAnsi="Calibri"/>
          <w:b w:val="0"/>
          <w:i w:val="0"/>
          <w:sz w:val="22"/>
        </w:rPr>
        <w:t xml:space="preserve">. O Vínculo oferece os </w:t>
      </w:r>
      <w:r>
        <w:rPr>
          <w:rFonts w:ascii="Calibri" w:hAnsi="Calibri"/>
          <w:b/>
          <w:i w:val="0"/>
          <w:sz w:val="22"/>
        </w:rPr>
        <w:t>três papéis PAR</w:t>
      </w:r>
      <w:r>
        <w:rPr>
          <w:rFonts w:ascii="Calibri" w:hAnsi="Calibri"/>
          <w:b w:val="0"/>
          <w:i w:val="0"/>
          <w:sz w:val="22"/>
        </w:rPr>
        <w:t xml:space="preserve"> do catálogo — </w:t>
      </w:r>
      <w:r>
        <w:rPr>
          <w:rFonts w:ascii="Calibri" w:hAnsi="Calibri"/>
          <w:b/>
          <w:i w:val="0"/>
          <w:sz w:val="22"/>
        </w:rPr>
        <w:t>Representante legal</w:t>
      </w:r>
      <w:r>
        <w:rPr>
          <w:rFonts w:ascii="Calibri" w:hAnsi="Calibri"/>
          <w:b w:val="0"/>
          <w:i w:val="0"/>
          <w:sz w:val="22"/>
        </w:rPr>
        <w:t xml:space="preserve"> (valor padrão), </w:t>
      </w:r>
      <w:r>
        <w:rPr>
          <w:rFonts w:ascii="Calibri" w:hAnsi="Calibri"/>
          <w:b/>
          <w:i w:val="0"/>
          <w:sz w:val="22"/>
        </w:rPr>
        <w:t>Preposto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Sócio-administrador</w:t>
      </w:r>
      <w:r>
        <w:rPr>
          <w:rFonts w:ascii="Calibri" w:hAnsi="Calibri"/>
          <w:b w:val="0"/>
          <w:i w:val="0"/>
          <w:sz w:val="22"/>
        </w:rPr>
        <w:t>. Enquanto nenhum representante for cadastrado, o bloco exibe o aviso "Nenhum representante. Cadastre ao menos um representante legal (exigência P-ENTE).".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Por fim, o bloco </w:t>
      </w:r>
      <w:r>
        <w:rPr>
          <w:rFonts w:ascii="Calibri" w:hAnsi="Calibri"/>
          <w:b/>
          <w:i w:val="0"/>
          <w:sz w:val="22"/>
        </w:rPr>
        <w:t>"Estruturas societárias (registro, sem cálculo)"</w:t>
      </w:r>
      <w:r>
        <w:rPr>
          <w:rFonts w:ascii="Calibri" w:hAnsi="Calibri"/>
          <w:b w:val="0"/>
          <w:i w:val="0"/>
          <w:sz w:val="22"/>
        </w:rPr>
        <w:t xml:space="preserve"> reúne, de forma puramente declaratória (o Nexo PAR não faz nenhum cálculo sobre eles), três registros opcionais: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Solidariedade — entes do mesmo grupo econômico</w:t>
      </w:r>
      <w:r>
        <w:rPr>
          <w:rFonts w:ascii="Calibri" w:hAnsi="Calibri"/>
          <w:b w:val="0"/>
          <w:i w:val="0"/>
          <w:sz w:val="22"/>
        </w:rPr>
        <w:t xml:space="preserve"> — bloco repetível com CNPJ, Razão social e Descrição do vínculo por linha, e o botão "+ Adicionar ente relacionado".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Sucessão empresarial — tipo</w:t>
      </w:r>
      <w:r>
        <w:rPr>
          <w:rFonts w:ascii="Calibri" w:hAnsi="Calibri"/>
          <w:b w:val="0"/>
          <w:i w:val="0"/>
          <w:sz w:val="22"/>
        </w:rPr>
        <w:t xml:space="preserve"> — lista de seleção (—, Fusão, Incorporação, Cisão), mais Descrição e Data.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Desconsideração da personalidade jurídica (art. 14 da LAC)</w:t>
      </w:r>
      <w:r>
        <w:rPr>
          <w:rFonts w:ascii="Calibri" w:hAnsi="Calibri"/>
          <w:b w:val="0"/>
          <w:i w:val="0"/>
          <w:sz w:val="22"/>
        </w:rPr>
        <w:t xml:space="preserve"> — checkbox "Aplicar desconsideração da personalidade jurídica"; quando ativada, revela o campo Fundamentação e checkboxes por representante "atingido" pela desconsideração.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REPRESENTANTE LEGAL É EXIGIDO PARA INDICIAR  </w:t>
      </w:r>
      <w:r>
        <w:rPr>
          <w:rFonts w:ascii="Calibri" w:hAnsi="Calibri"/>
          <w:b w:val="0"/>
          <w:i w:val="0"/>
          <w:sz w:val="20"/>
        </w:rPr>
        <w:t xml:space="preserve">Cadastrar ao menos um </w:t>
      </w:r>
      <w:r>
        <w:rPr>
          <w:rFonts w:ascii="Calibri" w:hAnsi="Calibri"/>
          <w:b/>
          <w:i w:val="0"/>
          <w:sz w:val="20"/>
        </w:rPr>
        <w:t>representante legal</w:t>
      </w:r>
      <w:r>
        <w:rPr>
          <w:rFonts w:ascii="Calibri" w:hAnsi="Calibri"/>
          <w:b w:val="0"/>
          <w:i w:val="0"/>
          <w:sz w:val="20"/>
        </w:rPr>
        <w:t xml:space="preserve"> é exigência do gate </w:t>
      </w:r>
      <w:r>
        <w:rPr>
          <w:rFonts w:ascii="Calibri" w:hAnsi="Calibri"/>
          <w:b/>
          <w:i w:val="0"/>
          <w:sz w:val="20"/>
        </w:rPr>
        <w:t>P-ENTE</w:t>
      </w:r>
      <w:r>
        <w:rPr>
          <w:rFonts w:ascii="Calibri" w:hAnsi="Calibri"/>
          <w:b w:val="0"/>
          <w:i w:val="0"/>
          <w:sz w:val="20"/>
        </w:rPr>
        <w:t xml:space="preserve">: a falta dele </w:t>
      </w:r>
      <w:r>
        <w:rPr>
          <w:rFonts w:ascii="Calibri" w:hAnsi="Calibri"/>
          <w:b/>
          <w:i w:val="0"/>
          <w:sz w:val="20"/>
        </w:rPr>
        <w:t>não</w:t>
      </w:r>
      <w:r>
        <w:rPr>
          <w:rFonts w:ascii="Calibri" w:hAnsi="Calibri"/>
          <w:b w:val="0"/>
          <w:i w:val="0"/>
          <w:sz w:val="20"/>
        </w:rPr>
        <w:t xml:space="preserve"> impede salvar o ente, mas </w:t>
      </w:r>
      <w:r>
        <w:rPr>
          <w:rFonts w:ascii="Calibri" w:hAnsi="Calibri"/>
          <w:b/>
          <w:i w:val="0"/>
          <w:sz w:val="20"/>
        </w:rPr>
        <w:t>bloqueia a geração da Nota de Indiciação</w:t>
      </w:r>
      <w:r>
        <w:rPr>
          <w:rFonts w:ascii="Calibri" w:hAnsi="Calibri"/>
          <w:b w:val="0"/>
          <w:i w:val="0"/>
          <w:sz w:val="20"/>
        </w:rPr>
        <w:t xml:space="preserve"> (Seção 4.5). Ao excluir um ente, o Nexo PAR confirma: "Excluir este ente? As condutas vinculadas a ele nos fatos serão removidas.".</w:t>
      </w:r>
    </w:p>
    <w:p>
      <w:pPr>
        <w:jc w:val="center"/>
      </w:pPr>
      <w:r>
        <w:rPr>
          <w:rFonts w:ascii="Calibri" w:hAnsi="Calibri"/>
          <w:i/>
          <w:color w:val="707070"/>
          <w:sz w:val="18"/>
        </w:rPr>
        <w:t>Figura 11 (pendente) — [CAPTURA PENDENTE — tela de cadastro de ente privado do Nexo PAR — razão social, CNPJ, bloco de representantes e bloco de estruturas societárias (solidariedade, sucessão, desconsideração).]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4.3 Fato e conduta no domínio PAR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formulário de fato do Nexo PAR reaproveita os campos gerais da Seção 3.2 (título, descrição, período, local, condutas individualizadas, provas vinculadas, estado probatório e situação do fato), com uma diferença central no enquadramento: </w:t>
      </w:r>
      <w:r>
        <w:rPr>
          <w:rFonts w:ascii="Calibri" w:hAnsi="Calibri"/>
          <w:b/>
          <w:i w:val="0"/>
          <w:sz w:val="22"/>
        </w:rPr>
        <w:t>não existe o campo Elemento subjetivo</w:t>
      </w:r>
      <w:r>
        <w:rPr>
          <w:rFonts w:ascii="Calibri" w:hAnsi="Calibri"/>
          <w:b w:val="0"/>
          <w:i w:val="0"/>
          <w:sz w:val="22"/>
        </w:rPr>
        <w:t xml:space="preserve">. No PAD, cada enquadramento pede dolo ou culpa (Seção 3.2); no PAR, a responsabilização do ente privado é </w:t>
      </w:r>
      <w:r>
        <w:rPr>
          <w:rFonts w:ascii="Calibri" w:hAnsi="Calibri"/>
          <w:b/>
          <w:i w:val="0"/>
          <w:sz w:val="22"/>
        </w:rPr>
        <w:t>objetiva</w:t>
      </w:r>
      <w:r>
        <w:rPr>
          <w:rFonts w:ascii="Calibri" w:hAnsi="Calibri"/>
          <w:b w:val="0"/>
          <w:i w:val="0"/>
          <w:sz w:val="22"/>
        </w:rPr>
        <w:t xml:space="preserve"> — independe de dolo ou culpa —, nos termos do </w:t>
      </w:r>
      <w:r>
        <w:rPr>
          <w:rFonts w:ascii="Calibri" w:hAnsi="Calibri"/>
          <w:b/>
          <w:i w:val="0"/>
          <w:sz w:val="22"/>
        </w:rPr>
        <w:t>art. 2º da Lei nº 12.846, de 2013</w:t>
      </w:r>
      <w:r>
        <w:rPr>
          <w:rFonts w:ascii="Calibri" w:hAnsi="Calibri"/>
          <w:b w:val="0"/>
          <w:i w:val="0"/>
          <w:sz w:val="22"/>
        </w:rPr>
        <w:t>. Por isso o Nexo PAR remove tanto o campo Elemento subjetivo quanto a pendência a ele associada (a P8 do Nexo Coger — ver Seção 4.5).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Em seu lugar, o fato ganha o bloco </w:t>
      </w:r>
      <w:r>
        <w:rPr>
          <w:rFonts w:ascii="Calibri" w:hAnsi="Calibri"/>
          <w:b/>
          <w:i w:val="0"/>
          <w:sz w:val="22"/>
        </w:rPr>
        <w:t>"Interesse/benefício da PJ e nexo causal"</w:t>
      </w:r>
      <w:r>
        <w:rPr>
          <w:rFonts w:ascii="Calibri" w:hAnsi="Calibri"/>
          <w:b w:val="0"/>
          <w:i w:val="0"/>
          <w:sz w:val="22"/>
        </w:rPr>
        <w:t xml:space="preserve"> (marcado com `</w:t>
      </w:r>
      <w:r>
        <w:rPr>
          <w:rFonts w:ascii="Calibri" w:hAnsi="Calibri"/>
          <w:b w:val="0"/>
          <w:i/>
          <w:sz w:val="22"/>
        </w:rPr>
        <w:t>` quando há enquadramento LAC ativo), com o hint "Obrigatórios quando há enquadramento LAC (pendência crítica P8-PAR se em branco).". São dois campos: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Interesse ou benefício da pessoa jurídica</w:t>
      </w:r>
      <w:r>
        <w:rPr>
          <w:rFonts w:ascii="Calibri" w:hAnsi="Calibri"/>
          <w:b w:val="0"/>
          <w:i w:val="0"/>
          <w:sz w:val="22"/>
        </w:rPr>
        <w:t xml:space="preserve"> — área de texto: em proveito de que a conduta lesiva se deu para o ente.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Nexo de causalidade</w:t>
      </w:r>
      <w:r>
        <w:rPr>
          <w:rFonts w:ascii="Calibri" w:hAnsi="Calibri"/>
          <w:b w:val="0"/>
          <w:i w:val="0"/>
          <w:sz w:val="22"/>
        </w:rPr>
        <w:t xml:space="preserve"> — área de texto, hint "Correlação entre o ato lesivo e o benefício/interesse apontado.".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Nenhum dos dois </w:t>
      </w:r>
      <w:r>
        <w:rPr>
          <w:rFonts w:ascii="Calibri" w:hAnsi="Calibri"/>
          <w:b/>
          <w:i w:val="0"/>
          <w:sz w:val="22"/>
        </w:rPr>
        <w:t>bloqueia o salvamento</w:t>
      </w:r>
      <w:r>
        <w:rPr>
          <w:rFonts w:ascii="Calibri" w:hAnsi="Calibri"/>
          <w:b w:val="0"/>
          <w:i w:val="0"/>
          <w:sz w:val="22"/>
        </w:rPr>
        <w:t xml:space="preserve"> do fato — como no Nexo Coger, o fato pode ser salvo incompleto. A cobrança acontece na </w:t>
      </w:r>
      <w:r>
        <w:rPr>
          <w:rFonts w:ascii="Calibri" w:hAnsi="Calibri"/>
          <w:b/>
          <w:i w:val="0"/>
          <w:sz w:val="22"/>
        </w:rPr>
        <w:t>geração</w:t>
      </w:r>
      <w:r>
        <w:rPr>
          <w:rFonts w:ascii="Calibri" w:hAnsi="Calibri"/>
          <w:b w:val="0"/>
          <w:i w:val="0"/>
          <w:sz w:val="22"/>
        </w:rPr>
        <w:t xml:space="preserve"> da Nota de Indiciação, pela pendência crítica </w:t>
      </w:r>
      <w:r>
        <w:rPr>
          <w:rFonts w:ascii="Calibri" w:hAnsi="Calibri"/>
          <w:b/>
          <w:i w:val="0"/>
          <w:sz w:val="22"/>
        </w:rPr>
        <w:t>P8-PAR</w:t>
      </w:r>
      <w:r>
        <w:rPr>
          <w:rFonts w:ascii="Calibri" w:hAnsi="Calibri"/>
          <w:b w:val="0"/>
          <w:i w:val="0"/>
          <w:sz w:val="22"/>
        </w:rPr>
        <w:t xml:space="preserve"> (Seção 4.5), que dispara quando há enquadramento LAC ativo e o benefício </w:t>
      </w:r>
      <w:r>
        <w:rPr>
          <w:rFonts w:ascii="Calibri" w:hAnsi="Calibri"/>
          <w:b/>
          <w:i w:val="0"/>
          <w:sz w:val="22"/>
        </w:rPr>
        <w:t>ou</w:t>
      </w:r>
      <w:r>
        <w:rPr>
          <w:rFonts w:ascii="Calibri" w:hAnsi="Calibri"/>
          <w:b w:val="0"/>
          <w:i w:val="0"/>
          <w:sz w:val="22"/>
        </w:rPr>
        <w:t xml:space="preserve"> o nexo causal está em branco.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4.4 Seletor de enquadramento — normas da LAC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enquadramento no Nexo PAR usa </w:t>
      </w:r>
      <w:r>
        <w:rPr>
          <w:rFonts w:ascii="Calibri" w:hAnsi="Calibri"/>
          <w:b/>
          <w:i w:val="0"/>
          <w:sz w:val="22"/>
        </w:rPr>
        <w:t>exclusivamente</w:t>
      </w:r>
      <w:r>
        <w:rPr>
          <w:rFonts w:ascii="Calibri" w:hAnsi="Calibri"/>
          <w:b w:val="0"/>
          <w:i w:val="0"/>
          <w:sz w:val="22"/>
        </w:rPr>
        <w:t xml:space="preserve"> as normas da LAC (art. 5º da Lei nº 12.846, de 2013), e não o catálogo da Lei nº 8.112, de 1990, do Nexo Coger. São </w:t>
      </w:r>
      <w:r>
        <w:rPr>
          <w:rFonts w:ascii="Calibri" w:hAnsi="Calibri"/>
          <w:b/>
          <w:i w:val="0"/>
          <w:sz w:val="22"/>
        </w:rPr>
        <w:t>11 normas</w:t>
      </w:r>
      <w:r>
        <w:rPr>
          <w:rFonts w:ascii="Calibri" w:hAnsi="Calibri"/>
          <w:b w:val="0"/>
          <w:i w:val="0"/>
          <w:sz w:val="22"/>
        </w:rPr>
        <w:t xml:space="preserve">, distribuídas em </w:t>
      </w:r>
      <w:r>
        <w:rPr>
          <w:rFonts w:ascii="Calibri" w:hAnsi="Calibri"/>
          <w:b/>
          <w:i w:val="0"/>
          <w:sz w:val="22"/>
        </w:rPr>
        <w:t>dois optgroups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"Atos de corrupção em geral"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"Licitações e contratos"</w:t>
      </w:r>
      <w:r>
        <w:rPr>
          <w:rFonts w:ascii="Calibri" w:hAnsi="Calibri"/>
          <w:b w:val="0"/>
          <w:i w:val="0"/>
          <w:sz w:val="22"/>
        </w:rPr>
        <w:t xml:space="preserve"> —, além do grupo residual </w:t>
      </w:r>
      <w:r>
        <w:rPr>
          <w:rFonts w:ascii="Calibri" w:hAnsi="Calibri"/>
          <w:b/>
          <w:i w:val="0"/>
          <w:sz w:val="22"/>
        </w:rPr>
        <w:t>"Criadas pelo usuário"</w:t>
      </w:r>
      <w:r>
        <w:rPr>
          <w:rFonts w:ascii="Calibri" w:hAnsi="Calibri"/>
          <w:b w:val="0"/>
          <w:i w:val="0"/>
          <w:sz w:val="22"/>
        </w:rPr>
        <w:t xml:space="preserve"> para normas adicionadas manualmente: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5953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</w:t>
            </w:r>
          </w:p>
        </w:tc>
        <w:tc>
          <w:tcPr>
            <w:tcW w:type="dxa" w:w="595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Atos de corrupção em geral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II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Atos de corrupção em geral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III</w:t>
            </w:r>
          </w:p>
        </w:tc>
        <w:tc>
          <w:tcPr>
            <w:tcW w:type="dxa" w:w="595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Atos de corrupção em geral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V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Atos de corrupção em geral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IV, a</w:t>
            </w:r>
          </w:p>
        </w:tc>
        <w:tc>
          <w:tcPr>
            <w:tcW w:type="dxa" w:w="595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Licitações e contratos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IV, b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Licitações e contratos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IV, c</w:t>
            </w:r>
          </w:p>
        </w:tc>
        <w:tc>
          <w:tcPr>
            <w:tcW w:type="dxa" w:w="595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Licitações e contratos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IV, d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Licitações e contratos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IV, e</w:t>
            </w:r>
          </w:p>
        </w:tc>
        <w:tc>
          <w:tcPr>
            <w:tcW w:type="dxa" w:w="595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Licitações e contratos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IV, f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Licitações e contratos</w:t>
            </w:r>
          </w:p>
        </w:tc>
      </w:tr>
      <w:tr>
        <w:tc>
          <w:tcPr>
            <w:tcW w:type="dxa" w:w="283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art. 5º, IV, g</w:t>
            </w:r>
          </w:p>
        </w:tc>
        <w:tc>
          <w:tcPr>
            <w:tcW w:type="dxa" w:w="595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Licitações e contratos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Ao selecionar uma norma, sua </w:t>
      </w:r>
      <w:r>
        <w:rPr>
          <w:rFonts w:ascii="Calibri" w:hAnsi="Calibri"/>
          <w:b/>
          <w:i w:val="0"/>
          <w:sz w:val="22"/>
        </w:rPr>
        <w:t>nota de aplicação</w:t>
      </w:r>
      <w:r>
        <w:rPr>
          <w:rFonts w:ascii="Calibri" w:hAnsi="Calibri"/>
          <w:b w:val="0"/>
          <w:i w:val="0"/>
          <w:sz w:val="22"/>
        </w:rPr>
        <w:t xml:space="preserve"> é exibida como hint (📌), orientando o uso do dispositivo. O rótulo mostrado é a </w:t>
      </w:r>
      <w:r>
        <w:rPr>
          <w:rFonts w:ascii="Calibri" w:hAnsi="Calibri"/>
          <w:b/>
          <w:i w:val="0"/>
          <w:sz w:val="22"/>
        </w:rPr>
        <w:t>descrição integral</w:t>
      </w:r>
      <w:r>
        <w:rPr>
          <w:rFonts w:ascii="Calibri" w:hAnsi="Calibri"/>
          <w:b w:val="0"/>
          <w:i w:val="0"/>
          <w:sz w:val="22"/>
        </w:rPr>
        <w:t xml:space="preserve"> da norma (apenas sem o ponto final) — não é mais truncado como em versões anteriores, de modo que a frase aparece por inteiro tanto no seletor quanto na Nota de Indiciação.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4.5 Catálogo de pendências do fork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Nexo PAR herda a maior parte do catálogo de pendências da Seção 3.5, adaptando os textos que falam em "acusado" para "ente privado", </w:t>
      </w:r>
      <w:r>
        <w:rPr>
          <w:rFonts w:ascii="Calibri" w:hAnsi="Calibri"/>
          <w:b/>
          <w:i w:val="0"/>
          <w:sz w:val="22"/>
        </w:rPr>
        <w:t>removendo</w:t>
      </w:r>
      <w:r>
        <w:rPr>
          <w:rFonts w:ascii="Calibri" w:hAnsi="Calibri"/>
          <w:b w:val="0"/>
          <w:i w:val="0"/>
          <w:sz w:val="22"/>
        </w:rPr>
        <w:t xml:space="preserve"> a P8 (que dependia de dolo/culpa, inexistentes no PAR) e </w:t>
      </w:r>
      <w:r>
        <w:rPr>
          <w:rFonts w:ascii="Calibri" w:hAnsi="Calibri"/>
          <w:b/>
          <w:i w:val="0"/>
          <w:sz w:val="22"/>
        </w:rPr>
        <w:t>acrescentando</w:t>
      </w:r>
      <w:r>
        <w:rPr>
          <w:rFonts w:ascii="Calibri" w:hAnsi="Calibri"/>
          <w:b w:val="0"/>
          <w:i w:val="0"/>
          <w:sz w:val="22"/>
        </w:rPr>
        <w:t xml:space="preserve"> duas pendências críticas próprias, </w:t>
      </w:r>
      <w:r>
        <w:rPr>
          <w:rFonts w:ascii="Calibri" w:hAnsi="Calibri"/>
          <w:b/>
          <w:i w:val="0"/>
          <w:sz w:val="22"/>
        </w:rPr>
        <w:t>P8-PAR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P-ENTE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91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1247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6350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9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124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crítico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Fato sem prova vinculada — alegação sem evidência (mantida, salvo override de estado probatório justificado).</w:t>
            </w:r>
          </w:p>
        </w:tc>
      </w:tr>
      <w:tr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crítico*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Fato sem enquadramento legal (*crítica a partir da indiciação em diante).</w:t>
            </w:r>
          </w:p>
        </w:tc>
      </w:tr>
      <w:tr>
        <w:tc>
          <w:tcPr>
            <w:tcW w:type="dxa" w:w="119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124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frágil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Prova órfã — não sustenta nenhum fato do mapa.</w:t>
            </w:r>
          </w:p>
        </w:tc>
      </w:tr>
      <w:tr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pendente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Multiplicidade de enquadramentos não classificada: concurso formal ou conflito aparente?</w:t>
            </w:r>
          </w:p>
        </w:tc>
      </w:tr>
      <w:tr>
        <w:tc>
          <w:tcPr>
            <w:tcW w:type="dxa" w:w="119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P5</w:t>
            </w:r>
          </w:p>
        </w:tc>
        <w:tc>
          <w:tcPr>
            <w:tcW w:type="dxa" w:w="124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crítico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Conduta não individualizada — risco de indiciação genérica (nulidade).</w:t>
            </w:r>
          </w:p>
        </w:tc>
      </w:tr>
      <w:tr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P6a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frágil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Prova emprestada com pendência formal (certidão/autorização).</w:t>
            </w:r>
          </w:p>
        </w:tc>
      </w:tr>
      <w:tr>
        <w:tc>
          <w:tcPr>
            <w:tcW w:type="dxa" w:w="119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P6b</w:t>
            </w:r>
          </w:p>
        </w:tc>
        <w:tc>
          <w:tcPr>
            <w:tcW w:type="dxa" w:w="124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frágil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Ente privado não intimado da produção desta prova (contraditório) — reescrita a partir da P6b do Nexo Coger, que falava em "acusado".</w:t>
            </w:r>
          </w:p>
        </w:tc>
      </w:tr>
      <w:tr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P7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frágil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Sustentação exclusivamente indiciária/informal — explicitar raciocínio indutivo.</w:t>
            </w:r>
          </w:p>
        </w:tc>
      </w:tr>
      <w:tr>
        <w:tc>
          <w:tcPr>
            <w:tcW w:type="dxa" w:w="119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P8</w:t>
            </w:r>
          </w:p>
        </w:tc>
        <w:tc>
          <w:tcPr>
            <w:tcW w:type="dxa" w:w="124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removida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 existe no PAR — a responsabilização é objetiva (art. 2º da LAC), sem dolo ou culpa a aferir.</w:t>
            </w:r>
          </w:p>
        </w:tc>
      </w:tr>
      <w:tr>
        <w:tc>
          <w:tcPr>
            <w:tcW w:type="dxa" w:w="119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P8-PAR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crítico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Fato com enquadramento LAC sem descrição de benefício/interesse ou nexo causal (nova — dispara com enquadramento ativo e benefício OU nexo em branco).</w:t>
            </w:r>
          </w:p>
        </w:tc>
      </w:tr>
      <w:tr>
        <w:tc>
          <w:tcPr>
            <w:tcW w:type="dxa" w:w="119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P-ENTE</w:t>
            </w:r>
          </w:p>
        </w:tc>
        <w:tc>
          <w:tcPr>
            <w:tcW w:type="dxa" w:w="1247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crítico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Processo sem ente privado cadastrado, ou ente privado sem representante legal cadastrado (nova — bloqueia a geração).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pendência </w:t>
      </w:r>
      <w:r>
        <w:rPr>
          <w:rFonts w:ascii="Calibri" w:hAnsi="Calibri"/>
          <w:b/>
          <w:i w:val="0"/>
          <w:sz w:val="22"/>
        </w:rPr>
        <w:t>P6c</w:t>
      </w:r>
      <w:r>
        <w:rPr>
          <w:rFonts w:ascii="Calibri" w:hAnsi="Calibri"/>
          <w:b w:val="0"/>
          <w:i w:val="0"/>
          <w:sz w:val="22"/>
        </w:rPr>
        <w:t xml:space="preserve"> do Nexo Coger (antecedência de intimação para interrogatório, art. 41 da Lei nº 9.784, de 29 de janeiro de 1999) permanece no código, mas </w:t>
      </w:r>
      <w:r>
        <w:rPr>
          <w:rFonts w:ascii="Calibri" w:hAnsi="Calibri"/>
          <w:b/>
          <w:i w:val="0"/>
          <w:sz w:val="22"/>
        </w:rPr>
        <w:t>sem interface no PAR</w:t>
      </w:r>
      <w:r>
        <w:rPr>
          <w:rFonts w:ascii="Calibri" w:hAnsi="Calibri"/>
          <w:b w:val="0"/>
          <w:i w:val="0"/>
          <w:sz w:val="22"/>
        </w:rPr>
        <w:t xml:space="preserve"> — o ente privado não é interrogado. O checklist de encerramento acompanha as mudanças: </w:t>
      </w:r>
      <w:r>
        <w:rPr>
          <w:rFonts w:ascii="Calibri" w:hAnsi="Calibri"/>
          <w:b/>
          <w:i w:val="0"/>
          <w:sz w:val="22"/>
        </w:rPr>
        <w:t>C1</w:t>
      </w:r>
      <w:r>
        <w:rPr>
          <w:rFonts w:ascii="Calibri" w:hAnsi="Calibri"/>
          <w:b w:val="0"/>
          <w:i w:val="0"/>
          <w:sz w:val="22"/>
        </w:rPr>
        <w:t xml:space="preserve"> "Ente privado cadastrado com representante legal"; </w:t>
      </w:r>
      <w:r>
        <w:rPr>
          <w:rFonts w:ascii="Calibri" w:hAnsi="Calibri"/>
          <w:b/>
          <w:i w:val="0"/>
          <w:sz w:val="22"/>
        </w:rPr>
        <w:t>C2</w:t>
      </w:r>
      <w:r>
        <w:rPr>
          <w:rFonts w:ascii="Calibri" w:hAnsi="Calibri"/>
          <w:b w:val="0"/>
          <w:i w:val="0"/>
          <w:sz w:val="22"/>
        </w:rPr>
        <w:t xml:space="preserve"> "Benefício/interesse e nexo causal descritos em todo fato com enquadramento LAC"; </w:t>
      </w:r>
      <w:r>
        <w:rPr>
          <w:rFonts w:ascii="Calibri" w:hAnsi="Calibri"/>
          <w:b/>
          <w:i w:val="0"/>
          <w:sz w:val="22"/>
        </w:rPr>
        <w:t>C3</w:t>
      </w:r>
      <w:r>
        <w:rPr>
          <w:rFonts w:ascii="Calibri" w:hAnsi="Calibri"/>
          <w:b w:val="0"/>
          <w:i w:val="0"/>
          <w:sz w:val="22"/>
        </w:rPr>
        <w:t xml:space="preserve"> "Zero pendências críticas (P1, P2, P5, P8-PAR, P-ENTE)".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4.6 Geração da Nota de Indiciação</w:t>
      </w:r>
    </w:p>
    <w:p>
      <w:pPr>
        <w:spacing w:before="100" w:after="6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Arial Narrow" w:hAnsi="Arial Narrow"/>
          <w:b/>
          <w:color w:val="C00000"/>
          <w:sz w:val="18"/>
        </w:rPr>
        <w:t xml:space="preserve">ATO FINAL — USE COM CAUTELA  </w:t>
      </w:r>
      <w:r>
        <w:rPr>
          <w:rFonts w:ascii="Calibri" w:hAnsi="Calibri"/>
          <w:b w:val="0"/>
          <w:i w:val="0"/>
          <w:sz w:val="20"/>
        </w:rPr>
        <w:t xml:space="preserve">A geração da </w:t>
      </w:r>
      <w:r>
        <w:rPr>
          <w:rFonts w:ascii="Calibri" w:hAnsi="Calibri"/>
          <w:b/>
          <w:i w:val="0"/>
          <w:sz w:val="20"/>
        </w:rPr>
        <w:t>Nota de Indiciação</w:t>
      </w:r>
      <w:r>
        <w:rPr>
          <w:rFonts w:ascii="Calibri" w:hAnsi="Calibri"/>
          <w:b w:val="0"/>
          <w:i w:val="0"/>
          <w:sz w:val="20"/>
        </w:rPr>
        <w:t xml:space="preserve"> é um </w:t>
      </w:r>
      <w:r>
        <w:rPr>
          <w:rFonts w:ascii="Calibri" w:hAnsi="Calibri"/>
          <w:b/>
          <w:i w:val="0"/>
          <w:sz w:val="20"/>
        </w:rPr>
        <w:t>ato final</w:t>
      </w:r>
      <w:r>
        <w:rPr>
          <w:rFonts w:ascii="Calibri" w:hAnsi="Calibri"/>
          <w:b w:val="0"/>
          <w:i w:val="0"/>
          <w:sz w:val="20"/>
        </w:rPr>
        <w:t xml:space="preserve"> da instrução — produz o documento formal que imputa ao ente privado a conduta lesiva e abre o prazo de defesa. Não a gere prematuramente, antes que fatos, provas, enquadramentos e o cadastro do ente estejam consolidados.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Antes de gerar, o Nexo PAR roda uma checagem de campos essenciais (`validaMinuta`) e lista o que faltar, sem gerar nada até que esteja completo: </w:t>
      </w:r>
      <w:r>
        <w:rPr>
          <w:rFonts w:ascii="Calibri" w:hAnsi="Calibri"/>
          <w:b/>
          <w:i w:val="0"/>
          <w:sz w:val="22"/>
        </w:rPr>
        <w:t>razão social</w:t>
      </w:r>
      <w:r>
        <w:rPr>
          <w:rFonts w:ascii="Calibri" w:hAnsi="Calibri"/>
          <w:b w:val="0"/>
          <w:i w:val="0"/>
          <w:sz w:val="22"/>
        </w:rPr>
        <w:t xml:space="preserve"> do ente, ao menos um </w:t>
      </w:r>
      <w:r>
        <w:rPr>
          <w:rFonts w:ascii="Calibri" w:hAnsi="Calibri"/>
          <w:b/>
          <w:i w:val="0"/>
          <w:sz w:val="22"/>
        </w:rPr>
        <w:t>representante legal</w:t>
      </w:r>
      <w:r>
        <w:rPr>
          <w:rFonts w:ascii="Calibri" w:hAnsi="Calibri"/>
          <w:b w:val="0"/>
          <w:i w:val="0"/>
          <w:sz w:val="22"/>
        </w:rPr>
        <w:t xml:space="preserve"> cadastrado, e ao menos um </w:t>
      </w:r>
      <w:r>
        <w:rPr>
          <w:rFonts w:ascii="Calibri" w:hAnsi="Calibri"/>
          <w:b/>
          <w:i w:val="0"/>
          <w:sz w:val="22"/>
        </w:rPr>
        <w:t>fato ativo</w:t>
      </w:r>
      <w:r>
        <w:rPr>
          <w:rFonts w:ascii="Calibri" w:hAnsi="Calibri"/>
          <w:b w:val="0"/>
          <w:i w:val="0"/>
          <w:sz w:val="22"/>
        </w:rPr>
        <w:t xml:space="preserve"> imputado. Pendências críticas (P1, P2, P5, P8-PAR, P-ENTE) bloqueiam a geração, como no Nexo Coger.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Nota de Indiciação gerada — cujo conteúdo mínimo atende ao </w:t>
      </w:r>
      <w:r>
        <w:rPr>
          <w:rFonts w:ascii="Calibri" w:hAnsi="Calibri"/>
          <w:b/>
          <w:i w:val="0"/>
          <w:sz w:val="22"/>
        </w:rPr>
        <w:t>art. 17 da Instrução Normativa CGU nº 13, de 2019</w:t>
      </w:r>
      <w:r>
        <w:rPr>
          <w:rFonts w:ascii="Calibri" w:hAnsi="Calibri"/>
          <w:b w:val="0"/>
          <w:i w:val="0"/>
          <w:sz w:val="22"/>
        </w:rPr>
        <w:t xml:space="preserve"> — traz, nesta ordem: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Cabeçalho institucional</w:t>
      </w:r>
      <w:r>
        <w:rPr>
          <w:rFonts w:ascii="Calibri" w:hAnsi="Calibri"/>
          <w:b w:val="0"/>
          <w:i w:val="0"/>
          <w:sz w:val="22"/>
        </w:rPr>
        <w:t xml:space="preserve"> — órgão, corregedoria, o título "Nota de Indiciação", a identificação do "Processo Administrativo de Responsabilização (PAR) nº …", a referência à Lei nº 12.846, de 2013 (LAC), a portaria e a linha "Pessoa jurídica: &lt;razão social&gt;, CNPJ &lt;…&gt;".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Tabela de qualificação do ente</w:t>
      </w:r>
      <w:r>
        <w:rPr>
          <w:rFonts w:ascii="Calibri" w:hAnsi="Calibri"/>
          <w:b w:val="0"/>
          <w:i w:val="0"/>
          <w:sz w:val="22"/>
        </w:rPr>
        <w:t xml:space="preserve"> — razão social, CNPJ, nome fantasia e endereço da sede (quando houver) e representante legal; se a desconsideração da personalidade jurídica estiver ativa, um parágrafo em itálico invoca o art. 14 da LAC.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"Da conduta lesiva imputada ao ente privado"</w:t>
      </w:r>
      <w:r>
        <w:rPr>
          <w:rFonts w:ascii="Calibri" w:hAnsi="Calibri"/>
          <w:b w:val="0"/>
          <w:i w:val="0"/>
          <w:sz w:val="22"/>
        </w:rPr>
        <w:t xml:space="preserve"> — por fato: descrição, conduta individualizada (comissiva/omissiva) e, quando preenchidos, "Interesse ou benefício da pessoa jurídica:" e "Nexo de causalidade:".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"Das provas"</w:t>
      </w:r>
      <w:r>
        <w:rPr>
          <w:rFonts w:ascii="Calibri" w:hAnsi="Calibri"/>
          <w:b w:val="0"/>
          <w:i w:val="0"/>
          <w:sz w:val="22"/>
        </w:rPr>
        <w:t xml:space="preserve"> — por fato, com índice numerado e trechos significativos.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"Do enquadramento legal"</w:t>
      </w:r>
      <w:r>
        <w:rPr>
          <w:rFonts w:ascii="Calibri" w:hAnsi="Calibri"/>
          <w:b w:val="0"/>
          <w:i w:val="0"/>
          <w:sz w:val="22"/>
        </w:rPr>
        <w:t xml:space="preserve"> — por fato, "a conduta amolda-se ao &lt;dispositivo&gt; (&lt;rótulo&gt;)", </w:t>
      </w:r>
      <w:r>
        <w:rPr>
          <w:rFonts w:ascii="Calibri" w:hAnsi="Calibri"/>
          <w:b/>
          <w:i w:val="0"/>
          <w:sz w:val="22"/>
        </w:rPr>
        <w:t>sem</w:t>
      </w:r>
      <w:r>
        <w:rPr>
          <w:rFonts w:ascii="Calibri" w:hAnsi="Calibri"/>
          <w:b w:val="0"/>
          <w:i w:val="0"/>
          <w:sz w:val="22"/>
        </w:rPr>
        <w:t xml:space="preserve"> elemento subjetivo; trata concurso formal / conflito aparente quando houver multiplicidade.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6.  </w:t>
      </w:r>
      <w:r>
        <w:rPr>
          <w:rFonts w:ascii="Calibri" w:hAnsi="Calibri"/>
          <w:b/>
          <w:i w:val="0"/>
          <w:sz w:val="22"/>
        </w:rPr>
        <w:t>"Síntese dos fatos, provas e enquadramentos"</w:t>
      </w:r>
      <w:r>
        <w:rPr>
          <w:rFonts w:ascii="Calibri" w:hAnsi="Calibri"/>
          <w:b w:val="0"/>
          <w:i w:val="0"/>
          <w:sz w:val="22"/>
        </w:rPr>
        <w:t xml:space="preserve"> — tabela-resumo.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7.  </w:t>
      </w:r>
      <w:r>
        <w:rPr>
          <w:rFonts w:ascii="Calibri" w:hAnsi="Calibri"/>
          <w:b/>
          <w:i w:val="0"/>
          <w:sz w:val="22"/>
        </w:rPr>
        <w:t>"Das alegações da defesa não acatadas"</w:t>
      </w:r>
      <w:r>
        <w:rPr>
          <w:rFonts w:ascii="Calibri" w:hAnsi="Calibri"/>
          <w:b w:val="0"/>
          <w:i w:val="0"/>
          <w:sz w:val="22"/>
        </w:rPr>
        <w:t xml:space="preserve"> — bloco editável.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8.  </w:t>
      </w:r>
      <w:r>
        <w:rPr>
          <w:rFonts w:ascii="Calibri" w:hAnsi="Calibri"/>
          <w:b/>
          <w:i w:val="0"/>
          <w:sz w:val="22"/>
        </w:rPr>
        <w:t>"Da multa, do faturamento bruto e do programa de integridade"</w:t>
      </w:r>
      <w:r>
        <w:rPr>
          <w:rFonts w:ascii="Calibri" w:hAnsi="Calibri"/>
          <w:b w:val="0"/>
          <w:i w:val="0"/>
          <w:sz w:val="22"/>
        </w:rPr>
        <w:t xml:space="preserve"> — os quatro textos complementares fixos (abaixo).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9.  </w:t>
      </w:r>
      <w:r>
        <w:rPr>
          <w:rFonts w:ascii="Calibri" w:hAnsi="Calibri"/>
          <w:b/>
          <w:i w:val="0"/>
          <w:sz w:val="22"/>
        </w:rPr>
        <w:t>"Do encerramento"</w:t>
      </w:r>
      <w:r>
        <w:rPr>
          <w:rFonts w:ascii="Calibri" w:hAnsi="Calibri"/>
          <w:b w:val="0"/>
          <w:i w:val="0"/>
          <w:sz w:val="22"/>
        </w:rPr>
        <w:t xml:space="preserve"> — ressalva de adequação do enquadramento; a intimação para defesa "no prazo de 30 (trinta) dias" (art. 17 da IN CGU nº 13, de 2019); cidade/data; e o bloco de assinatura em três colunas.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Os quatro textos complementares fixos da seção 8, reproduzidos literalmente:</w:t>
      </w:r>
    </w:p>
    <w:p>
      <w:pPr>
        <w:spacing w:before="100" w:after="2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Arial Narrow" w:hAnsi="Arial Narrow"/>
          <w:b/>
          <w:color w:val="707070"/>
          <w:sz w:val="18"/>
        </w:rPr>
        <w:t xml:space="preserve">TEXTOS COMPLEMENTARES FIXOS DA NOTA DE INDICIAÇÃO  </w:t>
      </w:r>
      <w:r>
        <w:rPr>
          <w:rFonts w:ascii="Calibri" w:hAnsi="Calibri"/>
          <w:b w:val="0"/>
          <w:i w:val="0"/>
          <w:sz w:val="20"/>
        </w:rPr>
        <w:t>Faculta-se expressamente à pessoa jurídica indiciada apresentar informações e provas relativas aos parâmetros de cálculo da multa e ao seu faturamento bruto no exercício anterior ao da instauração do processo.</w:t>
      </w:r>
    </w:p>
    <w:p>
      <w:pPr>
        <w:spacing w:before="0" w:after="2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Calibri" w:hAnsi="Calibri"/>
          <w:b w:val="0"/>
          <w:i w:val="0"/>
          <w:sz w:val="20"/>
        </w:rPr>
        <w:t>Solicitam-se, ainda, informações e documentos necessários à análise do parâmetro previsto no inciso IV do art. 22 do Decreto nº 11.129, de 11 de julho de 2022.</w:t>
      </w:r>
    </w:p>
    <w:p>
      <w:pPr>
        <w:spacing w:before="0" w:after="2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Calibri" w:hAnsi="Calibri"/>
          <w:b w:val="0"/>
          <w:i w:val="0"/>
          <w:sz w:val="20"/>
        </w:rPr>
        <w:t>Fica assegurado o prazo de 30 (trinta) dias para apresentação de defesa escrita, contado da intimação desta Nota de Indiciação, podendo a pessoa jurídica apresentar, em conjunto com a defesa, evidências da existência e do funcionamento de programa de integridade, nos termos da Portaria CGU nº 909, de 7 de abril de 2025.</w:t>
      </w:r>
    </w:p>
    <w:p>
      <w:pPr>
        <w:spacing w:before="0" w:after="6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Calibri" w:hAnsi="Calibri"/>
          <w:b w:val="0"/>
          <w:i w:val="0"/>
          <w:sz w:val="20"/>
        </w:rPr>
        <w:t>Registra-se, por fim, a possibilidade de resolução negociada do processo, por meio de Termo de Compromisso ou de Acordo de Leniência, na forma da legislação de regência.</w:t>
      </w:r>
    </w:p>
    <w:p>
      <w:pPr>
        <w:jc w:val="center"/>
      </w:pPr>
      <w:r>
        <w:rPr>
          <w:rFonts w:ascii="Calibri" w:hAnsi="Calibri"/>
          <w:i/>
          <w:color w:val="707070"/>
          <w:sz w:val="18"/>
        </w:rPr>
        <w:t>Figura 12 (pendente) — [CAPTURA PENDENTE — Nota de Indiciação PAR gerada — cabeçalho institucional, tabela de qualificação do ente privado e a seção "Da multa, do faturamento bruto e do programa de integridade".]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4.7 Toolbar lateral — prazos do rito PAR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barra lateral do Nexo PAR é a mesma da Seção 3.9 (Pendências, Ordem dos fatos, Checklist de encerramento e Prazos). A diferença está nos </w:t>
      </w:r>
      <w:r>
        <w:rPr>
          <w:rFonts w:ascii="Calibri" w:hAnsi="Calibri"/>
          <w:b/>
          <w:i w:val="0"/>
          <w:sz w:val="22"/>
        </w:rPr>
        <w:t>textos e prazos</w:t>
      </w:r>
      <w:r>
        <w:rPr>
          <w:rFonts w:ascii="Calibri" w:hAnsi="Calibri"/>
          <w:b w:val="0"/>
          <w:i w:val="0"/>
          <w:sz w:val="22"/>
        </w:rPr>
        <w:t xml:space="preserve"> do painel </w:t>
      </w:r>
      <w:r>
        <w:rPr>
          <w:rFonts w:ascii="Calibri" w:hAnsi="Calibri"/>
          <w:b/>
          <w:i w:val="0"/>
          <w:sz w:val="22"/>
        </w:rPr>
        <w:t>Prazos</w:t>
      </w:r>
      <w:r>
        <w:rPr>
          <w:rFonts w:ascii="Calibri" w:hAnsi="Calibri"/>
          <w:b w:val="0"/>
          <w:i w:val="0"/>
          <w:sz w:val="22"/>
        </w:rPr>
        <w:t>, adaptados do rito PAD para o rito PAR: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Prazo confirmado</w:t>
      </w:r>
      <w:r>
        <w:rPr>
          <w:rFonts w:ascii="Calibri" w:hAnsi="Calibri"/>
          <w:b w:val="0"/>
          <w:i w:val="0"/>
          <w:sz w:val="22"/>
        </w:rPr>
        <w:t xml:space="preserve"> — o painel substitui a lógica PAD de citação pessoal/edital (10/15 dias, Lei nº 8.112, de 1990) pelo bloco </w:t>
      </w:r>
      <w:r>
        <w:rPr>
          <w:rFonts w:ascii="Calibri" w:hAnsi="Calibri"/>
          <w:b/>
          <w:i w:val="0"/>
          <w:sz w:val="22"/>
        </w:rPr>
        <w:t>"Intimação da Nota de Indiciação e defesa escrita"</w:t>
      </w:r>
      <w:r>
        <w:rPr>
          <w:rFonts w:ascii="Calibri" w:hAnsi="Calibri"/>
          <w:b w:val="0"/>
          <w:i w:val="0"/>
          <w:sz w:val="22"/>
        </w:rPr>
        <w:t>, com o hint "Prazo de 30 dias para defesa escrita a contar da intimação da Nota de Indiciação (art. 17, IN CGU nº 13, de 2019).". É o único prazo PAR com fonte normativa confirmada.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Prazo de conclusão do processo</w:t>
      </w:r>
      <w:r>
        <w:rPr>
          <w:rFonts w:ascii="Calibri" w:hAnsi="Calibri"/>
          <w:b w:val="0"/>
          <w:i w:val="0"/>
          <w:sz w:val="22"/>
        </w:rPr>
        <w:t xml:space="preserve"> — mantém o mesmo cálculo do PAD (data de instauração + prazo em dias, editável), por ausência de fonte normativa PAR fornecida. O hint do campo é explícito: "Prazo de conclusão do processo em dias (editável). Fonte do prazo do PAR não fornecida nesta rodada.".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PRAZO DE CONCLUSÃO SEM FONTE PAR CONFIRMADA  </w:t>
      </w:r>
      <w:r>
        <w:rPr>
          <w:rFonts w:ascii="Calibri" w:hAnsi="Calibri"/>
          <w:b w:val="0"/>
          <w:i w:val="0"/>
          <w:sz w:val="20"/>
        </w:rPr>
        <w:t xml:space="preserve">O prazo de </w:t>
      </w:r>
      <w:r>
        <w:rPr>
          <w:rFonts w:ascii="Calibri" w:hAnsi="Calibri"/>
          <w:b/>
          <w:i w:val="0"/>
          <w:sz w:val="20"/>
        </w:rPr>
        <w:t>conclusão do processo</w:t>
      </w:r>
      <w:r>
        <w:rPr>
          <w:rFonts w:ascii="Calibri" w:hAnsi="Calibri"/>
          <w:b w:val="0"/>
          <w:i w:val="0"/>
          <w:sz w:val="20"/>
        </w:rPr>
        <w:t xml:space="preserve"> no PAR usa o mesmo cálculo do PAD </w:t>
      </w:r>
      <w:r>
        <w:rPr>
          <w:rFonts w:ascii="Calibri" w:hAnsi="Calibri"/>
          <w:b/>
          <w:i w:val="0"/>
          <w:sz w:val="20"/>
        </w:rPr>
        <w:t>por ausência de fonte normativa PAR fornecida — não se inventa prazo</w:t>
      </w:r>
      <w:r>
        <w:rPr>
          <w:rFonts w:ascii="Calibri" w:hAnsi="Calibri"/>
          <w:b w:val="0"/>
          <w:i w:val="0"/>
          <w:sz w:val="20"/>
        </w:rPr>
        <w:t>. O único prazo PAR com fonte confirmada é o de 30 dias para a defesa escrita, no bloco de intimação da Nota de Indiciação. Trate o prazo de conclusão como um valor editável de referência, não como um marco legal PAR consolidado.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4.8 O que NÃO muda em relação ao Nexo Coger</w:t>
      </w:r>
    </w:p>
    <w:p>
      <w:pPr>
        <w:spacing w:before="100" w:after="60"/>
        <w:ind w:left="227" w:right="170"/>
        <w:jc w:val="both"/>
        <w:pBdr>
          <w:left w:val="single" w:sz="24" w:space="6" w:color="1A6E1A"/>
        </w:pBdr>
        <w:shd w:val="clear" w:color="auto" w:fill="E8F5E9"/>
      </w:pPr>
      <w:r>
        <w:rPr>
          <w:rFonts w:ascii="Arial Narrow" w:hAnsi="Arial Narrow"/>
          <w:b/>
          <w:color w:val="1A6E1A"/>
          <w:sz w:val="18"/>
        </w:rPr>
        <w:t xml:space="preserve">HERDADO DO NEXO COGER SEM ALTERAÇÃO  </w:t>
      </w:r>
      <w:r>
        <w:rPr>
          <w:rFonts w:ascii="Calibri" w:hAnsi="Calibri"/>
          <w:b w:val="0"/>
          <w:i w:val="0"/>
          <w:sz w:val="20"/>
        </w:rPr>
        <w:t xml:space="preserve">Para o leitor que já conhece o Nexo Coger (Seção 3), estes comportamentos são herdados </w:t>
      </w:r>
      <w:r>
        <w:rPr>
          <w:rFonts w:ascii="Calibri" w:hAnsi="Calibri"/>
          <w:b/>
          <w:i w:val="0"/>
          <w:sz w:val="20"/>
        </w:rPr>
        <w:t>sem alteração</w:t>
      </w:r>
      <w:r>
        <w:rPr>
          <w:rFonts w:ascii="Calibri" w:hAnsi="Calibri"/>
          <w:b w:val="0"/>
          <w:i w:val="0"/>
          <w:sz w:val="20"/>
        </w:rPr>
        <w:t xml:space="preserve"> no Nexo PAR, e não precisam ser relidos: a </w:t>
      </w:r>
      <w:r>
        <w:rPr>
          <w:rFonts w:ascii="Calibri" w:hAnsi="Calibri"/>
          <w:b/>
          <w:i w:val="0"/>
          <w:sz w:val="20"/>
        </w:rPr>
        <w:t>mecânica do mapa fato-prova-norma</w:t>
      </w:r>
      <w:r>
        <w:rPr>
          <w:rFonts w:ascii="Calibri" w:hAnsi="Calibri"/>
          <w:b w:val="0"/>
          <w:i w:val="0"/>
          <w:sz w:val="20"/>
        </w:rPr>
        <w:t xml:space="preserve"> (vínculo fato-prova-norma, arestas, provas órfãs, estado probatório calculado); a </w:t>
      </w:r>
      <w:r>
        <w:rPr>
          <w:rFonts w:ascii="Calibri" w:hAnsi="Calibri"/>
          <w:b/>
          <w:i w:val="0"/>
          <w:sz w:val="20"/>
        </w:rPr>
        <w:t>importação de provas do Veritas</w:t>
      </w:r>
      <w:r>
        <w:rPr>
          <w:rFonts w:ascii="Calibri" w:hAnsi="Calibri"/>
          <w:b w:val="0"/>
          <w:i w:val="0"/>
          <w:sz w:val="20"/>
        </w:rPr>
        <w:t xml:space="preserve"> e a </w:t>
      </w:r>
      <w:r>
        <w:rPr>
          <w:rFonts w:ascii="Calibri" w:hAnsi="Calibri"/>
          <w:b/>
          <w:i w:val="0"/>
          <w:sz w:val="20"/>
        </w:rPr>
        <w:t>importação de retorno de oitiva</w:t>
      </w:r>
      <w:r>
        <w:rPr>
          <w:rFonts w:ascii="Calibri" w:hAnsi="Calibri"/>
          <w:b w:val="0"/>
          <w:i w:val="0"/>
          <w:sz w:val="20"/>
        </w:rPr>
        <w:t xml:space="preserve"> do Oitiva 360; a </w:t>
      </w:r>
      <w:r>
        <w:rPr>
          <w:rFonts w:ascii="Calibri" w:hAnsi="Calibri"/>
          <w:b/>
          <w:i w:val="0"/>
          <w:sz w:val="20"/>
        </w:rPr>
        <w:t>exportação de pauta</w:t>
      </w:r>
      <w:r>
        <w:rPr>
          <w:rFonts w:ascii="Calibri" w:hAnsi="Calibri"/>
          <w:b w:val="0"/>
          <w:i w:val="0"/>
          <w:sz w:val="20"/>
        </w:rPr>
        <w:t xml:space="preserve"> de instrução por depoente; o </w:t>
      </w:r>
      <w:r>
        <w:rPr>
          <w:rFonts w:ascii="Calibri" w:hAnsi="Calibri"/>
          <w:b/>
          <w:i w:val="0"/>
          <w:sz w:val="20"/>
        </w:rPr>
        <w:t>selo 🎙</w:t>
      </w:r>
      <w:r>
        <w:rPr>
          <w:rFonts w:ascii="Calibri" w:hAnsi="Calibri"/>
          <w:b w:val="0"/>
          <w:i w:val="0"/>
          <w:sz w:val="20"/>
        </w:rPr>
        <w:t xml:space="preserve"> de origem em oitiva; a </w:t>
      </w:r>
      <w:r>
        <w:rPr>
          <w:rFonts w:ascii="Calibri" w:hAnsi="Calibri"/>
          <w:b/>
          <w:i w:val="0"/>
          <w:sz w:val="20"/>
        </w:rPr>
        <w:t>barra lateral</w:t>
      </w:r>
      <w:r>
        <w:rPr>
          <w:rFonts w:ascii="Calibri" w:hAnsi="Calibri"/>
          <w:b w:val="0"/>
          <w:i w:val="0"/>
          <w:sz w:val="20"/>
        </w:rPr>
        <w:t xml:space="preserve"> (exceto os textos e prazos do painel Prazos, Seção 4.7); e todo o </w:t>
      </w:r>
      <w:r>
        <w:rPr>
          <w:rFonts w:ascii="Calibri" w:hAnsi="Calibri"/>
          <w:b/>
          <w:i w:val="0"/>
          <w:sz w:val="20"/>
        </w:rPr>
        <w:t>design system</w:t>
      </w:r>
      <w:r>
        <w:rPr>
          <w:rFonts w:ascii="Calibri" w:hAnsi="Calibri"/>
          <w:b w:val="0"/>
          <w:i w:val="0"/>
          <w:sz w:val="20"/>
        </w:rPr>
        <w:t>. Os contratos de integração e a validação de domínio na importação são detalhados na Seção 6.</w:t>
      </w:r>
    </w:p>
    <w:p>
      <w:r>
        <w:br w:type="page"/>
      </w:r>
    </w:p>
    <w:p>
      <w:pPr>
        <w:spacing w:after="40"/>
      </w:pPr>
      <w:r>
        <w:rPr>
          <w:rFonts w:ascii="Arial Narrow" w:hAnsi="Arial Narrow"/>
          <w:b/>
          <w:color w:val="BFA040"/>
          <w:sz w:val="18"/>
        </w:rPr>
        <w:t>SEÇÃO 5</w:t>
      </w:r>
    </w:p>
    <w:p>
      <w:pPr>
        <w:pStyle w:val="Heading1"/>
      </w:pPr>
      <w:r>
        <w:rPr>
          <w:rFonts w:ascii="Arial Narrow" w:hAnsi="Arial Narrow"/>
          <w:b/>
          <w:color w:val="1E3A5F"/>
          <w:sz w:val="40"/>
        </w:rPr>
        <w:t>Oitiva 360 (uso isolado)</w:t>
      </w:r>
    </w:p>
    <w:p>
      <w:pPr>
        <w:spacing w:before="120" w:after="120"/>
        <w:pBdr>
          <w:bottom w:val="single" w:sz="8" w:space="1" w:color="BFA040"/>
        </w:pBdr>
      </w:pP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Oitiva 360</w:t>
      </w:r>
      <w:r>
        <w:rPr>
          <w:rFonts w:ascii="Calibri" w:hAnsi="Calibri"/>
          <w:b w:val="0"/>
          <w:i w:val="0"/>
          <w:sz w:val="22"/>
        </w:rPr>
        <w:t xml:space="preserve"> apoia a condução de oitivas e interrogatórios: gera um roteiro de perguntas a partir do papel do depoente e da infração apurada, registra as respostas dadas durante a sessão e produz o termo de redução correspondente.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Oitiva 360 opera em </w:t>
      </w:r>
      <w:r>
        <w:rPr>
          <w:rFonts w:ascii="Calibri" w:hAnsi="Calibri"/>
          <w:b/>
          <w:i w:val="0"/>
          <w:sz w:val="22"/>
        </w:rPr>
        <w:t>modo dual</w:t>
      </w:r>
      <w:r>
        <w:rPr>
          <w:rFonts w:ascii="Calibri" w:hAnsi="Calibri"/>
          <w:b w:val="0"/>
          <w:i w:val="0"/>
          <w:sz w:val="22"/>
        </w:rPr>
        <w:t xml:space="preserve">: um único arquivo que acomoda tanto o domínio </w:t>
      </w:r>
      <w:r>
        <w:rPr>
          <w:rFonts w:ascii="Calibri" w:hAnsi="Calibri"/>
          <w:b/>
          <w:i w:val="0"/>
          <w:sz w:val="22"/>
        </w:rPr>
        <w:t>PAD</w:t>
      </w:r>
      <w:r>
        <w:rPr>
          <w:rFonts w:ascii="Calibri" w:hAnsi="Calibri"/>
          <w:b w:val="0"/>
          <w:i w:val="0"/>
          <w:sz w:val="22"/>
        </w:rPr>
        <w:t xml:space="preserve"> — apuração de responsabilidade de servidores à luz da </w:t>
      </w:r>
      <w:r>
        <w:rPr>
          <w:rFonts w:ascii="Calibri" w:hAnsi="Calibri"/>
          <w:b/>
          <w:i w:val="0"/>
          <w:sz w:val="22"/>
        </w:rPr>
        <w:t>Lei nº 8.112, de 11 de dezembro de 1990</w:t>
      </w:r>
      <w:r>
        <w:rPr>
          <w:rFonts w:ascii="Calibri" w:hAnsi="Calibri"/>
          <w:b w:val="0"/>
          <w:i w:val="0"/>
          <w:sz w:val="22"/>
        </w:rPr>
        <w:t xml:space="preserve"> — quanto o domínio </w:t>
      </w:r>
      <w:r>
        <w:rPr>
          <w:rFonts w:ascii="Calibri" w:hAnsi="Calibri"/>
          <w:b/>
          <w:i w:val="0"/>
          <w:sz w:val="22"/>
        </w:rPr>
        <w:t>PAR</w:t>
      </w:r>
      <w:r>
        <w:rPr>
          <w:rFonts w:ascii="Calibri" w:hAnsi="Calibri"/>
          <w:b w:val="0"/>
          <w:i w:val="0"/>
          <w:sz w:val="22"/>
        </w:rPr>
        <w:t xml:space="preserve"> — responsabilização de entes privados à luz da </w:t>
      </w:r>
      <w:r>
        <w:rPr>
          <w:rFonts w:ascii="Calibri" w:hAnsi="Calibri"/>
          <w:b/>
          <w:i w:val="0"/>
          <w:sz w:val="22"/>
        </w:rPr>
        <w:t>Lei nº 12.846, de 1º de agosto de 2013</w:t>
      </w:r>
      <w:r>
        <w:rPr>
          <w:rFonts w:ascii="Calibri" w:hAnsi="Calibri"/>
          <w:b w:val="0"/>
          <w:i w:val="0"/>
          <w:sz w:val="22"/>
        </w:rPr>
        <w:t xml:space="preserve"> (Lei Anticorrupção — LAC). O domínio do processo em curso condiciona quatro coisas: os </w:t>
      </w:r>
      <w:r>
        <w:rPr>
          <w:rFonts w:ascii="Calibri" w:hAnsi="Calibri"/>
          <w:b/>
          <w:i w:val="0"/>
          <w:sz w:val="22"/>
        </w:rPr>
        <w:t>papéis de depoente</w:t>
      </w:r>
      <w:r>
        <w:rPr>
          <w:rFonts w:ascii="Calibri" w:hAnsi="Calibri"/>
          <w:b w:val="0"/>
          <w:i w:val="0"/>
          <w:sz w:val="22"/>
        </w:rPr>
        <w:t xml:space="preserve"> disponíveis, a lista de </w:t>
      </w:r>
      <w:r>
        <w:rPr>
          <w:rFonts w:ascii="Calibri" w:hAnsi="Calibri"/>
          <w:b/>
          <w:i w:val="0"/>
          <w:sz w:val="22"/>
        </w:rPr>
        <w:t>categorias de infração</w:t>
      </w:r>
      <w:r>
        <w:rPr>
          <w:rFonts w:ascii="Calibri" w:hAnsi="Calibri"/>
          <w:b w:val="0"/>
          <w:i w:val="0"/>
          <w:sz w:val="22"/>
        </w:rPr>
        <w:t xml:space="preserve">, os </w:t>
      </w:r>
      <w:r>
        <w:rPr>
          <w:rFonts w:ascii="Calibri" w:hAnsi="Calibri"/>
          <w:b/>
          <w:i w:val="0"/>
          <w:sz w:val="22"/>
        </w:rPr>
        <w:t>blocos do banco de perguntas</w:t>
      </w:r>
      <w:r>
        <w:rPr>
          <w:rFonts w:ascii="Calibri" w:hAnsi="Calibri"/>
          <w:b w:val="0"/>
          <w:i w:val="0"/>
          <w:sz w:val="22"/>
        </w:rPr>
        <w:t xml:space="preserve"> e os itens do </w:t>
      </w:r>
      <w:r>
        <w:rPr>
          <w:rFonts w:ascii="Calibri" w:hAnsi="Calibri"/>
          <w:b/>
          <w:i w:val="0"/>
          <w:sz w:val="22"/>
        </w:rPr>
        <w:t>checklist</w:t>
      </w:r>
      <w:r>
        <w:rPr>
          <w:rFonts w:ascii="Calibri" w:hAnsi="Calibri"/>
          <w:b w:val="0"/>
          <w:i w:val="0"/>
          <w:sz w:val="22"/>
        </w:rPr>
        <w:t>. Tudo o mais — a estrutura de etapas, a geração do termo, o Kit de Incidentes, o Cartão de Mesa e o cálculo de hash na exportação — é idêntico nos dois domínios.</w:t>
      </w:r>
    </w:p>
    <w:p>
      <w:pPr>
        <w:spacing w:before="100" w:after="6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Arial Narrow" w:hAnsi="Arial Narrow"/>
          <w:b/>
          <w:color w:val="707070"/>
          <w:sz w:val="18"/>
        </w:rPr>
        <w:t xml:space="preserve">NOTA TERMINOLÓGICA — "NEXO" NESTA SEÇÃO  </w:t>
      </w:r>
      <w:r>
        <w:rPr>
          <w:rFonts w:ascii="Calibri" w:hAnsi="Calibri"/>
          <w:b w:val="0"/>
          <w:i w:val="0"/>
          <w:sz w:val="20"/>
        </w:rPr>
        <w:t>O termo "nexo" não aparece como conceito próprio do Oitiva 360; quando surgir nesta seção, será sempre parte do nome de uma ferramenta receptora (</w:t>
      </w:r>
      <w:r>
        <w:rPr>
          <w:rFonts w:ascii="Calibri" w:hAnsi="Calibri"/>
          <w:b/>
          <w:i w:val="0"/>
          <w:sz w:val="20"/>
        </w:rPr>
        <w:t>Nexo Coger</w:t>
      </w:r>
      <w:r>
        <w:rPr>
          <w:rFonts w:ascii="Calibri" w:hAnsi="Calibri"/>
          <w:b w:val="0"/>
          <w:i w:val="0"/>
          <w:sz w:val="20"/>
        </w:rPr>
        <w:t xml:space="preserve">, no domínio PAD, ou </w:t>
      </w:r>
      <w:r>
        <w:rPr>
          <w:rFonts w:ascii="Calibri" w:hAnsi="Calibri"/>
          <w:b/>
          <w:i w:val="0"/>
          <w:sz w:val="20"/>
        </w:rPr>
        <w:t>Nexo PAR</w:t>
      </w:r>
      <w:r>
        <w:rPr>
          <w:rFonts w:ascii="Calibri" w:hAnsi="Calibri"/>
          <w:b w:val="0"/>
          <w:i w:val="0"/>
          <w:sz w:val="20"/>
        </w:rPr>
        <w:t>, no domínio PAR) para onde o Oitiva 360 exporta pauta e retorno.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No canto superior da tela, um </w:t>
      </w:r>
      <w:r>
        <w:rPr>
          <w:rFonts w:ascii="Calibri" w:hAnsi="Calibri"/>
          <w:b/>
          <w:i w:val="0"/>
          <w:sz w:val="22"/>
        </w:rPr>
        <w:t>chip de domínio</w:t>
      </w:r>
      <w:r>
        <w:rPr>
          <w:rFonts w:ascii="Calibri" w:hAnsi="Calibri"/>
          <w:b w:val="0"/>
          <w:i w:val="0"/>
          <w:sz w:val="22"/>
        </w:rPr>
        <w:t xml:space="preserve"> (PAD, em azul-marinho, ou PAR, em dourado) indica sempre o domínio corrente do processo. Ele reflete diretamente o campo </w:t>
      </w:r>
      <w:r>
        <w:rPr>
          <w:rFonts w:ascii="Calibri" w:hAnsi="Calibri"/>
          <w:b/>
          <w:i w:val="0"/>
          <w:sz w:val="22"/>
        </w:rPr>
        <w:t>Domínio do processo</w:t>
      </w:r>
      <w:r>
        <w:rPr>
          <w:rFonts w:ascii="Calibri" w:hAnsi="Calibri"/>
          <w:b w:val="0"/>
          <w:i w:val="0"/>
          <w:sz w:val="22"/>
        </w:rPr>
        <w:t xml:space="preserve"> da Matriz de Apuração (Seção 5.1) e acompanha em tempo real qualquer troca de domínio — manual ou derivada da pauta importada.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5.1 Pré-requisito — Matriz de Apuração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39549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tiva-matriz-apura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395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13 — Cartão "Matriz de Apuração" — pré-requisito obrigatório antes de adicionar depoentes.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Antes de adicionar qualquer depoente, o Oitiva 360 exige o preenchimento completo do cartão </w:t>
      </w:r>
      <w:r>
        <w:rPr>
          <w:rFonts w:ascii="Calibri" w:hAnsi="Calibri"/>
          <w:b/>
          <w:i w:val="0"/>
          <w:sz w:val="22"/>
        </w:rPr>
        <w:t>"Matriz de Apuração (nível processo — obrigatória)"</w:t>
      </w:r>
      <w:r>
        <w:rPr>
          <w:rFonts w:ascii="Calibri" w:hAnsi="Calibri"/>
          <w:b w:val="0"/>
          <w:i w:val="0"/>
          <w:sz w:val="22"/>
        </w:rPr>
        <w:t>, com 4 campos de conteúdo, todos obrigatórios: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Conduta investigada</w:t>
      </w:r>
      <w:r>
        <w:rPr>
          <w:rFonts w:ascii="Calibri" w:hAnsi="Calibri"/>
          <w:b w:val="0"/>
          <w:i w:val="0"/>
          <w:sz w:val="22"/>
        </w:rPr>
        <w:t xml:space="preserve"> — "Qual ação ou omissão está sendo apurada?"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Investigado</w:t>
      </w:r>
      <w:r>
        <w:rPr>
          <w:rFonts w:ascii="Calibri" w:hAnsi="Calibri"/>
          <w:b w:val="0"/>
          <w:i w:val="0"/>
          <w:sz w:val="22"/>
        </w:rPr>
        <w:t xml:space="preserve"> — "Quem está, em tese, vinculado à conduta?"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Elementos disponíveis</w:t>
      </w:r>
      <w:r>
        <w:rPr>
          <w:rFonts w:ascii="Calibri" w:hAnsi="Calibri"/>
          <w:b w:val="0"/>
          <w:i w:val="0"/>
          <w:sz w:val="22"/>
        </w:rPr>
        <w:t xml:space="preserve"> — "Que provas/informações já constam dos autos?"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Hipótese investigativa</w:t>
      </w:r>
      <w:r>
        <w:rPr>
          <w:rFonts w:ascii="Calibri" w:hAnsi="Calibri"/>
          <w:b w:val="0"/>
          <w:i w:val="0"/>
          <w:sz w:val="22"/>
        </w:rPr>
        <w:t xml:space="preserve"> — "Qual a linha de raciocínio que conecta os fatos?"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MENSAGEM DO OITIVA 360  </w:t>
      </w:r>
      <w:r>
        <w:rPr>
          <w:rFonts w:ascii="Calibri" w:hAnsi="Calibri"/>
          <w:b w:val="0"/>
          <w:i w:val="0"/>
          <w:sz w:val="20"/>
        </w:rPr>
        <w:t>Preencha os quatro campos da Matriz de Apuração acima para habilitar a adição de depoentes — "roteiro sem matriz é roteiro cego".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Enquanto a matriz não estiver completa, o botão "Adicionar depoente" permanece desabilitado. O próprio código faz uma dupla checagem no clique, por segurança.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Campo Domínio do processo — a cascata de definição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Matriz de Apuração traz ainda um </w:t>
      </w:r>
      <w:r>
        <w:rPr>
          <w:rFonts w:ascii="Calibri" w:hAnsi="Calibri"/>
          <w:b/>
          <w:i w:val="0"/>
          <w:sz w:val="22"/>
        </w:rPr>
        <w:t>5º campo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"Domínio do processo"</w:t>
      </w:r>
      <w:r>
        <w:rPr>
          <w:rFonts w:ascii="Calibri" w:hAnsi="Calibri"/>
          <w:b w:val="0"/>
          <w:i w:val="0"/>
          <w:sz w:val="22"/>
        </w:rPr>
        <w:t xml:space="preserve"> (uma lista de seleção com os valores </w:t>
      </w:r>
      <w:r>
        <w:rPr>
          <w:rFonts w:ascii="Calibri" w:hAnsi="Calibri"/>
          <w:b/>
          <w:i w:val="0"/>
          <w:sz w:val="22"/>
        </w:rPr>
        <w:t>PAD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PAR</w:t>
      </w:r>
      <w:r>
        <w:rPr>
          <w:rFonts w:ascii="Calibri" w:hAnsi="Calibri"/>
          <w:b w:val="0"/>
          <w:i w:val="0"/>
          <w:sz w:val="22"/>
        </w:rPr>
        <w:t xml:space="preserve">), que decide se o processo corre no rito disciplinar (Lei nº 8.112, de 1990) ou no rito de responsabilização de entes privados (Lei nº 12.846, de 2013). É esse campo que sensibiliza os papéis, as categorias de infração, os blocos de perguntas e o checklist descritos adiante. Um processo novo nasce no domínio </w:t>
      </w:r>
      <w:r>
        <w:rPr>
          <w:rFonts w:ascii="Calibri" w:hAnsi="Calibri"/>
          <w:b/>
          <w:i w:val="0"/>
          <w:sz w:val="22"/>
        </w:rPr>
        <w:t>PAD</w:t>
      </w:r>
      <w:r>
        <w:rPr>
          <w:rFonts w:ascii="Calibri" w:hAnsi="Calibri"/>
          <w:b w:val="0"/>
          <w:i w:val="0"/>
          <w:sz w:val="22"/>
        </w:rPr>
        <w:t xml:space="preserve">. O valor efetivo do campo é definido por uma </w:t>
      </w:r>
      <w:r>
        <w:rPr>
          <w:rFonts w:ascii="Calibri" w:hAnsi="Calibri"/>
          <w:b/>
          <w:i w:val="0"/>
          <w:sz w:val="22"/>
        </w:rPr>
        <w:t>cascata</w:t>
      </w:r>
      <w:r>
        <w:rPr>
          <w:rFonts w:ascii="Calibri" w:hAnsi="Calibri"/>
          <w:b w:val="0"/>
          <w:i w:val="0"/>
          <w:sz w:val="22"/>
        </w:rPr>
        <w:t xml:space="preserve"> de quatro estágios: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Definição manual</w:t>
      </w:r>
      <w:r>
        <w:rPr>
          <w:rFonts w:ascii="Calibri" w:hAnsi="Calibri"/>
          <w:b w:val="0"/>
          <w:i w:val="0"/>
          <w:sz w:val="22"/>
        </w:rPr>
        <w:t xml:space="preserve"> — enquanto não houver pauta importada com domínio, o campo é uma lista </w:t>
      </w:r>
      <w:r>
        <w:rPr>
          <w:rFonts w:ascii="Calibri" w:hAnsi="Calibri"/>
          <w:b/>
          <w:i w:val="0"/>
          <w:sz w:val="22"/>
        </w:rPr>
        <w:t>editável</w:t>
      </w:r>
      <w:r>
        <w:rPr>
          <w:rFonts w:ascii="Calibri" w:hAnsi="Calibri"/>
          <w:b w:val="0"/>
          <w:i w:val="0"/>
          <w:sz w:val="22"/>
        </w:rPr>
        <w:t>: a comissão escolhe PAD ou PAR diretamente.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Derivação pela pauta</w:t>
      </w:r>
      <w:r>
        <w:rPr>
          <w:rFonts w:ascii="Calibri" w:hAnsi="Calibri"/>
          <w:b w:val="0"/>
          <w:i w:val="0"/>
          <w:sz w:val="22"/>
        </w:rPr>
        <w:t xml:space="preserve"> — ao importar uma pauta do Nexo Coger (domínio `pad`) ou do Nexo PAR (domínio `par`), o Oitiva 360 </w:t>
      </w:r>
      <w:r>
        <w:rPr>
          <w:rFonts w:ascii="Calibri" w:hAnsi="Calibri"/>
          <w:b/>
          <w:i w:val="0"/>
          <w:sz w:val="22"/>
        </w:rPr>
        <w:t>deriva</w:t>
      </w:r>
      <w:r>
        <w:rPr>
          <w:rFonts w:ascii="Calibri" w:hAnsi="Calibri"/>
          <w:b w:val="0"/>
          <w:i w:val="0"/>
          <w:sz w:val="22"/>
        </w:rPr>
        <w:t xml:space="preserve"> o domínio do processo do envelope da pauta e alinha o campo a esse valor.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Trava pela pauta</w:t>
      </w:r>
      <w:r>
        <w:rPr>
          <w:rFonts w:ascii="Calibri" w:hAnsi="Calibri"/>
          <w:b w:val="0"/>
          <w:i w:val="0"/>
          <w:sz w:val="22"/>
        </w:rPr>
        <w:t xml:space="preserve"> — uma vez derivado da pauta, o campo fica </w:t>
      </w:r>
      <w:r>
        <w:rPr>
          <w:rFonts w:ascii="Calibri" w:hAnsi="Calibri"/>
          <w:b/>
          <w:i w:val="0"/>
          <w:sz w:val="22"/>
        </w:rPr>
        <w:t>travado</w:t>
      </w:r>
      <w:r>
        <w:rPr>
          <w:rFonts w:ascii="Calibri" w:hAnsi="Calibri"/>
          <w:b w:val="0"/>
          <w:i w:val="0"/>
          <w:sz w:val="22"/>
        </w:rPr>
        <w:t xml:space="preserve"> (exibido, mas não editável), com o aviso "🔒 Domínio derivado da pauta importada do Nexo — não editável enquanto a pauta estiver vinculada.". A trava impede que o domínio derivado divirja da origem da pauta.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Confirmação de conflito</w:t>
      </w:r>
      <w:r>
        <w:rPr>
          <w:rFonts w:ascii="Calibri" w:hAnsi="Calibri"/>
          <w:b w:val="0"/>
          <w:i w:val="0"/>
          <w:sz w:val="22"/>
        </w:rPr>
        <w:t xml:space="preserve"> — se a pauta importada trouxer um domínio </w:t>
      </w:r>
      <w:r>
        <w:rPr>
          <w:rFonts w:ascii="Calibri" w:hAnsi="Calibri"/>
          <w:b/>
          <w:i w:val="0"/>
          <w:sz w:val="22"/>
        </w:rPr>
        <w:t>diferente</w:t>
      </w:r>
      <w:r>
        <w:rPr>
          <w:rFonts w:ascii="Calibri" w:hAnsi="Calibri"/>
          <w:b w:val="0"/>
          <w:i w:val="0"/>
          <w:sz w:val="22"/>
        </w:rPr>
        <w:t xml:space="preserve"> de um domínio já definido manualmente no processo, o Oitiva 360 </w:t>
      </w:r>
      <w:r>
        <w:rPr>
          <w:rFonts w:ascii="Calibri" w:hAnsi="Calibri"/>
          <w:b/>
          <w:i w:val="0"/>
          <w:sz w:val="22"/>
        </w:rPr>
        <w:t>pede confirmação antes de qualquer alteração</w:t>
      </w:r>
      <w:r>
        <w:rPr>
          <w:rFonts w:ascii="Calibri" w:hAnsi="Calibri"/>
          <w:b w:val="0"/>
          <w:i w:val="0"/>
          <w:sz w:val="22"/>
        </w:rPr>
        <w:t xml:space="preserve"> (ver a caixa abaixo). Cancelar recusa a importação inteira, de forma atômica; confirmar troca o domínio e trava o campo na origem da pauta.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TROCA DE DOMÍNIO — NADA É APAGADO SILENCIOSAMENTE  </w:t>
      </w:r>
      <w:r>
        <w:rPr>
          <w:rFonts w:ascii="Calibri" w:hAnsi="Calibri"/>
          <w:b/>
          <w:i w:val="0"/>
          <w:sz w:val="20"/>
        </w:rPr>
        <w:t>Troca manual com dados já cadastrados.</w:t>
      </w:r>
      <w:r>
        <w:rPr>
          <w:rFonts w:ascii="Calibri" w:hAnsi="Calibri"/>
          <w:b w:val="0"/>
          <w:i w:val="0"/>
          <w:sz w:val="20"/>
        </w:rPr>
        <w:t xml:space="preserve"> Se a comissão troca o domínio manualmente e já existem depoentes com papel ou categoria de infração de outro domínio, o Oitiva 360 exibe, </w:t>
      </w:r>
      <w:r>
        <w:rPr>
          <w:rFonts w:ascii="Calibri" w:hAnsi="Calibri"/>
          <w:b/>
          <w:i w:val="0"/>
          <w:sz w:val="20"/>
        </w:rPr>
        <w:t>antes de aplicar</w:t>
      </w:r>
      <w:r>
        <w:rPr>
          <w:rFonts w:ascii="Calibri" w:hAnsi="Calibri"/>
          <w:b w:val="0"/>
          <w:i w:val="0"/>
          <w:sz w:val="20"/>
        </w:rPr>
        <w:t xml:space="preserve">, um "Trocar o domínio do processo para &lt;PAD/PAR&gt; afeta dados já cadastrados:" que discrimina: as categorias de </w:t>
      </w:r>
      <w:r>
        <w:rPr>
          <w:rFonts w:ascii="Calibri" w:hAnsi="Calibri"/>
          <w:b/>
          <w:i w:val="0"/>
          <w:sz w:val="20"/>
        </w:rPr>
        <w:t>infração</w:t>
      </w:r>
      <w:r>
        <w:rPr>
          <w:rFonts w:ascii="Calibri" w:hAnsi="Calibri"/>
          <w:b w:val="0"/>
          <w:i w:val="0"/>
          <w:sz w:val="20"/>
        </w:rPr>
        <w:t xml:space="preserve"> de outro domínio, que </w:t>
      </w:r>
      <w:r>
        <w:rPr>
          <w:rFonts w:ascii="Calibri" w:hAnsi="Calibri"/>
          <w:b/>
          <w:i w:val="0"/>
          <w:sz w:val="20"/>
        </w:rPr>
        <w:t>serão LIMPAS</w:t>
      </w:r>
      <w:r>
        <w:rPr>
          <w:rFonts w:ascii="Calibri" w:hAnsi="Calibri"/>
          <w:b w:val="0"/>
          <w:i w:val="0"/>
          <w:sz w:val="20"/>
        </w:rPr>
        <w:t xml:space="preserve"> (voltam a "não definida"), e os </w:t>
      </w:r>
      <w:r>
        <w:rPr>
          <w:rFonts w:ascii="Calibri" w:hAnsi="Calibri"/>
          <w:b/>
          <w:i w:val="0"/>
          <w:sz w:val="20"/>
        </w:rPr>
        <w:t>papéis</w:t>
      </w:r>
      <w:r>
        <w:rPr>
          <w:rFonts w:ascii="Calibri" w:hAnsi="Calibri"/>
          <w:b w:val="0"/>
          <w:i w:val="0"/>
          <w:sz w:val="20"/>
        </w:rPr>
        <w:t xml:space="preserve"> que não existem no novo domínio, que </w:t>
      </w:r>
      <w:r>
        <w:rPr>
          <w:rFonts w:ascii="Calibri" w:hAnsi="Calibri"/>
          <w:b/>
          <w:i w:val="0"/>
          <w:sz w:val="20"/>
        </w:rPr>
        <w:t>serão MANTIDOS</w:t>
      </w:r>
      <w:r>
        <w:rPr>
          <w:rFonts w:ascii="Calibri" w:hAnsi="Calibri"/>
          <w:b w:val="0"/>
          <w:i w:val="0"/>
          <w:sz w:val="20"/>
        </w:rPr>
        <w:t xml:space="preserve"> (o dado não é apagado), apenas sinalizados "fora do domínio" para reclassificação. Recusar a confirmação reverte a seleção e nada é alterado.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CONFLITO PAUTA × DOMÍNIO MANUAL  </w:t>
      </w:r>
      <w:r>
        <w:rPr>
          <w:rFonts w:ascii="Calibri" w:hAnsi="Calibri"/>
          <w:b/>
          <w:i w:val="0"/>
          <w:sz w:val="20"/>
        </w:rPr>
        <w:t>Conflito de domínio na importação de pauta.</w:t>
      </w:r>
      <w:r>
        <w:rPr>
          <w:rFonts w:ascii="Calibri" w:hAnsi="Calibri"/>
          <w:b w:val="0"/>
          <w:i w:val="0"/>
          <w:sz w:val="20"/>
        </w:rPr>
        <w:t xml:space="preserve"> Quando a pauta importada diverge do domínio manual já definido, o Oitiva 360 pergunta: "Conflito de domínio na importação da pauta. A pauta importada é de domínio &lt;origem&gt;, mas este processo está configurado como &lt;atual&gt;. Confirmar TROCA o domínio do processo (…) e importa a pauta. Cancelar RECUSA a importação inteira — nenhum item de pauta será importado.". Ao cancelar, a importação é recusada de forma </w:t>
      </w:r>
      <w:r>
        <w:rPr>
          <w:rFonts w:ascii="Calibri" w:hAnsi="Calibri"/>
          <w:b/>
          <w:i w:val="0"/>
          <w:sz w:val="20"/>
        </w:rPr>
        <w:t>atômica</w:t>
      </w:r>
      <w:r>
        <w:rPr>
          <w:rFonts w:ascii="Calibri" w:hAnsi="Calibri"/>
          <w:b w:val="0"/>
          <w:i w:val="0"/>
          <w:sz w:val="20"/>
        </w:rPr>
        <w:t xml:space="preserve"> (nada é gravado) e aparece a mensagem-padrão de recusa por domínio (Seção 6.6).</w:t>
      </w:r>
    </w:p>
    <w:p>
      <w:pPr>
        <w:jc w:val="center"/>
      </w:pPr>
      <w:r>
        <w:rPr>
          <w:rFonts w:ascii="Calibri" w:hAnsi="Calibri"/>
          <w:i/>
          <w:color w:val="707070"/>
          <w:sz w:val="18"/>
        </w:rPr>
        <w:t>Figura 14 (pendente) — [CAPTURA PENDENTE — cartão Matriz de Apuração do Oitiva 360 com o 5º campo "Domínio do processo" (PAD/PAR) e o aviso de trava "🔒 derivado da pauta" quando há pauta importada vinculada.]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5.2 Diálogo "Adicionar depoente"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 diálogo pede apenas 2 campos, ambos obrigatórios: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Identificação</w:t>
      </w:r>
      <w:r>
        <w:rPr>
          <w:rFonts w:ascii="Calibri" w:hAnsi="Calibri"/>
          <w:b w:val="0"/>
          <w:i w:val="0"/>
          <w:sz w:val="22"/>
        </w:rPr>
        <w:t xml:space="preserve"> — texto livre (placeholder: </w:t>
      </w:r>
      <w:r>
        <w:rPr>
          <w:rFonts w:ascii="Calibri" w:hAnsi="Calibri"/>
          <w:b w:val="0"/>
          <w:i/>
          <w:sz w:val="22"/>
        </w:rPr>
        <w:t>Ex.: T-01 ou "Depoente A"</w:t>
      </w:r>
      <w:r>
        <w:rPr>
          <w:rFonts w:ascii="Calibri" w:hAnsi="Calibri"/>
          <w:b w:val="0"/>
          <w:i w:val="0"/>
          <w:sz w:val="22"/>
        </w:rPr>
        <w:t>), com aviso: "Use iniciais ou nome fictício — evite dados pessoais reais (LGPD).".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Elementos buscados com este depoente</w:t>
      </w:r>
      <w:r>
        <w:rPr>
          <w:rFonts w:ascii="Calibri" w:hAnsi="Calibri"/>
          <w:b w:val="0"/>
          <w:i w:val="0"/>
          <w:sz w:val="22"/>
        </w:rPr>
        <w:t xml:space="preserve"> — área de texto, com o apoio "Por que ouvir ESTA pessoa? O que ela pode trazer?".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Se qualquer um dos dois estiver vazio, o Oitiva 360 bloqueia com "Identificação e 'elementos buscados' são obrigatórios para adicionar o depoente.".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5.3 Etapa 1 — Dados do Ato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Todos os campos desta etapa são opcionais (não há validação bloqueante ao avançar). Reúnem os </w:t>
      </w:r>
      <w:r>
        <w:rPr>
          <w:rFonts w:ascii="Calibri" w:hAnsi="Calibri"/>
          <w:b/>
          <w:i w:val="0"/>
          <w:sz w:val="22"/>
        </w:rPr>
        <w:t>dados herdados do processo</w:t>
      </w:r>
      <w:r>
        <w:rPr>
          <w:rFonts w:ascii="Calibri" w:hAnsi="Calibri"/>
          <w:b w:val="0"/>
          <w:i w:val="0"/>
          <w:sz w:val="22"/>
        </w:rPr>
        <w:t xml:space="preserve"> — número do processo, portaria, presidente, secretário(a) e vogais (nome/cargo/matrícula de cada um) — e os </w:t>
      </w:r>
      <w:r>
        <w:rPr>
          <w:rFonts w:ascii="Calibri" w:hAnsi="Calibri"/>
          <w:b/>
          <w:i w:val="0"/>
          <w:sz w:val="22"/>
        </w:rPr>
        <w:t>dados do ato</w:t>
      </w:r>
      <w:r>
        <w:rPr>
          <w:rFonts w:ascii="Calibri" w:hAnsi="Calibri"/>
          <w:b w:val="0"/>
          <w:i w:val="0"/>
          <w:sz w:val="22"/>
        </w:rPr>
        <w:t xml:space="preserve">: data, hora, local; </w:t>
      </w:r>
      <w:r>
        <w:rPr>
          <w:rFonts w:ascii="Calibri" w:hAnsi="Calibri"/>
          <w:b/>
          <w:i w:val="0"/>
          <w:sz w:val="22"/>
        </w:rPr>
        <w:t>Modalidade</w:t>
      </w:r>
      <w:r>
        <w:rPr>
          <w:rFonts w:ascii="Calibri" w:hAnsi="Calibri"/>
          <w:b w:val="0"/>
          <w:i w:val="0"/>
          <w:sz w:val="22"/>
        </w:rPr>
        <w:t xml:space="preserve"> (Presencial ou Videoconferência); checkbox "Há defensor constituído presente?" (que, se marcada, revela nome e OAB do defensor); e um cartão opcional de "Estratégia da equipe" (quem pergunta, quem revisa, formato de abertura e momento de exibição de documentos).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5.4 Etapa 2 — Depoente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Reforça o aviso de LGPD ("Recomendamos usar iniciais ou nome fictício. Esta ferramenta não deve armazenar dados pessoais reais dos envolvidos") e pede novamente </w:t>
      </w:r>
      <w:r>
        <w:rPr>
          <w:rFonts w:ascii="Calibri" w:hAnsi="Calibri"/>
          <w:b/>
          <w:i w:val="0"/>
          <w:sz w:val="22"/>
        </w:rPr>
        <w:t>Identificação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Elementos buscados com este depoente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 lista de </w:t>
      </w:r>
      <w:r>
        <w:rPr>
          <w:rFonts w:ascii="Calibri" w:hAnsi="Calibri"/>
          <w:b/>
          <w:i w:val="0"/>
          <w:sz w:val="22"/>
        </w:rPr>
        <w:t>Papel do depoente</w:t>
      </w:r>
      <w:r>
        <w:rPr>
          <w:rFonts w:ascii="Calibri" w:hAnsi="Calibri"/>
          <w:b w:val="0"/>
          <w:i w:val="0"/>
          <w:sz w:val="22"/>
        </w:rPr>
        <w:t xml:space="preserve"> é </w:t>
      </w:r>
      <w:r>
        <w:rPr>
          <w:rFonts w:ascii="Calibri" w:hAnsi="Calibri"/>
          <w:b/>
          <w:i w:val="0"/>
          <w:sz w:val="22"/>
        </w:rPr>
        <w:t>filtrada pelo domínio do processo</w:t>
      </w:r>
      <w:r>
        <w:rPr>
          <w:rFonts w:ascii="Calibri" w:hAnsi="Calibri"/>
          <w:b w:val="0"/>
          <w:i w:val="0"/>
          <w:sz w:val="22"/>
        </w:rPr>
        <w:t xml:space="preserve"> (Seção 5.1). Quatro papéis são </w:t>
      </w:r>
      <w:r>
        <w:rPr>
          <w:rFonts w:ascii="Calibri" w:hAnsi="Calibri"/>
          <w:b/>
          <w:i w:val="0"/>
          <w:sz w:val="22"/>
        </w:rPr>
        <w:t>comuns</w:t>
      </w:r>
      <w:r>
        <w:rPr>
          <w:rFonts w:ascii="Calibri" w:hAnsi="Calibri"/>
          <w:b w:val="0"/>
          <w:i w:val="0"/>
          <w:sz w:val="22"/>
        </w:rPr>
        <w:t xml:space="preserve"> aos dois domínios; a diferença está no polo passivo: no PAD existe o papel </w:t>
      </w:r>
      <w:r>
        <w:rPr>
          <w:rFonts w:ascii="Calibri" w:hAnsi="Calibri"/>
          <w:b/>
          <w:i w:val="0"/>
          <w:sz w:val="22"/>
        </w:rPr>
        <w:t>Investigado/Acusado</w:t>
      </w:r>
      <w:r>
        <w:rPr>
          <w:rFonts w:ascii="Calibri" w:hAnsi="Calibri"/>
          <w:b w:val="0"/>
          <w:i w:val="0"/>
          <w:sz w:val="22"/>
        </w:rPr>
        <w:t xml:space="preserve">, que </w:t>
      </w:r>
      <w:r>
        <w:rPr>
          <w:rFonts w:ascii="Calibri" w:hAnsi="Calibri"/>
          <w:b/>
          <w:i w:val="0"/>
          <w:sz w:val="22"/>
        </w:rPr>
        <w:t>não existe no domínio PAR</w:t>
      </w:r>
      <w:r>
        <w:rPr>
          <w:rFonts w:ascii="Calibri" w:hAnsi="Calibri"/>
          <w:b w:val="0"/>
          <w:i w:val="0"/>
          <w:sz w:val="22"/>
        </w:rPr>
        <w:t xml:space="preserve"> — em seu lugar entram os três papéis do ente privado. A tabela abaixo mostra os dois lados: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1361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Domínio</w:t>
            </w:r>
          </w:p>
        </w:tc>
        <w:tc>
          <w:tcPr>
            <w:tcW w:type="dxa" w:w="5159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Descrição resumida</w:t>
            </w:r>
          </w:p>
        </w:tc>
      </w:tr>
      <w:tr>
        <w:tc>
          <w:tcPr>
            <w:tcW w:type="dxa" w:w="226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Testemunha</w:t>
            </w:r>
          </w:p>
        </w:tc>
        <w:tc>
          <w:tcPr>
            <w:tcW w:type="dxa" w:w="136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PAD e PAR</w:t>
            </w:r>
          </w:p>
        </w:tc>
        <w:tc>
          <w:tcPr>
            <w:tcW w:type="dxa" w:w="5159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Presta compromisso legal (art. 342, CP); dever de depor.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Declarante/Informante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PAD e PAR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 presta compromisso; colaboração voluntária.</w:t>
            </w:r>
          </w:p>
        </w:tc>
      </w:tr>
      <w:tr>
        <w:tc>
          <w:tcPr>
            <w:tcW w:type="dxa" w:w="226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Pessoa em Situação Indefinida</w:t>
            </w:r>
          </w:p>
        </w:tc>
        <w:tc>
          <w:tcPr>
            <w:tcW w:type="dxa" w:w="136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PAD e PAR</w:t>
            </w:r>
          </w:p>
        </w:tc>
        <w:tc>
          <w:tcPr>
            <w:tcW w:type="dxa" w:w="5159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Envolvimento possível, sem elementos para tratar como investigada; silêncio facultado por cautela.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Vítima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PAD e PAR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 presta compromisso; sujeita-se à denunciação caluniosa.</w:t>
            </w:r>
          </w:p>
        </w:tc>
      </w:tr>
      <w:tr>
        <w:tc>
          <w:tcPr>
            <w:tcW w:type="dxa" w:w="226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Investigado/Acusado</w:t>
            </w:r>
          </w:p>
        </w:tc>
        <w:tc>
          <w:tcPr>
            <w:tcW w:type="dxa" w:w="136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 PAD</w:t>
            </w:r>
          </w:p>
        </w:tc>
        <w:tc>
          <w:tcPr>
            <w:tcW w:type="dxa" w:w="5159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Não presta compromisso; direito ao silêncio (Lei nº 13.869, de 5 de setembro de 2019); interrogatório como último ato (art. 159). NÃO aparece no domínio PAR.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Representante legal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 PAR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Pessoa física que representa legalmente o ente privado (papel PAR do catálogo).</w:t>
            </w:r>
          </w:p>
        </w:tc>
      </w:tr>
      <w:tr>
        <w:tc>
          <w:tcPr>
            <w:tcW w:type="dxa" w:w="226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Preposto</w:t>
            </w:r>
          </w:p>
        </w:tc>
        <w:tc>
          <w:tcPr>
            <w:tcW w:type="dxa" w:w="136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 PAR</w:t>
            </w:r>
          </w:p>
        </w:tc>
        <w:tc>
          <w:tcPr>
            <w:tcW w:type="dxa" w:w="5159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Pessoa física que age em nome do ente privado (papel PAR do catálogo).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Sócio-administrador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 PAR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Sócio com poderes de administração do ente privado (papel PAR do catálogo).</w:t>
            </w:r>
          </w:p>
        </w:tc>
      </w:tr>
    </w:tbl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PAPEL FORA DO DOMÍNIO É PRESERVADO, SÓ SINALIZADO  </w:t>
      </w:r>
      <w:r>
        <w:rPr>
          <w:rFonts w:ascii="Calibri" w:hAnsi="Calibri"/>
          <w:b w:val="0"/>
          <w:i w:val="0"/>
          <w:sz w:val="20"/>
        </w:rPr>
        <w:t xml:space="preserve">Um depoente cadastrado com um papel que </w:t>
      </w:r>
      <w:r>
        <w:rPr>
          <w:rFonts w:ascii="Calibri" w:hAnsi="Calibri"/>
          <w:b/>
          <w:i w:val="0"/>
          <w:sz w:val="20"/>
        </w:rPr>
        <w:t>não existe</w:t>
      </w:r>
      <w:r>
        <w:rPr>
          <w:rFonts w:ascii="Calibri" w:hAnsi="Calibri"/>
          <w:b w:val="0"/>
          <w:i w:val="0"/>
          <w:sz w:val="20"/>
        </w:rPr>
        <w:t xml:space="preserve"> no domínio atual (por exemplo, um depoente "Investigado/Acusado" após a troca do processo para PAR) </w:t>
      </w:r>
      <w:r>
        <w:rPr>
          <w:rFonts w:ascii="Calibri" w:hAnsi="Calibri"/>
          <w:b/>
          <w:i w:val="0"/>
          <w:sz w:val="20"/>
        </w:rPr>
        <w:t>não é apagado</w:t>
      </w:r>
      <w:r>
        <w:rPr>
          <w:rFonts w:ascii="Calibri" w:hAnsi="Calibri"/>
          <w:b w:val="0"/>
          <w:i w:val="0"/>
          <w:sz w:val="20"/>
        </w:rPr>
        <w:t>: continua no estado, ainda aparece marcado no seletor e na lista de depoentes, mas recebe o rótulo "fora do domínio" para que a comissão o reclassifique. É o mesmo comportamento da cascata de domínio descrito na Seção 5.1.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Selecionar "Testemunha" com a infração "art. 132, IV — enriquecimento ilícito" (domínio PAD) revela um cartão adicional, "Terceiro interposto", com a checkbox "Este depoente é possível terceiro interposto (familiar/pessoa em cujo nome está bem sob suspeita)".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campo </w:t>
      </w:r>
      <w:r>
        <w:rPr>
          <w:rFonts w:ascii="Calibri" w:hAnsi="Calibri"/>
          <w:b/>
          <w:i w:val="0"/>
          <w:sz w:val="22"/>
        </w:rPr>
        <w:t>Categoria de infração</w:t>
      </w:r>
      <w:r>
        <w:rPr>
          <w:rFonts w:ascii="Calibri" w:hAnsi="Calibri"/>
          <w:b w:val="0"/>
          <w:i w:val="0"/>
          <w:sz w:val="22"/>
        </w:rPr>
        <w:t xml:space="preserve"> é uma lista de seleção com um campo de busca ao lado (por rótulo ou dispositivo — ex.: "sigilo", "art. 117, IX"), cujo conteúdo </w:t>
      </w:r>
      <w:r>
        <w:rPr>
          <w:rFonts w:ascii="Calibri" w:hAnsi="Calibri"/>
          <w:b/>
          <w:i w:val="0"/>
          <w:sz w:val="22"/>
        </w:rPr>
        <w:t>depende do domínio do processo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No domínio PAD</w:t>
      </w:r>
      <w:r>
        <w:rPr>
          <w:rFonts w:ascii="Calibri" w:hAnsi="Calibri"/>
          <w:b w:val="0"/>
          <w:i w:val="0"/>
          <w:sz w:val="22"/>
        </w:rPr>
        <w:t xml:space="preserve"> — a lista traz as normas da </w:t>
      </w:r>
      <w:r>
        <w:rPr>
          <w:rFonts w:ascii="Calibri" w:hAnsi="Calibri"/>
          <w:b/>
          <w:i w:val="0"/>
          <w:sz w:val="22"/>
        </w:rPr>
        <w:t>Lei nº 8.112, de 1990</w:t>
      </w:r>
      <w:r>
        <w:rPr>
          <w:rFonts w:ascii="Calibri" w:hAnsi="Calibri"/>
          <w:b w:val="0"/>
          <w:i w:val="0"/>
          <w:sz w:val="22"/>
        </w:rPr>
        <w:t>, e da LAI (</w:t>
      </w:r>
      <w:r>
        <w:rPr>
          <w:rFonts w:ascii="Calibri" w:hAnsi="Calibri"/>
          <w:b/>
          <w:i w:val="0"/>
          <w:sz w:val="22"/>
        </w:rPr>
        <w:t>Lei nº 12.527, de 18 de novembro de 2011</w:t>
      </w:r>
      <w:r>
        <w:rPr>
          <w:rFonts w:ascii="Calibri" w:hAnsi="Calibri"/>
          <w:b w:val="0"/>
          <w:i w:val="0"/>
          <w:sz w:val="22"/>
        </w:rPr>
        <w:t>), agrupadas por origem normativa, na mesma ordem vista no Nexo Coger: Lei 8.112/90 — Deveres (art. 116); Proibições (art. 117); Demissão (art. 132); Outras (art. 130); LAI; e Outras categorias.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No domínio PAR</w:t>
      </w:r>
      <w:r>
        <w:rPr>
          <w:rFonts w:ascii="Calibri" w:hAnsi="Calibri"/>
          <w:b w:val="0"/>
          <w:i w:val="0"/>
          <w:sz w:val="22"/>
        </w:rPr>
        <w:t xml:space="preserve"> — a lista é substituída pelas </w:t>
      </w:r>
      <w:r>
        <w:rPr>
          <w:rFonts w:ascii="Calibri" w:hAnsi="Calibri"/>
          <w:b/>
          <w:i w:val="0"/>
          <w:sz w:val="22"/>
        </w:rPr>
        <w:t>11 normas da LAC</w:t>
      </w:r>
      <w:r>
        <w:rPr>
          <w:rFonts w:ascii="Calibri" w:hAnsi="Calibri"/>
          <w:b w:val="0"/>
          <w:i w:val="0"/>
          <w:sz w:val="22"/>
        </w:rPr>
        <w:t xml:space="preserve"> (art. 5º da Lei nº 12.846, de 2013), distribuídas em dois optgroups — "Atos de corrupção em geral" e "Licitações e contratos" — exatamente como o seletor de enquadramento do Nexo PAR (Seção 4.4). Ao selecionar uma norma LAC, sua </w:t>
      </w:r>
      <w:r>
        <w:rPr>
          <w:rFonts w:ascii="Calibri" w:hAnsi="Calibri"/>
          <w:b/>
          <w:i w:val="0"/>
          <w:sz w:val="22"/>
        </w:rPr>
        <w:t>nota de aplicação</w:t>
      </w:r>
      <w:r>
        <w:rPr>
          <w:rFonts w:ascii="Calibri" w:hAnsi="Calibri"/>
          <w:b w:val="0"/>
          <w:i w:val="0"/>
          <w:sz w:val="22"/>
        </w:rPr>
        <w:t xml:space="preserve"> aparece como hint (📌).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Há ainda um cartão opcional "Perfil do depoente", com </w:t>
      </w:r>
      <w:r>
        <w:rPr>
          <w:rFonts w:ascii="Calibri" w:hAnsi="Calibri"/>
          <w:b/>
          <w:i w:val="0"/>
          <w:sz w:val="22"/>
        </w:rPr>
        <w:t>Nível de conhecimento dos fatos</w:t>
      </w:r>
      <w:r>
        <w:rPr>
          <w:rFonts w:ascii="Calibri" w:hAnsi="Calibri"/>
          <w:b w:val="0"/>
          <w:i w:val="0"/>
          <w:sz w:val="22"/>
        </w:rPr>
        <w:t xml:space="preserve"> (Não definido, Presenciou diretamente, Ouviu de participante direto, Teve acesso a documentos/registros, Ouviu dizer) e </w:t>
      </w:r>
      <w:r>
        <w:rPr>
          <w:rFonts w:ascii="Calibri" w:hAnsi="Calibri"/>
          <w:b/>
          <w:i w:val="0"/>
          <w:sz w:val="22"/>
        </w:rPr>
        <w:t>Vínculos com investigado/vítima/administração</w:t>
      </w:r>
      <w:r>
        <w:rPr>
          <w:rFonts w:ascii="Calibri" w:hAnsi="Calibri"/>
          <w:b w:val="0"/>
          <w:i w:val="0"/>
          <w:sz w:val="22"/>
        </w:rPr>
        <w:t xml:space="preserve"> (texto livre).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Para avançar da Etapa 2 para a Etapa 3, são exigidos exatamente </w:t>
      </w:r>
      <w:r>
        <w:rPr>
          <w:rFonts w:ascii="Calibri" w:hAnsi="Calibri"/>
          <w:b/>
          <w:i w:val="0"/>
          <w:sz w:val="22"/>
        </w:rPr>
        <w:t>4 campos</w:t>
      </w:r>
      <w:r>
        <w:rPr>
          <w:rFonts w:ascii="Calibri" w:hAnsi="Calibri"/>
          <w:b w:val="0"/>
          <w:i w:val="0"/>
          <w:sz w:val="22"/>
        </w:rPr>
        <w:t>: Identificação, Elementos buscados, Papel do depoente e Categoria de infração. Faltando algum, o usuário permanece na Etapa 2 e vê a mensagem "Para avançar, preencha: " seguida da lista dos itens faltantes.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5.5 Registro de perguntas e respostas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Etapa 3 — Montagem do Roteiro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roteiro é </w:t>
      </w:r>
      <w:r>
        <w:rPr>
          <w:rFonts w:ascii="Calibri" w:hAnsi="Calibri"/>
          <w:b/>
          <w:i w:val="0"/>
          <w:sz w:val="22"/>
        </w:rPr>
        <w:t>gerado automaticamente</w:t>
      </w:r>
      <w:r>
        <w:rPr>
          <w:rFonts w:ascii="Calibri" w:hAnsi="Calibri"/>
          <w:b w:val="0"/>
          <w:i w:val="0"/>
          <w:sz w:val="22"/>
        </w:rPr>
        <w:t xml:space="preserve"> a partir da combinação de papel + infração (e, se aplicável, da marcação de terceiro interposto), organizado em 13 blocos fixos (Preparação e cenário; Acolhimento e identificação dos presentes; Abertura formal; Avisos legais e LGPD; Qualificação, praxe e compromisso/advertências; Abertura para objeções da defesa; Contexto funcional; Materialidade; Autoria e participação; Elemento subjetivo (dolo/culpa); Circunstâncias do art. 128; Palavra à defesa/reperguntas; Fechamento). Nesta etapa o usuário pode adicionar, editar ou remover perguntas — as perguntas de praxe da testemunha são fixas e não podem ser removidas. Um botão "Regenerar roteiro" substitui todas as perguntas atuais (inclusive as adicionadas manualmente) pelas sugestões do banco, mediante confirmação. </w:t>
      </w:r>
      <w:r>
        <w:rPr>
          <w:rFonts w:ascii="Calibri" w:hAnsi="Calibri"/>
          <w:b/>
          <w:i w:val="0"/>
          <w:sz w:val="22"/>
        </w:rPr>
        <w:t>Não há registro de resposta nesta etapa.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banco de perguntas é sensível ao domínio</w:t>
      </w:r>
      <w:r>
        <w:rPr>
          <w:rFonts w:ascii="Calibri" w:hAnsi="Calibri"/>
          <w:b w:val="0"/>
          <w:i w:val="0"/>
          <w:sz w:val="22"/>
        </w:rPr>
        <w:t xml:space="preserve">. No domínio PAD, aparecem os blocos próprios do rito disciplinar — inclusive "Elemento subjetivo (dolo/culpa)" e "Circunstâncias do art. 128", institutos exclusivos do PAD (a responsabilização do ente privado é objetiva, art. 2º da Lei nº 12.846, de 2013, e não perquire dolo ou culpa). No domínio PAR, esses dois blocos PAD deixam de ser oferecidos e surgem </w:t>
      </w:r>
      <w:r>
        <w:rPr>
          <w:rFonts w:ascii="Calibri" w:hAnsi="Calibri"/>
          <w:b/>
          <w:i w:val="0"/>
          <w:sz w:val="22"/>
        </w:rPr>
        <w:t>três blocos de perguntas próprios da LAC</w:t>
      </w:r>
      <w:r>
        <w:rPr>
          <w:rFonts w:ascii="Calibri" w:hAnsi="Calibri"/>
          <w:b w:val="0"/>
          <w:i w:val="0"/>
          <w:sz w:val="22"/>
        </w:rPr>
        <w:t>, descritos aqui por finalidade (as perguntas literais ficam no banco da ferramenta):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Licitações e contratos</w:t>
      </w:r>
      <w:r>
        <w:rPr>
          <w:rFonts w:ascii="Calibri" w:hAnsi="Calibri"/>
          <w:b w:val="0"/>
          <w:i w:val="0"/>
          <w:sz w:val="22"/>
        </w:rPr>
        <w:t xml:space="preserve"> — explora as condutas do art. 5º, IV, da LAC: frustração ou fraude ao caráter competitivo de licitação, afastamento de licitante, fraude a contrato administrativo e manipulação do equilíbrio econômico-financeiro do contrato.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Terceiro interposto</w:t>
      </w:r>
      <w:r>
        <w:rPr>
          <w:rFonts w:ascii="Calibri" w:hAnsi="Calibri"/>
          <w:b w:val="0"/>
          <w:i w:val="0"/>
          <w:sz w:val="22"/>
        </w:rPr>
        <w:t xml:space="preserve"> — investiga a atuação por interposta pessoa e a ocultação de reais beneficiários (art. 5º, III e II, da LAC): quem intermediou, em nome de quem, e qual o proveito do ente privado.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/>
          <w:i w:val="0"/>
          <w:sz w:val="22"/>
        </w:rPr>
        <w:t>Programa de integridade</w:t>
      </w:r>
      <w:r>
        <w:rPr>
          <w:rFonts w:ascii="Calibri" w:hAnsi="Calibri"/>
          <w:b w:val="0"/>
          <w:i w:val="0"/>
          <w:sz w:val="22"/>
        </w:rPr>
        <w:t xml:space="preserve"> — apura a existência, a abrangência e o funcionamento efetivo do programa de integridade (compliance) do ente, elemento relevante para a dosimetria da futura multa.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Etapa 4 — Respostas registradas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809066" cy="71999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tiva-rodada-perguntas-respost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9066" cy="7199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15 — Etapa 4 — registro das respostas dadas pelo depoente, uma pergunta por vez.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Para cada pergunta do roteiro, o Oitiva 360 mostra o texto da pergunta e </w:t>
      </w:r>
      <w:r>
        <w:rPr>
          <w:rFonts w:ascii="Calibri" w:hAnsi="Calibri"/>
          <w:b/>
          <w:i w:val="0"/>
          <w:sz w:val="22"/>
        </w:rPr>
        <w:t>uma única área de texto</w:t>
      </w:r>
      <w:r>
        <w:rPr>
          <w:rFonts w:ascii="Calibri" w:hAnsi="Calibri"/>
          <w:b w:val="0"/>
          <w:i w:val="0"/>
          <w:sz w:val="22"/>
        </w:rPr>
        <w:t xml:space="preserve"> para a resposta, com o placeholder "Resposta dada pelo(a) depoente".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Calibri" w:hAnsi="Calibri"/>
          <w:b w:val="0"/>
          <w:i w:val="0"/>
          <w:sz w:val="20"/>
        </w:rPr>
        <w:t>Não existe campo auxiliar de observação nem de marcação de relevância por pergunta — o único controle disponível, por pergunta, é a área de texto da resposta. Se sua rotina de trabalho pressupõe anotar observações à parte, registre-as em outro documento; o Oitiva 360 não oferece esse campo.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Se o papel do depoente tiver direito ao silêncio e esse direito tiver sido exercido, a seção inteira exibe apenas o texto "Direito ao silêncio exercido — nenhuma pergunta foi dirigida ao(à) depoente nesta sessão.", sem áreas de resposta.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5.6 Geração do termo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6400" cy="23693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tiva-termo-f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6400" cy="2369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16 — Termo de redução gerado automaticamente ao entrar na Etapa 4.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termo é </w:t>
      </w:r>
      <w:r>
        <w:rPr>
          <w:rFonts w:ascii="Calibri" w:hAnsi="Calibri"/>
          <w:b/>
          <w:i w:val="0"/>
          <w:sz w:val="22"/>
        </w:rPr>
        <w:t>gerado automaticamente ao entrar na Etapa 4</w:t>
      </w:r>
      <w:r>
        <w:rPr>
          <w:rFonts w:ascii="Calibri" w:hAnsi="Calibri"/>
          <w:b w:val="0"/>
          <w:i w:val="0"/>
          <w:sz w:val="22"/>
        </w:rPr>
        <w:t>, sem nenhum portão formal de bloqueio — não há checagem que impeça a geração por campos vazios. Campos ainda não preenchidos (hora, local, portaria, presidente, vogais, secretário, nome) aparecem no texto gerado como traços de preenchimento ("____"), em vez de impedir a geração.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 estrutura do termo gerado segue, nesta ordem: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Cabeçalho — "TERMO DE INTERROGATÓRIO" (acusado), "TERMO DE OITIVA DE TESTEMUNHA" (testemunha) ou "TERMO DE OITIVA" (demais papéis).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Parágrafo de abertura/qualificação — data por extenso, hora, local, portaria, composição da comissão, nome do depoente e papel.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Parágrafo de qualificação civil/funcional.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Parágrafo de compromisso/advertências — varia conforme o papel (compromisso legal para testemunha; silêncio constitucional para acusado; silêncio por cautela para pessoa em situação indefinida; isenção de compromisso com advertência de denunciação caluniosa para vítima; colaboração voluntária para declarante/informante).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Corpo de perguntas e respostas, na ordem do roteiro.</w:t>
      </w:r>
    </w:p>
    <w:p>
      <w:pPr>
        <w:spacing w:after="60" w:line="270" w:lineRule="exact"/>
        <w:ind w:left="397"/>
        <w:jc w:val="both"/>
      </w:pPr>
      <w:r>
        <w:t xml:space="preserve">— </w:t>
      </w:r>
      <w:r>
        <w:rPr>
          <w:rFonts w:ascii="Calibri" w:hAnsi="Calibri"/>
          <w:b w:val="0"/>
          <w:i w:val="0"/>
          <w:sz w:val="22"/>
        </w:rPr>
        <w:t>Fecho fixo de encerramento e bloco de assinaturas (Presidente, Vogal(is), Secretário(a)).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O texto do termo pode ser editado diretamente na área de texto do próprio termo (edições manuais ficam salvas); um botão "Regenerar termo" substitui o texto atual (inclusive edições manuais) pelo modelo padrão, mediante confirmação.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5.7 Checklist pré-oitiva e alertas de nulidade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Ainda na Etapa 4, o </w:t>
      </w:r>
      <w:r>
        <w:rPr>
          <w:rFonts w:ascii="Calibri" w:hAnsi="Calibri"/>
          <w:b/>
          <w:i w:val="0"/>
          <w:sz w:val="22"/>
        </w:rPr>
        <w:t>Checklist pré-oitiva</w:t>
      </w:r>
      <w:r>
        <w:rPr>
          <w:rFonts w:ascii="Calibri" w:hAnsi="Calibri"/>
          <w:b w:val="0"/>
          <w:i w:val="0"/>
          <w:sz w:val="22"/>
        </w:rPr>
        <w:t xml:space="preserve"> reúne itens sempre aplicáveis (revisão da matriz, intimação regular, roteiro revisado, documentos separados, ambiente e trajes adequados) mais itens condicionais conforme o papel do depoente (por exemplo, para o papel Acusado: notificação com 3 dias úteis de antecedência, interrogatório como último ato, advertências obrigatórias), a modalidade (videoconferência: teste de conexão, avisos de gravação/LGPD) e a infração (enriquecimento ilícito: documentação patrimonial, identificação de terceiros interpostos).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Os </w:t>
      </w:r>
      <w:r>
        <w:rPr>
          <w:rFonts w:ascii="Calibri" w:hAnsi="Calibri"/>
          <w:b/>
          <w:i w:val="0"/>
          <w:sz w:val="22"/>
        </w:rPr>
        <w:t>Alertas de nulidade</w:t>
      </w:r>
      <w:r>
        <w:rPr>
          <w:rFonts w:ascii="Calibri" w:hAnsi="Calibri"/>
          <w:b w:val="0"/>
          <w:i w:val="0"/>
          <w:sz w:val="22"/>
        </w:rPr>
        <w:t xml:space="preserve"> comparam os itens de checklist obrigatórios para o papel selecionado contra os já marcados: se houver pendentes, lista-os; se todos estiverem confirmados, mostra confirmação positiva; se o papel não tiver exigências específicas, mostra um texto neutro.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No </w:t>
      </w:r>
      <w:r>
        <w:rPr>
          <w:rFonts w:ascii="Calibri" w:hAnsi="Calibri"/>
          <w:b/>
          <w:i w:val="0"/>
          <w:sz w:val="22"/>
        </w:rPr>
        <w:t>domínio PAR</w:t>
      </w:r>
      <w:r>
        <w:rPr>
          <w:rFonts w:ascii="Calibri" w:hAnsi="Calibri"/>
          <w:b w:val="0"/>
          <w:i w:val="0"/>
          <w:sz w:val="22"/>
        </w:rPr>
        <w:t xml:space="preserve">, o checklist ganha itens condicionais próprios, cruzando o </w:t>
      </w:r>
      <w:r>
        <w:rPr>
          <w:rFonts w:ascii="Calibri" w:hAnsi="Calibri"/>
          <w:b/>
          <w:i w:val="0"/>
          <w:sz w:val="22"/>
        </w:rPr>
        <w:t>papel PAR</w:t>
      </w:r>
      <w:r>
        <w:rPr>
          <w:rFonts w:ascii="Calibri" w:hAnsi="Calibri"/>
          <w:b w:val="0"/>
          <w:i w:val="0"/>
          <w:sz w:val="22"/>
        </w:rPr>
        <w:t xml:space="preserve"> do depoente com o </w:t>
      </w:r>
      <w:r>
        <w:rPr>
          <w:rFonts w:ascii="Calibri" w:hAnsi="Calibri"/>
          <w:b/>
          <w:i w:val="0"/>
          <w:sz w:val="22"/>
        </w:rPr>
        <w:t>grupo de ato lesivo</w:t>
      </w:r>
      <w:r>
        <w:rPr>
          <w:rFonts w:ascii="Calibri" w:hAnsi="Calibri"/>
          <w:b w:val="0"/>
          <w:i w:val="0"/>
          <w:sz w:val="22"/>
        </w:rPr>
        <w:t xml:space="preserve"> apurado, mais um item </w:t>
      </w:r>
      <w:r>
        <w:rPr>
          <w:rFonts w:ascii="Calibri" w:hAnsi="Calibri"/>
          <w:b/>
          <w:i w:val="0"/>
          <w:sz w:val="22"/>
        </w:rPr>
        <w:t>transversal</w:t>
      </w:r>
      <w:r>
        <w:rPr>
          <w:rFonts w:ascii="Calibri" w:hAnsi="Calibri"/>
          <w:b w:val="0"/>
          <w:i w:val="0"/>
          <w:sz w:val="22"/>
        </w:rPr>
        <w:t xml:space="preserve"> que aparece em toda combinação PAR — a confirmação de que o </w:t>
      </w:r>
      <w:r>
        <w:rPr>
          <w:rFonts w:ascii="Calibri" w:hAnsi="Calibri"/>
          <w:b/>
          <w:i w:val="0"/>
          <w:sz w:val="22"/>
        </w:rPr>
        <w:t>benefício/interesse do ente e o nexo de causalidade</w:t>
      </w:r>
      <w:r>
        <w:rPr>
          <w:rFonts w:ascii="Calibri" w:hAnsi="Calibri"/>
          <w:b w:val="0"/>
          <w:i w:val="0"/>
          <w:sz w:val="22"/>
        </w:rPr>
        <w:t xml:space="preserve"> (art. 2º da Lei nº 12.846, de 2013) estão descritos. Nenhum desses itens ativa em processos PAD: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Condição (domínio PAR)</w:t>
            </w:r>
          </w:p>
        </w:tc>
        <w:tc>
          <w:tcPr>
            <w:tcW w:type="dxa" w:w="5669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Quando o item entra no checklist</w:t>
            </w:r>
          </w:p>
        </w:tc>
      </w:tr>
      <w:tr>
        <w:tc>
          <w:tcPr>
            <w:tcW w:type="dxa" w:w="311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Transversal — benefício/nexo causal</w:t>
            </w:r>
          </w:p>
        </w:tc>
        <w:tc>
          <w:tcPr>
            <w:tcW w:type="dxa" w:w="5669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Sempre que o processo está no domínio PAR, em qualquer combinação de papel e infração.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Papel PAR (qualquer)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Depoente com papel Representante legal, Preposto ou Sócio-administrador.</w:t>
            </w:r>
          </w:p>
        </w:tc>
      </w:tr>
      <w:tr>
        <w:tc>
          <w:tcPr>
            <w:tcW w:type="dxa" w:w="311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Sócio-administrador</w:t>
            </w:r>
          </w:p>
        </w:tc>
        <w:tc>
          <w:tcPr>
            <w:tcW w:type="dxa" w:w="5669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Depoente especificamente no papel Sócio-administrador.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Representante legal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Depoente especificamente no papel Representante legal.</w:t>
            </w:r>
          </w:p>
        </w:tc>
      </w:tr>
      <w:tr>
        <w:tc>
          <w:tcPr>
            <w:tcW w:type="dxa" w:w="311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Grupo "Licitações e contratos"</w:t>
            </w:r>
          </w:p>
        </w:tc>
        <w:tc>
          <w:tcPr>
            <w:tcW w:type="dxa" w:w="5669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Infração enquadrada em uma norma LAC do grupo de licitações e contratos (art. 5º, IV).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Ato de terceiro interposto (art. 5º, III)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Infração enquadrada na norma da LAC de terceiro interposto/ocultação de beneficiário.</w:t>
            </w:r>
          </w:p>
        </w:tc>
      </w:tr>
    </w:tbl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5.8 Gerenciar múltiplos depoentes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Antes de entrar no wizard de qualquer depoente específico, a Tela do Processo mostra a </w:t>
      </w:r>
      <w:r>
        <w:rPr>
          <w:rFonts w:ascii="Calibri" w:hAnsi="Calibri"/>
          <w:b/>
          <w:i w:val="0"/>
          <w:sz w:val="22"/>
        </w:rPr>
        <w:t>lista de depoentes já cadastrados</w:t>
      </w:r>
      <w:r>
        <w:rPr>
          <w:rFonts w:ascii="Calibri" w:hAnsi="Calibri"/>
          <w:b w:val="0"/>
          <w:i w:val="0"/>
          <w:sz w:val="22"/>
        </w:rPr>
        <w:t xml:space="preserve"> — colunas Identificação, Papel, Infração, Status e ações. O </w:t>
      </w:r>
      <w:r>
        <w:rPr>
          <w:rFonts w:ascii="Calibri" w:hAnsi="Calibri"/>
          <w:b/>
          <w:i w:val="0"/>
          <w:sz w:val="22"/>
        </w:rPr>
        <w:t>Status</w:t>
      </w:r>
      <w:r>
        <w:rPr>
          <w:rFonts w:ascii="Calibri" w:hAnsi="Calibri"/>
          <w:b w:val="0"/>
          <w:i w:val="0"/>
          <w:sz w:val="22"/>
        </w:rPr>
        <w:t xml:space="preserve"> exibido é o do progresso do próprio depoente no wizard ("Rascunho", "Roteiro pronto" ou "Oitiva realizada") — não é o mesmo conceito do status de item de pauta tratado na Seção 5.11 abaixo. Se não houver nenhum depoente ainda, a lista mostra "Nenhum depoente adicionado ainda.".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00000" cy="72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tiva-lista-depoen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17 — Lista de depoentes cadastrados na Tela do Processo.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Cada linha da lista tem dois botões: </w:t>
      </w:r>
      <w:r>
        <w:rPr>
          <w:rFonts w:ascii="Calibri" w:hAnsi="Calibri"/>
          <w:b/>
          <w:i w:val="0"/>
          <w:sz w:val="22"/>
        </w:rPr>
        <w:t>"Abrir depoente"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"Remover"</w:t>
      </w:r>
      <w:r>
        <w:rPr>
          <w:rFonts w:ascii="Calibri" w:hAnsi="Calibri"/>
          <w:b w:val="0"/>
          <w:i w:val="0"/>
          <w:sz w:val="22"/>
        </w:rPr>
        <w:t>. Não existe navegação de "próximo/anterior" entre depoentes — para alternar, é preciso fechar o wizard do depoente atual (o que devolve à lista) e clicar em "Abrir depoente" na linha desejada.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EDIÇÃO SEMPRE REABRE NA ETAPA 1  </w:t>
      </w:r>
      <w:r>
        <w:rPr>
          <w:rFonts w:ascii="Calibri" w:hAnsi="Calibri"/>
          <w:b w:val="0"/>
          <w:i w:val="0"/>
          <w:sz w:val="20"/>
        </w:rPr>
        <w:t xml:space="preserve">Reabrir um depoente já cadastrado </w:t>
      </w:r>
      <w:r>
        <w:rPr>
          <w:rFonts w:ascii="Calibri" w:hAnsi="Calibri"/>
          <w:b/>
          <w:i w:val="0"/>
          <w:sz w:val="20"/>
        </w:rPr>
        <w:t>sempre volta para a Etapa 1 ("Dados do Ato")</w:t>
      </w:r>
      <w:r>
        <w:rPr>
          <w:rFonts w:ascii="Calibri" w:hAnsi="Calibri"/>
          <w:b w:val="0"/>
          <w:i w:val="0"/>
          <w:sz w:val="20"/>
        </w:rPr>
        <w:t>, mesmo que o wizard já esteja concluído ("Oitiva realizada") — não há memória da última etapa visitada. É preciso navegar manualmente pelo stepper (1 → 2 → 3 → 4) até a etapa que se deseja editar; os dados já preenchidos permanecem salvos e apenas são re-renderizados.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 remoção de um depoente é feita apenas pelo botão "Remover" da lista (não há atalho de remoção de dentro do wizard) e pede confirmação: "Remover o depoente '&lt;identificação&gt;'? Esta ação não pode ser desfeita.". Não há lixeira nem desfazer — a remoção é definitiva a partir da confirmação.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5.9 Kit de Incidentes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Kit de Incidentes</w:t>
      </w:r>
      <w:r>
        <w:rPr>
          <w:rFonts w:ascii="Calibri" w:hAnsi="Calibri"/>
          <w:b w:val="0"/>
          <w:i w:val="0"/>
          <w:sz w:val="22"/>
        </w:rPr>
        <w:t xml:space="preserve"> é um banco de </w:t>
      </w:r>
      <w:r>
        <w:rPr>
          <w:rFonts w:ascii="Calibri" w:hAnsi="Calibri"/>
          <w:b/>
          <w:i w:val="0"/>
          <w:sz w:val="22"/>
        </w:rPr>
        <w:t>17 fórmulas verbais prontas</w:t>
      </w:r>
      <w:r>
        <w:rPr>
          <w:rFonts w:ascii="Calibri" w:hAnsi="Calibri"/>
          <w:b w:val="0"/>
          <w:i w:val="0"/>
          <w:sz w:val="22"/>
        </w:rPr>
        <w:t>, agrupadas por categoria (Postura da defesa, Depoimento do depoente, Condução do ato, Cuidado com o depoente, Táticas de desestabilização etc.), para o condutor da sessão usar diante de situações específicas durante a oitiva ou o interrogatório — contradita, intimidação, pergunta ofensiva, pergunta indutiva, imprecisão do depoente, contradição/possível falso testemunho, questão de ordem, abalo emocional, entre outras.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10849" cy="71999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tiva-kit-situaco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0849" cy="71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18 — Kit de Incidentes — painel lateral com fórmulas verbais agrupadas por categoria.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Fica disponível como </w:t>
      </w:r>
      <w:r>
        <w:rPr>
          <w:rFonts w:ascii="Calibri" w:hAnsi="Calibri"/>
          <w:b/>
          <w:i w:val="0"/>
          <w:sz w:val="22"/>
        </w:rPr>
        <w:t>painel lateral fixo, sempre visível, nas Etapas 3 e 4</w:t>
      </w:r>
      <w:r>
        <w:rPr>
          <w:rFonts w:ascii="Calibri" w:hAnsi="Calibri"/>
          <w:b w:val="0"/>
          <w:i w:val="0"/>
          <w:sz w:val="22"/>
        </w:rPr>
        <w:t xml:space="preserve"> do wizard — o presidente consulta a fórmula sugerida durante a sessão, sem precisar buscar.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Calibri" w:hAnsi="Calibri"/>
          <w:b w:val="0"/>
          <w:i w:val="0"/>
          <w:sz w:val="20"/>
        </w:rPr>
        <w:t xml:space="preserve">O Kit de Incidentes é </w:t>
      </w:r>
      <w:r>
        <w:rPr>
          <w:rFonts w:ascii="Calibri" w:hAnsi="Calibri"/>
          <w:b/>
          <w:i w:val="0"/>
          <w:sz w:val="20"/>
        </w:rPr>
        <w:t>puramente conteúdo de apoio ao vivo</w:t>
      </w:r>
      <w:r>
        <w:rPr>
          <w:rFonts w:ascii="Calibri" w:hAnsi="Calibri"/>
          <w:b w:val="0"/>
          <w:i w:val="0"/>
          <w:sz w:val="20"/>
        </w:rPr>
        <w:t xml:space="preserve"> — consultá-lo não grava nada no processo. Não é um botão de ação nem um formulário; é só a fórmula verbal pronta para o presidente usar na hora.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5.10 Cartão de Mesa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botão </w:t>
      </w:r>
      <w:r>
        <w:rPr>
          <w:rFonts w:ascii="Calibri" w:hAnsi="Calibri"/>
          <w:b/>
          <w:i w:val="0"/>
          <w:sz w:val="22"/>
        </w:rPr>
        <w:t>"Imprimir Cartão de Mesa"</w:t>
      </w:r>
      <w:r>
        <w:rPr>
          <w:rFonts w:ascii="Calibri" w:hAnsi="Calibri"/>
          <w:b w:val="0"/>
          <w:i w:val="0"/>
          <w:sz w:val="22"/>
        </w:rPr>
        <w:t xml:space="preserve">, na Etapa 4 ("Revisão e Checklist"), gera uma versão impressa do Kit de Incidentes: uma </w:t>
      </w:r>
      <w:r>
        <w:rPr>
          <w:rFonts w:ascii="Calibri" w:hAnsi="Calibri"/>
          <w:b/>
          <w:i w:val="0"/>
          <w:sz w:val="22"/>
        </w:rPr>
        <w:t>grade de duas colunas</w:t>
      </w:r>
      <w:r>
        <w:rPr>
          <w:rFonts w:ascii="Calibri" w:hAnsi="Calibri"/>
          <w:b w:val="0"/>
          <w:i w:val="0"/>
          <w:sz w:val="22"/>
        </w:rPr>
        <w:t xml:space="preserve"> com a situação (em negrito) e a fórmula verbal completa de cada um dos 17 itens do Kit.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45873" cy="719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itiva-cartao-mes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5873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707070"/>
          <w:sz w:val="18"/>
        </w:rPr>
        <w:t>Figura 19 — Cartão de Mesa — impressão em grade de duas colunas do Kit de Incidentes.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Cartão de Mesa </w:t>
      </w:r>
      <w:r>
        <w:rPr>
          <w:rFonts w:ascii="Calibri" w:hAnsi="Calibri"/>
          <w:b/>
          <w:i w:val="0"/>
          <w:sz w:val="22"/>
        </w:rPr>
        <w:t>não traz dados do processo, do depoente ou do roteiro</w:t>
      </w:r>
      <w:r>
        <w:rPr>
          <w:rFonts w:ascii="Calibri" w:hAnsi="Calibri"/>
          <w:b w:val="0"/>
          <w:i w:val="0"/>
          <w:sz w:val="22"/>
        </w:rPr>
        <w:t xml:space="preserve"> — é o Kit de Incidentes inteiro, compactado para caber numa folha de consulta rápida sobre a mesa da comissão. O rodapé da impressão traz o texto </w:t>
      </w:r>
      <w:r>
        <w:rPr>
          <w:rFonts w:ascii="Calibri" w:hAnsi="Calibri"/>
          <w:b/>
          <w:i w:val="0"/>
          <w:sz w:val="22"/>
        </w:rPr>
        <w:t>"Uso interno · Consulta rápida durante o ato"</w:t>
      </w:r>
      <w:r>
        <w:rPr>
          <w:rFonts w:ascii="Calibri" w:hAnsi="Calibri"/>
          <w:b w:val="0"/>
          <w:i w:val="0"/>
          <w:sz w:val="22"/>
        </w:rPr>
        <w:t>, confirmando que o documento se destina a ser consultado durante a sessão — não é um registro/anexo do processo.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5.11 Status da pauta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Quando há uma pauta importada do Nexo Coger, cada item da pauta passa por três estados possíveis, calculados em tempo real (não são um campo gravado com esses nomes):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803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Quando ocorre</w:t>
            </w:r>
          </w:p>
        </w:tc>
      </w:tr>
      <w:tr>
        <w:tc>
          <w:tcPr>
            <w:tcW w:type="dxa" w:w="1984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pendente</w:t>
            </w:r>
          </w:p>
        </w:tc>
        <w:tc>
          <w:tcPr>
            <w:tcW w:type="dxa" w:w="68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Estado inicial de todo item, ao importar a pauta — enquanto nenhum depoente tiver selecionado esse ponto para abordar.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em_andamento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Assim que algum depoente cadastrado marca o item da "Pauta do Nexo" como algo a abordar nesta sessão (Etapa 2 do wizard daquele depoente).</w:t>
            </w:r>
          </w:p>
        </w:tc>
      </w:tr>
      <w:tr>
        <w:tc>
          <w:tcPr>
            <w:tcW w:type="dxa" w:w="1984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concluida</w:t>
            </w:r>
          </w:p>
        </w:tc>
        <w:tc>
          <w:tcPr>
            <w:tcW w:type="dxa" w:w="6803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Só ao marcar a checkbox "Marcar oitiva como realizada", na Etapa 4 do depoente — nunca antes, nunca automaticamente.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Ao marcar "Marcar oitiva como realizada", cada item selecionado por aquele depoente é fechado como "abordado" (resposta de fato registrada) ou "sem resposta" (se marcado explicitamente sem resposta), e o depoente passa a status "Oitiva realizada". Desmarcar essa checkbox reverte apenas o status do depoente — não reverte o status já fechado do item de pauta.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5.12 Exportações e o campo de domínio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Os dois contratos de saída do Oitiva 360 — o </w:t>
      </w:r>
      <w:r>
        <w:rPr>
          <w:rFonts w:ascii="Calibri" w:hAnsi="Calibri"/>
          <w:b/>
          <w:i w:val="0"/>
          <w:sz w:val="22"/>
        </w:rPr>
        <w:t>termo</w:t>
      </w:r>
      <w:r>
        <w:rPr>
          <w:rFonts w:ascii="Calibri" w:hAnsi="Calibri"/>
          <w:b w:val="0"/>
          <w:i w:val="0"/>
          <w:sz w:val="22"/>
        </w:rPr>
        <w:t xml:space="preserve"> exportado para o Veritas ("Exportar termo para o Veritas") e o </w:t>
      </w:r>
      <w:r>
        <w:rPr>
          <w:rFonts w:ascii="Calibri" w:hAnsi="Calibri"/>
          <w:b/>
          <w:i w:val="0"/>
          <w:sz w:val="22"/>
        </w:rPr>
        <w:t>retorno</w:t>
      </w:r>
      <w:r>
        <w:rPr>
          <w:rFonts w:ascii="Calibri" w:hAnsi="Calibri"/>
          <w:b w:val="0"/>
          <w:i w:val="0"/>
          <w:sz w:val="22"/>
        </w:rPr>
        <w:t xml:space="preserve"> exportado para o Nexo ("Exportar retorno (contexto do acusado)" e "Exportar prova(s) para o Nexo") — carregam, no envelope, o campo </w:t>
      </w:r>
      <w:r>
        <w:rPr>
          <w:rFonts w:ascii="Calibri" w:hAnsi="Calibri"/>
          <w:b/>
          <w:i w:val="0"/>
          <w:sz w:val="22"/>
        </w:rPr>
        <w:t>`dominio`</w:t>
      </w:r>
      <w:r>
        <w:rPr>
          <w:rFonts w:ascii="Calibri" w:hAnsi="Calibri"/>
          <w:b w:val="0"/>
          <w:i w:val="0"/>
          <w:sz w:val="22"/>
        </w:rPr>
        <w:t xml:space="preserve"> (`pad` ou `par`), derivado do domínio corrente do processo (Seção 5.1). Quando o domínio ainda não está definido, o campo é </w:t>
      </w:r>
      <w:r>
        <w:rPr>
          <w:rFonts w:ascii="Calibri" w:hAnsi="Calibri"/>
          <w:b/>
          <w:i w:val="0"/>
          <w:sz w:val="22"/>
        </w:rPr>
        <w:t>omitido</w:t>
      </w:r>
      <w:r>
        <w:rPr>
          <w:rFonts w:ascii="Calibri" w:hAnsi="Calibri"/>
          <w:b w:val="0"/>
          <w:i w:val="0"/>
          <w:sz w:val="22"/>
        </w:rPr>
        <w:t xml:space="preserve"> (nunca sai `null`). É esse campo que as ferramentas receptoras conferem na importação: o termo só entra em um dossiê Veritas de domínio compatível, e o retorno só é aceito pelo Nexo do mesmo domínio (Nexo Coger para `pad`, Nexo PAR para `par`). O tratamento completo dessa validação está na Seção 6.</w:t>
      </w:r>
    </w:p>
    <w:p>
      <w:r>
        <w:br w:type="page"/>
      </w:r>
    </w:p>
    <w:p>
      <w:pPr>
        <w:spacing w:after="40"/>
      </w:pPr>
      <w:r>
        <w:rPr>
          <w:rFonts w:ascii="Arial Narrow" w:hAnsi="Arial Narrow"/>
          <w:b/>
          <w:color w:val="BFA040"/>
          <w:sz w:val="18"/>
        </w:rPr>
        <w:t>SEÇÃO 6</w:t>
      </w:r>
    </w:p>
    <w:p>
      <w:pPr>
        <w:pStyle w:val="Heading1"/>
      </w:pPr>
      <w:r>
        <w:rPr>
          <w:rFonts w:ascii="Arial Narrow" w:hAnsi="Arial Narrow"/>
          <w:b/>
          <w:color w:val="1E3A5F"/>
          <w:sz w:val="40"/>
        </w:rPr>
        <w:t>Integração entre as quatro ferramentas</w:t>
      </w:r>
    </w:p>
    <w:p>
      <w:pPr>
        <w:spacing w:before="120" w:after="120"/>
        <w:pBdr>
          <w:bottom w:val="single" w:sz="8" w:space="1" w:color="BFA040"/>
        </w:pBdr>
      </w:pP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As quatro ferramentas da suíte funcionam de forma inteiramente independente (Seções 2 a 5 comprovam isso), mas preveem um fluxo de integração opcional, por troca de arquivos `.json`. Com a extensão da suíte ao domínio PAR, esse fluxo </w:t>
      </w:r>
      <w:r>
        <w:rPr>
          <w:rFonts w:ascii="Calibri" w:hAnsi="Calibri"/>
          <w:b/>
          <w:i w:val="0"/>
          <w:sz w:val="22"/>
        </w:rPr>
        <w:t>bifurca por domínio</w:t>
      </w:r>
      <w:r>
        <w:rPr>
          <w:rFonts w:ascii="Calibri" w:hAnsi="Calibri"/>
          <w:b w:val="0"/>
          <w:i w:val="0"/>
          <w:sz w:val="22"/>
        </w:rPr>
        <w:t xml:space="preserve">: cada contrato de integração passou a carregar um campo </w:t>
      </w:r>
      <w:r>
        <w:rPr>
          <w:rFonts w:ascii="Calibri" w:hAnsi="Calibri"/>
          <w:b/>
          <w:i w:val="0"/>
          <w:sz w:val="22"/>
        </w:rPr>
        <w:t>`dominio`</w:t>
      </w:r>
      <w:r>
        <w:rPr>
          <w:rFonts w:ascii="Calibri" w:hAnsi="Calibri"/>
          <w:b w:val="0"/>
          <w:i w:val="0"/>
          <w:sz w:val="22"/>
        </w:rPr>
        <w:t xml:space="preserve"> (`pad` ou `par`) no envelope, e cada ferramenta receptora </w:t>
      </w:r>
      <w:r>
        <w:rPr>
          <w:rFonts w:ascii="Calibri" w:hAnsi="Calibri"/>
          <w:b/>
          <w:i w:val="0"/>
          <w:sz w:val="22"/>
        </w:rPr>
        <w:t>valida</w:t>
      </w:r>
      <w:r>
        <w:rPr>
          <w:rFonts w:ascii="Calibri" w:hAnsi="Calibri"/>
          <w:b w:val="0"/>
          <w:i w:val="0"/>
          <w:sz w:val="22"/>
        </w:rPr>
        <w:t xml:space="preserve"> esse campo na importação, recusando o cruzamento indevido entre os ritos. Nesta seção, sempre que aparecer isolado, o termo "Nexo" refere-se genericamente ao par de ferramentas de mapa — </w:t>
      </w:r>
      <w:r>
        <w:rPr>
          <w:rFonts w:ascii="Calibri" w:hAnsi="Calibri"/>
          <w:b/>
          <w:i w:val="0"/>
          <w:sz w:val="22"/>
        </w:rPr>
        <w:t>Nexo Coger</w:t>
      </w:r>
      <w:r>
        <w:rPr>
          <w:rFonts w:ascii="Calibri" w:hAnsi="Calibri"/>
          <w:b w:val="0"/>
          <w:i w:val="0"/>
          <w:sz w:val="22"/>
        </w:rPr>
        <w:t xml:space="preserve"> (domínio PAD) e </w:t>
      </w:r>
      <w:r>
        <w:rPr>
          <w:rFonts w:ascii="Calibri" w:hAnsi="Calibri"/>
          <w:b/>
          <w:i w:val="0"/>
          <w:sz w:val="22"/>
        </w:rPr>
        <w:t>Nexo PAR</w:t>
      </w:r>
      <w:r>
        <w:rPr>
          <w:rFonts w:ascii="Calibri" w:hAnsi="Calibri"/>
          <w:b w:val="0"/>
          <w:i w:val="0"/>
          <w:sz w:val="22"/>
        </w:rPr>
        <w:t xml:space="preserve"> (domínio PAR) —, e não ao nexo fático-probatório (a ligação fato-prova) nem ao nexo de causalidade da LAC.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ciclo típico de integração percorre, no </w:t>
      </w:r>
      <w:r>
        <w:rPr>
          <w:rFonts w:ascii="Calibri" w:hAnsi="Calibri"/>
          <w:b/>
          <w:i w:val="0"/>
          <w:sz w:val="22"/>
        </w:rPr>
        <w:t>domínio PAD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100" w:line="280" w:lineRule="exact"/>
        <w:jc w:val="both"/>
      </w:pPr>
      <w:r>
        <w:rPr>
          <w:rFonts w:ascii="Calibri" w:hAnsi="Calibri"/>
          <w:b/>
          <w:i w:val="0"/>
          <w:sz w:val="20"/>
        </w:rPr>
        <w:t>Veritas → Nexo Coger → Oitiva 360 → Veritas → Nexo Coger</w:t>
      </w:r>
      <w:r>
        <w:rPr>
          <w:rFonts w:ascii="Calibri" w:hAnsi="Calibri"/>
          <w:b w:val="0"/>
          <w:i w:val="0"/>
          <w:sz w:val="20"/>
        </w:rPr>
        <w:t xml:space="preserve"> — provas cadastradas no Veritas alimentam o mapa do Nexo Coger; o Nexo Coger exporta uma pauta de pontos a apurar para o Oitiva 360; o Oitiva 360 conduz a oitiva e devolve o termo gerado (importável como prova no Veritas) e um retorno de contexto (importável de volta no Nexo Coger).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E o </w:t>
      </w:r>
      <w:r>
        <w:rPr>
          <w:rFonts w:ascii="Calibri" w:hAnsi="Calibri"/>
          <w:b/>
          <w:i w:val="0"/>
          <w:sz w:val="22"/>
        </w:rPr>
        <w:t>mesmo ciclo espelhado no domínio PAR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after="100" w:line="280" w:lineRule="exact"/>
        <w:jc w:val="both"/>
      </w:pPr>
      <w:r>
        <w:rPr>
          <w:rFonts w:ascii="Calibri" w:hAnsi="Calibri"/>
          <w:b/>
          <w:i w:val="0"/>
          <w:sz w:val="20"/>
        </w:rPr>
        <w:t>Veritas → Nexo PAR → Oitiva 360 → Veritas → Nexo PAR</w:t>
      </w:r>
      <w:r>
        <w:rPr>
          <w:rFonts w:ascii="Calibri" w:hAnsi="Calibri"/>
          <w:b w:val="0"/>
          <w:i w:val="0"/>
          <w:sz w:val="20"/>
        </w:rPr>
        <w:t xml:space="preserve"> — idêntico em estrutura, com o Veritas em dossiê de tipo PAR, o Oitiva 360 em modo PAR e o Nexo PAR no lugar do Nexo Coger. O Veritas e o Oitiva 360 são os mesmos arquivos nos dois ciclos (modo dual); só o Nexo troca de arquivo (modo fork). O campo `dominio` é o que mantém cada arquivo no ciclo do seu próprio domínio — um envelope PAR não entra em uma ferramenta PAD e vice-versa.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6.1 Veritas → Nexo Coger / Nexo PAR: exportação de provas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No Veritas, o botão </w:t>
      </w:r>
      <w:r>
        <w:rPr>
          <w:rFonts w:ascii="Calibri" w:hAnsi="Calibri"/>
          <w:b/>
          <w:i w:val="0"/>
          <w:sz w:val="22"/>
        </w:rPr>
        <w:t>"Exportar provas → Nexo Coger"</w:t>
      </w:r>
      <w:r>
        <w:rPr>
          <w:rFonts w:ascii="Calibri" w:hAnsi="Calibri"/>
          <w:b w:val="0"/>
          <w:i w:val="0"/>
          <w:sz w:val="22"/>
        </w:rPr>
        <w:t xml:space="preserve"> gera um arquivo `nexo-coger-provas-&lt;número do processo&gt;.json` contendo apenas as provas cujo tipo se mapeia para o catálogo canônico de tipos de prova do Nexo. É um contrato distinto e mais restrito do que a exportação isolada "Exportar .json" (Seção 2.3), que exporta o dossiê inteiro.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envelope emite o campo </w:t>
      </w:r>
      <w:r>
        <w:rPr>
          <w:rFonts w:ascii="Calibri" w:hAnsi="Calibri"/>
          <w:b/>
          <w:i w:val="0"/>
          <w:sz w:val="22"/>
        </w:rPr>
        <w:t>`dominio`</w:t>
      </w:r>
      <w:r>
        <w:rPr>
          <w:rFonts w:ascii="Calibri" w:hAnsi="Calibri"/>
          <w:b w:val="0"/>
          <w:i w:val="0"/>
          <w:sz w:val="22"/>
        </w:rPr>
        <w:t xml:space="preserve"> derivado do Tipo de processo do dossiê (`pad`, `par`, ou omitido quando o dossiê é agnóstico). Na importação, o </w:t>
      </w:r>
      <w:r>
        <w:rPr>
          <w:rFonts w:ascii="Calibri" w:hAnsi="Calibri"/>
          <w:b/>
          <w:i w:val="0"/>
          <w:sz w:val="22"/>
        </w:rPr>
        <w:t>Nexo Coger</w:t>
      </w:r>
      <w:r>
        <w:rPr>
          <w:rFonts w:ascii="Calibri" w:hAnsi="Calibri"/>
          <w:b w:val="0"/>
          <w:i w:val="0"/>
          <w:sz w:val="22"/>
        </w:rPr>
        <w:t xml:space="preserve"> (domínio fixo `pad`) aceita envelopes `pad` </w:t>
      </w:r>
      <w:r>
        <w:rPr>
          <w:rFonts w:ascii="Calibri" w:hAnsi="Calibri"/>
          <w:b/>
          <w:i w:val="0"/>
          <w:sz w:val="22"/>
        </w:rPr>
        <w:t>ou sem campo</w:t>
      </w:r>
      <w:r>
        <w:rPr>
          <w:rFonts w:ascii="Calibri" w:hAnsi="Calibri"/>
          <w:b w:val="0"/>
          <w:i w:val="0"/>
          <w:sz w:val="22"/>
        </w:rPr>
        <w:t xml:space="preserve"> (arquivo legado, anterior às rodadas PAR) e </w:t>
      </w:r>
      <w:r>
        <w:rPr>
          <w:rFonts w:ascii="Calibri" w:hAnsi="Calibri"/>
          <w:b/>
          <w:i w:val="0"/>
          <w:sz w:val="22"/>
        </w:rPr>
        <w:t>recusa</w:t>
      </w:r>
      <w:r>
        <w:rPr>
          <w:rFonts w:ascii="Calibri" w:hAnsi="Calibri"/>
          <w:b w:val="0"/>
          <w:i w:val="0"/>
          <w:sz w:val="22"/>
        </w:rPr>
        <w:t xml:space="preserve"> `par`; o </w:t>
      </w:r>
      <w:r>
        <w:rPr>
          <w:rFonts w:ascii="Calibri" w:hAnsi="Calibri"/>
          <w:b/>
          <w:i w:val="0"/>
          <w:sz w:val="22"/>
        </w:rPr>
        <w:t>Nexo PAR</w:t>
      </w:r>
      <w:r>
        <w:rPr>
          <w:rFonts w:ascii="Calibri" w:hAnsi="Calibri"/>
          <w:b w:val="0"/>
          <w:i w:val="0"/>
          <w:sz w:val="22"/>
        </w:rPr>
        <w:t xml:space="preserve"> (domínio fixo `par`) aceita </w:t>
      </w:r>
      <w:r>
        <w:rPr>
          <w:rFonts w:ascii="Calibri" w:hAnsi="Calibri"/>
          <w:b/>
          <w:i w:val="0"/>
          <w:sz w:val="22"/>
        </w:rPr>
        <w:t>apenas</w:t>
      </w:r>
      <w:r>
        <w:rPr>
          <w:rFonts w:ascii="Calibri" w:hAnsi="Calibri"/>
          <w:b w:val="0"/>
          <w:i w:val="0"/>
          <w:sz w:val="22"/>
        </w:rPr>
        <w:t xml:space="preserve"> `par`, recusando tanto `pad` quanto o envelope legado sem campo — no PAR não há acervo legado a preservar, pois o fork nasceu depois do campo. As mensagens de recusa seguem o padrão da Seção 6.6.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6.2 Nexo Coger / Nexo PAR → Oitiva 360: exportação de pauta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A partir da tela "Revisão de pauta" do Nexo (Coger ou PAR), é possível exportar uma pauta de instrução por depoente, contendo os pontos de instrução confirmados e o papel do depoente. O Nexo bloqueia essa exportação quando o nome do depoente não foi informado ("Informe o nome do depoente.") ou quando não há nenhum ponto de instrução confirmado ("Nenhum ponto de instrução confirmado — nada a exportar."). O Oitiva 360, ao importar essa pauta, exibe um cartão "Pauta do Nexo" com os itens abordados na sessão e evita duplicação: reimportar a mesma pauta atualiza os itens existentes em vez de criar itens duplicados.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envelope da pauta emite </w:t>
      </w:r>
      <w:r>
        <w:rPr>
          <w:rFonts w:ascii="Calibri" w:hAnsi="Calibri"/>
          <w:b/>
          <w:i w:val="0"/>
          <w:sz w:val="22"/>
        </w:rPr>
        <w:t>`dominio`</w:t>
      </w:r>
      <w:r>
        <w:rPr>
          <w:rFonts w:ascii="Calibri" w:hAnsi="Calibri"/>
          <w:b w:val="0"/>
          <w:i w:val="0"/>
          <w:sz w:val="22"/>
        </w:rPr>
        <w:t xml:space="preserve"> (`pad` no Nexo Coger, `par` no Nexo PAR). O Oitiva 360, receptor de </w:t>
      </w:r>
      <w:r>
        <w:rPr>
          <w:rFonts w:ascii="Calibri" w:hAnsi="Calibri"/>
          <w:b/>
          <w:i w:val="0"/>
          <w:sz w:val="22"/>
        </w:rPr>
        <w:t>modo dual</w:t>
      </w:r>
      <w:r>
        <w:rPr>
          <w:rFonts w:ascii="Calibri" w:hAnsi="Calibri"/>
          <w:b w:val="0"/>
          <w:i w:val="0"/>
          <w:sz w:val="22"/>
        </w:rPr>
        <w:t xml:space="preserve">, aplica a cascata da Seção 5.1: a pauta com domínio </w:t>
      </w:r>
      <w:r>
        <w:rPr>
          <w:rFonts w:ascii="Calibri" w:hAnsi="Calibri"/>
          <w:b/>
          <w:i w:val="0"/>
          <w:sz w:val="22"/>
        </w:rPr>
        <w:t>deriva e trava</w:t>
      </w:r>
      <w:r>
        <w:rPr>
          <w:rFonts w:ascii="Calibri" w:hAnsi="Calibri"/>
          <w:b w:val="0"/>
          <w:i w:val="0"/>
          <w:sz w:val="22"/>
        </w:rPr>
        <w:t xml:space="preserve"> o domínio do processo; se o Oitiva 360 já tinha um domínio definido manualmente e ele </w:t>
      </w:r>
      <w:r>
        <w:rPr>
          <w:rFonts w:ascii="Calibri" w:hAnsi="Calibri"/>
          <w:b/>
          <w:i w:val="0"/>
          <w:sz w:val="22"/>
        </w:rPr>
        <w:t>conflita</w:t>
      </w:r>
      <w:r>
        <w:rPr>
          <w:rFonts w:ascii="Calibri" w:hAnsi="Calibri"/>
          <w:b w:val="0"/>
          <w:i w:val="0"/>
          <w:sz w:val="22"/>
        </w:rPr>
        <w:t xml:space="preserve"> com o da pauta, a importação </w:t>
      </w:r>
      <w:r>
        <w:rPr>
          <w:rFonts w:ascii="Calibri" w:hAnsi="Calibri"/>
          <w:b/>
          <w:i w:val="0"/>
          <w:sz w:val="22"/>
        </w:rPr>
        <w:t>pede confirmação antes de qualquer alteração</w:t>
      </w:r>
      <w:r>
        <w:rPr>
          <w:rFonts w:ascii="Calibri" w:hAnsi="Calibri"/>
          <w:b w:val="0"/>
          <w:i w:val="0"/>
          <w:sz w:val="22"/>
        </w:rPr>
        <w:t xml:space="preserve"> — cancelar recusa a importação inteira, de forma atômica (nada é gravado); confirmar troca o domínio e trava o campo na origem da pauta.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6.3 Oitiva 360 → Veritas: exportação do termo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O botão </w:t>
      </w:r>
      <w:r>
        <w:rPr>
          <w:rFonts w:ascii="Calibri" w:hAnsi="Calibri"/>
          <w:b/>
          <w:i w:val="0"/>
          <w:sz w:val="22"/>
        </w:rPr>
        <w:t>"Exportar termo para o Veritas"</w:t>
      </w:r>
      <w:r>
        <w:rPr>
          <w:rFonts w:ascii="Calibri" w:hAnsi="Calibri"/>
          <w:b w:val="0"/>
          <w:i w:val="0"/>
          <w:sz w:val="22"/>
        </w:rPr>
        <w:t xml:space="preserve">, sempre visível na Etapa 4 do Oitiva 360, gera um arquivo de termo que carrega um `hash_origem` — um hash calculado sobre o texto do termo no momento da exportação, usado pelo Veritas para verificar a integridade do conteúdo na importação — e o campo </w:t>
      </w:r>
      <w:r>
        <w:rPr>
          <w:rFonts w:ascii="Calibri" w:hAnsi="Calibri"/>
          <w:b/>
          <w:i w:val="0"/>
          <w:sz w:val="22"/>
        </w:rPr>
        <w:t>`dominio`</w:t>
      </w:r>
      <w:r>
        <w:rPr>
          <w:rFonts w:ascii="Calibri" w:hAnsi="Calibri"/>
          <w:b w:val="0"/>
          <w:i w:val="0"/>
          <w:sz w:val="22"/>
        </w:rPr>
        <w:t xml:space="preserve"> do processo (omitido quando indefinido).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Ao importar esse termo, o Veritas aplica as verificações abaixo, </w:t>
      </w:r>
      <w:r>
        <w:rPr>
          <w:rFonts w:ascii="Calibri" w:hAnsi="Calibri"/>
          <w:b/>
          <w:i w:val="0"/>
          <w:sz w:val="22"/>
        </w:rPr>
        <w:t>nesta ordem</w:t>
      </w:r>
      <w:r>
        <w:rPr>
          <w:rFonts w:ascii="Calibri" w:hAnsi="Calibri"/>
          <w:b w:val="0"/>
          <w:i w:val="0"/>
          <w:sz w:val="22"/>
        </w:rPr>
        <w:t xml:space="preserve"> — a validação de domínio roda </w:t>
      </w:r>
      <w:r>
        <w:rPr>
          <w:rFonts w:ascii="Calibri" w:hAnsi="Calibri"/>
          <w:b/>
          <w:i w:val="0"/>
          <w:sz w:val="22"/>
        </w:rPr>
        <w:t>antes</w:t>
      </w:r>
      <w:r>
        <w:rPr>
          <w:rFonts w:ascii="Calibri" w:hAnsi="Calibri"/>
          <w:b w:val="0"/>
          <w:i w:val="0"/>
          <w:sz w:val="22"/>
        </w:rPr>
        <w:t xml:space="preserve"> da conferência de hash, para recusar cedo, antes do trabalho caro:</w:t>
      </w:r>
    </w:p>
    <w:p>
      <w:pPr>
        <w:spacing w:before="100" w:after="6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Arial Narrow" w:hAnsi="Arial Narrow"/>
          <w:b/>
          <w:color w:val="C00000"/>
          <w:sz w:val="18"/>
        </w:rPr>
        <w:t xml:space="preserve">1. FORMATO INVÁLIDO — BLOQUEIA  </w:t>
      </w:r>
      <w:r>
        <w:rPr>
          <w:rFonts w:ascii="Calibri" w:hAnsi="Calibri"/>
          <w:b w:val="0"/>
          <w:i w:val="0"/>
          <w:sz w:val="20"/>
        </w:rPr>
        <w:t>Arquivo inválido: este arquivo não é um termo exportado pelo Oitiva 360 (esperado "origem":"oitiva-360", "termo.conteudo" e "hash_origem").</w:t>
      </w:r>
    </w:p>
    <w:p>
      <w:pPr>
        <w:spacing w:before="100" w:after="6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Arial Narrow" w:hAnsi="Arial Narrow"/>
          <w:b/>
          <w:color w:val="C00000"/>
          <w:sz w:val="18"/>
        </w:rPr>
        <w:t xml:space="preserve">2. DOMÍNIO INCOMPATÍVEL (OU TERMO LEGADO EM DOSSIÊ PAR) — BLOQUEIA  </w:t>
      </w:r>
      <w:r>
        <w:rPr>
          <w:rFonts w:ascii="Calibri" w:hAnsi="Calibri"/>
          <w:b/>
          <w:i w:val="0"/>
          <w:sz w:val="20"/>
        </w:rPr>
        <w:t>Domínio incompatível</w:t>
      </w:r>
      <w:r>
        <w:rPr>
          <w:rFonts w:ascii="Calibri" w:hAnsi="Calibri"/>
          <w:b w:val="0"/>
          <w:i w:val="0"/>
          <w:sz w:val="20"/>
        </w:rPr>
        <w:t xml:space="preserve"> — quando o dossiê tem Tipo de processo definido e o domínio do termo diverge do domínio do dossiê (ex.: termo PAR em dossiê PAD). Mensagem no padrão-base da Seção 6.6: "Importação recusada — domínio incompatível." seguida de "Domínio encontrado / Domínio esperado / ferramenta correta / Nenhum dado foi alterado.". Um dossiê </w:t>
      </w:r>
      <w:r>
        <w:rPr>
          <w:rFonts w:ascii="Calibri" w:hAnsi="Calibri"/>
          <w:b/>
          <w:i w:val="0"/>
          <w:sz w:val="20"/>
        </w:rPr>
        <w:t>sem Tipo de processo</w:t>
      </w:r>
      <w:r>
        <w:rPr>
          <w:rFonts w:ascii="Calibri" w:hAnsi="Calibri"/>
          <w:b w:val="0"/>
          <w:i w:val="0"/>
          <w:sz w:val="20"/>
        </w:rPr>
        <w:t xml:space="preserve"> (Veritas agnóstico) aceita termo de qualquer domínio.</w:t>
      </w:r>
    </w:p>
    <w:p>
      <w:pPr>
        <w:spacing w:before="100" w:after="2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Arial Narrow" w:hAnsi="Arial Narrow"/>
          <w:b/>
          <w:color w:val="C00000"/>
          <w:sz w:val="18"/>
        </w:rPr>
        <w:t xml:space="preserve">3. HASH DIVERGENTE — BLOQUEIA  </w:t>
      </w:r>
      <w:r>
        <w:rPr>
          <w:rFonts w:ascii="Calibri" w:hAnsi="Calibri"/>
          <w:b w:val="0"/>
          <w:i w:val="0"/>
          <w:sz w:val="20"/>
        </w:rPr>
        <w:t>Importação bloqueada: o hash do termo não confere.</w:t>
      </w:r>
    </w:p>
    <w:p>
      <w:pPr>
        <w:spacing w:before="0" w:after="2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Calibri" w:hAnsi="Calibri"/>
          <w:b w:val="0"/>
          <w:i w:val="0"/>
          <w:sz w:val="20"/>
        </w:rPr>
        <w:t>Esperado (hash_origem): &lt;hash&gt;</w:t>
      </w:r>
    </w:p>
    <w:p>
      <w:pPr>
        <w:spacing w:before="0" w:after="2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Calibri" w:hAnsi="Calibri"/>
          <w:b w:val="0"/>
          <w:i w:val="0"/>
          <w:sz w:val="20"/>
        </w:rPr>
        <w:t>Calculado sobre o texto recebido: &lt;hash&gt;</w:t>
      </w:r>
    </w:p>
    <w:p>
      <w:pPr>
        <w:spacing w:before="0" w:after="6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Calibri" w:hAnsi="Calibri"/>
          <w:b w:val="0"/>
          <w:i w:val="0"/>
          <w:sz w:val="20"/>
        </w:rPr>
        <w:t>O conteúdo do termo pode ter sido alterado após a exportação do Oitiva 360. Nada foi importado.</w:t>
      </w:r>
    </w:p>
    <w:p>
      <w:pPr>
        <w:spacing w:before="100" w:after="60"/>
        <w:ind w:left="227" w:right="170"/>
        <w:jc w:val="both"/>
        <w:pBdr>
          <w:left w:val="single" w:sz="24" w:space="6" w:color="C00000"/>
        </w:pBdr>
        <w:shd w:val="clear" w:color="auto" w:fill="FDE8E8"/>
      </w:pPr>
      <w:r>
        <w:rPr>
          <w:rFonts w:ascii="Arial Narrow" w:hAnsi="Arial Narrow"/>
          <w:b/>
          <w:color w:val="C00000"/>
          <w:sz w:val="18"/>
        </w:rPr>
        <w:t xml:space="preserve">4. DUPLICADO — BLOQUEIA  </w:t>
      </w:r>
      <w:r>
        <w:rPr>
          <w:rFonts w:ascii="Calibri" w:hAnsi="Calibri"/>
          <w:b w:val="0"/>
          <w:i w:val="0"/>
          <w:sz w:val="20"/>
        </w:rPr>
        <w:t>Importação recusada: já existe uma prova neste dossiê com o mesmo hash_origem (&lt;hash&gt;). Este termo já foi importado antes — reimportação não cria uma segunda prova.</w:t>
      </w:r>
    </w:p>
    <w:p>
      <w:pPr>
        <w:spacing w:before="100" w:after="60"/>
        <w:ind w:left="227" w:right="170"/>
        <w:jc w:val="both"/>
        <w:pBdr>
          <w:left w:val="single" w:sz="24" w:space="6" w:color="BFA040"/>
        </w:pBdr>
        <w:shd w:val="clear" w:color="auto" w:fill="FFF8E1"/>
      </w:pPr>
      <w:r>
        <w:rPr>
          <w:rFonts w:ascii="Arial Narrow" w:hAnsi="Arial Narrow"/>
          <w:b/>
          <w:color w:val="BFA040"/>
          <w:sz w:val="18"/>
        </w:rPr>
        <w:t xml:space="preserve">5. VERSÃO DE CATÁLOGO DIVERGENTE — PEDE CONFIRMAÇÃO, NÃO BLOQUEIA  </w:t>
      </w:r>
      <w:r>
        <w:rPr>
          <w:rFonts w:ascii="Calibri" w:hAnsi="Calibri"/>
          <w:b w:val="0"/>
          <w:i w:val="0"/>
          <w:sz w:val="20"/>
        </w:rPr>
        <w:t>Este termo foi exportado com catalogo_schema_version &lt;X&gt;, diferente da versão do catálogo em uso neste Veritas (&lt;Y&gt;). O hash já foi conferido e confere — o aviso é só sobre o vocabulário do catálogo. Deseja continuar?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Um termo importado com sucesso ganha automaticamente a categoria </w:t>
      </w:r>
      <w:r>
        <w:rPr>
          <w:rFonts w:ascii="Calibri" w:hAnsi="Calibri"/>
          <w:b/>
          <w:i w:val="0"/>
          <w:sz w:val="22"/>
        </w:rPr>
        <w:t>"Termo de oitiva"</w:t>
      </w:r>
      <w:r>
        <w:rPr>
          <w:rFonts w:ascii="Calibri" w:hAnsi="Calibri"/>
          <w:b w:val="0"/>
          <w:i w:val="0"/>
          <w:sz w:val="22"/>
        </w:rPr>
        <w:t xml:space="preserve"> no Veritas e aparece na tela de detalhe do item com um selo "Revisado" ou "Pendente de revisão", e um botão "Marcar como revisado". O ícone ⏳ no topo da tela do Veritas mostra a contagem de termos pendentes de revisão.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6.4 Oitiva 360 → Nexo Coger / Nexo PAR: retorno de contexto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Quando a sessão de oitiva aborda itens da pauta importada do Nexo, o Oitiva 360 disponibiliza o botão </w:t>
      </w:r>
      <w:r>
        <w:rPr>
          <w:rFonts w:ascii="Calibri" w:hAnsi="Calibri"/>
          <w:b/>
          <w:i w:val="0"/>
          <w:sz w:val="22"/>
        </w:rPr>
        <w:t>"Exportar retorno (contexto do acusado)"</w:t>
      </w:r>
      <w:r>
        <w:rPr>
          <w:rFonts w:ascii="Calibri" w:hAnsi="Calibri"/>
          <w:b w:val="0"/>
          <w:i w:val="0"/>
          <w:sz w:val="22"/>
        </w:rPr>
        <w:t xml:space="preserve">, que devolve ao Nexo um resumo da resposta obtida para cada ponto de instrução abordado. Esse botão só aparece quando há itens de pauta efetivamente abordados na sessão — não existe no fluxo manual sem pauta importada. O envelope do retorno também emite o campo </w:t>
      </w:r>
      <w:r>
        <w:rPr>
          <w:rFonts w:ascii="Calibri" w:hAnsi="Calibri"/>
          <w:b/>
          <w:i w:val="0"/>
          <w:sz w:val="22"/>
        </w:rPr>
        <w:t>`dominio`</w:t>
      </w:r>
      <w:r>
        <w:rPr>
          <w:rFonts w:ascii="Calibri" w:hAnsi="Calibri"/>
          <w:b w:val="0"/>
          <w:i w:val="0"/>
          <w:sz w:val="22"/>
        </w:rPr>
        <w:t>, validado na importação: o Nexo Coger aceita `pad`/legado e recusa `par`; o Nexo PAR aceita apenas `par` (Seção 6.5).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RETORNO PAR VINCULA-SE AO ENTE PRIVADO  </w:t>
      </w:r>
      <w:r>
        <w:rPr>
          <w:rFonts w:ascii="Calibri" w:hAnsi="Calibri"/>
          <w:b w:val="0"/>
          <w:i w:val="0"/>
          <w:sz w:val="20"/>
        </w:rPr>
        <w:t xml:space="preserve">No </w:t>
      </w:r>
      <w:r>
        <w:rPr>
          <w:rFonts w:ascii="Calibri" w:hAnsi="Calibri"/>
          <w:b/>
          <w:i w:val="0"/>
          <w:sz w:val="20"/>
        </w:rPr>
        <w:t>Nexo PAR</w:t>
      </w:r>
      <w:r>
        <w:rPr>
          <w:rFonts w:ascii="Calibri" w:hAnsi="Calibri"/>
          <w:b w:val="0"/>
          <w:i w:val="0"/>
          <w:sz w:val="20"/>
        </w:rPr>
        <w:t xml:space="preserve">, o vínculo padrão do retorno de oitiva aponta para o </w:t>
      </w:r>
      <w:r>
        <w:rPr>
          <w:rFonts w:ascii="Calibri" w:hAnsi="Calibri"/>
          <w:b/>
          <w:i w:val="0"/>
          <w:sz w:val="20"/>
        </w:rPr>
        <w:t>ente privado</w:t>
      </w:r>
      <w:r>
        <w:rPr>
          <w:rFonts w:ascii="Calibri" w:hAnsi="Calibri"/>
          <w:b w:val="0"/>
          <w:i w:val="0"/>
          <w:sz w:val="20"/>
        </w:rPr>
        <w:t xml:space="preserve"> cadastrado no processo (o mesmo objeto que, no Nexo Coger, seria o acusado). O retorno de contexto PAR alimenta, portanto, o cadastro do ente, não uma estrutura de acusado servidor.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Quando esse retorno é importado no Nexo, o </w:t>
      </w:r>
      <w:r>
        <w:rPr>
          <w:rFonts w:ascii="Calibri" w:hAnsi="Calibri"/>
          <w:b/>
          <w:i w:val="0"/>
          <w:sz w:val="22"/>
        </w:rPr>
        <w:t>fato</w:t>
      </w:r>
      <w:r>
        <w:rPr>
          <w:rFonts w:ascii="Calibri" w:hAnsi="Calibri"/>
          <w:b w:val="0"/>
          <w:i w:val="0"/>
          <w:sz w:val="22"/>
        </w:rPr>
        <w:t xml:space="preserve"> que ele alimenta recebe um selo dourado </w:t>
      </w:r>
      <w:r>
        <w:rPr>
          <w:rFonts w:ascii="Calibri" w:hAnsi="Calibri"/>
          <w:b/>
          <w:i w:val="0"/>
          <w:sz w:val="22"/>
        </w:rPr>
        <w:t>🎙</w:t>
      </w:r>
      <w:r>
        <w:rPr>
          <w:rFonts w:ascii="Calibri" w:hAnsi="Calibri"/>
          <w:b w:val="0"/>
          <w:i w:val="0"/>
          <w:sz w:val="22"/>
        </w:rPr>
        <w:t>, sinalizando que aquele contexto nasceu de uma sessão de oitiva e não de cadastro manual direto. Esse selo do cartão de fato é anterior às rodadas PAR e já funciona plenamente.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Há ainda um </w:t>
      </w:r>
      <w:r>
        <w:rPr>
          <w:rFonts w:ascii="Calibri" w:hAnsi="Calibri"/>
          <w:b/>
          <w:i w:val="0"/>
          <w:sz w:val="22"/>
        </w:rPr>
        <w:t>segundo selo, análogo, no cartão de prova</w:t>
      </w:r>
      <w:r>
        <w:rPr>
          <w:rFonts w:ascii="Calibri" w:hAnsi="Calibri"/>
          <w:b w:val="0"/>
          <w:i w:val="0"/>
          <w:sz w:val="22"/>
        </w:rPr>
        <w:t xml:space="preserve"> (não no cartão de fato): quando uma prova é criada a partir do botão "Exportar prova(s) para o Nexo" do Oitiva 360, ela recebe o mesmo selo dourado 🎙, com tooltip mostrando os campos `pauta_id`, `rodada_id` e `id_ponto`. Este selo de prova é detalhado na Seção 3.8 deste manual.</w:t>
      </w:r>
    </w:p>
    <w:p>
      <w:pPr>
        <w:spacing w:before="100" w:after="60"/>
        <w:ind w:left="227" w:right="170"/>
        <w:jc w:val="both"/>
        <w:pBdr>
          <w:left w:val="single" w:sz="24" w:space="6" w:color="2E75B6"/>
        </w:pBdr>
        <w:shd w:val="clear" w:color="auto" w:fill="EBF3FB"/>
      </w:pPr>
      <w:r>
        <w:rPr>
          <w:rFonts w:ascii="Arial Narrow" w:hAnsi="Arial Narrow"/>
          <w:b/>
          <w:color w:val="2E75B6"/>
          <w:sz w:val="18"/>
        </w:rPr>
        <w:t xml:space="preserve">IDS DO TOOLTIP: PREENCHIDOS COM ORIGEM DE PAUTA, NULL SEM ELA  </w:t>
      </w:r>
      <w:r>
        <w:rPr>
          <w:rFonts w:ascii="Calibri" w:hAnsi="Calibri"/>
          <w:b w:val="0"/>
          <w:i w:val="0"/>
          <w:sz w:val="20"/>
        </w:rPr>
        <w:t xml:space="preserve">O tooltip do selo de prova (a mesma situação da Seção 3.8) mostra os três identificadores </w:t>
      </w:r>
      <w:r>
        <w:rPr>
          <w:rFonts w:ascii="Calibri" w:hAnsi="Calibri"/>
          <w:b/>
          <w:i w:val="0"/>
          <w:sz w:val="20"/>
        </w:rPr>
        <w:t>preenchidos</w:t>
      </w:r>
      <w:r>
        <w:rPr>
          <w:rFonts w:ascii="Calibri" w:hAnsi="Calibri"/>
          <w:b w:val="0"/>
          <w:i w:val="0"/>
          <w:sz w:val="20"/>
        </w:rPr>
        <w:t xml:space="preserve"> (`pauta_id`, `rodada_id`, `id_ponto`) sempre que a prova exportada por "Exportar prova(s) para o Nexo" tem origem em um ponto de pauta respondido. Quando a prova foi adicionada manualmente na sessão, sem vínculo de pauta, os três campos ficam `null` — comportamento correto e documentado, não uma limitação. O selo pré-existente no cartão de </w:t>
      </w:r>
      <w:r>
        <w:rPr>
          <w:rFonts w:ascii="Calibri" w:hAnsi="Calibri"/>
          <w:b/>
          <w:i w:val="0"/>
          <w:sz w:val="20"/>
        </w:rPr>
        <w:t>fato</w:t>
      </w:r>
      <w:r>
        <w:rPr>
          <w:rFonts w:ascii="Calibri" w:hAnsi="Calibri"/>
          <w:b w:val="0"/>
          <w:i w:val="0"/>
          <w:sz w:val="20"/>
        </w:rPr>
        <w:t>, mencionado acima, segue funcionando como sempre.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6.5 Política de validação cruzada de domínio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Todos os quatro contratos acima seguem uma </w:t>
      </w:r>
      <w:r>
        <w:rPr>
          <w:rFonts w:ascii="Calibri" w:hAnsi="Calibri"/>
          <w:b/>
          <w:i w:val="0"/>
          <w:sz w:val="22"/>
        </w:rPr>
        <w:t>única política de validação</w:t>
      </w:r>
      <w:r>
        <w:rPr>
          <w:rFonts w:ascii="Calibri" w:hAnsi="Calibri"/>
          <w:b w:val="0"/>
          <w:i w:val="0"/>
          <w:sz w:val="22"/>
        </w:rPr>
        <w:t>, aplicada uniformemente na importação — não há regras ad hoc por ferramenta. Ao importar qualquer envelope, a ferramenta receptora compara o `dominio` do envelope com o seu próprio domínio corrente e aplica: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515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5272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351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Domínio do envelope igual ao domínio do receptor</w:t>
            </w:r>
          </w:p>
        </w:tc>
        <w:tc>
          <w:tcPr>
            <w:tcW w:type="dxa" w:w="527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Importa normalmente.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Domínio do envelope diferente do domínio do receptor</w:t>
            </w:r>
          </w:p>
        </w:tc>
        <w:tc>
          <w:tcPr>
            <w:tcW w:type="dxa" w:w="52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Recusa com mensagem clara (qual domínio o arquivo carrega, qual a ferramenta/processo espera, e qual a ferramenta correta para aquele arquivo). Nunca falha silenciosa, nunca importação parcial.</w:t>
            </w:r>
          </w:p>
        </w:tc>
      </w:tr>
      <w:tr>
        <w:tc>
          <w:tcPr>
            <w:tcW w:type="dxa" w:w="3515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Envelope sem o campo dominio (arquivo anterior às rodadas PAR)</w:t>
            </w:r>
          </w:p>
        </w:tc>
        <w:tc>
          <w:tcPr>
            <w:tcW w:type="dxa" w:w="5272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Tratado como legado PAD: aceito pelos receptores de domínio PAD (Nexo Coger, dossiê Veritas PAD); nos receptores PAR (Nexo PAR, dossiê Veritas PAR), recusado com mensagem específica de arquivo legado.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Receptor de modo dual (Oitiva 360) sem domínio definido recebendo envelope com domínio</w:t>
            </w:r>
          </w:p>
        </w:tc>
        <w:tc>
          <w:tcPr>
            <w:tcW w:type="dxa" w:w="52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Deriva o domínio do envelope, pela cascata da Seção 5.1 — com a confirmação de conflito lá especificada.</w:t>
            </w:r>
          </w:p>
        </w:tc>
      </w:tr>
    </w:tbl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>Essa tabela está registrada como comentário-referência no código de cada uma das quatro rotinas de importação, justamente para que os pontos de validação não divirjam em manutenções futuras.</w:t>
      </w:r>
    </w:p>
    <w:p>
      <w:pPr>
        <w:jc w:val="center"/>
      </w:pPr>
      <w:r>
        <w:rPr>
          <w:rFonts w:ascii="Calibri" w:hAnsi="Calibri"/>
          <w:i/>
          <w:color w:val="707070"/>
          <w:sz w:val="18"/>
        </w:rPr>
        <w:t>Figura 20 (pendente) — [CAPTURA PENDENTE — exemplo de recusa por domínio — importação de um arquivo PAR em uma ferramenta PAD, com a mensagem padronizada de domínio encontrado/esperado e a indicação da ferramenta correta.]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6.6 Mensagens de recusa padronizadas e importação atômica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As quatro ferramentas usam a </w:t>
      </w:r>
      <w:r>
        <w:rPr>
          <w:rFonts w:ascii="Calibri" w:hAnsi="Calibri"/>
          <w:b/>
          <w:i w:val="0"/>
          <w:sz w:val="22"/>
        </w:rPr>
        <w:t>mesma estrutura de frase</w:t>
      </w:r>
      <w:r>
        <w:rPr>
          <w:rFonts w:ascii="Calibri" w:hAnsi="Calibri"/>
          <w:b w:val="0"/>
          <w:i w:val="0"/>
          <w:sz w:val="22"/>
        </w:rPr>
        <w:t xml:space="preserve"> ao recusar um envelope por domínio, terminando sempre com o quarteto </w:t>
      </w:r>
      <w:r>
        <w:rPr>
          <w:rFonts w:ascii="Calibri" w:hAnsi="Calibri"/>
          <w:b/>
          <w:i w:val="0"/>
          <w:sz w:val="22"/>
        </w:rPr>
        <w:t>domínio encontrado / domínio esperado / ferramenta correta a usar / garantia de que nenhum dado foi alterado</w:t>
      </w:r>
      <w:r>
        <w:rPr>
          <w:rFonts w:ascii="Calibri" w:hAnsi="Calibri"/>
          <w:b w:val="0"/>
          <w:i w:val="0"/>
          <w:sz w:val="22"/>
        </w:rPr>
        <w:t>. Os rótulos de domínio aparecem por extenso — "PAD (Lei 8.112/1990)", "PAR (Lei 12.846/2013)" ou "não indicado (arquivo legado, anterior às rodadas PAR)". Dois exemplos reais:</w:t>
      </w:r>
    </w:p>
    <w:p>
      <w:pPr>
        <w:spacing w:before="100" w:after="6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Arial Narrow" w:hAnsi="Arial Narrow"/>
          <w:b/>
          <w:color w:val="707070"/>
          <w:sz w:val="18"/>
        </w:rPr>
        <w:t xml:space="preserve">NEXO COGER RECUSANDO UM ENVELOPE PAR  </w:t>
      </w:r>
      <w:r>
        <w:rPr>
          <w:rFonts w:ascii="Calibri" w:hAnsi="Calibri"/>
          <w:b w:val="0"/>
          <w:i w:val="0"/>
          <w:sz w:val="20"/>
        </w:rPr>
        <w:t>Este arquivo foi exportado de um processo PAR (Lei nº 12.846/2013 — LAC). Este é o Nexo Coger, que trabalha com processos PAD (Lei nº 8.112/1990) — importe-o no Nexo PAR. Domínio encontrado: PAR (Lei 12.846/2013). Domínio esperado: PAD (Lei 8.112/1990). Nenhum dado foi alterado.</w:t>
      </w:r>
    </w:p>
    <w:p>
      <w:pPr>
        <w:spacing w:before="100" w:after="60"/>
        <w:ind w:left="227" w:right="170"/>
        <w:jc w:val="both"/>
        <w:pBdr>
          <w:left w:val="single" w:sz="24" w:space="6" w:color="707070"/>
        </w:pBdr>
        <w:shd w:val="clear" w:color="auto" w:fill="F4F4F4"/>
      </w:pPr>
      <w:r>
        <w:rPr>
          <w:rFonts w:ascii="Arial Narrow" w:hAnsi="Arial Narrow"/>
          <w:b/>
          <w:color w:val="707070"/>
          <w:sz w:val="18"/>
        </w:rPr>
        <w:t xml:space="preserve">NEXO PAR RECUSANDO UM ENVELOPE LEGADO (SEM DOMÍNIO)  </w:t>
      </w:r>
      <w:r>
        <w:rPr>
          <w:rFonts w:ascii="Calibri" w:hAnsi="Calibri"/>
          <w:b w:val="0"/>
          <w:i w:val="0"/>
          <w:sz w:val="20"/>
        </w:rPr>
        <w:t>Este arquivo não indica domínio (formato anterior às Rodadas PAR) e não pode ser importado no Nexo PAR, que trabalha exclusivamente com processos PAR (Lei nº 12.846/2013 — LAC). No PAR não existe acervo legado a preservar. Domínio encontrado: não indicado (arquivo legado, anterior às rodadas PAR). Domínio esperado: PAR (Lei 12.846/2013). Nenhum dado foi alterado.</w:t>
      </w:r>
    </w:p>
    <w:p>
      <w:pPr>
        <w:spacing w:before="100" w:after="60"/>
        <w:ind w:left="227" w:right="170"/>
        <w:jc w:val="both"/>
        <w:pBdr>
          <w:left w:val="single" w:sz="24" w:space="6" w:color="1A6E1A"/>
        </w:pBdr>
        <w:shd w:val="clear" w:color="auto" w:fill="E8F5E9"/>
      </w:pPr>
      <w:r>
        <w:rPr>
          <w:rFonts w:ascii="Arial Narrow" w:hAnsi="Arial Narrow"/>
          <w:b/>
          <w:color w:val="1A6E1A"/>
          <w:sz w:val="18"/>
        </w:rPr>
        <w:t xml:space="preserve">RECUSA NUNCA DEIXA ESTADO PARCIAL  </w:t>
      </w:r>
      <w:r>
        <w:rPr>
          <w:rFonts w:ascii="Calibri" w:hAnsi="Calibri"/>
          <w:b/>
          <w:i w:val="0"/>
          <w:sz w:val="20"/>
        </w:rPr>
        <w:t>Importação atômica.</w:t>
      </w:r>
      <w:r>
        <w:rPr>
          <w:rFonts w:ascii="Calibri" w:hAnsi="Calibri"/>
          <w:b w:val="0"/>
          <w:i w:val="0"/>
          <w:sz w:val="20"/>
        </w:rPr>
        <w:t xml:space="preserve"> Nenhuma recusa por domínio deixa estado parcial: a validação roda </w:t>
      </w:r>
      <w:r>
        <w:rPr>
          <w:rFonts w:ascii="Calibri" w:hAnsi="Calibri"/>
          <w:b/>
          <w:i w:val="0"/>
          <w:sz w:val="20"/>
        </w:rPr>
        <w:t>antes</w:t>
      </w:r>
      <w:r>
        <w:rPr>
          <w:rFonts w:ascii="Calibri" w:hAnsi="Calibri"/>
          <w:b w:val="0"/>
          <w:i w:val="0"/>
          <w:sz w:val="20"/>
        </w:rPr>
        <w:t xml:space="preserve"> de qualquer mutação — antes de montar o modal de revisão, antes de gravar qualquer item, antes da conferência de hash. Ou entra tudo, ou nada. A contagem de provas, itens e o domínio do receptor permanecem exatamente como estavam antes da tentativa recusada.</w:t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6.7 Badges de pendência, status e domínio</w:t>
      </w:r>
    </w:p>
    <w:p>
      <w:pPr>
        <w:spacing w:after="100" w:line="280" w:lineRule="exact"/>
        <w:jc w:val="both"/>
      </w:pPr>
      <w:r>
        <w:rPr>
          <w:rFonts w:ascii="Calibri" w:hAnsi="Calibri"/>
          <w:b w:val="0"/>
          <w:i w:val="0"/>
          <w:sz w:val="22"/>
        </w:rPr>
        <w:t xml:space="preserve">Cada ferramenta usa seu próprio conjunto de selos (badges) para sinalizar o estado de itens importados ou pendentes de revisão. Além desses, o Oitiva 360 exibe no cabeçalho o </w:t>
      </w:r>
      <w:r>
        <w:rPr>
          <w:rFonts w:ascii="Calibri" w:hAnsi="Calibri"/>
          <w:b/>
          <w:i w:val="0"/>
          <w:sz w:val="22"/>
        </w:rPr>
        <w:t>chip de domínio</w:t>
      </w:r>
      <w:r>
        <w:rPr>
          <w:rFonts w:ascii="Calibri" w:hAnsi="Calibri"/>
          <w:b w:val="0"/>
          <w:i w:val="0"/>
          <w:sz w:val="22"/>
        </w:rPr>
        <w:t xml:space="preserve"> (PAD/PAR), que não é um badge de item mas um indicador do domínio corrente do processo — reflete o mesmo mecanismo de cascata descrito na Seção 5.1: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6236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Badges / indicadores</w:t>
            </w:r>
          </w:p>
        </w:tc>
      </w:tr>
      <w:tr>
        <w:tc>
          <w:tcPr>
            <w:tcW w:type="dxa" w:w="255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Veritas</w:t>
            </w:r>
          </w:p>
        </w:tc>
        <w:tc>
          <w:tcPr>
            <w:tcW w:type="dxa" w:w="6236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termo: pendente_revisao / revisado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Nexo Coger / Nexo PAR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prova: pendente / vinculada — retorno: pendente_revisao / revisado</w:t>
            </w:r>
          </w:p>
        </w:tc>
      </w:tr>
      <w:tr>
        <w:tc>
          <w:tcPr>
            <w:tcW w:type="dxa" w:w="2551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Oitiva 360</w:t>
            </w:r>
          </w:p>
        </w:tc>
        <w:tc>
          <w:tcPr>
            <w:tcW w:type="dxa" w:w="6236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pauta: pendente / em_andamento / concluida — chip de domínio: PAD / PAR (cabeçalho)</w:t>
            </w:r>
          </w:p>
        </w:tc>
      </w:tr>
    </w:tbl>
    <w:p>
      <w:pPr>
        <w:spacing w:before="100" w:after="60"/>
        <w:ind w:left="227" w:right="170"/>
        <w:jc w:val="both"/>
        <w:pBdr>
          <w:left w:val="single" w:sz="24" w:space="6" w:color="1A6E1A"/>
        </w:pBdr>
        <w:shd w:val="clear" w:color="auto" w:fill="E8F5E9"/>
      </w:pPr>
      <w:r>
        <w:rPr>
          <w:rFonts w:ascii="Arial Narrow" w:hAnsi="Arial Narrow"/>
          <w:b/>
          <w:color w:val="1A6E1A"/>
          <w:sz w:val="18"/>
        </w:rPr>
        <w:t xml:space="preserve">INTEGRAÇÃO É OPCIONAL  </w:t>
      </w:r>
      <w:r>
        <w:rPr>
          <w:rFonts w:ascii="Calibri" w:hAnsi="Calibri"/>
          <w:b w:val="0"/>
          <w:i w:val="0"/>
          <w:sz w:val="20"/>
        </w:rPr>
        <w:t xml:space="preserve">A integração entre as quatro ferramentas é </w:t>
      </w:r>
      <w:r>
        <w:rPr>
          <w:rFonts w:ascii="Calibri" w:hAnsi="Calibri"/>
          <w:b/>
          <w:i w:val="0"/>
          <w:sz w:val="20"/>
        </w:rPr>
        <w:t>opcional e aditiva</w:t>
      </w:r>
      <w:r>
        <w:rPr>
          <w:rFonts w:ascii="Calibri" w:hAnsi="Calibri"/>
          <w:b w:val="0"/>
          <w:i w:val="0"/>
          <w:sz w:val="20"/>
        </w:rPr>
        <w:t>. Cada ferramenta já funciona de forma completa sozinha, como demonstrado nas Seções 2 a 5 — a troca de arquivos `.json` apenas poupa redigitação de dados quando as ferramentas são usadas em conjunto no mesmo processo, e a validação de domínio garante que cada arquivo só seja aceito na ferramenta do rito correto.</w:t>
      </w:r>
    </w:p>
    <w:p>
      <w:r>
        <w:br w:type="page"/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38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350"/>
            <w:shd w:val="clear" w:color="auto" w:fill="1E3A5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Cadeia de custódia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Registro contínuo de quem coletou, recebeu, transferiu ou custodiou uma prova, do momento em que ela surge até seu uso na decisão.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Proveniência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Origem declarada de um elemento de prova — como e de onde ele chegou ao processo (gerado internamente, recebido de outro órgão, ou extraído de sistema).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Hash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Uma "impressão digital" numérica calculada a partir do conteúdo de um arquivo; se o arquivo muda, o hash muda — usado para verificar se um arquivo permanece idêntico ao original.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Nexo fático-probatório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 ligação demonstrável entre um fato apurado e as provas que o sustentam (a mecânica do mapa fato-prova-norma). É um dos três sentidos de "nexo" na suíte — distinto do nexo de causalidade (conceito da LAC) e dos nomes próprios Nexo Coger / Nexo PAR (ferramentas).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Nexo de causalidade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Conceito jurídico da Lei nº 12.846, de 1º de agosto de 2013 (LAC): a correlação entre o ato lesivo e o benefício ou interesse auferido pela pessoa jurídica. No Nexo PAR, é um campo do fato (Seção 4.3). Não confundir com o nexo fático-probatório nem com os nomes das ferramentas.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Nexo Coger / Nexo PAR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Nomes próprios das duas ferramentas de mapa fato-prova-norma da suíte: o Nexo Coger atende o domínio PAD; o Nexo PAR atende o domínio PAR. São dois arquivos independentes (modo fork). Nomear uma ferramenta "Nexo" não a confunde com o nexo fático-probatório nem com o nexo de causalidade.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Enquadramento legal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 dispositivo normativo (dever, proibição, hipótese de demissão, ato lesivo da LAC etc.) em que uma conduta apurada se amolda.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Elemento subjetivo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 grau de intenção ou de falta de cuidado do agente em relação à conduta — dolo direto, dolo eventual, negligência, imprudência ou imperícia. É instituto do domínio PAD; no PAR a responsabilização é objetiva (art. 2º da LAC) e não há elemento subjetivo.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Domínio (PAD/PAR)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 rito normativo de um processo na suíte: PAD (e sindicância), à luz da Lei nº 8.112, de 11 de dezembro de 1990, ou PAR, à luz da Lei nº 12.846, de 1º de agosto de 2013 (LAC). O domínio condiciona campos, papéis, normas e documentos, e viaja nos contratos de integração no campo `dominio`.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Ente privado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 pessoa jurídica sujeita à responsabilização no domínio PAR — o polo passivo do PAR, no lugar do servidor (acusado) do PAD.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Ato lesivo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Conduta praticada em interesse ou benefício de ente privado que atenta contra a Administração Pública, tipificada no art. 5º da Lei nº 12.846, de 2013 (LAC) — inclui corrupção, fraude a licitações e contratos e obstrução da fiscalização.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Representante legal / Preposto / Sócio-administrador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Os três papéis de pessoa física vinculada ao ente privado no domínio PAR (papéis PAR do catálogo). O representante legal é exigido para gerar a Nota de Indiciação (pendência P-ENTE).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Programa de integridade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Conjunto de mecanismos internos de integridade, auditoria e incentivo à denúncia de um ente privado (compliance). Sua existência e efetivo funcionamento são elemento de dosimetria da multa do PAR e podem ser apresentados com a defesa (Portaria CGU nº 909, de 7 de abril de 2025).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Nota de Indiciação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Documento formal que, no domínio PAR, imputa ao ente privado a conduta lesiva e abre o prazo de defesa (art. 17 da Instrução Normativa CGU nº 13, de 2019). É o equivalente PAR do termo de indiciação do PAD.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Modo dual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Arquitetura de uma ferramenta que, em um único arquivo, acomoda os dois domínios com comportamento condicional (Veritas e Oitiva 360).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Modo fork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Arquitetura em que cada domínio tem seu próprio arquivo independente, compartilhando a mesma mecânica (Nexo Coger para PAD, Nexo PAR para PAR).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Estado probatório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Avaliação de quão bem sustentado um fato está pelas provas reunidas até o momento: suficiente, indícios, ou ausente.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Pendência crítica/frágil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Sinalização automática de um problema no mapa fato-prova-norma; crítica bloqueia a geração da indiciação, frágil apenas alerta.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Indiciação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Ato formal que atribui a um servidor a autoria de fato(s) apurado(s), com enquadramento legal, dando início à fase de defesa escrita.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Pauta de instrução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Lista de pontos a apurar em uma oitiva, tipicamente originada do campo "Elementos buscados" do Nexo Coger.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Roteiro de oitiva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Sequência de perguntas organizadas por blocos, gerada a partir do papel do depoente e da infração apurada.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Termo de oitiva/interrogatório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Documento formal que registra o ato de oitiva ou interrogatório, com qualificação, compromisso/advertências e as perguntas e respostas.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Papel de pessoa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Classificação da posição de uma pessoa no processo — Investigado/Acusado, Vítima, Testemunha, Declarante/Informante ou Pessoa em Situação Indefinida — que determina compromisso, direito ao silêncio e tratamento processual.</w:t>
            </w:r>
          </w:p>
        </w:tc>
      </w:tr>
      <w:tr>
        <w:tc>
          <w:tcPr>
            <w:tcW w:type="dxa" w:w="243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Matriz de Apuração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Bloco de 4 campos (conduta, investigado, elementos disponíveis, hipótese investigativa) exigido antes de conduzir qualquer oitiva no Oitiva 360.</w:t>
            </w:r>
          </w:p>
        </w:tc>
      </w:tr>
      <w:tr>
        <w:tc>
          <w:tcPr>
            <w:tcW w:type="dxa" w:w="2438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Badge de pendência</w:t>
            </w:r>
          </w:p>
        </w:tc>
        <w:tc>
          <w:tcPr>
            <w:tcW w:type="dxa" w:w="6350"/>
            <w:shd w:val="clear" w:color="auto" w:fill="F5F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/>
            <w:r>
              <w:rPr>
                <w:rFonts w:ascii="Calibri" w:hAnsi="Calibri"/>
                <w:sz w:val="19"/>
              </w:rPr>
              <w:t>Selo visual que sinaliza o estado de um item importado ou pendente de ação (ex.: pendente de revisão, vinculada, concluída).</w:t>
            </w:r>
          </w:p>
        </w:tc>
      </w:tr>
    </w:tbl>
    <w:p>
      <w:r>
        <w:br w:type="page"/>
      </w:r>
    </w:p>
    <w:p>
      <w:pPr>
        <w:pStyle w:val="Heading2"/>
        <w:pBdr>
          <w:left w:val="single" w:sz="18" w:space="6" w:color="BFA040"/>
        </w:pBdr>
      </w:pPr>
      <w:r>
        <w:rPr>
          <w:rFonts w:ascii="Arial Narrow" w:hAnsi="Arial Narrow"/>
          <w:b/>
          <w:color w:val="1E3A5F"/>
          <w:sz w:val="26"/>
        </w:rPr>
        <w:t>Perguntas frequentes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Veritas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O que fazer se o hash não confere ao importar uma prova (termo de oitiva)?</w:t>
      </w:r>
      <w:r>
        <w:rPr>
          <w:rFonts w:ascii="Calibri" w:hAnsi="Calibri"/>
          <w:b w:val="0"/>
          <w:i w:val="0"/>
          <w:sz w:val="22"/>
        </w:rPr>
        <w:t xml:space="preserve"> O Veritas bloqueia totalmente a importação e não grava nada — a mensagem exibida mostra o hash esperado e o hash calculado sobre o conteúdo recebido. Isso indica que o conteúdo do termo pode ter sido alterado após a exportação do Oitiva 360; não há como contornar esse bloqueio pela interface — é necessário obter uma nova exportação íntegra do termo.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Posso editar a proveniência depois de salvar um item?</w:t>
      </w:r>
      <w:r>
        <w:rPr>
          <w:rFonts w:ascii="Calibri" w:hAnsi="Calibri"/>
          <w:b w:val="0"/>
          <w:i w:val="0"/>
          <w:sz w:val="22"/>
        </w:rPr>
        <w:t xml:space="preserve"> Não. Todo o bloco de proveniência (tipo e subcampos) fica travado, somente leitura, assim que o item é salvo. O mesmo vale para o elemento físico (exceto a condição do lacre, alterável apenas via evento de "Conferência do lacre"), para "conteúdo integral"/justificativa, e para o status do item.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Qual a diferença entre "Exportar .json" e "Exportar provas → Nexo Coger"?</w:t>
      </w:r>
      <w:r>
        <w:rPr>
          <w:rFonts w:ascii="Calibri" w:hAnsi="Calibri"/>
          <w:b w:val="0"/>
          <w:i w:val="0"/>
          <w:sz w:val="22"/>
        </w:rPr>
        <w:t xml:space="preserve"> "Exportar .json" gera o dossiê inteiro, para backup geral. "Exportar provas → Nexo Coger" gera um arquivo menor, apenas com as provas convertidas para o catálogo canônico do Nexo Coger — é o contrato de integração específico entre as duas ferramentas.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O carimbo de data/hora do Veritas vale como prova de quando o arquivo foi coletado?</w:t>
      </w:r>
      <w:r>
        <w:rPr>
          <w:rFonts w:ascii="Calibri" w:hAnsi="Calibri"/>
          <w:b w:val="0"/>
          <w:i w:val="0"/>
          <w:sz w:val="22"/>
        </w:rPr>
        <w:t xml:space="preserve"> Não com força de selo de tempo certificado — é apenas o relógio do computador do usuário no momento em que o arquivo foi anexado. Tem valor para mostrar consistência interna, não para provar o instante exato de forma inatacável.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O campo Tipo de processo é obrigatório? O que muda se eu não preencher?</w:t>
      </w:r>
      <w:r>
        <w:rPr>
          <w:rFonts w:ascii="Calibri" w:hAnsi="Calibri"/>
          <w:b w:val="0"/>
          <w:i w:val="0"/>
          <w:sz w:val="22"/>
        </w:rPr>
        <w:t xml:space="preserve"> Não é obrigatório. Sem Tipo de processo definido, o Veritas permanece </w:t>
      </w:r>
      <w:r>
        <w:rPr>
          <w:rFonts w:ascii="Calibri" w:hAnsi="Calibri"/>
          <w:b/>
          <w:i w:val="0"/>
          <w:sz w:val="22"/>
        </w:rPr>
        <w:t>agnóstico de domínio</w:t>
      </w:r>
      <w:r>
        <w:rPr>
          <w:rFonts w:ascii="Calibri" w:hAnsi="Calibri"/>
          <w:b w:val="0"/>
          <w:i w:val="0"/>
          <w:sz w:val="22"/>
        </w:rPr>
        <w:t>: aceita prova de qualquer origem, sem filtro, não marca `pad` nem `par` no dossiê, e as categorias de prova exclusivas do PAR (Programa de integridade, Informações do COAF) não aparecem. Ao importar um termo de oitiva, um dossiê sem tipo aceita termo de qualquer domínio. O campo só passa a influenciar o comportamento quando efetivamente preenchido — dossiês antigos seguem funcionando como antes.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Nexo Coger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Por que o papel "Pessoa em Situação Indefinida" não aparece separado, com instruções de uso, na tela?</w:t>
      </w:r>
      <w:r>
        <w:rPr>
          <w:rFonts w:ascii="Calibri" w:hAnsi="Calibri"/>
          <w:b w:val="0"/>
          <w:i w:val="0"/>
          <w:sz w:val="22"/>
        </w:rPr>
        <w:t xml:space="preserve"> O Nexo Coger não exibe nenhum texto de orientação sobre quando usar esse papel — apenas o rótulo curto aparece no seletor. A explicação jurídica completa só existe no catálogo de dados, e este manual a reproduz na Seção 3.3, junto de uma orientação prática de uso.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O que acontece se eu gerar a indiciação e depois perceber um erro?</w:t>
      </w:r>
      <w:r>
        <w:rPr>
          <w:rFonts w:ascii="Calibri" w:hAnsi="Calibri"/>
          <w:b w:val="0"/>
          <w:i w:val="0"/>
          <w:sz w:val="22"/>
        </w:rPr>
        <w:t xml:space="preserve"> A geração da indiciação é tratada como um ato final da instrução; o Nexo Coger não oferece uma função de "desfazer" a geração. Corrija os dados do fato/prova/enquadramento no mapa e gere uma nova minuta quando necessário — por isso este manual recomenda revisar cuidadosamente pendências frágeis e o checklist de campos essenciais antes de gerar.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Um fato arquivado precisa de enquadramento legal e provas completas?</w:t>
      </w:r>
      <w:r>
        <w:rPr>
          <w:rFonts w:ascii="Calibri" w:hAnsi="Calibri"/>
          <w:b w:val="0"/>
          <w:i w:val="0"/>
          <w:sz w:val="22"/>
        </w:rPr>
        <w:t xml:space="preserve"> Não. Um fato marcado como "Arquivado" só exige a Justificativa do arquivamento; não gera pendências e não entra na minuta de indiciação.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O que fazer quando o elemento subjetivo escolhido conflita com o exigido pela norma?</w:t>
      </w:r>
      <w:r>
        <w:rPr>
          <w:rFonts w:ascii="Calibri" w:hAnsi="Calibri"/>
          <w:b w:val="0"/>
          <w:i w:val="0"/>
          <w:sz w:val="22"/>
        </w:rPr>
        <w:t xml:space="preserve"> O Nexo Coger apenas avisa (não bloqueia o salvamento) quando o elemento subjetivo escolhido diverge do que a norma exige — por exemplo, marcar conduta culposa em norma que exige dolo. Revise o enquadramento ou ajuste a fundamentação antes de prosseguir para a indiciação.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Nexo PAR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Por que o Nexo PAR não tem campo de elemento subjetivo (dolo/culpa)?</w:t>
      </w:r>
      <w:r>
        <w:rPr>
          <w:rFonts w:ascii="Calibri" w:hAnsi="Calibri"/>
          <w:b w:val="0"/>
          <w:i w:val="0"/>
          <w:sz w:val="22"/>
        </w:rPr>
        <w:t xml:space="preserve"> Porque a responsabilização do ente privado na Lei nº 12.846, de 1º de agosto de 2013 (LAC), é </w:t>
      </w:r>
      <w:r>
        <w:rPr>
          <w:rFonts w:ascii="Calibri" w:hAnsi="Calibri"/>
          <w:b/>
          <w:i w:val="0"/>
          <w:sz w:val="22"/>
        </w:rPr>
        <w:t>objetiva</w:t>
      </w:r>
      <w:r>
        <w:rPr>
          <w:rFonts w:ascii="Calibri" w:hAnsi="Calibri"/>
          <w:b w:val="0"/>
          <w:i w:val="0"/>
          <w:sz w:val="22"/>
        </w:rPr>
        <w:t xml:space="preserve"> (art. 2º): independe de dolo ou culpa. Por isso o Nexo PAR remove tanto o campo Elemento subjetivo quanto a pendência a ele associada (a P8 do Nexo Coger). Em seu lugar, o fato exige a descrição do </w:t>
      </w:r>
      <w:r>
        <w:rPr>
          <w:rFonts w:ascii="Calibri" w:hAnsi="Calibri"/>
          <w:b/>
          <w:i w:val="0"/>
          <w:sz w:val="22"/>
        </w:rPr>
        <w:t>benefício/interesse do ente e do nexo de causalidade</w:t>
      </w:r>
      <w:r>
        <w:rPr>
          <w:rFonts w:ascii="Calibri" w:hAnsi="Calibri"/>
          <w:b w:val="0"/>
          <w:i w:val="0"/>
          <w:sz w:val="22"/>
        </w:rPr>
        <w:t xml:space="preserve"> — cobrados pela pendência crítica P8-PAR (Seção 4.3 e 4.5).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O que acontece se eu tentar importar uma prova PAD no Nexo PAR?</w:t>
      </w:r>
      <w:r>
        <w:rPr>
          <w:rFonts w:ascii="Calibri" w:hAnsi="Calibri"/>
          <w:b w:val="0"/>
          <w:i w:val="0"/>
          <w:sz w:val="22"/>
        </w:rPr>
        <w:t xml:space="preserve"> A importação é </w:t>
      </w:r>
      <w:r>
        <w:rPr>
          <w:rFonts w:ascii="Calibri" w:hAnsi="Calibri"/>
          <w:b/>
          <w:i w:val="0"/>
          <w:sz w:val="22"/>
        </w:rPr>
        <w:t>recusada</w:t>
      </w:r>
      <w:r>
        <w:rPr>
          <w:rFonts w:ascii="Calibri" w:hAnsi="Calibri"/>
          <w:b w:val="0"/>
          <w:i w:val="0"/>
          <w:sz w:val="22"/>
        </w:rPr>
        <w:t>, de forma atômica (nenhum dado é gravado). O Nexo PAR aceita apenas envelopes de domínio `par`; um envelope `pad` — ou um envelope legado, sem domínio — é recusado com a mensagem padronizada de domínio (domínio encontrado / esperado / ferramenta correta), que sugere importar o arquivo no Nexo Coger. O detalhe dessa validação cruzada está na Seção 6 (Seções 6.5 e 6.6).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Preciso cadastrar um representante legal para gerar a Nota de Indiciação?</w:t>
      </w:r>
      <w:r>
        <w:rPr>
          <w:rFonts w:ascii="Calibri" w:hAnsi="Calibri"/>
          <w:b w:val="0"/>
          <w:i w:val="0"/>
          <w:sz w:val="22"/>
        </w:rPr>
        <w:t xml:space="preserve"> Sim. A falta de ente privado cadastrado, ou de ao menos um representante legal, dispara a pendência crítica P-ENTE, que </w:t>
      </w:r>
      <w:r>
        <w:rPr>
          <w:rFonts w:ascii="Calibri" w:hAnsi="Calibri"/>
          <w:b/>
          <w:i w:val="0"/>
          <w:sz w:val="22"/>
        </w:rPr>
        <w:t>bloqueia a geração</w:t>
      </w:r>
      <w:r>
        <w:rPr>
          <w:rFonts w:ascii="Calibri" w:hAnsi="Calibri"/>
          <w:b w:val="0"/>
          <w:i w:val="0"/>
          <w:sz w:val="22"/>
        </w:rPr>
        <w:t xml:space="preserve"> da Nota de Indiciação (embora não impeça salvar o cadastro do ente). Ver Seção 4.2 e 4.5.</w:t>
      </w:r>
    </w:p>
    <w:p>
      <w:pPr>
        <w:pStyle w:val="Heading3"/>
      </w:pPr>
      <w:r>
        <w:rPr>
          <w:rFonts w:ascii="Calibri" w:hAnsi="Calibri"/>
          <w:b/>
          <w:color w:val="1E3A5F"/>
          <w:sz w:val="22"/>
        </w:rPr>
        <w:t>Oitiva 360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Preciso preencher a Matriz de Apuração toda vez?</w:t>
      </w:r>
      <w:r>
        <w:rPr>
          <w:rFonts w:ascii="Calibri" w:hAnsi="Calibri"/>
          <w:b w:val="0"/>
          <w:i w:val="0"/>
          <w:sz w:val="22"/>
        </w:rPr>
        <w:t xml:space="preserve"> Sim, ela é obrigatória em nível de processo — os 4 campos (conduta, investigado, elementos disponíveis, hipótese investigativa) precisam estar preenchidos antes que o botão "Adicionar depoente" seja habilitado. Uma vez preenchida, vale para todos os depoentes daquele processo.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Existe campo de observação separado da resposta, na Etapa 4?</w:t>
      </w:r>
      <w:r>
        <w:rPr>
          <w:rFonts w:ascii="Calibri" w:hAnsi="Calibri"/>
          <w:b w:val="0"/>
          <w:i w:val="0"/>
          <w:sz w:val="22"/>
        </w:rPr>
        <w:t xml:space="preserve"> Não. Cada pergunta do roteiro tem apenas uma única área de texto para a resposta do depoente — não há campo auxiliar de observação nem de marcação de relevância.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O termo é gerado automaticamente ou preciso clicar em algo?</w:t>
      </w:r>
      <w:r>
        <w:rPr>
          <w:rFonts w:ascii="Calibri" w:hAnsi="Calibri"/>
          <w:b w:val="0"/>
          <w:i w:val="0"/>
          <w:sz w:val="22"/>
        </w:rPr>
        <w:t xml:space="preserve"> É gerado automaticamente ao entrar na Etapa 4, sem bloqueio por campos vazios — campos ainda não preenchidos aparecem como "____" no texto. É possível editar o texto manualmente ou regenerá-lo a partir dos dados atuais do ato (com confirmação, pois substitui edições manuais).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Por que não vejo o botão "Exportar retorno (contexto do acusado)"?</w:t>
      </w:r>
      <w:r>
        <w:rPr>
          <w:rFonts w:ascii="Calibri" w:hAnsi="Calibri"/>
          <w:b w:val="0"/>
          <w:i w:val="0"/>
          <w:sz w:val="22"/>
        </w:rPr>
        <w:t xml:space="preserve"> Esse botão só aparece quando a sessão aborda itens de uma pauta importada do Nexo (Coger ou PAR). No fluxo manual, sem pauta importada, ele não é exibido — apenas o botão "Exportar termo para o Veritas" fica sempre visível na Etapa 4.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5.  </w:t>
      </w:r>
      <w:r>
        <w:rPr>
          <w:rFonts w:ascii="Calibri" w:hAnsi="Calibri"/>
          <w:b/>
          <w:i w:val="0"/>
          <w:sz w:val="22"/>
        </w:rPr>
        <w:t>Como o domínio (PAD/PAR) é definido quando não há pauta importada?</w:t>
      </w:r>
      <w:r>
        <w:rPr>
          <w:rFonts w:ascii="Calibri" w:hAnsi="Calibri"/>
          <w:b w:val="0"/>
          <w:i w:val="0"/>
          <w:sz w:val="22"/>
        </w:rPr>
        <w:t xml:space="preserve"> Pela seleção </w:t>
      </w:r>
      <w:r>
        <w:rPr>
          <w:rFonts w:ascii="Calibri" w:hAnsi="Calibri"/>
          <w:b/>
          <w:i w:val="0"/>
          <w:sz w:val="22"/>
        </w:rPr>
        <w:t>manual</w:t>
      </w:r>
      <w:r>
        <w:rPr>
          <w:rFonts w:ascii="Calibri" w:hAnsi="Calibri"/>
          <w:b w:val="0"/>
          <w:i w:val="0"/>
          <w:sz w:val="22"/>
        </w:rPr>
        <w:t xml:space="preserve"> no 5º campo da Matriz de Apuração ("Domínio do processo"), editável enquanto não houver pauta vinculada. Um processo novo nasce em PAD. Assim que uma pauta do Nexo é importada, o domínio passa a ser </w:t>
      </w:r>
      <w:r>
        <w:rPr>
          <w:rFonts w:ascii="Calibri" w:hAnsi="Calibri"/>
          <w:b/>
          <w:i w:val="0"/>
          <w:sz w:val="22"/>
        </w:rPr>
        <w:t>derivado e travado</w:t>
      </w:r>
      <w:r>
        <w:rPr>
          <w:rFonts w:ascii="Calibri" w:hAnsi="Calibri"/>
          <w:b w:val="0"/>
          <w:i w:val="0"/>
          <w:sz w:val="22"/>
        </w:rPr>
        <w:t xml:space="preserve"> pela pauta (Seção 5.1).</w:t>
      </w:r>
    </w:p>
    <w:p>
      <w:pPr>
        <w:spacing w:after="100" w:line="264" w:lineRule="exact"/>
        <w:ind w:left="454"/>
        <w:jc w:val="both"/>
      </w:pPr>
      <w:r>
        <w:rPr>
          <w:rFonts w:ascii="Calibri" w:hAnsi="Calibri"/>
          <w:b/>
          <w:color w:val="1E3A5F"/>
          <w:sz w:val="22"/>
        </w:rPr>
        <w:t xml:space="preserve">6.  </w:t>
      </w:r>
      <w:r>
        <w:rPr>
          <w:rFonts w:ascii="Calibri" w:hAnsi="Calibri"/>
          <w:b/>
          <w:i w:val="0"/>
          <w:sz w:val="22"/>
        </w:rPr>
        <w:t>O que acontece se eu trocar de domínio com dados já preenchidos?</w:t>
      </w:r>
      <w:r>
        <w:rPr>
          <w:rFonts w:ascii="Calibri" w:hAnsi="Calibri"/>
          <w:b w:val="0"/>
          <w:i w:val="0"/>
          <w:sz w:val="22"/>
        </w:rPr>
        <w:t xml:space="preserve"> O Oitiva 360 mostra, </w:t>
      </w:r>
      <w:r>
        <w:rPr>
          <w:rFonts w:ascii="Calibri" w:hAnsi="Calibri"/>
          <w:b/>
          <w:i w:val="0"/>
          <w:sz w:val="22"/>
        </w:rPr>
        <w:t>antes de aplicar</w:t>
      </w:r>
      <w:r>
        <w:rPr>
          <w:rFonts w:ascii="Calibri" w:hAnsi="Calibri"/>
          <w:b w:val="0"/>
          <w:i w:val="0"/>
          <w:sz w:val="22"/>
        </w:rPr>
        <w:t xml:space="preserve">, exatamente o que será afetado: as categorias de infração de outro domínio </w:t>
      </w:r>
      <w:r>
        <w:rPr>
          <w:rFonts w:ascii="Calibri" w:hAnsi="Calibri"/>
          <w:b/>
          <w:i w:val="0"/>
          <w:sz w:val="22"/>
        </w:rPr>
        <w:t>serão LIMPAS</w:t>
      </w:r>
      <w:r>
        <w:rPr>
          <w:rFonts w:ascii="Calibri" w:hAnsi="Calibri"/>
          <w:b w:val="0"/>
          <w:i w:val="0"/>
          <w:sz w:val="22"/>
        </w:rPr>
        <w:t xml:space="preserve"> (voltam a "não definida") e os papéis que não existem no novo domínio </w:t>
      </w:r>
      <w:r>
        <w:rPr>
          <w:rFonts w:ascii="Calibri" w:hAnsi="Calibri"/>
          <w:b/>
          <w:i w:val="0"/>
          <w:sz w:val="22"/>
        </w:rPr>
        <w:t>serão MANTIDOS</w:t>
      </w:r>
      <w:r>
        <w:rPr>
          <w:rFonts w:ascii="Calibri" w:hAnsi="Calibri"/>
          <w:b w:val="0"/>
          <w:i w:val="0"/>
          <w:sz w:val="22"/>
        </w:rPr>
        <w:t>, apenas sinalizados "fora do domínio" para reclassificação. Nada é apagado silenciosamente, e recusar a confirmação reverte a troca (Seção 5.1).</w:t>
      </w:r>
    </w:p>
    <w:p>
      <w:pPr>
        <w:spacing w:before="120" w:after="120"/>
        <w:pBdr>
          <w:bottom w:val="single" w:sz="4" w:space="1" w:color="BFA040"/>
        </w:pBdr>
      </w:pPr>
    </w:p>
    <w:p>
      <w:pPr>
        <w:jc w:val="center"/>
      </w:pPr>
      <w:r>
        <w:rPr>
          <w:rFonts w:ascii="Calibri" w:hAnsi="Calibri"/>
          <w:i/>
          <w:color w:val="707070"/>
          <w:sz w:val="18"/>
        </w:rPr>
        <w:t>Este manual documenta o comportamento observado no código-fonte das quatro ferramentas em 2026. Todos os exemplos, números de processo e dados de identificação usados nas capturas de tela são fictícios, produzidos para fins exclusivamente ilustrativos. As quatro ferramentas — Veritas, Nexo Coger, Nexo PAR e Oitiva 360 — são aplicações offline/locais, sem servidor, cujo armazenamento depende do navegador do usuário e de exportação manual de arquivos .json para backup e integração.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40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