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Bdr>
          <w:bottom w:val="single" w:color="1F3864" w:sz="6" w:space="4"/>
        </w:pBdr>
        <w:spacing w:after="40" w:before="0"/>
        <w:jc w:val="center"/>
      </w:pPr>
      <w:r>
        <w:rPr>
          <w:rFonts w:ascii="Arial" w:cs="Arial" w:eastAsia="Arial" w:hAnsi="Arial"/>
          <w:b/>
          <w:bCs/>
          <w:caps/>
          <w:color w:val="1F3864"/>
          <w:sz w:val="22"/>
          <w:szCs w:val="22"/>
        </w:rPr>
        <w:t xml:space="preserve">CORREGEDORIA DA SECRETARIA ESPECIAL DA RECEITA FEDERAL DO BRASIL</w:t>
      </w:r>
    </w:p>
    <w:p>
      <w:r>
        <w:t xml:space="preserve"/>
      </w:r>
    </w:p>
    <w:p>
      <w:pPr>
        <w:spacing w:after="80" w:before="0"/>
        <w:jc w:val="center"/>
      </w:pPr>
      <w:r>
        <w:rPr>
          <w:rFonts w:ascii="Arial" w:cs="Arial" w:eastAsia="Arial" w:hAnsi="Arial"/>
          <w:b/>
          <w:bCs/>
          <w:caps/>
          <w:color w:val="1F3864"/>
          <w:sz w:val="34"/>
          <w:szCs w:val="34"/>
        </w:rPr>
        <w:t xml:space="preserve">MANUAL TEÓRICO-JURÍDICO E PRÁTICO</w:t>
      </w:r>
    </w:p>
    <w:p>
      <w:pPr>
        <w:spacing w:after="80" w:before="0"/>
        <w:jc w:val="center"/>
      </w:pPr>
      <w:r>
        <w:rPr>
          <w:rFonts w:ascii="Arial" w:cs="Arial" w:eastAsia="Arial" w:hAnsi="Arial"/>
          <w:b/>
          <w:bCs/>
          <w:caps/>
          <w:color w:val="2E5090"/>
          <w:sz w:val="26"/>
          <w:szCs w:val="26"/>
        </w:rPr>
        <w:t xml:space="preserve">DA CALCULADORA DE DOSIMETRIA DAS SANÇÕES DISCIPLINARES</w:t>
      </w:r>
    </w:p>
    <w:p>
      <w:r>
        <w:t xml:space="preserve"/>
      </w:r>
    </w:p>
    <w:p>
      <w:pPr>
        <w:spacing w:after="40" w:before="0"/>
        <w:jc w:val="center"/>
      </w:pPr>
      <w:r>
        <w:rPr>
          <w:rFonts w:ascii="Arial" w:cs="Arial" w:eastAsia="Arial" w:hAnsi="Arial"/>
          <w:i/>
          <w:iCs/>
          <w:color w:val="555555"/>
          <w:sz w:val="22"/>
          <w:szCs w:val="22"/>
        </w:rPr>
        <w:t xml:space="preserve">Versão 3.0 — Edição Teórico-Prática</w:t>
      </w:r>
    </w:p>
    <w:p>
      <w:pPr>
        <w:spacing w:after="200" w:before="0"/>
        <w:jc w:val="center"/>
      </w:pPr>
      <w:r>
        <w:rPr>
          <w:rFonts w:ascii="Arial" w:cs="Arial" w:eastAsia="Arial" w:hAnsi="Arial"/>
          <w:i/>
          <w:iCs/>
          <w:color w:val="555555"/>
          <w:sz w:val="20"/>
          <w:szCs w:val="20"/>
        </w:rPr>
        <w:t xml:space="preserve">Fundamentação teórica, jurídica e guia operacional da ferramenta</w:t>
      </w:r>
    </w:p>
    <w:p>
      <w:r>
        <w:t xml:space="preserve"/>
      </w:r>
    </w:p>
    <w:p>
      <w:r>
        <w:t xml:space="preserve"/>
      </w:r>
    </w:p>
    <w:p>
      <w:pPr>
        <w:spacing w:after="40" w:before="0"/>
        <w:jc w:val="center"/>
      </w:pPr>
      <w:r>
        <w:rPr>
          <w:rFonts w:ascii="Arial" w:cs="Arial" w:eastAsia="Arial" w:hAnsi="Arial"/>
          <w:b/>
          <w:bCs/>
          <w:sz w:val="20"/>
          <w:szCs w:val="20"/>
        </w:rPr>
        <w:t xml:space="preserve">Autores:</w:t>
      </w:r>
    </w:p>
    <w:p>
      <w:pPr>
        <w:spacing w:after="40" w:before="0"/>
        <w:jc w:val="center"/>
      </w:pPr>
      <w:r>
        <w:rPr>
          <w:rFonts w:ascii="Arial" w:cs="Arial" w:eastAsia="Arial" w:hAnsi="Arial"/>
          <w:sz w:val="20"/>
          <w:szCs w:val="20"/>
        </w:rPr>
        <w:t xml:space="preserve">Auditor-Fiscal da Receita Federal do Brasil Raphael Albuquerque de Souza</w:t>
      </w:r>
    </w:p>
    <w:p>
      <w:pPr>
        <w:spacing w:after="200" w:before="0"/>
        <w:jc w:val="center"/>
      </w:pPr>
      <w:r>
        <w:rPr>
          <w:rFonts w:ascii="Arial" w:cs="Arial" w:eastAsia="Arial" w:hAnsi="Arial"/>
          <w:sz w:val="20"/>
          <w:szCs w:val="20"/>
        </w:rPr>
        <w:t xml:space="preserve">Auditor-Fiscal da Receita Federal do Brasil Marcos Salles Teixeira</w:t>
      </w:r>
    </w:p>
    <w:p>
      <w:r>
        <w:t xml:space="preserve"/>
      </w:r>
    </w:p>
    <w:p>
      <w:r>
        <w:t xml:space="preserve"/>
      </w:r>
    </w:p>
    <w:p>
      <w:pPr>
        <w:spacing w:after="40" w:before="0"/>
        <w:jc w:val="center"/>
      </w:pPr>
      <w:r>
        <w:rPr>
          <w:rFonts w:ascii="Arial" w:cs="Arial" w:eastAsia="Arial" w:hAnsi="Arial"/>
          <w:i/>
          <w:iCs/>
          <w:color w:val="555555"/>
          <w:sz w:val="18"/>
          <w:szCs w:val="18"/>
        </w:rPr>
        <w:t xml:space="preserve">Lei nº 8.112/1990  ·  Decreto nº 9.830/2019  ·  LINDB (Decreto-Lei nº 4.657/1942)  ·  Portaria Normativa CGU nº 27/2022</w:t>
      </w:r>
    </w:p>
    <w:p>
      <w:r>
        <w:t xml:space="preserve"/>
      </w:r>
    </w:p>
    <w:p>
      <w:r>
        <w:t xml:space="preserve"/>
      </w:r>
    </w:p>
    <w:p>
      <w:r>
        <w:t xml:space="preserve"/>
      </w:r>
    </w:p>
    <w:p>
      <w:pPr>
        <w:pBdr>
          <w:top w:val="single" w:color="1F3864" w:sz="6" w:space="4"/>
        </w:pBdr>
        <w:spacing w:after="0" w:before="0"/>
        <w:jc w:val="center"/>
      </w:pPr>
      <w:r>
        <w:rPr>
          <w:rFonts w:ascii="Arial" w:cs="Arial" w:eastAsia="Arial" w:hAnsi="Arial"/>
          <w:b/>
          <w:bCs/>
          <w:color w:val="1F3864"/>
          <w:sz w:val="20"/>
          <w:szCs w:val="20"/>
        </w:rPr>
        <w:t xml:space="preserve">Brasília · 2026</w:t>
      </w:r>
    </w:p>
    <w:p>
      <w:r>
        <w:br w:type="page"/>
      </w:r>
    </w:p>
    <w:p>
      <w:pPr>
        <w:pStyle w:val="Heading1"/>
      </w:pPr>
      <w:r>
        <w:rPr>
          <w:rFonts w:ascii="Arial" w:cs="Arial" w:eastAsia="Arial" w:hAnsi="Arial"/>
          <w:b/>
          <w:bCs/>
          <w:color w:val="1F3864"/>
          <w:sz w:val="28"/>
          <w:szCs w:val="28"/>
        </w:rPr>
        <w:t xml:space="preserve">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Título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Teórico-Jurídico e Prático da Calculadora de Dosimetria das Sanções Disciplinares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Versão da Ferramenta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v3.0</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Versão do Manual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 Edição Teórico-Prática</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Órgão responsável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Corregedoria da Secretaria Especial da Receita Federal do Brasil</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Autores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Auditor-Fiscal da Receita Federal do Brasil Raphael Albuquerque de Souza</w:t>
            </w:r>
          </w:p>
          <w:p>
            <w:r>
              <w:rPr>
                <w:rFonts w:ascii="Arial" w:cs="Arial" w:eastAsia="Arial" w:hAnsi="Arial"/>
                <w:sz w:val="18"/>
                <w:szCs w:val="18"/>
              </w:rPr>
              <w:t xml:space="preserve">Auditor-Fiscal da Receita Federal do Brasil Marcos Salles Teixeira</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Natureza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Documento técnico de apoio à decisão correcional. Fundamentação teórica e jurídica dos elementos da dosimetria e guia operacional passo a passo da Calculadora v3.</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Âmbito normativo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Lei nº 8.112/1990; Decreto-Lei nº 4.657/1942 (LINDB); Decreto nº 9.830/2019; Lei nº 9.784/1999; Lei nº 12.527/2011 (LAI); Lei nº 5.172/1966 (CTN); Portaria Normativa CGU nº 27/2022.</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Uso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Restrito a servidores autorizados. Reprodução permitida no âmbito do serviço público, com citação da fonte.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Este Manual não tem caráter vinculante. O resultado da Calculadora constitui subsídio técnico estruturado, destinado a orientar o julgamento e a facilitar a construção da motivação do ato decisório, sem substituir a apreciação da autoridade competente. A decisão final sobre a penalidade aplicável e sobre a oportunidade e a conveniência de propor Termo de Ajustamento de Conduta permanece integralmente da autoridade julgadora, nos termos dos arts. 65 e 66 da Portaria Normativa CGU nº 27, de 2022.</w:t>
            </w:r>
          </w:p>
        </w:tc>
      </w:tr>
    </w:tbl>
    <w:p>
      <w:r>
        <w:br w:type="page"/>
      </w:r>
    </w:p>
    <w:p>
      <w:pPr>
        <w:shd w:fill="1F3864" w:val="clear"/>
        <w:spacing w:after="200" w:before="200"/>
        <w:jc w:val="center"/>
      </w:pPr>
      <w:r>
        <w:rPr>
          <w:rFonts w:ascii="Arial" w:cs="Arial" w:eastAsia="Arial" w:hAnsi="Arial"/>
          <w:b/>
          <w:bCs/>
          <w:color w:val="FFFFFF"/>
          <w:sz w:val="28"/>
          <w:szCs w:val="28"/>
        </w:rPr>
        <w:t xml:space="preserve">PARTE I — FUNDAMENTOS JURÍDICOS</w:t>
      </w:r>
    </w:p>
    <w:p>
      <w:pPr>
        <w:pStyle w:val="Heading1"/>
      </w:pPr>
      <w:r>
        <w:rPr>
          <w:rFonts w:ascii="Arial" w:cs="Arial" w:eastAsia="Arial" w:hAnsi="Arial"/>
          <w:b/>
          <w:bCs/>
          <w:color w:val="1F3864"/>
          <w:sz w:val="28"/>
          <w:szCs w:val="28"/>
        </w:rPr>
        <w:t xml:space="preserve">1. Apresentação e Finalidade</w:t>
      </w:r>
    </w:p>
    <w:p>
      <w:pPr>
        <w:spacing w:after="80" w:before="80" w:line="276"/>
        <w:jc w:val="both"/>
      </w:pPr>
      <w:r>
        <w:rPr>
          <w:rFonts w:ascii="Arial" w:cs="Arial" w:eastAsia="Arial" w:hAnsi="Arial"/>
          <w:sz w:val="20"/>
          <w:szCs w:val="20"/>
        </w:rPr>
        <w:t xml:space="preserve">A Calculadora de Dosimetria das Sanções Disciplinares é ferramenta de apoio à decisão desenvolvida pela Corregedoria da Secretaria Especial da Receita Federal do Brasil (Coger/RFB) para auxiliar comissões processantes e autoridades julgadoras na individualização fundamentada das penalidades de advertência e de suspensão, nos termos dos arts. 128 a 130 da Lei nº 8.112, de 11 de dezembro de 1990.</w:t>
      </w:r>
    </w:p>
    <w:p>
      <w:pPr>
        <w:spacing w:after="80" w:before="80" w:line="276"/>
        <w:jc w:val="both"/>
      </w:pPr>
      <w:r>
        <w:rPr>
          <w:rFonts w:ascii="Arial" w:cs="Arial" w:eastAsia="Arial" w:hAnsi="Arial"/>
          <w:sz w:val="20"/>
          <w:szCs w:val="20"/>
        </w:rPr>
        <w:t xml:space="preserve">A ferramenta desempenha três funções integradas, a partir de um único conjunto de respostas fornecidas pelo operador. Primeiro, apura a dosimetria da penalidade, percorrendo os cinco elementos do art. 128 e a reincidência. Segundo, apura a viabilidade do Termo de Ajustamento de Conduta (TAC), verificando as três camadas de elegibilidade da Portaria Normativa CGU nº 27, de 2022. Terceiro, sinaliza quando as respostas configuram situação de baixíssima reprovabilidade compatível com o erro escusável, alertando para a possibilidade de arquivamento com base na tese jurídica da Coger/RFB (Nota Técnica Coger/RFB nº 12/2021).</w:t>
      </w:r>
    </w:p>
    <w:p>
      <w:pPr>
        <w:spacing w:after="80" w:before="80" w:line="276"/>
        <w:jc w:val="both"/>
      </w:pPr>
      <w:r>
        <w:rPr>
          <w:rFonts w:ascii="Arial" w:cs="Arial" w:eastAsia="Arial" w:hAnsi="Arial"/>
          <w:sz w:val="20"/>
          <w:szCs w:val="20"/>
        </w:rPr>
        <w:t xml:space="preserve">A versão 3.0 da Calculadora (v3) aprimorou a granularidade dos subfatores, incorporou novos agravantes e atenuantes, unificou a detecção da modalidade dolosa em SF1.1, incluiu enquadramento legal por artigo e inciso, persistência automática de sessão, exportação em PDF e exportação do estado em JSON para arquivamento e auditabilidade. Salvo menção expressa em contrário, artigos citados neste Manual referem-se à Lei nº 8.112, de 1990.</w:t>
      </w:r>
    </w:p>
    <w:p>
      <w:pPr>
        <w:spacing w:after="80" w:before="80" w:line="276"/>
        <w:jc w:val="both"/>
      </w:pPr>
      <w:r>
        <w:rPr>
          <w:rFonts w:ascii="Arial" w:cs="Arial" w:eastAsia="Arial" w:hAnsi="Arial"/>
          <w:sz w:val="20"/>
          <w:szCs w:val="20"/>
        </w:rPr>
        <w:t xml:space="preserve">A simples obtenção de um resultado numérico não satisfaz o dever de motivação. A Calculadora estrutura a avaliação; a fundamentação concreta é tarefa indelegável do aplicador do Direito, que deve consignar os pesos atribuídos, o cálculo da pontuação, as razões de cada valor e a captura da tela da ferramenta na manifestação técnica.</w:t>
      </w:r>
    </w:p>
    <w:p>
      <w:pPr>
        <w:pStyle w:val="Heading2"/>
      </w:pPr>
      <w:r>
        <w:rPr>
          <w:rFonts w:ascii="Arial" w:cs="Arial" w:eastAsia="Arial" w:hAnsi="Arial"/>
          <w:b/>
          <w:bCs/>
          <w:color w:val="2E5090"/>
          <w:sz w:val="24"/>
          <w:szCs w:val="24"/>
        </w:rPr>
        <w:t xml:space="preserve">1.1 A que se propõe este Manual</w:t>
      </w:r>
    </w:p>
    <w:p>
      <w:pPr>
        <w:pStyle w:val="ListParagraph"/>
        <w:numPr>
          <w:ilvl w:val="0"/>
          <w:numId w:val="2"/>
        </w:numPr>
        <w:spacing w:after="60" w:before="60" w:line="260"/>
      </w:pPr>
      <w:r>
        <w:rPr>
          <w:rFonts w:ascii="Arial" w:cs="Arial" w:eastAsia="Arial" w:hAnsi="Arial"/>
          <w:sz w:val="20"/>
          <w:szCs w:val="20"/>
        </w:rPr>
        <w:t xml:space="preserve">Expor a teoria jurídica de cada elemento do art. 128 — natureza, gravidade, dano, circunstâncias e antecedentes — e da reincidência;</w:t>
      </w:r>
    </w:p>
    <w:p>
      <w:pPr>
        <w:pStyle w:val="ListParagraph"/>
        <w:numPr>
          <w:ilvl w:val="0"/>
          <w:numId w:val="2"/>
        </w:numPr>
        <w:spacing w:after="60" w:before="60" w:line="260"/>
      </w:pPr>
      <w:r>
        <w:rPr>
          <w:rFonts w:ascii="Arial" w:cs="Arial" w:eastAsia="Arial" w:hAnsi="Arial"/>
          <w:sz w:val="20"/>
          <w:szCs w:val="20"/>
        </w:rPr>
        <w:t xml:space="preserve">Demonstrar como cada conceito jurídico foi operacionalizado em subfatores e faixas de pontuação da Calculadora;</w:t>
      </w:r>
    </w:p>
    <w:p>
      <w:pPr>
        <w:pStyle w:val="ListParagraph"/>
        <w:numPr>
          <w:ilvl w:val="0"/>
          <w:numId w:val="2"/>
        </w:numPr>
        <w:spacing w:after="60" w:before="60" w:line="260"/>
      </w:pPr>
      <w:r>
        <w:rPr>
          <w:rFonts w:ascii="Arial" w:cs="Arial" w:eastAsia="Arial" w:hAnsi="Arial"/>
          <w:sz w:val="20"/>
          <w:szCs w:val="20"/>
        </w:rPr>
        <w:t xml:space="preserve">Descrever o fluxo operacional passo a passo da Calculadora v3;</w:t>
      </w:r>
    </w:p>
    <w:p>
      <w:pPr>
        <w:pStyle w:val="ListParagraph"/>
        <w:numPr>
          <w:ilvl w:val="0"/>
          <w:numId w:val="2"/>
        </w:numPr>
        <w:spacing w:after="60" w:before="60" w:line="260"/>
      </w:pPr>
      <w:r>
        <w:rPr>
          <w:rFonts w:ascii="Arial" w:cs="Arial" w:eastAsia="Arial" w:hAnsi="Arial"/>
          <w:sz w:val="20"/>
          <w:szCs w:val="20"/>
        </w:rPr>
        <w:t xml:space="preserve">Oferecer modelos de fundamentação adaptáveis e reunir referências normativas, doutrinárias e jurisprudenciais.</w:t>
      </w:r>
    </w:p>
    <w:p>
      <w:pPr>
        <w:pStyle w:val="Heading2"/>
      </w:pPr>
      <w:r>
        <w:rPr>
          <w:rFonts w:ascii="Arial" w:cs="Arial" w:eastAsia="Arial" w:hAnsi="Arial"/>
          <w:b/>
          <w:bCs/>
          <w:color w:val="2E5090"/>
          <w:sz w:val="24"/>
          <w:szCs w:val="24"/>
        </w:rPr>
        <w:t xml:space="preserve">1.2 Âmbito de aplicação</w:t>
      </w:r>
    </w:p>
    <w:p>
      <w:pPr>
        <w:spacing w:after="80" w:before="80" w:line="276"/>
        <w:jc w:val="both"/>
      </w:pPr>
      <w:r>
        <w:rPr>
          <w:rFonts w:ascii="Arial" w:cs="Arial" w:eastAsia="Arial" w:hAnsi="Arial"/>
          <w:sz w:val="20"/>
          <w:szCs w:val="20"/>
        </w:rPr>
        <w:t xml:space="preserve">A ferramenta aplica-se exclusivamente a infrações que comportem advertência (art. 129) ou suspensão de até 90 dias (art. 130). Infrações sujeitas a demissão, cassação de aposentadoria, destituição de cargo em comissão ou destituição de função comissionada (art. 132) estão fora do escopo.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F2" w:val="clear"/>
            <w:tcMar>
              <w:top w:type="dxa" w:w="100"/>
              <w:left w:type="dxa" w:w="180"/>
              <w:bottom w:type="dxa" w:w="100"/>
              <w:right w:type="dxa" w:w="180"/>
            </w:tcMar>
          </w:tcPr>
          <w:p>
            <w:pPr>
              <w:spacing w:after="40" w:before="60"/>
            </w:pPr>
            <w:r>
              <w:rPr>
                <w:rFonts w:ascii="Arial" w:cs="Arial" w:eastAsia="Arial" w:hAnsi="Arial"/>
                <w:b/>
                <w:bCs/>
                <w:color w:val="C00000"/>
                <w:sz w:val="18"/>
                <w:szCs w:val="18"/>
              </w:rPr>
              <w:t xml:space="preserve">ART. 132 — PENAS CAPITAIS FORA DO ESCOPO</w:t>
            </w:r>
          </w:p>
          <w:p>
            <w:pPr>
              <w:spacing w:after="60" w:before="40" w:line="260"/>
              <w:jc w:val="both"/>
            </w:pPr>
            <w:r>
              <w:rPr>
                <w:rFonts w:ascii="Arial" w:cs="Arial" w:eastAsia="Arial" w:hAnsi="Arial"/>
                <w:i/>
                <w:iCs/>
                <w:sz w:val="18"/>
                <w:szCs w:val="18"/>
              </w:rPr>
              <w:t xml:space="preserve">As hipóteses do art. 132 resultam em penas capitais de aplicação vinculada. Não é adequado invocar a proporcionalidade ou a razoabilidade para nelas aplicar advertência ou suspensão, nem realizar dosimetria. Nesse sentido, a Súmula 650 do STJ. O sistema bloqueia o avanço enquanto o operador não confirmar, expressamente, a ausência de enquadramento no art. 132.</w:t>
            </w:r>
          </w:p>
        </w:tc>
      </w:tr>
    </w:tbl>
    <w:p>
      <w:r>
        <w:t xml:space="preserve"/>
      </w:r>
    </w:p>
    <w:p>
      <w:pPr>
        <w:spacing w:after="80" w:before="80" w:line="276"/>
        <w:jc w:val="both"/>
      </w:pPr>
      <w:r>
        <w:rPr>
          <w:rFonts w:ascii="Arial" w:cs="Arial" w:eastAsia="Arial" w:hAnsi="Arial"/>
          <w:sz w:val="20"/>
          <w:szCs w:val="20"/>
        </w:rPr>
        <w:t xml:space="preserve">Há também um limite inferior de reprovabilidade. Quando a conduta configura erro escusável, descabe a sanção e a própria instauração do processo disciplinar. A pontuação mínima em SF1.1 e SF1.2, combinada com dano ínfimo e conduta isolada, resulta numa Soma Total muito baixa, orientando a autoridade para a hipótese de arquivamento (item 5.4).</w:t>
      </w:r>
    </w:p>
    <w:p>
      <w:pPr>
        <w:pStyle w:val="Heading1"/>
      </w:pPr>
      <w:r>
        <w:rPr>
          <w:rFonts w:ascii="Arial" w:cs="Arial" w:eastAsia="Arial" w:hAnsi="Arial"/>
          <w:b/>
          <w:bCs/>
          <w:color w:val="1F3864"/>
          <w:sz w:val="28"/>
          <w:szCs w:val="28"/>
        </w:rPr>
        <w:t xml:space="preserve">2. Fundamentos Jurídicos da Dosimetria</w:t>
      </w:r>
    </w:p>
    <w:p>
      <w:pPr>
        <w:spacing w:after="80" w:before="80" w:line="276"/>
        <w:jc w:val="both"/>
      </w:pPr>
      <w:r>
        <w:rPr>
          <w:rFonts w:ascii="Arial" w:cs="Arial" w:eastAsia="Arial" w:hAnsi="Arial"/>
          <w:sz w:val="20"/>
          <w:szCs w:val="20"/>
        </w:rPr>
        <w:t xml:space="preserve">A dosimetria da sanção disciplinar é uma das tarefas mais delicadas da atividade correcional. A Lei nº 8.112, de 1990 oferece, no seu art. 128, cinco critérios de graduação — natureza, gravidade, dano, circunstâncias e antecedentes —, mas não fornece baliza objetiva sobre como distribuir esses critérios em cada caso concreto. Esse vácuo metodológico é a razão de ser da Calculadora: ela converte conceitos normativos abertos em faixas de pontuação auditáveis, sem suprimir o juízo do aplicador, conferindo maior eficiência à atividade correcional e, sobretudo, maior segurança jurídica e isonomia aos acusados.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128</w:t>
            </w:r>
          </w:p>
          <w:p>
            <w:pPr>
              <w:spacing w:after="60" w:before="40" w:line="260"/>
              <w:jc w:val="both"/>
            </w:pPr>
            <w:r>
              <w:rPr>
                <w:rFonts w:ascii="Arial" w:cs="Arial" w:eastAsia="Arial" w:hAnsi="Arial"/>
                <w:i/>
                <w:iCs/>
                <w:sz w:val="18"/>
                <w:szCs w:val="18"/>
              </w:rPr>
              <w:t xml:space="preserve">Na aplicação das penalidades serão consideradas a natureza e a gravidade da infração cometida, os danos que dela provierem para o serviço público, as circunstâncias agravantes ou atenuantes e os antecedentes funcionais.</w:t>
            </w:r>
          </w:p>
        </w:tc>
      </w:tr>
    </w:tbl>
    <w:p>
      <w:r>
        <w:t xml:space="preserve"/>
      </w:r>
    </w:p>
    <w:p>
      <w:pPr>
        <w:pStyle w:val="Heading2"/>
      </w:pPr>
      <w:r>
        <w:rPr>
          <w:rFonts w:ascii="Arial" w:cs="Arial" w:eastAsia="Arial" w:hAnsi="Arial"/>
          <w:b/>
          <w:bCs/>
          <w:color w:val="2E5090"/>
          <w:sz w:val="24"/>
          <w:szCs w:val="24"/>
        </w:rPr>
        <w:t xml:space="preserve">2.1 Quadro normativo de referência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Norma</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Dispositivos e função na dosimetria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Lei nº 8.112/1990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Arts. 116 (deveres) e 117 (proibições); art. 128 (critérios de graduação); arts. 129–130 (penalidades); art. 131 (prazos de cancelamento); art. 132 (penas capitais, fora do escopo).</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Decreto nº 9.830/2019</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12 (elemento subjetivo, erro grosseiro, §1º e §5º); art. 16 (proporcionalidade e motivação); art. 17 (sanção admissível também na culpa leve).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LINDB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20 (consequências práticas); art. 22 (obstáculos reais do gestor); art. 28 (dolo ou erro grosseiro).</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Lei nº 9.784/1999</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2º, parágrafo único, VIII e IX (formalismo moderado); art. 50, I e II (dever de motivação).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LAI (Lei nº 12.527/2011)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32 (infrações funcionais — base do Regime RE3).</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CTN (Lei nº 5.172/1966)</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198 (sigilo fiscal; bem jurídico nuclear da atividade tributária).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Portaria Normativa CGU nº 27/2022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Arts. 62–72 (TAC); arts. 65 e 66 (competência); arts. 140 e 141 (uso da Calculadora).</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Jurisprudência sumular</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Súmula 650/STJ (demissão vinculada); Súmula 231/STJ (atenuante não reduz abaixo do mínimo); Súmula 241/STJ (vedação à dupla valoração).</w:t>
            </w:r>
          </w:p>
        </w:tc>
      </w:tr>
    </w:tbl>
    <w:p>
      <w:pPr>
        <w:pStyle w:val="Heading2"/>
      </w:pPr>
      <w:r>
        <w:rPr>
          <w:rFonts w:ascii="Arial" w:cs="Arial" w:eastAsia="Arial" w:hAnsi="Arial"/>
          <w:b/>
          <w:bCs/>
          <w:color w:val="2E5090"/>
          <w:sz w:val="24"/>
          <w:szCs w:val="24"/>
        </w:rPr>
        <w:t xml:space="preserve">2.2 Proporcionalidade e dever de motivação</w:t>
      </w:r>
    </w:p>
    <w:p>
      <w:pPr>
        <w:spacing w:after="80" w:before="80" w:line="276"/>
        <w:jc w:val="both"/>
      </w:pPr>
      <w:r>
        <w:rPr>
          <w:rFonts w:ascii="Arial" w:cs="Arial" w:eastAsia="Arial" w:hAnsi="Arial"/>
          <w:sz w:val="20"/>
          <w:szCs w:val="20"/>
        </w:rPr>
        <w:t xml:space="preserve">A proporcionalidade desdobra-se em adequação, necessidade e proporcionalidade em sentido estrito. A Calculadora operacionaliza esses subprincípios ao decompor a conduta em elementos avaliados individualmente, submetendo cada um a um teto de pontos predefinido. O dever de motivação (art. 50, I e II, da Lei nº 9.784/1999; art. 16 do Decreto nº 9.830/2019) exige que a manifestação técnica contenha os pesos atribuídos, o cálculo da pontuação, as razões de cada valor e a captura de tela. O relatório gerado fornece a estrutura inicial da motivação — não a substitui.</w:t>
      </w:r>
    </w:p>
    <w:p>
      <w:pPr>
        <w:pStyle w:val="Heading2"/>
      </w:pPr>
      <w:r>
        <w:rPr>
          <w:rFonts w:ascii="Arial" w:cs="Arial" w:eastAsia="Arial" w:hAnsi="Arial"/>
          <w:b/>
          <w:bCs/>
          <w:color w:val="2E5090"/>
          <w:sz w:val="24"/>
          <w:szCs w:val="24"/>
        </w:rPr>
        <w:t xml:space="preserve">2.3 Discricionariedade vinculada</w:t>
      </w:r>
    </w:p>
    <w:p>
      <w:pPr>
        <w:spacing w:after="80" w:before="80" w:line="276"/>
        <w:jc w:val="both"/>
      </w:pPr>
      <w:r>
        <w:rPr>
          <w:rFonts w:ascii="Arial" w:cs="Arial" w:eastAsia="Arial" w:hAnsi="Arial"/>
          <w:sz w:val="20"/>
          <w:szCs w:val="20"/>
        </w:rPr>
        <w:t xml:space="preserve">A atuação da autoridade não é ato arbitrário nem puramente discricionário: trata-se de ato pautado nos elementos constantes dos autos — discricionariedade vinculada ao contido no processo. A jurisprudência reforça que essa graduação não dispensa fundamentação concreta:</w:t>
      </w:r>
    </w:p>
    <w:p>
      <w:pPr>
        <w:spacing w:after="80" w:before="80" w:line="260"/>
        <w:ind w:left="720"/>
        <w:jc w:val="both"/>
      </w:pPr>
      <w:r>
        <w:rPr>
          <w:rFonts w:ascii="Arial" w:cs="Arial" w:eastAsia="Arial" w:hAnsi="Arial"/>
          <w:i/>
          <w:iCs/>
          <w:sz w:val="20"/>
          <w:szCs w:val="20"/>
        </w:rPr>
        <w:t xml:space="preserve">Conquanto o grau de reprovabilidade da conduta constitua fator idôneo a ser sopesado, o julgador não se vê livre da tarefa de indicar elementos concretamente aferíveis que deem suporte à sua consideração.</w:t>
      </w:r>
    </w:p>
    <w:p>
      <w:pPr>
        <w:spacing w:after="80" w:before="0"/>
        <w:jc w:val="right"/>
      </w:pPr>
      <w:r>
        <w:rPr>
          <w:rFonts w:ascii="Arial" w:cs="Arial" w:eastAsia="Arial" w:hAnsi="Arial"/>
          <w:i/>
          <w:iCs/>
          <w:color w:val="555555"/>
          <w:sz w:val="18"/>
          <w:szCs w:val="18"/>
        </w:rPr>
        <w:t xml:space="preserve">— STJ, HC 229.260/GO, 5ª Turma, j. 25.06.2013</w:t>
      </w:r>
    </w:p>
    <w:p>
      <w:pPr>
        <w:pStyle w:val="Heading2"/>
      </w:pPr>
      <w:r>
        <w:rPr>
          <w:rFonts w:ascii="Arial" w:cs="Arial" w:eastAsia="Arial" w:hAnsi="Arial"/>
          <w:b/>
          <w:bCs/>
          <w:color w:val="2E5090"/>
          <w:sz w:val="24"/>
          <w:szCs w:val="24"/>
        </w:rPr>
        <w:t xml:space="preserve">2.4 Por que um sistema de pontos</w:t>
      </w:r>
    </w:p>
    <w:p>
      <w:pPr>
        <w:spacing w:after="80" w:before="80" w:line="276"/>
        <w:jc w:val="both"/>
      </w:pPr>
      <w:r>
        <w:rPr>
          <w:rFonts w:ascii="Arial" w:cs="Arial" w:eastAsia="Arial" w:hAnsi="Arial"/>
          <w:sz w:val="20"/>
          <w:szCs w:val="20"/>
        </w:rPr>
        <w:t xml:space="preserve">A opção por um sistema de pontos decorre da necessidade de tornar comparáveis e auditáveis decisões que, de outro modo, dependeriam exclusivamente da impressão individual de cada julgador. As faixas refletem escolhas metodológicas da Corregedoria, calibradas a partir do Estudo de Dosimetria da CGU e da experiência correcional acumulada. Não são determinações legais explícitas e podem ser revistas.</w:t>
      </w:r>
    </w:p>
    <w:p>
      <w:r>
        <w:br w:type="page"/>
      </w:r>
    </w:p>
    <w:p>
      <w:pPr>
        <w:shd w:fill="1F3864" w:val="clear"/>
        <w:spacing w:after="200" w:before="200"/>
        <w:jc w:val="center"/>
      </w:pPr>
      <w:r>
        <w:rPr>
          <w:rFonts w:ascii="Arial" w:cs="Arial" w:eastAsia="Arial" w:hAnsi="Arial"/>
          <w:b/>
          <w:bCs/>
          <w:color w:val="FFFFFF"/>
          <w:sz w:val="28"/>
          <w:szCs w:val="28"/>
        </w:rPr>
        <w:t xml:space="preserve">PARTE II — ARQUITETURA DA FERRAMENTA</w:t>
      </w:r>
    </w:p>
    <w:p>
      <w:pPr>
        <w:pStyle w:val="Heading1"/>
      </w:pPr>
      <w:r>
        <w:rPr>
          <w:rFonts w:ascii="Arial" w:cs="Arial" w:eastAsia="Arial" w:hAnsi="Arial"/>
          <w:b/>
          <w:bCs/>
          <w:color w:val="1F3864"/>
          <w:sz w:val="28"/>
          <w:szCs w:val="28"/>
        </w:rPr>
        <w:t xml:space="preserve">3. Estrutura Metodológica</w:t>
      </w:r>
    </w:p>
    <w:p>
      <w:pPr>
        <w:spacing w:after="80" w:before="80" w:line="276"/>
        <w:jc w:val="both"/>
      </w:pPr>
      <w:r>
        <w:rPr>
          <w:rFonts w:ascii="Arial" w:cs="Arial" w:eastAsia="Arial" w:hAnsi="Arial"/>
          <w:sz w:val="20"/>
          <w:szCs w:val="20"/>
        </w:rPr>
        <w:t xml:space="preserve">A metodologia organiza-se em módulos sequenciais em duas fases, acessíveis por doze telas. A primeira fase estabelece a pontuação base a partir dos cinco elementos do art. 128; a segunda aplica a reincidência. A partir do mesmo conjunto de respostas, a ferramenta apura a viabilidade do TAC.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6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Tela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Nome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Fase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Conteúdo principal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Identificação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Pré-cálculo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Dados do processo e do servidor. Confirmação expressa da ausência de enquadramento no art. 132.</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Classificação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Pré-cálculo</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Seleção do regime (Geral, RE1, RE2, RE3 ou Concurso) e enquadramento legal por artigo e inciso.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Natureza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SF1.1 — Elemento Subjetivo (1–22 pts); SF1.2 — Falha no Dever de Cuidado / Consciência da Ilicitude (0–8 pts). Teto: 30 pts.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Gravidade</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SF2.1 — Hierarquia do Bem Jurídico (1–15 pts); SF2.2 — Caráter Temporal (1–15 pts); SF2.3 — Concurso Formal (0–15 pts). Teto: 40 pts.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Dano Material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SF3A.1 — árvore: existência → extensão → reversibilidade. Teto: 20 pts.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Dano Imaterial</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SF3B.1 a SF3B.4b — cinco dimensões. Teto: 30 pts. Teto conjunto Dano: 30 pts.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Circunstâncias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 agravantes e 13 atenuantes com sliders de intensidade (min/padrão/máx).</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Antecedentes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 bons antecedentes e 4 maus antecedentes com sliders.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Dados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Pré-TAC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Vínculo, registros vigentes, TAC anterior e ressarcimento.</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9</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Resultado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Total, conversão, reincidência, zona limítrofe, pré-viabilidade TAC.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Revisão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TAC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Obrigações TAC, obrigação efetiva, comprovação, prazos (máx. 24 meses).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11</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Saída</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 PDF, exportação JSON, documento TAC em HTML.</w:t>
            </w:r>
          </w:p>
        </w:tc>
      </w:tr>
    </w:tbl>
    <w:p>
      <w:r>
        <w:t xml:space="preserve"/>
      </w:r>
    </w:p>
    <w:p>
      <w:pPr>
        <w:pStyle w:val="Heading2"/>
      </w:pPr>
      <w:r>
        <w:rPr>
          <w:rFonts w:ascii="Arial" w:cs="Arial" w:eastAsia="Arial" w:hAnsi="Arial"/>
          <w:b/>
          <w:bCs/>
          <w:color w:val="2E5090"/>
          <w:sz w:val="24"/>
          <w:szCs w:val="24"/>
        </w:rPr>
        <w:t xml:space="preserve">3.1 O sistema de pontos e os tetos por elemento</w:t>
      </w:r>
    </w:p>
    <w:p>
      <w:pPr>
        <w:pStyle w:val="Normal"/>
      </w:pPr>
      <w:r>
        <w:t xml:space="preserve">A pontuação máxima teórica do sistema é de 120 pontos, valor que traduz o patamar de maior reprovabilidade possível compatível com advertência ou suspensão (art. 129 e art. 130 da Lei nº 8.112/1990). Esse limite decorre diretamente do princípio da proporcionalidade: a ferramenta não fabrica reprovabilidade inexistente — limita-se a organizar, medir e comparar os elementos que o próprio ordenamento elenca no art. 128.</w:t>
      </w:r>
    </w:p>
    <w:p>
      <w:pPr>
        <w:pStyle w:val="Normal"/>
      </w:pPr>
      <w:r>
        <w:t xml:space="preserve">A composição do máximo de 120 pontos é a seguinte: Natureza (teto 30) + Gravidade (teto 30, operacionalmente capado mesmo que a soma dos subfatores exceda esse valor) + Dano Material + Imaterial (teto conjunto 30, sendo 20 pts o teto individual de cada dimensão) = 90 pontos fixos; acrescidos dos moduladores variáveis: Circunstâncias agravantes (teto +15) + Maus antecedentes (teto +15) = 30 pontos variáveis positivos. Total máximo: 90 + 30 = 120 pontos. Atenuantes e bons antecedentes reduzem a soma abaixo desse valor — não há teto negativo para moduladores, mas a Calculadora não permite resultado negativo.</w:t>
      </w:r>
    </w:p>
    <w:p>
      <w:pPr>
        <w:pStyle w:val="Normal"/>
      </w:pPr>
      <w:r>
        <w:t xml:space="preserve">A tabela a seguir apresenta os elementos, suas naturezas e seus tetos: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1600"/>
        <w:gridCol w:w="19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Elemento</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Natureza do juízo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Faixa</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Teto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Natureza (Elem.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Elemento subjetivo (desvalor da ação)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1 a 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30</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Gravidade (Elem. 2)</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Ofensa ao bem jurídico (desvalor da ação)</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1 a 30</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Dano (Elem.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Resultado lesivo — Material + Imaterial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0 a 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30</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Circunstâncias (Elem. 4)</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Modulador contextual — soma dos sliders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Antecedentes (Elem. 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Modulador histórico — soma dos sliders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Soma Total</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Base da conversão em penalidade</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120 (teórico)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As faixas refletem escolhas metodológicas da Coger/RFB, não determinações legais explícitas. São auditáveis e podem ser revistas. O que a Lei impõe são os critérios do art. 128 e a obrigação de motivá-los.</w:t>
            </w:r>
          </w:p>
        </w:tc>
      </w:tr>
    </w:tbl>
    <w:p>
      <w:pPr>
        <w:pStyle w:val="Heading1"/>
      </w:pPr>
      <w:r>
        <w:rPr>
          <w:rFonts w:ascii="Arial" w:cs="Arial" w:eastAsia="Arial" w:hAnsi="Arial"/>
          <w:b/>
          <w:bCs/>
          <w:color w:val="1F3864"/>
          <w:sz w:val="28"/>
          <w:szCs w:val="28"/>
        </w:rPr>
        <w:t xml:space="preserve">4. Regimes de Conversão</w:t>
      </w:r>
    </w:p>
    <w:p>
      <w:pPr>
        <w:spacing w:after="80" w:before="80" w:line="276"/>
        <w:jc w:val="both"/>
      </w:pPr>
      <w:r>
        <w:rPr>
          <w:rFonts w:ascii="Arial" w:cs="Arial" w:eastAsia="Arial" w:hAnsi="Arial"/>
          <w:sz w:val="20"/>
          <w:szCs w:val="20"/>
        </w:rPr>
        <w:t xml:space="preserve">A Soma Total da primeira fase é convertida em advertência ou em dias de suspensão conforme o regime identificado na tela de Classificação.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660"/>
        <w:gridCol w:w="29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Regime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Base legal</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Fórmula de conversão</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Penalidade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GERAL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Arts. 116; 117, I–VIII e XIX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 30 → advertência.</w:t>
            </w:r>
          </w:p>
          <w:p>
            <w:pPr>
              <w:jc w:val="both"/>
            </w:pPr>
            <w:r>
              <w:rPr>
                <w:rFonts w:ascii="Arial" w:cs="Arial" w:eastAsia="Arial" w:hAnsi="Arial"/>
                <w:b w:val="false"/>
                <w:bCs w:val="false"/>
                <w:color w:val="000000"/>
                <w:sz w:val="17"/>
                <w:szCs w:val="17"/>
              </w:rPr>
              <w:t xml:space="preserve">Soma &gt; 30 → min(Soma − 30, 90) dias.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ou suspensão de 1 a 90 dias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RE1</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117, XVII e XVIII</w:t>
            </w:r>
          </w:p>
        </w:tc>
        <w:tc>
          <w:tcPr>
            <w:tcW w:type="dxa" w:w="36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max(1, min(⌊3×Soma÷4⌋, 90)) dias</w:t>
            </w:r>
          </w:p>
        </w:tc>
        <w:tc>
          <w:tcPr>
            <w:tcW w:type="dxa" w:w="2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90 dias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130, § 1º</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max(1, min(⌊Soma÷8⌋, 15)) dias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15 dias.</w:t>
            </w:r>
          </w:p>
          <w:p>
            <w:pPr>
              <w:jc w:val="both"/>
            </w:pPr>
            <w:r>
              <w:rPr>
                <w:rFonts w:ascii="Arial" w:cs="Arial" w:eastAsia="Arial" w:hAnsi="Arial"/>
                <w:b w:val="false"/>
                <w:bCs w:val="false"/>
                <w:color w:val="000000"/>
                <w:sz w:val="17"/>
                <w:szCs w:val="17"/>
              </w:rPr>
              <w:t xml:space="preserve">Apenas dolo admissível em SF1.1.</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RE3</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32 da LAI</w:t>
            </w:r>
          </w:p>
        </w:tc>
        <w:tc>
          <w:tcPr>
            <w:tcW w:type="dxa" w:w="36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Idêntico ao RE1</w:t>
            </w:r>
          </w:p>
        </w:tc>
        <w:tc>
          <w:tcPr>
            <w:tcW w:type="dxa" w:w="2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90 dias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CONCURSO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128 c/c art. 130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das suspensões; teto de 90 dias.</w:t>
            </w:r>
          </w:p>
          <w:p>
            <w:pPr>
              <w:jc w:val="both"/>
            </w:pPr>
            <w:r>
              <w:rPr>
                <w:rFonts w:ascii="Arial" w:cs="Arial" w:eastAsia="Arial" w:hAnsi="Arial"/>
                <w:b w:val="false"/>
                <w:bCs w:val="false"/>
                <w:color w:val="000000"/>
                <w:sz w:val="17"/>
                <w:szCs w:val="17"/>
              </w:rPr>
              <w:t xml:space="preserve">Se resultado = 0 e houver advertência → advertência.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prevalece; teto de 90 dias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No Regime RE2, somente o dolo é admissível em SF1.1, pois a recusa à perícia pressupõe ação intencional. No Regime de Concurso, cada infração é dosada de forma independente antes de consolidar o resultado.</w:t>
            </w:r>
          </w:p>
        </w:tc>
      </w:tr>
    </w:tbl>
    <w:p>
      <w:r>
        <w:br w:type="page"/>
      </w:r>
    </w:p>
    <w:p>
      <w:pPr>
        <w:shd w:fill="1F3864" w:val="clear"/>
        <w:spacing w:after="200" w:before="200"/>
        <w:jc w:val="center"/>
      </w:pPr>
      <w:r>
        <w:rPr>
          <w:rFonts w:ascii="Arial" w:cs="Arial" w:eastAsia="Arial" w:hAnsi="Arial"/>
          <w:b/>
          <w:bCs/>
          <w:color w:val="FFFFFF"/>
          <w:sz w:val="28"/>
          <w:szCs w:val="28"/>
        </w:rPr>
        <w:t xml:space="preserve">PARTE III — ANÁLISE JURÍDICA DOS ELEMENTOS</w:t>
      </w:r>
    </w:p>
    <w:p>
      <w:pPr>
        <w:pStyle w:val="Heading1"/>
      </w:pPr>
      <w:r>
        <w:rPr>
          <w:rFonts w:ascii="Arial" w:cs="Arial" w:eastAsia="Arial" w:hAnsi="Arial"/>
          <w:b/>
          <w:bCs/>
          <w:color w:val="1F3864"/>
          <w:sz w:val="28"/>
          <w:szCs w:val="28"/>
        </w:rPr>
        <w:t xml:space="preserve">5. Elemento 1 — Natureza da Infração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arts. 12 e 17 do Decreto nº 9.830/2019; e art. 28 da LINDB.</w:t>
      </w:r>
      <w:r>
        <w:rPr>
          <w:rFonts w:ascii="Arial" w:cs="Arial" w:eastAsia="Arial" w:hAnsi="Arial"/>
          <w:sz w:val="20"/>
          <w:szCs w:val="20"/>
        </w:rPr>
        <w:t xml:space="preserve"> Teto: 30 pontos.</w:t>
      </w:r>
    </w:p>
    <w:p>
      <w:r>
        <w:t xml:space="preserve"/>
      </w:r>
    </w:p>
    <w:p>
      <w:pPr>
        <w:spacing w:after="80" w:before="80" w:line="276"/>
        <w:jc w:val="both"/>
      </w:pPr>
      <w:r>
        <w:rPr>
          <w:rFonts w:ascii="Arial" w:cs="Arial" w:eastAsia="Arial" w:hAnsi="Arial"/>
          <w:sz w:val="20"/>
          <w:szCs w:val="20"/>
        </w:rPr>
        <w:t xml:space="preserve">A natureza avalia o aspecto subjetivo da conduta — o elemento volitivo predominante e o grau de consciência da ilicitude do agente. É o critério que melhor expressa o desvalor da ação: aquilo que torna censurável não apenas o que se fez, mas o estado anímico com que se fez.</w:t>
      </w:r>
    </w:p>
    <w:p>
      <w:pPr>
        <w:spacing w:after="80" w:before="80" w:line="276"/>
        <w:jc w:val="both"/>
      </w:pPr>
      <w:r>
        <w:rPr>
          <w:rFonts w:ascii="Arial" w:cs="Arial" w:eastAsia="Arial" w:hAnsi="Arial"/>
          <w:sz w:val="20"/>
          <w:szCs w:val="20"/>
        </w:rPr>
        <w:t xml:space="preserve">Sendo impossível penetrar diretamente na consciência do agente, o elemento subjetivo é individualizado a partir das circunstâncias periféricas ao caso: o conhecimento que o agente tinha dos fatos e de suas consequências, o grau de discernimento exigido para a função exercida e a presença de eventuais escusas. O Direito brasileiro adotou a teoria finalista da ação, de Hans Welzel. A reprovabilidade gradua-se conforme o agente tenha querido o resultado, assumido o risco de produzi-lo ou simplesmente faltado com o dever de cuidado.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Embora o art. 28 da LINDB restrinja a responsabilização do agente público às hipóteses de dolo ou erro grosseiro, essa disposição não afasta a aplicação de sanções disciplinares também na culpa leve, por força expressa do art. 17 do Decreto nº 9.830/2019.</w:t>
            </w:r>
          </w:p>
        </w:tc>
      </w:tr>
    </w:tbl>
    <w:p>
      <w:r>
        <w:t xml:space="preserve"/>
      </w:r>
    </w:p>
    <w:p>
      <w:pPr>
        <w:pStyle w:val="Heading2"/>
      </w:pPr>
      <w:r>
        <w:rPr>
          <w:rFonts w:ascii="Arial" w:cs="Arial" w:eastAsia="Arial" w:hAnsi="Arial"/>
          <w:b/>
          <w:bCs/>
          <w:color w:val="2E5090"/>
          <w:sz w:val="24"/>
          <w:szCs w:val="24"/>
        </w:rPr>
        <w:t xml:space="preserve">5.1 O dolo</w:t>
      </w:r>
    </w:p>
    <w:p>
      <w:pPr>
        <w:spacing w:after="80" w:before="80" w:line="276"/>
        <w:jc w:val="both"/>
      </w:pPr>
      <w:r>
        <w:rPr>
          <w:rFonts w:ascii="Arial" w:cs="Arial" w:eastAsia="Arial" w:hAnsi="Arial"/>
          <w:sz w:val="20"/>
          <w:szCs w:val="20"/>
        </w:rPr>
        <w:t xml:space="preserve">O dolo é a vontade dirigida à realização da conduta e, conforme a espécie, ao resultado. Compõe-se de dois elementos: o cognitivo (conhecimento da situação de fato) e o volitivo (vontade de agir, ou aceitação do risco de agir). Um ponto estruturante é que o dolo não exige a consciência atual da ilicitude — o ato doloso caracteriza-se por querer ou conhecer o resultado, não necessariamente pelo conhecimento do desvalor jurídico da ação. Daí a consciência da ilicitude ser tratada como subfator autônomo (SF1.2).</w:t>
      </w:r>
    </w:p>
    <w:p>
      <w:pPr>
        <w:pStyle w:val="Heading3"/>
      </w:pPr>
      <w:r>
        <w:rPr>
          <w:rFonts w:ascii="Arial" w:cs="Arial" w:eastAsia="Arial" w:hAnsi="Arial"/>
          <w:b/>
          <w:bCs/>
          <w:color w:val="2E5090"/>
          <w:sz w:val="22"/>
          <w:szCs w:val="22"/>
        </w:rPr>
        <w:t xml:space="preserve">5.1.1 Dolo direto</w:t>
      </w:r>
    </w:p>
    <w:p>
      <w:pPr>
        <w:spacing w:after="80" w:before="80" w:line="276"/>
        <w:jc w:val="both"/>
      </w:pPr>
      <w:r>
        <w:rPr>
          <w:rFonts w:ascii="Arial" w:cs="Arial" w:eastAsia="Arial" w:hAnsi="Arial"/>
          <w:sz w:val="20"/>
          <w:szCs w:val="20"/>
        </w:rPr>
        <w:t xml:space="preserve">Há dolo direto quando o agente quer o resultado e a ele dirige a sua conduta (teoria da vontade). É a forma mais grave do elemento subjetivo. A Calculadora v3 distingue ainda, dentro do dolo direto, a conduta com especial fim de agir — em que o servidor orienta sua vontade por uma finalidade específica para além do resultado imediato. Esse grau ocupa o teto da escala (22 pontos em SF1.1).</w:t>
      </w:r>
    </w:p>
    <w:p>
      <w:pPr>
        <w:pStyle w:val="Heading3"/>
      </w:pPr>
      <w:r>
        <w:rPr>
          <w:rFonts w:ascii="Arial" w:cs="Arial" w:eastAsia="Arial" w:hAnsi="Arial"/>
          <w:b/>
          <w:bCs/>
          <w:color w:val="2E5090"/>
          <w:sz w:val="22"/>
          <w:szCs w:val="22"/>
        </w:rPr>
        <w:t xml:space="preserve">5.1.2 Dolo eventual</w:t>
      </w:r>
    </w:p>
    <w:p>
      <w:pPr>
        <w:spacing w:after="80" w:before="80" w:line="276"/>
        <w:jc w:val="both"/>
      </w:pPr>
      <w:r>
        <w:rPr>
          <w:rFonts w:ascii="Arial" w:cs="Arial" w:eastAsia="Arial" w:hAnsi="Arial"/>
          <w:sz w:val="20"/>
          <w:szCs w:val="20"/>
        </w:rPr>
        <w:t xml:space="preserve">No dolo eventual, o agente não quer diretamente o resultado, mas, prevendo-o como possível ou provável, assume o risco de produzi-lo — teoria do assentimento.</w:t>
      </w:r>
    </w:p>
    <w:p>
      <w:pPr>
        <w:spacing w:after="80" w:before="80" w:line="260"/>
        <w:ind w:left="720"/>
        <w:jc w:val="both"/>
      </w:pPr>
      <w:r>
        <w:rPr>
          <w:rFonts w:ascii="Arial" w:cs="Arial" w:eastAsia="Arial" w:hAnsi="Arial"/>
          <w:i/>
          <w:iCs/>
          <w:sz w:val="20"/>
          <w:szCs w:val="20"/>
        </w:rPr>
        <w:t xml:space="preserve">No elemento volitivo, o agente quer a produção do resultado de forma direta — dolo direto — ou admite a possibilidade de que o resultado sobrevenha — dolo eventual.</w:t>
      </w:r>
    </w:p>
    <w:p>
      <w:pPr>
        <w:spacing w:after="80" w:before="0"/>
        <w:jc w:val="right"/>
      </w:pPr>
      <w:r>
        <w:rPr>
          <w:rFonts w:ascii="Arial" w:cs="Arial" w:eastAsia="Arial" w:hAnsi="Arial"/>
          <w:i/>
          <w:iCs/>
          <w:color w:val="555555"/>
          <w:sz w:val="18"/>
          <w:szCs w:val="18"/>
        </w:rPr>
        <w:t xml:space="preserve">— STJ, AgRg no REsp 1.043.279/PR, 6ª Turma, j. 14.10.2008</w:t>
      </w:r>
    </w:p>
    <w:p>
      <w:pPr>
        <w:spacing w:after="80" w:before="80" w:line="276"/>
        <w:jc w:val="both"/>
      </w:pPr>
      <w:r>
        <w:rPr>
          <w:rFonts w:ascii="Arial" w:cs="Arial" w:eastAsia="Arial" w:hAnsi="Arial"/>
          <w:sz w:val="20"/>
          <w:szCs w:val="20"/>
        </w:rPr>
        <w:t xml:space="preserve">O STF assentou que o dolo eventual extrai-se das circunstâncias do evento, dispensando declaração expressa de vontade (HC 91.159/MG). A aferição considera o contexto, o cenário prévio, a experiência funcional, a qualificação técnica, o cargo ocupado e o grau de discernimento.</w:t>
      </w:r>
    </w:p>
    <w:p>
      <w:pPr>
        <w:pStyle w:val="Heading3"/>
      </w:pPr>
      <w:r>
        <w:rPr>
          <w:rFonts w:ascii="Arial" w:cs="Arial" w:eastAsia="Arial" w:hAnsi="Arial"/>
          <w:b/>
          <w:bCs/>
          <w:color w:val="2E5090"/>
          <w:sz w:val="22"/>
          <w:szCs w:val="22"/>
        </w:rPr>
        <w:t xml:space="preserve">5.1.3 A fronteira entre dolo eventual e culpa consciente</w:t>
      </w:r>
    </w:p>
    <w:p>
      <w:pPr>
        <w:spacing w:after="80" w:before="80" w:line="276"/>
        <w:jc w:val="both"/>
      </w:pPr>
      <w:r>
        <w:rPr>
          <w:rFonts w:ascii="Arial" w:cs="Arial" w:eastAsia="Arial" w:hAnsi="Arial"/>
          <w:sz w:val="20"/>
          <w:szCs w:val="20"/>
        </w:rPr>
        <w:t xml:space="preserve">Em ambas as hipóteses o agente previu o resultado como possível. O traço diferenciador está na atitude interna: no dolo eventual, o agente aceita o risco; na culpa consciente, acredita sinceramente que o resultado não vai ocorrer. A mera possibilidade de conhecimento não basta para configurar o elemento cognitivo do dolo. Cabe ao operador verificar com método e fundamentação se o caso revela aceitação do risco (dolo eventual) ou mera falta de cautela com convicção de não ocorrência (culpa consciente).</w:t>
      </w:r>
    </w:p>
    <w:p>
      <w:pPr>
        <w:pStyle w:val="Heading2"/>
      </w:pPr>
      <w:r>
        <w:rPr>
          <w:rFonts w:ascii="Arial" w:cs="Arial" w:eastAsia="Arial" w:hAnsi="Arial"/>
          <w:b/>
          <w:bCs/>
          <w:color w:val="2E5090"/>
          <w:sz w:val="24"/>
          <w:szCs w:val="24"/>
        </w:rPr>
        <w:t xml:space="preserve">5.2 A prova do dolo: o catálogo de indicadores</w:t>
      </w:r>
    </w:p>
    <w:p>
      <w:pPr>
        <w:spacing w:after="80" w:before="80" w:line="276"/>
        <w:jc w:val="both"/>
      </w:pPr>
      <w:r>
        <w:rPr>
          <w:rFonts w:ascii="Arial" w:cs="Arial" w:eastAsia="Arial" w:hAnsi="Arial"/>
          <w:sz w:val="20"/>
          <w:szCs w:val="20"/>
        </w:rPr>
        <w:t xml:space="preserve">A comprovação do dolo é operação racional, baseada na análise conjuntural das circunstâncias mediatas e imediatas, tendo como referência as regras da experiência comum. Indicadores relevantes:</w:t>
      </w:r>
    </w:p>
    <w:p>
      <w:pPr>
        <w:pStyle w:val="ListParagraph"/>
        <w:numPr>
          <w:ilvl w:val="0"/>
          <w:numId w:val="2"/>
        </w:numPr>
        <w:spacing w:after="60" w:before="60" w:line="260"/>
      </w:pPr>
      <w:r>
        <w:rPr>
          <w:rFonts w:ascii="Arial" w:cs="Arial" w:eastAsia="Arial" w:hAnsi="Arial"/>
          <w:sz w:val="20"/>
          <w:szCs w:val="20"/>
        </w:rPr>
        <w:t xml:space="preserve">O contexto e a realidade concreta dos fatos; o cenário prévio.</w:t>
      </w:r>
    </w:p>
    <w:p>
      <w:pPr>
        <w:pStyle w:val="ListParagraph"/>
        <w:numPr>
          <w:ilvl w:val="0"/>
          <w:numId w:val="2"/>
        </w:numPr>
        <w:spacing w:after="60" w:before="60" w:line="260"/>
      </w:pPr>
      <w:r>
        <w:rPr>
          <w:rFonts w:ascii="Arial" w:cs="Arial" w:eastAsia="Arial" w:hAnsi="Arial"/>
          <w:sz w:val="20"/>
          <w:szCs w:val="20"/>
        </w:rPr>
        <w:t xml:space="preserve">A ausência de causas justificáveis para a realização do ato ilícito.</w:t>
      </w:r>
    </w:p>
    <w:p>
      <w:pPr>
        <w:pStyle w:val="ListParagraph"/>
        <w:numPr>
          <w:ilvl w:val="0"/>
          <w:numId w:val="2"/>
        </w:numPr>
        <w:spacing w:after="60" w:before="60" w:line="260"/>
      </w:pPr>
      <w:r>
        <w:rPr>
          <w:rFonts w:ascii="Arial" w:cs="Arial" w:eastAsia="Arial" w:hAnsi="Arial"/>
          <w:sz w:val="20"/>
          <w:szCs w:val="20"/>
        </w:rPr>
        <w:t xml:space="preserve">A incoerência entre as premissas lógicas ou jurídicas firmadas na justificativa apresentada pelo agente.</w:t>
      </w:r>
    </w:p>
    <w:p>
      <w:pPr>
        <w:pStyle w:val="ListParagraph"/>
        <w:numPr>
          <w:ilvl w:val="0"/>
          <w:numId w:val="2"/>
        </w:numPr>
        <w:spacing w:after="60" w:before="60" w:line="260"/>
      </w:pPr>
      <w:r>
        <w:rPr>
          <w:rFonts w:ascii="Arial" w:cs="Arial" w:eastAsia="Arial" w:hAnsi="Arial"/>
          <w:sz w:val="20"/>
          <w:szCs w:val="20"/>
        </w:rPr>
        <w:t xml:space="preserve">Os meios objetivos adotados — a escolha de determinados meios pode revelar a orientação da vontade.</w:t>
      </w:r>
    </w:p>
    <w:p>
      <w:pPr>
        <w:pStyle w:val="ListParagraph"/>
        <w:numPr>
          <w:ilvl w:val="0"/>
          <w:numId w:val="2"/>
        </w:numPr>
        <w:spacing w:after="60" w:before="60" w:line="260"/>
      </w:pPr>
      <w:r>
        <w:rPr>
          <w:rFonts w:ascii="Arial" w:cs="Arial" w:eastAsia="Arial" w:hAnsi="Arial"/>
          <w:sz w:val="20"/>
          <w:szCs w:val="20"/>
        </w:rPr>
        <w:t xml:space="preserve">A escolha deliberada de ignorar informações relevantes disponíveis (cegueira deliberada).</w:t>
      </w:r>
    </w:p>
    <w:p>
      <w:pPr>
        <w:pStyle w:val="ListParagraph"/>
        <w:numPr>
          <w:ilvl w:val="0"/>
          <w:numId w:val="2"/>
        </w:numPr>
        <w:spacing w:after="60" w:before="60" w:line="260"/>
      </w:pPr>
      <w:r>
        <w:rPr>
          <w:rFonts w:ascii="Arial" w:cs="Arial" w:eastAsia="Arial" w:hAnsi="Arial"/>
          <w:sz w:val="20"/>
          <w:szCs w:val="20"/>
        </w:rPr>
        <w:t xml:space="preserve">A existência de modus operandi, padrão de conduta ou estratégia voltada ao resultado ou à produção do risco.</w:t>
      </w:r>
    </w:p>
    <w:p>
      <w:pPr>
        <w:pStyle w:val="ListParagraph"/>
        <w:numPr>
          <w:ilvl w:val="0"/>
          <w:numId w:val="2"/>
        </w:numPr>
        <w:spacing w:after="60" w:before="60" w:line="260"/>
      </w:pPr>
      <w:r>
        <w:rPr>
          <w:rFonts w:ascii="Arial" w:cs="Arial" w:eastAsia="Arial" w:hAnsi="Arial"/>
          <w:sz w:val="20"/>
          <w:szCs w:val="20"/>
        </w:rPr>
        <w:t xml:space="preserve">A postura do agente ao longo do processo.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F2" w:val="clear"/>
            <w:tcMar>
              <w:top w:type="dxa" w:w="100"/>
              <w:left w:type="dxa" w:w="180"/>
              <w:bottom w:type="dxa" w:w="100"/>
              <w:right w:type="dxa" w:w="180"/>
            </w:tcMar>
          </w:tcPr>
          <w:p>
            <w:pPr>
              <w:spacing w:after="40" w:before="60"/>
            </w:pPr>
            <w:r>
              <w:rPr>
                <w:rFonts w:ascii="Arial" w:cs="Arial" w:eastAsia="Arial" w:hAnsi="Arial"/>
                <w:b/>
                <w:bCs/>
                <w:color w:val="C00000"/>
                <w:sz w:val="18"/>
                <w:szCs w:val="18"/>
              </w:rPr>
              <w:t xml:space="preserve">VEDAÇÃO À PRESUNÇÃO DO DOLO</w:t>
            </w:r>
          </w:p>
          <w:p>
            <w:pPr>
              <w:spacing w:after="60" w:before="40" w:line="260"/>
              <w:jc w:val="both"/>
            </w:pPr>
            <w:r>
              <w:rPr>
                <w:rFonts w:ascii="Arial" w:cs="Arial" w:eastAsia="Arial" w:hAnsi="Arial"/>
                <w:i/>
                <w:iCs/>
                <w:sz w:val="18"/>
                <w:szCs w:val="18"/>
              </w:rPr>
              <w:t xml:space="preserve">O art. 28 da LINDB estabelece que o agente público responde por suas decisões em caso de dolo ou erro grosseiro. Não se admite responsabilização objetiva no âmbito disciplinar — o dolo não pode ser presumido (STJ, REsp 1.943.262/SC). É inaplicável a teoria do domínio do fato como fundamento autônomo da autoria no âmbito disciplinar: não se pode presumir a participação de um servidor na irregularidade apenas em razão da posição de gestor, diretor ou chefe (STJ, REsp 1.854.893/SP; AgRg no RHC 76.581/PE).</w:t>
            </w:r>
          </w:p>
        </w:tc>
      </w:tr>
    </w:tbl>
    <w:p>
      <w:r>
        <w:t xml:space="preserve"/>
      </w:r>
    </w:p>
    <w:p>
      <w:pPr>
        <w:pStyle w:val="Heading2"/>
      </w:pPr>
      <w:r>
        <w:rPr>
          <w:rFonts w:ascii="Arial" w:cs="Arial" w:eastAsia="Arial" w:hAnsi="Arial"/>
          <w:b/>
          <w:bCs/>
          <w:color w:val="2E5090"/>
          <w:sz w:val="24"/>
          <w:szCs w:val="24"/>
        </w:rPr>
        <w:t xml:space="preserve">5.3 A culpa</w:t>
      </w:r>
    </w:p>
    <w:p>
      <w:pPr>
        <w:spacing w:after="80" w:before="80" w:line="276"/>
        <w:jc w:val="both"/>
      </w:pPr>
      <w:r>
        <w:rPr>
          <w:rFonts w:ascii="Arial" w:cs="Arial" w:eastAsia="Arial" w:hAnsi="Arial"/>
          <w:sz w:val="20"/>
          <w:szCs w:val="20"/>
        </w:rPr>
        <w:t xml:space="preserve">A culpa é a violação do dever objetivo de cuidado, exteriorizada por negligência, imprudência ou imperícia. O agente que atua com culpa não assume o risco, não quer e não tolera o resultado. Distingue-se em culpa inconsciente (o agente não prevê o resultado, embora previsível) e culpa consciente (prevê o resultado como possível, mas confia que não ocorrerá).</w:t>
      </w:r>
    </w:p>
    <w:p>
      <w:pPr>
        <w:pStyle w:val="Heading3"/>
      </w:pPr>
      <w:r>
        <w:rPr>
          <w:rFonts w:ascii="Arial" w:cs="Arial" w:eastAsia="Arial" w:hAnsi="Arial"/>
          <w:b/>
          <w:bCs/>
          <w:color w:val="2E5090"/>
          <w:sz w:val="22"/>
          <w:szCs w:val="22"/>
        </w:rPr>
        <w:t xml:space="preserve">5.3.1 Modalidades: negligência, imprudência e imperícia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Modalidade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Caracterização</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Exemplo funcional típico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Negligência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Inobservância das precauções exigidas, por conduta omissiva — o não fazer o que era devido.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deixa de verificar a autenticidade de documento essencial antes de deferir pedido fiscal.</w:t>
            </w:r>
          </w:p>
        </w:tc>
      </w:tr>
      <w:tr>
        <w:tc>
          <w:tcPr>
            <w:tcW w:type="dxa" w:w="1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Imprudência</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Conduta comissiva precipitada, realizada sem o cuidado e a cautela devidos.</w:t>
            </w:r>
          </w:p>
        </w:tc>
        <w:tc>
          <w:tcPr>
            <w:tcW w:type="dxa" w:w="40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assina lançamento tributário sem conferir os dados por pressão de prazo.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Imperícia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Realização de atividade sem a qualificação técnica ou a habilidade exigidas.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realiza procedimento aduaneiro especializado sem treinamento necessário.</w:t>
            </w:r>
          </w:p>
        </w:tc>
      </w:tr>
    </w:tbl>
    <w:p>
      <w:pPr>
        <w:pStyle w:val="Heading3"/>
      </w:pPr>
      <w:r>
        <w:rPr>
          <w:rFonts w:ascii="Arial" w:cs="Arial" w:eastAsia="Arial" w:hAnsi="Arial"/>
          <w:b/>
          <w:bCs/>
          <w:color w:val="2E5090"/>
          <w:sz w:val="22"/>
          <w:szCs w:val="22"/>
        </w:rPr>
        <w:t xml:space="preserve">5.3.2 Culpa grave (erro grosseiro)</w:t>
      </w:r>
    </w:p>
    <w:p>
      <w:pPr>
        <w:spacing w:after="80" w:before="80" w:line="276"/>
        <w:jc w:val="both"/>
      </w:pPr>
      <w:r>
        <w:rPr>
          <w:rFonts w:ascii="Arial" w:cs="Arial" w:eastAsia="Arial" w:hAnsi="Arial"/>
          <w:sz w:val="20"/>
          <w:szCs w:val="20"/>
        </w:rPr>
        <w:t xml:space="preserve">O § 1º do art. 12 do Decreto nº 9.830/2019 considera erro grosseiro o erro manifesto, evidente e inescusável praticado com culpa grave. Identificam-no três notas cumulativas: (a) o agente não previu, não aceitou nem tolerou o risco; (b) não realizou a cautela indispensável, embora pudesse e devesse fazê-lo; (c) a conduta revela descuido manifesto e inescusável de magnitude que o agente — à luz de suas funções, formação e responsabilidades concretas — poderia e deveria ter evitado.</w:t>
      </w:r>
    </w:p>
    <w:p>
      <w:pPr>
        <w:spacing w:after="80" w:before="80" w:line="276"/>
        <w:jc w:val="both"/>
      </w:pPr>
      <w:r>
        <w:rPr>
          <w:rFonts w:ascii="Arial" w:cs="Arial" w:eastAsia="Arial" w:hAnsi="Arial"/>
          <w:sz w:val="20"/>
          <w:szCs w:val="20"/>
        </w:rPr>
        <w:t xml:space="preserve">O § 5º do art. 12: o montante do dano ao erário, ainda que expressivo, não pode, por si só, caracterizar o erro grosseiro ou o dolo. Cada plano é avaliado em seu próprio elemento.</w:t>
      </w:r>
    </w:p>
    <w:p>
      <w:pPr>
        <w:pStyle w:val="Heading3"/>
      </w:pPr>
      <w:r>
        <w:rPr>
          <w:rFonts w:ascii="Arial" w:cs="Arial" w:eastAsia="Arial" w:hAnsi="Arial"/>
          <w:b/>
          <w:bCs/>
          <w:color w:val="2E5090"/>
          <w:sz w:val="22"/>
          <w:szCs w:val="22"/>
        </w:rPr>
        <w:t xml:space="preserve">5.3.3 Culpa leve</w:t>
      </w:r>
    </w:p>
    <w:p>
      <w:pPr>
        <w:spacing w:after="80" w:before="80" w:line="276"/>
        <w:jc w:val="both"/>
      </w:pPr>
      <w:r>
        <w:rPr>
          <w:rFonts w:ascii="Arial" w:cs="Arial" w:eastAsia="Arial" w:hAnsi="Arial"/>
          <w:sz w:val="20"/>
          <w:szCs w:val="20"/>
        </w:rPr>
        <w:t xml:space="preserve">A culpa leve verifica-se quando a irregularidade poderia ter sido evitada com a atenção e o cuidado básicos esperados de um servidor em função similar. Caracteriza-se por exclusão: quando não foi possível identificar dolo direto, dolo eventual ou erro grosseiro. O art. 17 do Decreto nº 9.830/2019 confirma que a sanção disciplinar é aplicável também nesses casos.</w:t>
      </w:r>
    </w:p>
    <w:p>
      <w:pPr>
        <w:pStyle w:val="Heading2"/>
      </w:pPr>
      <w:r>
        <w:rPr>
          <w:rFonts w:ascii="Arial" w:cs="Arial" w:eastAsia="Arial" w:hAnsi="Arial"/>
          <w:b/>
          <w:bCs/>
          <w:color w:val="2E5090"/>
          <w:sz w:val="24"/>
          <w:szCs w:val="24"/>
        </w:rPr>
        <w:t xml:space="preserve">5.4 O erro escusável: fundamento, definição, pressupostos e detecção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NT COGER Nº 2006/1</w:t>
            </w:r>
          </w:p>
          <w:p>
            <w:pPr>
              <w:spacing w:after="60" w:before="40" w:line="260"/>
              <w:jc w:val="both"/>
            </w:pPr>
            <w:r>
              <w:rPr>
                <w:rFonts w:ascii="Arial" w:cs="Arial" w:eastAsia="Arial" w:hAnsi="Arial"/>
                <w:i/>
                <w:iCs/>
                <w:sz w:val="18"/>
                <w:szCs w:val="18"/>
              </w:rPr>
              <w:t xml:space="preserve">Descabe a aplicação de penalidade disciplinar a servidor público que tenha cometido equívoco, no desempenho de suas atribuições, caracterizado como erro escusável, bem como a instauração de processo disciplinar voltado à apuração do fato. Considera-se escusável a conduta funcional consubstanciadora de equívoco caracterizado pela ausência de dolo, eventualidade do erro e ofensa ínfima aos bens jurídicos tutelados.</w:t>
            </w:r>
          </w:p>
        </w:tc>
      </w:tr>
    </w:tbl>
    <w:p>
      <w:r>
        <w:t xml:space="preserve"/>
      </w:r>
    </w:p>
    <w:p>
      <w:pPr>
        <w:pStyle w:val="Heading3"/>
      </w:pPr>
      <w:r>
        <w:rPr>
          <w:rFonts w:ascii="Arial" w:cs="Arial" w:eastAsia="Arial" w:hAnsi="Arial"/>
          <w:b/>
          <w:bCs/>
          <w:color w:val="2E5090"/>
          <w:sz w:val="22"/>
          <w:szCs w:val="22"/>
        </w:rPr>
        <w:t xml:space="preserve">5.4.1 Por que o erro escusável?</w:t>
      </w:r>
    </w:p>
    <w:p>
      <w:pPr>
        <w:spacing w:after="80" w:before="80" w:line="276"/>
        <w:jc w:val="both"/>
      </w:pPr>
      <w:r>
        <w:rPr>
          <w:rFonts w:ascii="Arial" w:cs="Arial" w:eastAsia="Arial" w:hAnsi="Arial"/>
          <w:sz w:val="20"/>
          <w:szCs w:val="20"/>
        </w:rPr>
        <w:t xml:space="preserve">A noção de erro escusável parte de uma percepção elementar: nem toda falha ou erro do servidor no desempenho de suas atribuições deve ser passível de punição disciplinar. Se assim não fosse, poucos seriam os servidores que não teriam ao menos uma advertência inscrita na ficha funcional — paradoxalmente, esse privilégio seria dos que pouco trabalham.</w:t>
      </w:r>
    </w:p>
    <w:p>
      <w:pPr>
        <w:spacing w:after="80" w:before="80" w:line="276"/>
        <w:jc w:val="both"/>
      </w:pPr>
      <w:r>
        <w:rPr>
          <w:rFonts w:ascii="Arial" w:cs="Arial" w:eastAsia="Arial" w:hAnsi="Arial"/>
          <w:sz w:val="20"/>
          <w:szCs w:val="20"/>
        </w:rPr>
        <w:t xml:space="preserve">Três fundamentos fáticos sustentam essa percepção: a diuturnidade no exercício das funções; a falibilidade natural da condição humana (desvio de atenção, cansaço, viciamento por tarefas monótonas); e a natureza própria das funções, em que o servidor aplica o direito — campo fértil a falhas. O fundamento jurídico central é o postulado normativo da razoabilidade como equidade (Humberto Ávila), decorrente da CF e do art. 2º, caput, da Lei nº 9.784/1999.</w:t>
      </w:r>
    </w:p>
    <w:p>
      <w:pPr>
        <w:pStyle w:val="Heading3"/>
      </w:pPr>
      <w:r>
        <w:rPr>
          <w:rFonts w:ascii="Arial" w:cs="Arial" w:eastAsia="Arial" w:hAnsi="Arial"/>
          <w:b/>
          <w:bCs/>
          <w:color w:val="2E5090"/>
          <w:sz w:val="22"/>
          <w:szCs w:val="22"/>
        </w:rPr>
        <w:t xml:space="preserve">5.4.2 Definição e natureza jurídica</w:t>
      </w:r>
    </w:p>
    <w:p>
      <w:pPr>
        <w:spacing w:after="80" w:before="80" w:line="276"/>
        <w:jc w:val="both"/>
      </w:pPr>
      <w:r>
        <w:rPr>
          <w:rFonts w:ascii="Arial" w:cs="Arial" w:eastAsia="Arial" w:hAnsi="Arial"/>
          <w:sz w:val="20"/>
          <w:szCs w:val="20"/>
        </w:rPr>
        <w:t xml:space="preserve">Considera-se escusável a conduta equivocada de servidor público cuja apenação evidencie ser irrazoável diante das circunstâncias defrontadas no caso concreto. O erro escusável não exclui a irregularidade formal — a conduta permanece desconforme com a norma —, mas afasta a reprovabilidade e, portanto, a sancionabilidade da conduta.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 ementa originalmente publicada em 2006 arrolava um quarto elemento — o prejuízo material irrelevante. Esse requisito foi suprimido pela Informação Coger/Codis/Diaco nº 129/2011. Em consequência, a existência de prejuízo material de alguma relevância não afasta, por si só, a caracterização do erro escusável, desde que a ofensa aos bens jurídicos tutelados permaneça ínfima.</w:t>
            </w:r>
          </w:p>
        </w:tc>
      </w:tr>
    </w:tbl>
    <w:p>
      <w:r>
        <w:t xml:space="preserve"/>
      </w:r>
    </w:p>
    <w:p>
      <w:pPr>
        <w:pStyle w:val="Heading3"/>
      </w:pPr>
      <w:r>
        <w:rPr>
          <w:rFonts w:ascii="Arial" w:cs="Arial" w:eastAsia="Arial" w:hAnsi="Arial"/>
          <w:b/>
          <w:bCs/>
          <w:color w:val="2E5090"/>
          <w:sz w:val="22"/>
          <w:szCs w:val="22"/>
        </w:rPr>
        <w:t xml:space="preserve">5.4.3 Pressupostos cumulativos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Pressuposto</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Conteúdo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Observação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Ausência de dolo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conduta não pode ter sido intencional. O erro escusável é, por definição, conduta culposa — o dolo a exclui de plano. Se o servidor, após perceber o erro, não adotar providência para repará-lo, esse comportamento omissivo subsequente invalida a ausência de dolo.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Atende ao Princípio da Moralidade Administrativa.</w:t>
            </w:r>
          </w:p>
        </w:tc>
      </w:tr>
      <w:tr>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b) Eventualidade do erro</w:t>
            </w:r>
          </w:p>
        </w:tc>
        <w:tc>
          <w:tcPr>
            <w:tcW w:type="dxa" w:w="50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 erro deve ser esporádico ou fortuito, pouco representativo no universo de atuação funcional do servidor, e deve ter ocorrido em situação que não despertasse atenção especial. Se o caso exigia cautelas especiais, o erro não é escusável.</w:t>
            </w:r>
          </w:p>
        </w:tc>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Distingue o equívoco pontual do padrão de desatenção crônica.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 Ínfimo poder ofensivo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ofensa às normas de regência ou aos bens jurídicos tutelados deve ser mitigada por condicionantes atenuadoras. A conduta não deve demonstrar insubordinação, quebra de hierarquia, deslealdade ou outras máculas de conduta.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Avalia-se a dimensão objetiva da lesão ao bem jurídico.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erro escusável não retira a irregularidade formal, mas retira todo e qualquer grau de reprovação da conduta. Presentes os três pressupostos cumulativamente, descabe infligir ao servidor qualquer reprimenda disciplinar e, por consequência, celebrar TAC ou instaurar processo disciplinar.</w:t>
            </w:r>
          </w:p>
        </w:tc>
      </w:tr>
    </w:tbl>
    <w:p>
      <w:r>
        <w:t xml:space="preserve"/>
      </w:r>
    </w:p>
    <w:p>
      <w:pPr>
        <w:pStyle w:val="Heading3"/>
      </w:pPr>
      <w:r>
        <w:rPr>
          <w:rFonts w:ascii="Arial" w:cs="Arial" w:eastAsia="Arial" w:hAnsi="Arial"/>
          <w:b/>
          <w:bCs/>
          <w:color w:val="2E5090"/>
          <w:sz w:val="22"/>
          <w:szCs w:val="22"/>
        </w:rPr>
        <w:t xml:space="preserve">5.4.4 Relação com a escala do elemento subjetivo</w:t>
      </w:r>
    </w:p>
    <w:p>
      <w:pPr>
        <w:spacing w:after="80" w:before="80" w:line="276"/>
        <w:jc w:val="both"/>
      </w:pPr>
      <w:r>
        <w:rPr>
          <w:rFonts w:ascii="Arial" w:cs="Arial" w:eastAsia="Arial" w:hAnsi="Arial"/>
          <w:sz w:val="20"/>
          <w:szCs w:val="20"/>
        </w:rPr>
        <w:t xml:space="preserve">O erro escusável ocupa a posição imediatamente anterior à culpa leve na escala de reprovabilidade. A linha divisória entre os dois é traçada pelos pressupostos: o poder ofensivo da conduta, a eventualidade do erro e a ausência de dolo.</w:t>
      </w:r>
    </w:p>
    <w:p>
      <w:pPr>
        <w:pStyle w:val="Heading3"/>
      </w:pPr>
      <w:r>
        <w:rPr>
          <w:rFonts w:ascii="Arial" w:cs="Arial" w:eastAsia="Arial" w:hAnsi="Arial"/>
          <w:b/>
          <w:bCs/>
          <w:color w:val="2E5090"/>
          <w:sz w:val="22"/>
          <w:szCs w:val="22"/>
        </w:rPr>
        <w:t xml:space="preserve">5.4.5 Como a Calculadora sinaliza a hipótese de erro escusável</w:t>
      </w:r>
    </w:p>
    <w:p>
      <w:pPr>
        <w:spacing w:after="80" w:before="80" w:line="276"/>
        <w:jc w:val="both"/>
      </w:pPr>
      <w:r>
        <w:rPr>
          <w:rFonts w:ascii="Arial" w:cs="Arial" w:eastAsia="Arial" w:hAnsi="Arial"/>
          <w:sz w:val="20"/>
          <w:szCs w:val="20"/>
        </w:rPr>
        <w:t xml:space="preserve">Na versão 3.0, o erro escusável é avaliado indiretamente por meio dos subfatores SF1.1 e SF1.2. Não há tela ou campo exclusivo para o instituto. A combinação de pontuação mínima em SF1.1 (culpa leve, qualquer dos três graus) com ausência total de norma ou orientação em SF1.2 (valor 0) resulta na Soma Total mais baixa possível. Quando essa Soma Total se combina com dano nulo ou ínfimo e conduta isolada, o resultado global sinaliza, para a autoridade, que a conduta pode comportar arquivamento em vez de penalidade.</w:t>
      </w:r>
    </w:p>
    <w:p>
      <w:pPr>
        <w:spacing w:after="80" w:before="80" w:line="276"/>
        <w:jc w:val="both"/>
      </w:pPr>
      <w:r>
        <w:rPr>
          <w:rFonts w:ascii="Arial" w:cs="Arial" w:eastAsia="Arial" w:hAnsi="Arial"/>
          <w:sz w:val="20"/>
          <w:szCs w:val="20"/>
        </w:rPr>
        <w:t xml:space="preserve">A decisão final sobre arquivar ou apenar é sempre da autoridade competente. A ferramenta fornece uma Soma Total muito baixa que, associada ao contexto fático descrito nos campos de complementação, orienta o raciocínio em direção à hipótese de arquivamento fundamentada na tese da Coger/RFB (NT nº 12/2021).</w:t>
      </w:r>
    </w:p>
    <w:p>
      <w:pPr>
        <w:pStyle w:val="Heading2"/>
      </w:pPr>
      <w:r>
        <w:rPr>
          <w:rFonts w:ascii="Arial" w:cs="Arial" w:eastAsia="Arial" w:hAnsi="Arial"/>
          <w:b/>
          <w:bCs/>
          <w:color w:val="2E5090"/>
          <w:sz w:val="24"/>
          <w:szCs w:val="24"/>
        </w:rPr>
        <w:t xml:space="preserve">5.5 Consciência da ilicitude e erro de proibição</w:t>
      </w:r>
    </w:p>
    <w:p>
      <w:pPr>
        <w:spacing w:after="80" w:before="80" w:line="276"/>
        <w:jc w:val="both"/>
      </w:pPr>
      <w:r>
        <w:rPr>
          <w:rFonts w:ascii="Arial" w:cs="Arial" w:eastAsia="Arial" w:hAnsi="Arial"/>
          <w:sz w:val="20"/>
          <w:szCs w:val="20"/>
        </w:rPr>
        <w:t xml:space="preserve">O conhecimento da norma escrita presume-se de todos (art. 3º da LINDB). O conteúdo da norma proibitiva — o seu real âmbito de incidência — pode legitimamente ser objeto de questionamento. O erro de proibição evitável não exclui o dolo nem a culpa, mas pode reduzir o grau da gravidade. A Calculadora trata o acesso à norma e à capacitação como subfator autônomo (SF1.2).</w:t>
      </w:r>
    </w:p>
    <w:p>
      <w:pPr>
        <w:pStyle w:val="Heading2"/>
      </w:pPr>
      <w:r>
        <w:rPr>
          <w:rFonts w:ascii="Arial" w:cs="Arial" w:eastAsia="Arial" w:hAnsi="Arial"/>
          <w:b/>
          <w:bCs/>
          <w:color w:val="2E5090"/>
          <w:sz w:val="24"/>
          <w:szCs w:val="24"/>
        </w:rPr>
        <w:t xml:space="preserve">5.6 Operacionalização na Calculadora</w:t>
      </w:r>
    </w:p>
    <w:p>
      <w:pPr>
        <w:spacing w:after="80" w:before="80" w:line="276"/>
        <w:jc w:val="both"/>
      </w:pPr>
      <w:r>
        <w:rPr>
          <w:rFonts w:ascii="Arial" w:cs="Arial" w:eastAsia="Arial" w:hAnsi="Arial"/>
          <w:sz w:val="20"/>
          <w:szCs w:val="20"/>
        </w:rPr>
        <w:t xml:space="preserve">O elemento Natureza decompõe-se em dois subfatores encadeados. SF1.1 opera como árvore de decisão em três ramos — culpa leve, culpa grave e dolo —, cada um com refinamento interno em três graus. No ramo do dolo, a distinção entre dolo eventual, dolo direto e dolo com especial fim de agir está integrada no próprio SF1.1. SF1.2 avalia o grau de falha no dever de cuidado ou de consciência da ilicitude.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360"/>
        <w:gridCol w:w="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Alternativas principais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Refinamento</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SF1.1 — Elemento Subjetivo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 · Culpa Grave / Erro Grosseiro · Dolo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 descuido pontual (2), descuido perceptível (5), descuido acentuado (8). Culpa grave: evidente com alguma complexidade (10), claramente evidente (13), extrema relevância (16). Dolo: eventual (17), direto (20), especial fim de agir (22).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1–22</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SF1.2 — Falha no Dever de Cuidado / Consciência da Ilicitude</w:t>
            </w:r>
          </w:p>
        </w:tc>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Não havia norma, orientação nem capacitação, nem informação informal (0) · Havia informação informal ou prática comum na unidade, sem norma/orientação/capacitação (1) · Norma técnica ou de difícil compreensão, sem orientação e sem capacitação (2) · Norma clara e de fácil acesso, sem orientação e sem capacitação (3) · Norma e orientação institucional formal sobre o tema em geral, sem capacitação (4) · Norma e orientação institucional formal específica sobre a conduta, sem capacitação (5) · Norma, orientação e capacitação geral na área, não específica sobre a conduta (6) · Norma, orientação e capacitação específica e documentada sobre exatamente esta conduta (8)</w:t>
            </w:r>
          </w:p>
        </w:tc>
        <w:tc>
          <w:tcPr>
            <w:tcW w:type="dxa" w:w="33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Dois refinamentos: (i) grau de acesso à norma; (ii) alcance da capacitação.</w:t>
            </w:r>
          </w:p>
        </w:tc>
        <w:tc>
          <w:tcPr>
            <w:tcW w:type="dxa" w:w="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60"/>
        <w:gridCol w:w="41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Posição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Instituto</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Reprovabilidade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Consequência disciplinar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Pré-limiar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Erro escusável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Nenhuma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Arquivamento possível (tese Coger/RFB). Decisão da autoridade.</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Base</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w:t>
            </w:r>
          </w:p>
        </w:tc>
        <w:tc>
          <w:tcPr>
            <w:tcW w:type="dxa" w:w="1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Mínima</w:t>
            </w:r>
          </w:p>
        </w:tc>
        <w:tc>
          <w:tcPr>
            <w:tcW w:type="dxa" w:w="4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(Regime Geral) — SF1.1: 2–8 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Intermediário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grave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Considerável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ou suspensão — SF1.1: 10–16 pts.</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Elevado</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Dolo eventual</w:t>
            </w:r>
          </w:p>
        </w:tc>
        <w:tc>
          <w:tcPr>
            <w:tcW w:type="dxa" w:w="1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Alta</w:t>
            </w:r>
          </w:p>
        </w:tc>
        <w:tc>
          <w:tcPr>
            <w:tcW w:type="dxa" w:w="4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na maioria dos casos — SF1.1: 17 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Topo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Dolo direto / Especial fim de agir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Máxima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com maior duração — SF1.1: 20–22 pts.</w:t>
            </w:r>
          </w:p>
        </w:tc>
      </w:tr>
    </w:tbl>
    <w:p>
      <w:pPr>
        <w:pStyle w:val="Heading1"/>
      </w:pPr>
      <w:r>
        <w:rPr>
          <w:rFonts w:ascii="Arial" w:cs="Arial" w:eastAsia="Arial" w:hAnsi="Arial"/>
          <w:b/>
          <w:bCs/>
          <w:color w:val="1F3864"/>
          <w:sz w:val="28"/>
          <w:szCs w:val="28"/>
        </w:rPr>
        <w:t xml:space="preserve">6. Elemento 2 — Gravidade da Infração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e art. 16, I, do Decreto nº 9.830/2019.</w:t>
      </w:r>
      <w:r>
        <w:rPr>
          <w:rFonts w:ascii="Arial" w:cs="Arial" w:eastAsia="Arial" w:hAnsi="Arial"/>
          <w:sz w:val="20"/>
          <w:szCs w:val="20"/>
        </w:rPr>
        <w:t xml:space="preserve"> Teto: 30 pontos.</w:t>
      </w:r>
    </w:p>
    <w:p>
      <w:r>
        <w:t xml:space="preserve"/>
      </w:r>
    </w:p>
    <w:p>
      <w:pPr>
        <w:spacing w:after="80" w:before="80" w:line="276"/>
        <w:jc w:val="both"/>
      </w:pPr>
      <w:r>
        <w:rPr>
          <w:rFonts w:ascii="Arial" w:cs="Arial" w:eastAsia="Arial" w:hAnsi="Arial"/>
          <w:sz w:val="20"/>
          <w:szCs w:val="20"/>
        </w:rPr>
        <w:t xml:space="preserve">A gravidade afere a intensidade da violação ao ordenamento — o grau do ataque à ordem jurídica e a qualidade da ofensa ao bem jurídico protegido. É um juízo de desvalor da ação que se soma — sem com ele se confundir — ao desvalor do resultado, valorado no Elemento 3.</w:t>
      </w:r>
    </w:p>
    <w:p>
      <w:pPr>
        <w:pStyle w:val="Heading2"/>
      </w:pPr>
      <w:r>
        <w:rPr>
          <w:rFonts w:ascii="Arial" w:cs="Arial" w:eastAsia="Arial" w:hAnsi="Arial"/>
          <w:b/>
          <w:bCs/>
          <w:color w:val="2E5090"/>
          <w:sz w:val="24"/>
          <w:szCs w:val="24"/>
        </w:rPr>
        <w:t xml:space="preserve">6.1 O peso da norma violada</w:t>
      </w:r>
    </w:p>
    <w:p>
      <w:pPr>
        <w:spacing w:after="80" w:before="80" w:line="276"/>
        <w:jc w:val="both"/>
      </w:pPr>
      <w:r>
        <w:rPr>
          <w:rFonts w:ascii="Arial" w:cs="Arial" w:eastAsia="Arial" w:hAnsi="Arial"/>
          <w:sz w:val="20"/>
          <w:szCs w:val="20"/>
        </w:rPr>
        <w:t xml:space="preserve">Para aferir a gravidade é legítimo comparar o peso das normas violadas e os interesses públicos por elas tutelados. Uma violação meramente procedimental tende a pesar menos do que a violação substancial de norma que protege a higidez de uma licitação ou o sigilo fiscal.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DISTINÇÃO FUNDAMENTAL</w:t>
            </w:r>
          </w:p>
          <w:p>
            <w:pPr>
              <w:spacing w:after="60" w:before="40" w:line="260"/>
              <w:jc w:val="both"/>
            </w:pPr>
            <w:r>
              <w:rPr>
                <w:rFonts w:ascii="Arial" w:cs="Arial" w:eastAsia="Arial" w:hAnsi="Arial"/>
                <w:i/>
                <w:iCs/>
                <w:sz w:val="18"/>
                <w:szCs w:val="18"/>
              </w:rPr>
              <w:t xml:space="preserve">A hierarquia do bem jurídico (SF2.1) avalia o nível de proteção que a norma confere em tese, independentemente do dano efetivamente causado no caso concreto. O impacto concreto verificado é valorado no Elemento 3 (Dano). A separação entre o plano normativo abstrato e o impacto concreto é a principal medida para evitar dupla contagem entre Elementos 2 e 3.</w:t>
            </w:r>
          </w:p>
        </w:tc>
      </w:tr>
    </w:tbl>
    <w:p>
      <w:r>
        <w:t xml:space="preserve"/>
      </w:r>
    </w:p>
    <w:p>
      <w:pPr>
        <w:pStyle w:val="Heading2"/>
      </w:pPr>
      <w:r>
        <w:rPr>
          <w:rFonts w:ascii="Arial" w:cs="Arial" w:eastAsia="Arial" w:hAnsi="Arial"/>
          <w:b/>
          <w:bCs/>
          <w:color w:val="2E5090"/>
          <w:sz w:val="24"/>
          <w:szCs w:val="24"/>
        </w:rPr>
        <w:t xml:space="preserve">6.2 Concurso formal, concurso material e infração continuada</w:t>
      </w:r>
    </w:p>
    <w:p>
      <w:pPr>
        <w:pStyle w:val="ListParagraph"/>
        <w:numPr>
          <w:ilvl w:val="0"/>
          <w:numId w:val="2"/>
        </w:numPr>
        <w:spacing w:after="60" w:before="60" w:line="260"/>
      </w:pPr>
      <w:r>
        <w:rPr>
          <w:rFonts w:ascii="Arial" w:cs="Arial" w:eastAsia="Arial" w:hAnsi="Arial"/>
          <w:sz w:val="20"/>
          <w:szCs w:val="20"/>
        </w:rPr>
        <w:t xml:space="preserve">Concurso formal — uma única conduta viola mais de uma norma. Aumenta a gravidade (SF2.3).</w:t>
      </w:r>
    </w:p>
    <w:p>
      <w:pPr>
        <w:pStyle w:val="ListParagraph"/>
        <w:numPr>
          <w:ilvl w:val="0"/>
          <w:numId w:val="2"/>
        </w:numPr>
        <w:spacing w:after="60" w:before="60" w:line="260"/>
      </w:pPr>
      <w:r>
        <w:rPr>
          <w:rFonts w:ascii="Arial" w:cs="Arial" w:eastAsia="Arial" w:hAnsi="Arial"/>
          <w:sz w:val="20"/>
          <w:szCs w:val="20"/>
        </w:rPr>
        <w:t xml:space="preserve">Concurso material — várias condutas autônomas. Cada infração é avaliada individualmente no Regime de Concurso (item 11).</w:t>
      </w:r>
    </w:p>
    <w:p>
      <w:pPr>
        <w:pStyle w:val="ListParagraph"/>
        <w:numPr>
          <w:ilvl w:val="0"/>
          <w:numId w:val="2"/>
        </w:numPr>
        <w:spacing w:after="60" w:before="60" w:line="260"/>
      </w:pPr>
      <w:r>
        <w:rPr>
          <w:rFonts w:ascii="Arial" w:cs="Arial" w:eastAsia="Arial" w:hAnsi="Arial"/>
          <w:sz w:val="20"/>
          <w:szCs w:val="20"/>
        </w:rPr>
        <w:t xml:space="preserve">Infração continuada — pluralidade de atos da mesma espécie, em condições similares (analogia ao art. 71 do CP). Reflete-se no caráter temporal da conduta (SF2.2).</w:t>
      </w:r>
    </w:p>
    <w:p>
      <w:pPr>
        <w:spacing w:after="80" w:before="80" w:line="276"/>
        <w:jc w:val="both"/>
      </w:pPr>
      <w:r>
        <w:rPr>
          <w:rFonts w:ascii="Arial" w:cs="Arial" w:eastAsia="Arial" w:hAnsi="Arial"/>
          <w:sz w:val="20"/>
          <w:szCs w:val="20"/>
        </w:rPr>
        <w:t xml:space="preserve">A prática de várias infrações não torna o servidor reincidente. A reincidência pressupõe penalidade anterior já aplicada em processo diverso (item 10).</w:t>
      </w:r>
    </w:p>
    <w:p>
      <w:pPr>
        <w:pStyle w:val="Heading2"/>
      </w:pPr>
      <w:r>
        <w:rPr>
          <w:rFonts w:ascii="Arial" w:cs="Arial" w:eastAsia="Arial" w:hAnsi="Arial"/>
          <w:b/>
          <w:bCs/>
          <w:color w:val="2E5090"/>
          <w:sz w:val="24"/>
          <w:szCs w:val="24"/>
        </w:rPr>
        <w:t xml:space="preserve">6.3 A vedação ao ne bis in idem</w:t>
      </w:r>
    </w:p>
    <w:p>
      <w:pPr>
        <w:spacing w:after="80" w:before="80" w:line="276"/>
        <w:jc w:val="both"/>
      </w:pPr>
      <w:r>
        <w:rPr>
          <w:rFonts w:ascii="Arial" w:cs="Arial" w:eastAsia="Arial" w:hAnsi="Arial"/>
          <w:sz w:val="20"/>
          <w:szCs w:val="20"/>
        </w:rPr>
        <w:t xml:space="preserve">O fato de ter ocorrido alto prejuízo financeiro ou grave dano imaterial não autoriza o aumento da gravidade, pois o dano é critério autônomo do art. 128. Utilizá-lo duas vezes prejudicaria o agente pela mesma razão, em desrespeito ao ne bis in idem (STJ, REsp 1.440.893/MT; AgRg no AREsp 455.209/SP).</w:t>
      </w:r>
    </w:p>
    <w:p>
      <w:pPr>
        <w:pStyle w:val="Heading2"/>
      </w:pPr>
      <w:r>
        <w:rPr>
          <w:rFonts w:ascii="Arial" w:cs="Arial" w:eastAsia="Arial" w:hAnsi="Arial"/>
          <w:b/>
          <w:bCs/>
          <w:color w:val="2E5090"/>
          <w:sz w:val="24"/>
          <w:szCs w:val="24"/>
        </w:rPr>
        <w:t xml:space="preserve">6.4 Operacionalização na Calculadora</w:t>
      </w:r>
    </w:p>
    <w:p>
      <w:pPr>
        <w:spacing w:after="80" w:before="80" w:line="276"/>
        <w:jc w:val="both"/>
      </w:pPr>
      <w:r>
        <w:rPr>
          <w:rFonts w:ascii="Arial" w:cs="Arial" w:eastAsia="Arial" w:hAnsi="Arial"/>
          <w:sz w:val="20"/>
          <w:szCs w:val="20"/>
        </w:rPr>
        <w:t>A versão 3.0 organiza a Gravidade em três subfatores. O subfator relativo ao alcance geográfico da conduta foi removido por sobreposição com subfatores do Dano Imaterial (SF3B.1 e SF3B.3), evitando dupla contagem. Com essa arquitetura, o teto do elemento foi fixado em 30 pontos — ou seja, mesmo que a soma dos três subfatores (SF2.1 + SF2.2 + SF2.3) exceda 30, o valor máximo adotado para o elemento Gravidade na composição da Soma Total é sempre 30 pontos.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560"/>
        <w:gridCol w:w="1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Conteúdo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Alternativas na Calculadora v3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SF2.1 — Hierarquia do Bem Jurídico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Nível de proteção em tese. Não avalia o dano concreto.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Baixa (1–5): efeito restrito ao funcionamento interno da repartição (1 pt) ou com reflexo na imagem/regularidade da unidade (5 pts).</w:t>
            </w:r>
          </w:p>
          <w:p>
            <w:pPr>
              <w:jc w:val="both"/>
            </w:pPr>
            <w:r>
              <w:rPr>
                <w:rFonts w:ascii="Arial" w:cs="Arial" w:eastAsia="Arial" w:hAnsi="Arial"/>
                <w:b w:val="false"/>
                <w:bCs w:val="false"/>
                <w:color w:val="000000"/>
                <w:sz w:val="17"/>
                <w:szCs w:val="17"/>
              </w:rPr>
              <w:t>Média (6–10): norma procedimental sem impacto em sistema de controle (6 pts); norma que integra sistema de controle interno (8 pts); norma que integra cadeia de responsabilização institucional (10 pts).</w:t>
            </w:r>
          </w:p>
          <w:p>
            <w:pPr>
              <w:jc w:val="both"/>
            </w:pPr>
            <w:r>
              <w:rPr>
                <w:rFonts w:ascii="Arial" w:cs="Arial" w:eastAsia="Arial" w:hAnsi="Arial"/>
                <w:b w:val="false"/>
                <w:bCs w:val="false"/>
                <w:color w:val="000000"/>
                <w:sz w:val="17"/>
                <w:szCs w:val="17"/>
              </w:rPr>
              <w:t>Alta (11–15): regularidade formal de procedimentos fiscais/aduaneiros (11 pts); integridade competitiva de licitações ou isonomia tributária (13 pts); sigilo fiscal, segurança de sistemas ou regularidade do lançamento (15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1–15</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SF2.2 — Caráter Temporal</w:t>
            </w:r>
          </w:p>
        </w:tc>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Distingue conduta isolada, reiterada (mesma infração cometida mais de uma vez) e continuada (pluralidade de atos da mesma espécie).</w:t>
            </w:r>
          </w:p>
        </w:tc>
        <w:tc>
          <w:tcPr>
            <w:tcW w:type="dxa" w:w="3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Isolada (1–5): voluntária / único / com indícios de repetição.</w:t>
            </w:r>
          </w:p>
          <w:p>
            <w:pPr>
              <w:jc w:val="both"/>
            </w:pPr>
            <w:r>
              <w:rPr>
                <w:rFonts w:ascii="Arial" w:cs="Arial" w:eastAsia="Arial" w:hAnsi="Arial"/>
                <w:b w:val="false"/>
                <w:bCs w:val="false"/>
                <w:color w:val="000000"/>
                <w:sz w:val="17"/>
                <w:szCs w:val="17"/>
              </w:rPr>
              <w:t xml:space="preserve">Reiterada (6–10): 2–3 episódios em até 3 meses / 4+ ou período maior.</w:t>
            </w:r>
          </w:p>
          <w:p>
            <w:pPr>
              <w:jc w:val="both"/>
            </w:pPr>
            <w:r>
              <w:rPr>
                <w:rFonts w:ascii="Arial" w:cs="Arial" w:eastAsia="Arial" w:hAnsi="Arial"/>
                <w:b w:val="false"/>
                <w:bCs w:val="false"/>
                <w:color w:val="000000"/>
                <w:sz w:val="17"/>
                <w:szCs w:val="17"/>
              </w:rPr>
              <w:t xml:space="preserve">Continuada (11–15): até 6 meses / superior a 6 meses.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SF2.3 — Concurso Formal de Dispositivos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Número de dispositivos distintos violados por uma mesma conduta.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Sem concurso formal: 0 pts.</w:t>
            </w:r>
          </w:p>
          <w:p>
            <w:pPr>
              <w:jc w:val="both"/>
            </w:pPr>
            <w:r>
              <w:rPr>
                <w:rFonts w:ascii="Arial" w:cs="Arial" w:eastAsia="Arial" w:hAnsi="Arial"/>
                <w:b w:val="false"/>
                <w:bCs w:val="false"/>
                <w:color w:val="000000"/>
                <w:sz w:val="17"/>
                <w:szCs w:val="17"/>
              </w:rPr>
              <w:t xml:space="preserve">Concurso formal (2+ dispositivos): 15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A pontuação máxima de 30 pontos pressupõe a cumulação de alta proteção normativa, conduta continuada por período extenso e concurso formal de dispositivos. Esse conjunto é incomum — recomenda-se fundamentação detalhada quando a pontuação se aproximar do teto.</w:t>
            </w:r>
          </w:p>
        </w:tc>
      </w:tr>
    </w:tbl>
    <w:p>
      <w:pPr>
        <w:pStyle w:val="Heading1"/>
      </w:pPr>
      <w:r>
        <w:rPr>
          <w:rFonts w:ascii="Arial" w:cs="Arial" w:eastAsia="Arial" w:hAnsi="Arial"/>
          <w:b/>
          <w:bCs/>
          <w:color w:val="1F3864"/>
          <w:sz w:val="28"/>
          <w:szCs w:val="28"/>
        </w:rPr>
        <w:t xml:space="preserve">7. Elemento 3 — Dano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e art. 12, § 5º do Decreto nº 9.830/2019.</w:t>
      </w:r>
      <w:r>
        <w:rPr>
          <w:rFonts w:ascii="Arial" w:cs="Arial" w:eastAsia="Arial" w:hAnsi="Arial"/>
          <w:sz w:val="20"/>
          <w:szCs w:val="20"/>
        </w:rPr>
        <w:t xml:space="preserve"> Teto conjunto: 30 pontos (Material: teto 20 pts; Imaterial: teto 30 pts).</w:t>
      </w:r>
    </w:p>
    <w:p>
      <w:r>
        <w:t xml:space="preserve"/>
      </w:r>
    </w:p>
    <w:p>
      <w:pPr>
        <w:spacing w:after="80" w:before="80" w:line="276"/>
        <w:jc w:val="both"/>
      </w:pPr>
      <w:r>
        <w:rPr>
          <w:rFonts w:ascii="Arial" w:cs="Arial" w:eastAsia="Arial" w:hAnsi="Arial"/>
          <w:sz w:val="20"/>
          <w:szCs w:val="20"/>
        </w:rPr>
        <w:t xml:space="preserve">O dano é o desvalor do resultado: a lesão ao bem jurídico protegido que decorre da conduta antijurídica. Enquanto a natureza e a gravidade exprimem o desvalor da ação, o dano exprime aquilo que a conduta efetivamente produziu no mundo.</w:t>
      </w:r>
    </w:p>
    <w:p>
      <w:pPr>
        <w:pStyle w:val="Heading2"/>
      </w:pPr>
      <w:r>
        <w:rPr>
          <w:rFonts w:ascii="Arial" w:cs="Arial" w:eastAsia="Arial" w:hAnsi="Arial"/>
          <w:b/>
          <w:bCs/>
          <w:color w:val="2E5090"/>
          <w:sz w:val="24"/>
          <w:szCs w:val="24"/>
        </w:rPr>
        <w:t xml:space="preserve">7.1 Dano material e dano imaterial</w:t>
      </w:r>
    </w:p>
    <w:p>
      <w:pPr>
        <w:spacing w:after="80" w:before="80" w:line="276"/>
        <w:jc w:val="both"/>
      </w:pPr>
      <w:r>
        <w:rPr>
          <w:rFonts w:ascii="Arial" w:cs="Arial" w:eastAsia="Arial" w:hAnsi="Arial"/>
          <w:sz w:val="20"/>
          <w:szCs w:val="20"/>
        </w:rPr>
        <w:t xml:space="preserve">O prejuízo pode ser material ou imaterial, com possibilidade de ocorrerem cumulativamente. São danos materiais os prejuízos financeiros ao erário. São danos imateriais: o abalo à imagem do órgão; a lesão à moralidade administrativa; o prejuízo à segurança dos sistemas e do sigilo de dados; a perturbação da regularidade do serviço público; a quebra do caráter competitivo de procedimentos; e ofensas a contribuintes e terceiros.</w:t>
      </w:r>
    </w:p>
    <w:p>
      <w:pPr>
        <w:spacing w:after="80" w:before="80" w:line="260"/>
        <w:ind w:left="720"/>
        <w:jc w:val="both"/>
      </w:pPr>
      <w:r>
        <w:rPr>
          <w:rFonts w:ascii="Arial" w:cs="Arial" w:eastAsia="Arial" w:hAnsi="Arial"/>
          <w:i/>
          <w:iCs/>
          <w:sz w:val="20"/>
          <w:szCs w:val="20"/>
        </w:rPr>
        <w:t xml:space="preserve">A ilegalidade do ato administrativo por ofensa a normas específicas dispensa a demonstração de prejuízo material.</w:t>
      </w:r>
    </w:p>
    <w:p>
      <w:pPr>
        <w:spacing w:after="80" w:before="0"/>
        <w:jc w:val="right"/>
      </w:pPr>
      <w:r>
        <w:rPr>
          <w:rFonts w:ascii="Arial" w:cs="Arial" w:eastAsia="Arial" w:hAnsi="Arial"/>
          <w:i/>
          <w:iCs/>
          <w:color w:val="555555"/>
          <w:sz w:val="18"/>
          <w:szCs w:val="18"/>
        </w:rPr>
        <w:t xml:space="preserve">— STJ, AgInt no AREsp 949.377/MG, 2ª Turma, j. 09.03.2017</w:t>
      </w:r>
    </w:p>
    <w:p>
      <w:pPr>
        <w:pStyle w:val="Heading2"/>
      </w:pPr>
      <w:r>
        <w:rPr>
          <w:rFonts w:ascii="Arial" w:cs="Arial" w:eastAsia="Arial" w:hAnsi="Arial"/>
          <w:b/>
          <w:bCs/>
          <w:color w:val="2E5090"/>
          <w:sz w:val="24"/>
          <w:szCs w:val="24"/>
        </w:rPr>
        <w:t xml:space="preserve">7.2 Vedação à presunção do dano</w:t>
      </w:r>
    </w:p>
    <w:p>
      <w:pPr>
        <w:spacing w:after="80" w:before="80" w:line="276"/>
        <w:jc w:val="both"/>
      </w:pPr>
      <w:r>
        <w:rPr>
          <w:rFonts w:ascii="Arial" w:cs="Arial" w:eastAsia="Arial" w:hAnsi="Arial"/>
          <w:sz w:val="20"/>
          <w:szCs w:val="20"/>
        </w:rPr>
        <w:t xml:space="preserve">O dano não pode ser presumido. A Calculadora v3 permite a pontuação de dano potencial — risco de dano não concretizado —, mas o operador deve fundamentar com precisão por que o risco era real e significativo, sob pena de presumir dano onde ele não existiu.</w:t>
      </w:r>
    </w:p>
    <w:p>
      <w:pPr>
        <w:spacing w:after="80" w:before="80" w:line="260"/>
        <w:ind w:left="720"/>
        <w:jc w:val="both"/>
      </w:pPr>
      <w:r>
        <w:rPr>
          <w:rFonts w:ascii="Arial" w:cs="Arial" w:eastAsia="Arial" w:hAnsi="Arial"/>
          <w:i/>
          <w:iCs/>
          <w:sz w:val="20"/>
          <w:szCs w:val="20"/>
        </w:rPr>
        <w:t xml:space="preserve">Não se admite a presunção de dano; é necessária a sua efetiva demonstração.</w:t>
      </w:r>
    </w:p>
    <w:p>
      <w:pPr>
        <w:spacing w:after="80" w:before="0"/>
        <w:jc w:val="right"/>
      </w:pPr>
      <w:r>
        <w:rPr>
          <w:rFonts w:ascii="Arial" w:cs="Arial" w:eastAsia="Arial" w:hAnsi="Arial"/>
          <w:i/>
          <w:iCs/>
          <w:color w:val="555555"/>
          <w:sz w:val="18"/>
          <w:szCs w:val="18"/>
        </w:rPr>
        <w:t xml:space="preserve">— STJ, REsp 1.585.939/PB; REsp 621.415/MG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art. 12, §5º, do Decreto nº 9.830/2019: o dano expressivo é valorado neste elemento, mas não converte, por si só, a natureza da conduta em dolo ou erro grosseiro. Cada plano — ação e resultado — é avaliado em seu próprio elemento.</w:t>
            </w:r>
          </w:p>
        </w:tc>
      </w:tr>
    </w:tbl>
    <w:p>
      <w:r>
        <w:t xml:space="preserve"/>
      </w:r>
    </w:p>
    <w:p>
      <w:pPr>
        <w:pStyle w:val="Heading2"/>
      </w:pPr>
      <w:r>
        <w:rPr>
          <w:rFonts w:ascii="Arial" w:cs="Arial" w:eastAsia="Arial" w:hAnsi="Arial"/>
          <w:b/>
          <w:bCs/>
          <w:color w:val="2E5090"/>
          <w:sz w:val="24"/>
          <w:szCs w:val="24"/>
        </w:rPr>
        <w:t xml:space="preserve">7.3 Especificidades da atividade da RFB</w:t>
      </w:r>
    </w:p>
    <w:p>
      <w:pPr>
        <w:spacing w:after="80" w:before="80" w:line="276"/>
        <w:jc w:val="both"/>
      </w:pPr>
      <w:r>
        <w:rPr>
          <w:rFonts w:ascii="Arial" w:cs="Arial" w:eastAsia="Arial" w:hAnsi="Arial"/>
          <w:sz w:val="20"/>
          <w:szCs w:val="20"/>
        </w:rPr>
        <w:t xml:space="preserve">A atuação tributária e aduaneira agrega bens jurídicos próprios: a credibilidade institucional da RFB; a regularidade do serviço tributário e aduaneiro; o impacto sobre contribuintes, usuários e terceiros; o comprometimento concreto do sigilo fiscal (art. 198 do CTN); e o comprometimento concreto de processo de fiscalização ou lançamento tributário.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198 DO CTN</w:t>
            </w:r>
          </w:p>
          <w:p>
            <w:pPr>
              <w:spacing w:after="60" w:before="40" w:line="260"/>
              <w:jc w:val="both"/>
            </w:pPr>
            <w:r>
              <w:rPr>
                <w:rFonts w:ascii="Arial" w:cs="Arial" w:eastAsia="Arial" w:hAnsi="Arial"/>
                <w:i/>
                <w:iCs/>
                <w:sz w:val="18"/>
                <w:szCs w:val="18"/>
              </w:rPr>
              <w:t xml:space="preserve">É vedada a divulgação, por parte da Fazenda Pública ou de seus servidores, de informação obtida em razão do ofício sobre a situação econômica ou financeira do sujeito passivo. O sigilo fiscal é bem jurídico nuclear da atividade da RFB e fundamenta o subfator SF3B.4a.</w:t>
            </w:r>
          </w:p>
        </w:tc>
      </w:tr>
    </w:tbl>
    <w:p>
      <w:r>
        <w:t xml:space="preserve"/>
      </w:r>
    </w:p>
    <w:p>
      <w:pPr>
        <w:pStyle w:val="Heading2"/>
      </w:pPr>
      <w:r>
        <w:rPr>
          <w:rFonts w:ascii="Arial" w:cs="Arial" w:eastAsia="Arial" w:hAnsi="Arial"/>
          <w:b/>
          <w:bCs/>
          <w:color w:val="2E5090"/>
          <w:sz w:val="24"/>
          <w:szCs w:val="24"/>
        </w:rPr>
        <w:t xml:space="preserve">7.4 Cumulatividade e operacionalização</w:t>
      </w:r>
    </w:p>
    <w:p>
      <w:pPr>
        <w:spacing w:after="80" w:before="80" w:line="276"/>
        <w:jc w:val="both"/>
      </w:pPr>
      <w:r>
        <w:rPr>
          <w:rFonts w:ascii="Arial" w:cs="Arial" w:eastAsia="Arial" w:hAnsi="Arial"/>
          <w:sz w:val="20"/>
          <w:szCs w:val="20"/>
        </w:rPr>
        <w:t>O elemento compõe-se de duas dimensões avaliadas independentemente. O Dano Material (SF3A) tem teto de 20 pontos. O Dano Imaterial (SF3B) tem teto de 20 pontos. A pontuação final do elemento corresponde à soma das duas dimensões, limitada ao teto conjunto de 30 pontos.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Dimensão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Subfatores na Calculadora v3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Teto individual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SF3A — Dano material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Árvore de três níveis: (1) existência — dano efetivo concretizado; (2) extensão relativa — baixa (&lt;5%), média (5–25%) ou alta (&gt;25%) em relação ao referencial orçamentário/contratual; (3) reversibilidade — ressarcimento integral (3–16 pts), parcial/compromisso formal (5–18 pts) ou ausente/irreversível (7–20 pts). O nível de ressarcimento alimenta automaticamente a Camada 2 do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20</w:t>
            </w:r>
          </w:p>
        </w:tc>
      </w:tr>
      <w:tr>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SF3B — Dano imaterial</w:t>
            </w:r>
          </w:p>
        </w:tc>
        <w:tc>
          <w:tcPr>
            <w:tcW w:type="dxa" w:w="63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SF3B.1 — Imagem e credibilidade da RFB (0–10 pts): sem repercussão perceptível (0), interna (2), regional/toda a RFB (4–6), ampla em imprensa/redes (10).</w:t>
            </w:r>
          </w:p>
          <w:p>
            <w:pPr>
              <w:jc w:val="both"/>
            </w:pPr>
            <w:r>
              <w:rPr>
                <w:rFonts w:ascii="Arial" w:cs="Arial" w:eastAsia="Arial" w:hAnsi="Arial"/>
                <w:b w:val="false"/>
                <w:bCs w:val="false"/>
                <w:color w:val="000000"/>
                <w:sz w:val="17"/>
                <w:szCs w:val="17"/>
              </w:rPr>
              <w:t xml:space="preserve">SF3B.2 — Regularidade do serviço tributário/aduaneiro (0–6 pts).</w:t>
            </w:r>
          </w:p>
          <w:p>
            <w:pPr>
              <w:jc w:val="both"/>
            </w:pPr>
            <w:r>
              <w:rPr>
                <w:rFonts w:ascii="Arial" w:cs="Arial" w:eastAsia="Arial" w:hAnsi="Arial"/>
                <w:b w:val="false"/>
                <w:bCs w:val="false"/>
                <w:color w:val="000000"/>
                <w:sz w:val="17"/>
                <w:szCs w:val="17"/>
              </w:rPr>
              <w:t xml:space="preserve">SF3B.3 — Impacto sobre contribuintes e terceiros (0–6 pts).</w:t>
            </w:r>
          </w:p>
          <w:p>
            <w:pPr>
              <w:jc w:val="both"/>
            </w:pPr>
            <w:r>
              <w:rPr>
                <w:rFonts w:ascii="Arial" w:cs="Arial" w:eastAsia="Arial" w:hAnsi="Arial"/>
                <w:b w:val="false"/>
                <w:bCs w:val="false"/>
                <w:color w:val="000000"/>
                <w:sz w:val="17"/>
                <w:szCs w:val="17"/>
              </w:rPr>
              <w:t xml:space="preserve">SF3B.4a — Comprometimento concreto do sigilo fiscal (0–12 pts): individual (4), grupo (8), divulgação ampla (12).</w:t>
            </w:r>
          </w:p>
          <w:p>
            <w:pPr>
              <w:jc w:val="both"/>
            </w:pPr>
            <w:r>
              <w:rPr>
                <w:rFonts w:ascii="Arial" w:cs="Arial" w:eastAsia="Arial" w:hAnsi="Arial"/>
                <w:b w:val="false"/>
                <w:bCs w:val="false"/>
                <w:color w:val="000000"/>
                <w:sz w:val="17"/>
                <w:szCs w:val="17"/>
              </w:rPr>
              <w:t xml:space="preserve">SF3B.4b — Comprometimento concreto de fiscalização/lançamento (0–12 pts).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20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Os subfatores SF3B.4a e SF3B.4b avaliam exclusivamente o impacto concreto verificado neste caso — se dados foram efetivamente expostos, se um processo foi diretamente afetado. Isso os distingue do SF2.1, que mede a proteção normativa em abstrato.</w:t>
            </w:r>
          </w:p>
        </w:tc>
      </w:tr>
    </w:tbl>
    <w:p>
      <w:pPr>
        <w:pStyle w:val="Heading1"/>
      </w:pPr>
      <w:r>
        <w:rPr>
          <w:rFonts w:ascii="Arial" w:cs="Arial" w:eastAsia="Arial" w:hAnsi="Arial"/>
          <w:b/>
          <w:bCs/>
          <w:color w:val="1F3864"/>
          <w:sz w:val="28"/>
          <w:szCs w:val="28"/>
        </w:rPr>
        <w:t xml:space="preserve">8. Elemento 4 — Circunstâncias Agravantes e Atenuantes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128 e 131, parágrafo único; art. 22 da LINDB; Súmula 231/STJ.</w:t>
      </w:r>
      <w:r>
        <w:rPr>
          <w:rFonts w:ascii="Arial" w:cs="Arial" w:eastAsia="Arial" w:hAnsi="Arial"/>
          <w:sz w:val="20"/>
          <w:szCs w:val="20"/>
        </w:rPr>
        <w:t xml:space="preserve"> Cada item tem slider de intensidade (mín/padrão/máx). Pontuação = soma dos sliders ajustados.</w:t>
      </w:r>
    </w:p>
    <w:p>
      <w:r>
        <w:t xml:space="preserve"/>
      </w:r>
    </w:p>
    <w:p>
      <w:pPr>
        <w:spacing w:after="80" w:before="80" w:line="276"/>
        <w:jc w:val="both"/>
      </w:pPr>
      <w:r>
        <w:rPr>
          <w:rFonts w:ascii="Arial" w:cs="Arial" w:eastAsia="Arial" w:hAnsi="Arial"/>
          <w:sz w:val="20"/>
          <w:szCs w:val="20"/>
        </w:rPr>
        <w:t xml:space="preserve">As circunstâncias referem-se ao contexto em que a irregularidade ocorreu, constituindo situações que agravam ou atenuam o grau de reprovabilidade da conduta, sem alterar o enquadramento jurídico da infração. Devem ser efetivamente comprovadas nos autos.</w:t>
      </w:r>
    </w:p>
    <w:p>
      <w:pPr>
        <w:pStyle w:val="Heading2"/>
      </w:pPr>
      <w:r>
        <w:rPr>
          <w:rFonts w:ascii="Arial" w:cs="Arial" w:eastAsia="Arial" w:hAnsi="Arial"/>
          <w:b/>
          <w:bCs/>
          <w:color w:val="2E5090"/>
          <w:sz w:val="24"/>
          <w:szCs w:val="24"/>
        </w:rPr>
        <w:t xml:space="preserve">8.1 Limites das circunstâncias</w:t>
      </w:r>
    </w:p>
    <w:p>
      <w:pPr>
        <w:pStyle w:val="ListParagraph"/>
        <w:numPr>
          <w:ilvl w:val="0"/>
          <w:numId w:val="2"/>
        </w:numPr>
        <w:spacing w:after="60" w:before="60" w:line="260"/>
      </w:pPr>
      <w:r>
        <w:rPr>
          <w:rFonts w:ascii="Arial" w:cs="Arial" w:eastAsia="Arial" w:hAnsi="Arial"/>
          <w:sz w:val="20"/>
          <w:szCs w:val="20"/>
        </w:rPr>
        <w:t xml:space="preserve">Não desconfiguram o fato: por mais numerosas que sejam as agravantes, jamais convertem em capital uma infração punível com advertência ou suspensão.</w:t>
      </w:r>
    </w:p>
    <w:p>
      <w:pPr>
        <w:pStyle w:val="ListParagraph"/>
        <w:numPr>
          <w:ilvl w:val="0"/>
          <w:numId w:val="2"/>
        </w:numPr>
        <w:spacing w:after="60" w:before="60" w:line="260"/>
      </w:pPr>
      <w:r>
        <w:rPr>
          <w:rFonts w:ascii="Arial" w:cs="Arial" w:eastAsia="Arial" w:hAnsi="Arial"/>
          <w:sz w:val="20"/>
          <w:szCs w:val="20"/>
        </w:rPr>
        <w:t xml:space="preserve">Não reduzem abaixo do mínimo: por analogia à Súmula 231/STJ, a incidência de atenuante não pode conduzir à pena abaixo do mínimo legal.</w:t>
      </w:r>
    </w:p>
    <w:p>
      <w:pPr>
        <w:pStyle w:val="ListParagraph"/>
        <w:numPr>
          <w:ilvl w:val="0"/>
          <w:numId w:val="2"/>
        </w:numPr>
        <w:spacing w:after="60" w:before="60" w:line="260"/>
      </w:pPr>
      <w:r>
        <w:rPr>
          <w:rFonts w:ascii="Arial" w:cs="Arial" w:eastAsia="Arial" w:hAnsi="Arial"/>
          <w:sz w:val="20"/>
          <w:szCs w:val="20"/>
        </w:rPr>
        <w:t xml:space="preserve">Não se confundem com os antecedentes: as circunstâncias dizem respeito ao contexto da conduta apurada; os antecedentes olham para a trajetória anterior.</w:t>
      </w:r>
    </w:p>
    <w:p>
      <w:pPr>
        <w:pStyle w:val="ListParagraph"/>
        <w:numPr>
          <w:ilvl w:val="0"/>
          <w:numId w:val="2"/>
        </w:numPr>
        <w:spacing w:after="60" w:before="60" w:line="260"/>
      </w:pPr>
      <w:r>
        <w:rPr>
          <w:rFonts w:ascii="Arial" w:cs="Arial" w:eastAsia="Arial" w:hAnsi="Arial"/>
          <w:sz w:val="20"/>
          <w:szCs w:val="20"/>
        </w:rPr>
        <w:t xml:space="preserve">Vedação ao ne bis in idem: o alto dano já valorado no Elemento 3 não pode ser reaproveitado como agravante.</w:t>
      </w:r>
    </w:p>
    <w:p>
      <w:pPr>
        <w:pStyle w:val="ListParagraph"/>
        <w:numPr>
          <w:ilvl w:val="0"/>
          <w:numId w:val="2"/>
        </w:numPr>
        <w:spacing w:after="60" w:before="60" w:line="260"/>
      </w:pPr>
      <w:r>
        <w:rPr>
          <w:rFonts w:ascii="Arial" w:cs="Arial" w:eastAsia="Arial" w:hAnsi="Arial"/>
          <w:sz w:val="20"/>
          <w:szCs w:val="20"/>
        </w:rPr>
        <w:t xml:space="preserve">Processo sem punição ou registro cancelado: não pode ser utilizado como agravante ou mau antecedente (art. 131, parágrafo único).</w:t>
      </w:r>
    </w:p>
    <w:p>
      <w:pPr>
        <w:pStyle w:val="Heading2"/>
      </w:pPr>
      <w:r>
        <w:rPr>
          <w:rFonts w:ascii="Arial" w:cs="Arial" w:eastAsia="Arial" w:hAnsi="Arial"/>
          <w:b/>
          <w:bCs/>
          <w:color w:val="2E5090"/>
          <w:sz w:val="24"/>
          <w:szCs w:val="24"/>
        </w:rPr>
        <w:t xml:space="preserve">8.2.1 Agravantes (7 itens)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Servidor com capacitação ou treinamento específico documentado na área da infração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Conhecia os riscos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Longa experiência na atividade em que ocorreu a infração (acima de 3 anos na função)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Experiência amplia o dever de cuidado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Cargo de confiança, função gratificada ou de chefia na área relacionada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Posição hierárquica amplia o dever de exemplo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motivada por interesse fútil, irrelevante ou inescusável</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Maior grau de reprovabilidade moral</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Infraestrutura favorável que facilitava o cumprimento do dever violado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obstáculos externos justificadores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ag6</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em detrimento de contribuinte ou usuário em situação de vulnerabilidade</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Assimetria de poder agrava o impacto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Experiência pretérita documentada em cargo de chefia, direção ou supervisão em área correlata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Trajetória em posições de responsabilidade amplia o padrão de cuidado exigível além da função atual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bl>
    <w:p>
      <w:pPr>
        <w:pStyle w:val="Heading2"/>
      </w:pPr>
      <w:r>
        <w:rPr>
          <w:rFonts w:ascii="Arial" w:cs="Arial" w:eastAsia="Arial" w:hAnsi="Arial"/>
          <w:b/>
          <w:bCs/>
          <w:color w:val="2E5090"/>
          <w:sz w:val="24"/>
          <w:szCs w:val="24"/>
        </w:rPr>
        <w:t xml:space="preserve">8.2.2 Atenuantes (13 itens)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capacitação ou treinamento específico na área relacionada ao ilícito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Reduz a exigibilidade de conduta diversa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Pouco tempo de serviço público ou na atividade específica (até 2 anos na função)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Inexperiência reduz a reprovabilidade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Sobrecarga de trabalho documentada ou acumulação formal de funções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Dificuldade objetiva que comprometeu o desempenho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Condições precárias de infraestrutura física ou tecnológica documentadas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Obstáculos externos — art. 22 LINDB</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Confissão espontânea da irregularidade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Contribuição para o esclarecimento dos fatos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at6</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Reparação voluntária e efetiva do dano antes da conclusão do processo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Responsabilidade e minimização do prejuízo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Problemas pessoais documentados e justificados que comprometeram o desempenho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Circunstâncias externas relevantes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at8</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em contexto de urgência ou emergência funcional objetivamente comprovada</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Reduz a voluntariedade da irregularidade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Iniciativa espontânea de minorar ou evitar as consequências da infração, mesmo que não integralmente bem-sucedida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b, CP — esforço ativo de contenção do dano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at10</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Infração cometida por motivo de relevante valor social ou moral, comprovado nos autos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a, CP — atenua a censurabilidade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sob coação resistível ou em cumprimento de ordem de autoridade superior aparentemente legal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c e e, CP — não se aplica a ordens manifestamente ilegais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Dificuldades reais e documentadas na previsibilidade das consequências jurídicas ou do resultado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22, LINDB</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Atuação em atividade de objeto complexo, pioneiro ou inédito, sem precedente normativo consolidado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parâmetros reduz a exigibilidade de conduta diversa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bl>
    <w:p>
      <w:pPr>
        <w:pStyle w:val="Heading1"/>
      </w:pPr>
      <w:r>
        <w:rPr>
          <w:rFonts w:ascii="Arial" w:cs="Arial" w:eastAsia="Arial" w:hAnsi="Arial"/>
          <w:b/>
          <w:bCs/>
          <w:color w:val="1F3864"/>
          <w:sz w:val="28"/>
          <w:szCs w:val="28"/>
        </w:rPr>
        <w:t xml:space="preserve">9. Elemento 5 — Antecedentes Funcionais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128 e 131, parágrafo único; art. 2º, parágrafo único, VIII e IX, da Lei nº 9.784/1999; Súmula 241/STJ.</w:t>
      </w:r>
      <w:r>
        <w:rPr>
          <w:rFonts w:ascii="Arial" w:cs="Arial" w:eastAsia="Arial" w:hAnsi="Arial"/>
          <w:sz w:val="20"/>
          <w:szCs w:val="20"/>
        </w:rPr>
        <w:t xml:space="preserve"> Cada item tem slider de intensidade.</w:t>
      </w:r>
    </w:p>
    <w:p>
      <w:r>
        <w:t xml:space="preserve"/>
      </w:r>
    </w:p>
    <w:p>
      <w:pPr>
        <w:spacing w:after="80" w:before="80" w:line="276"/>
        <w:jc w:val="both"/>
      </w:pPr>
      <w:r>
        <w:rPr>
          <w:rFonts w:ascii="Arial" w:cs="Arial" w:eastAsia="Arial" w:hAnsi="Arial"/>
          <w:sz w:val="20"/>
          <w:szCs w:val="20"/>
        </w:rPr>
        <w:t xml:space="preserve">Os antecedentes funcionais correspondem às anotações constantes dos assentamentos do servidor. Diferentemente das circunstâncias, que olham para o contexto do fato apurado, os antecedentes olham para a trajetória anterior do servidor.</w:t>
      </w:r>
    </w:p>
    <w:p>
      <w:pPr>
        <w:pStyle w:val="Heading2"/>
      </w:pPr>
      <w:r>
        <w:rPr>
          <w:rFonts w:ascii="Arial" w:cs="Arial" w:eastAsia="Arial" w:hAnsi="Arial"/>
          <w:b/>
          <w:bCs/>
          <w:color w:val="2E5090"/>
          <w:sz w:val="24"/>
          <w:szCs w:val="24"/>
        </w:rPr>
        <w:t xml:space="preserve">9.1 Bons antecedentes (reduzem a 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Elogios simples com registro formal nos assentamentos (portaria de elogio ou reconhecimento oficial de chefia)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Reconhecimento formal de conduta positiva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Menção honrosa, prêmio ou distinção funcional formal</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Reconhecimento institucional de excelência</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Registro formal de serviço relevante, projeto especial ou contribuição institucional de destaque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Compromisso acima do ordinário documentado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ba5</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Outros registros abonadores apresentados durante a apuração, não constantes dos assentamentos (formalismo moderado)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2º, §único, VIII e IX, Lei 9.784/1999</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Formalismo moderado: é possível que o agente apresente registros de bons préstimos não consignados na pasta funcional. À luz do art. 2º, parágrafo único, VIII e IX, da Lei nº 9.784/1999, tais documentos podem e devem ser considerados.</w:t>
            </w:r>
          </w:p>
        </w:tc>
      </w:tr>
    </w:tbl>
    <w:p>
      <w:pPr>
        <w:pStyle w:val="Heading2"/>
      </w:pPr>
      <w:r>
        <w:rPr>
          <w:rFonts w:ascii="Arial" w:cs="Arial" w:eastAsia="Arial" w:hAnsi="Arial"/>
          <w:b/>
          <w:bCs/>
          <w:color w:val="2E5090"/>
          <w:sz w:val="24"/>
          <w:szCs w:val="24"/>
        </w:rPr>
        <w:t xml:space="preserve">9.2 Maus antecedentes (aumentam a 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Atrasos ou faltas não justificadas registradas nos assentamentos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Indicador de descompromisso funcional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Descumprimento de TAC (Portaria Normativa CGU nº 27/2022)</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Violação de compromisso formal perante a Corregedoria</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Sanção disciplinar anterior não cancelada — apenas se NÃO usada para reincidência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Histórico de infrações — art. 131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Outros registros desabonadores documentados nos assentamentos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Indicadores adicionais de descompromisso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TAC integralmente cumprido não constitui mau antecedente, dada a sua natureza conciliatória e a ausência de assunção de responsabilidade.</w:t>
            </w:r>
          </w:p>
        </w:tc>
      </w:tr>
    </w:tbl>
    <w:p>
      <w:pPr>
        <w:pStyle w:val="Heading2"/>
      </w:pPr>
      <w:r>
        <w:rPr>
          <w:rFonts w:ascii="Arial" w:cs="Arial" w:eastAsia="Arial" w:hAnsi="Arial"/>
          <w:b/>
          <w:bCs/>
          <w:color w:val="2E5090"/>
          <w:sz w:val="24"/>
          <w:szCs w:val="24"/>
        </w:rPr>
        <w:t xml:space="preserve">9.3 A distinção entre antecedentes e reincidência</w:t>
      </w:r>
    </w:p>
    <w:p>
      <w:pPr>
        <w:spacing w:after="80" w:before="80" w:line="276"/>
        <w:jc w:val="both"/>
      </w:pPr>
      <w:r>
        <w:rPr>
          <w:rFonts w:ascii="Arial" w:cs="Arial" w:eastAsia="Arial" w:hAnsi="Arial"/>
          <w:sz w:val="20"/>
          <w:szCs w:val="20"/>
        </w:rPr>
        <w:t xml:space="preserve">Maus antecedentes e reincidência não se confundem e não podem ser valorados simultaneamente sobre o mesmo registro, sob pena de dupla penalização pelo mesmo fato (Súmula 241/STJ). A regra operacional é:</w:t>
      </w:r>
    </w:p>
    <w:p>
      <w:pPr>
        <w:pStyle w:val="ListParagraph"/>
        <w:numPr>
          <w:ilvl w:val="0"/>
          <w:numId w:val="2"/>
        </w:numPr>
        <w:spacing w:after="60" w:before="60" w:line="260"/>
      </w:pPr>
      <w:r>
        <w:rPr>
          <w:rFonts w:ascii="Arial" w:cs="Arial" w:eastAsia="Arial" w:hAnsi="Arial"/>
          <w:sz w:val="20"/>
          <w:szCs w:val="20"/>
        </w:rPr>
        <w:t xml:space="preserve">Se houver uma penalidade vigente que satisfaça os requisitos do art. 131 e a nova conduta também seria punível com advertência, essa penalidade opera como reincidência na segunda fase (efeito conversor). O mesmo registro não pode ser valorado como mau antecedente (ma3).</w:t>
      </w:r>
    </w:p>
    <w:p>
      <w:pPr>
        <w:pStyle w:val="ListParagraph"/>
        <w:numPr>
          <w:ilvl w:val="0"/>
          <w:numId w:val="2"/>
        </w:numPr>
        <w:spacing w:after="60" w:before="60" w:line="260"/>
      </w:pPr>
      <w:r>
        <w:rPr>
          <w:rFonts w:ascii="Arial" w:cs="Arial" w:eastAsia="Arial" w:hAnsi="Arial"/>
          <w:sz w:val="20"/>
          <w:szCs w:val="20"/>
        </w:rPr>
        <w:t xml:space="preserve">Se houver mais de uma penalidade vigente, a primeira serve como elemento conversor na segunda fase; as demais são valoradas como maus antecedentes (ma3).</w:t>
      </w:r>
    </w:p>
    <w:p>
      <w:pPr>
        <w:pStyle w:val="ListParagraph"/>
        <w:numPr>
          <w:ilvl w:val="0"/>
          <w:numId w:val="2"/>
        </w:numPr>
        <w:spacing w:after="60" w:before="60" w:line="260"/>
      </w:pPr>
      <w:r>
        <w:rPr>
          <w:rFonts w:ascii="Arial" w:cs="Arial" w:eastAsia="Arial" w:hAnsi="Arial"/>
          <w:sz w:val="20"/>
          <w:szCs w:val="20"/>
        </w:rPr>
        <w:t xml:space="preserve">Se houver registros de penalidade vigente que não configurem reincidência (por não satisfazerem os requisitos do art. 131), esses registros devem ser valorados como maus antecedentes (ma3), não gerando obrigatoriedade de suspensão.</w:t>
      </w:r>
    </w:p>
    <w:p>
      <w:pPr>
        <w:pStyle w:val="Heading1"/>
      </w:pPr>
      <w:r>
        <w:rPr>
          <w:rFonts w:ascii="Arial" w:cs="Arial" w:eastAsia="Arial" w:hAnsi="Arial"/>
          <w:b/>
          <w:bCs/>
          <w:color w:val="1F3864"/>
          <w:sz w:val="28"/>
          <w:szCs w:val="28"/>
        </w:rPr>
        <w:t xml:space="preserve">10. A Reincidência (Segunda Fase)</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130, caput, e art. 131.</w:t>
      </w:r>
    </w:p>
    <w:p>
      <w:r>
        <w:t xml:space="preserve"/>
      </w:r>
    </w:p>
    <w:p>
      <w:pPr>
        <w:spacing w:after="80" w:before="80" w:line="276"/>
        <w:jc w:val="both"/>
      </w:pPr>
      <w:r>
        <w:rPr>
          <w:rFonts w:ascii="Arial" w:cs="Arial" w:eastAsia="Arial" w:hAnsi="Arial"/>
          <w:sz w:val="20"/>
          <w:szCs w:val="20"/>
        </w:rPr>
        <w:t xml:space="preserve">A reincidência não pertence aos elementos balizadores do art. 128. Ela é verificada ao término da dosimetria, com função específica: salvaguardar a aplicação da suspensão ao servidor reincidente na prática de faltas leves (art. 130, caput). Por isso a metodologia a trata em segunda fase.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130</w:t>
            </w:r>
          </w:p>
          <w:p>
            <w:pPr>
              <w:spacing w:after="60" w:before="40" w:line="260"/>
              <w:jc w:val="both"/>
            </w:pPr>
            <w:r>
              <w:rPr>
                <w:rFonts w:ascii="Arial" w:cs="Arial" w:eastAsia="Arial" w:hAnsi="Arial"/>
                <w:i/>
                <w:iCs/>
                <w:sz w:val="18"/>
                <w:szCs w:val="18"/>
              </w:rPr>
              <w:t xml:space="preserve">A suspensão será aplicada em caso de reincidência das faltas punidas com advertência e de violação das demais proibições que não tipifiquem infração sujeita a penalidade de demissão, não podendo exceder de 90 dias.</w:t>
            </w:r>
          </w:p>
        </w:tc>
      </w:tr>
    </w:tbl>
    <w:p>
      <w:r>
        <w:t xml:space="preserve"/>
      </w:r>
    </w:p>
    <w:p>
      <w:pPr>
        <w:pStyle w:val="Heading2"/>
      </w:pPr>
      <w:r>
        <w:rPr>
          <w:rFonts w:ascii="Arial" w:cs="Arial" w:eastAsia="Arial" w:hAnsi="Arial"/>
          <w:b/>
          <w:bCs/>
          <w:color w:val="2E5090"/>
          <w:sz w:val="24"/>
          <w:szCs w:val="24"/>
        </w:rPr>
        <w:t xml:space="preserve">10.1 Conceito e requisitos</w:t>
      </w:r>
    </w:p>
    <w:p>
      <w:pPr>
        <w:spacing w:after="80" w:before="80" w:line="276"/>
        <w:jc w:val="both"/>
      </w:pPr>
      <w:r>
        <w:rPr>
          <w:rFonts w:ascii="Arial" w:cs="Arial" w:eastAsia="Arial" w:hAnsi="Arial"/>
          <w:sz w:val="20"/>
          <w:szCs w:val="20"/>
        </w:rPr>
        <w:t xml:space="preserve">A reincidência prevista na Lei nº 8.112/1990 é a genérica: basta a ocorrência de uma segunda transgressão disciplinar punível com advertência. Requisitos: (a) um mesmo infrator; (b) decisão anterior definitiva condenando esse infrator; (c) cometimento de nova infração punível com advertência ou suspensão, dentro dos prazos do art. 131 — advertência há menos de 3 anos, ou suspensão há menos de 5 anos, contados da data do cometimento do ilícito em apuração. Decorridos os prazos do art. 131, o registro é cancelado e não pode mais fundamentar a reincidência.</w:t>
      </w:r>
    </w:p>
    <w:p>
      <w:pPr>
        <w:pStyle w:val="Heading2"/>
      </w:pPr>
      <w:r>
        <w:rPr>
          <w:rFonts w:ascii="Arial" w:cs="Arial" w:eastAsia="Arial" w:hAnsi="Arial"/>
          <w:b/>
          <w:bCs/>
          <w:color w:val="2E5090"/>
          <w:sz w:val="24"/>
          <w:szCs w:val="24"/>
        </w:rPr>
        <w:t xml:space="preserve">10.2 O efeito exclusivamente conversor</w:t>
      </w:r>
    </w:p>
    <w:p>
      <w:pPr>
        <w:spacing w:after="80" w:before="80" w:line="276"/>
        <w:jc w:val="both"/>
      </w:pPr>
      <w:r>
        <w:rPr>
          <w:rFonts w:ascii="Arial" w:cs="Arial" w:eastAsia="Arial" w:hAnsi="Arial"/>
          <w:sz w:val="20"/>
          <w:szCs w:val="20"/>
        </w:rPr>
        <w:t xml:space="preserve">Na Calculadora, a reincidência tem função estritamente conversora: transforma a advertência resultante da primeira fase em suspensão de 1 dia. Se a primeira fase já resultou em suspensão, a reincidência apenas confirma a penalidade — não agrava o número de dias.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 majoração da reprovabilidade decorrente do histórico disciplinar já é capturada pelos maus antecedentes (Elemento 5). Permitir que a reincidência também aumentasse os dias de suspensão duplicaria a valoração do mesmo histórico, em ofensa ao ne bis in idem (Súmula 241/STJ).</w:t>
            </w:r>
          </w:p>
        </w:tc>
      </w:tr>
    </w:tbl>
    <w:p>
      <w:pPr>
        <w:pStyle w:val="Heading1"/>
      </w:pPr>
      <w:r>
        <w:rPr>
          <w:rFonts w:ascii="Arial" w:cs="Arial" w:eastAsia="Arial" w:hAnsi="Arial"/>
          <w:b/>
          <w:bCs/>
          <w:color w:val="1F3864"/>
          <w:sz w:val="28"/>
          <w:szCs w:val="28"/>
        </w:rPr>
        <w:t>11. Concurso Material de Infrações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c/c art. 130.</w:t>
      </w:r>
    </w:p>
    <w:p>
      <w:r>
        <w:t xml:space="preserve"/>
      </w:r>
    </w:p>
    <w:p>
      <w:pPr>
        <w:spacing w:after="80" w:before="80" w:line="276"/>
        <w:jc w:val="both"/>
      </w:pPr>
      <w:r>
        <w:rPr>
          <w:rFonts w:ascii="Arial" w:cs="Arial" w:eastAsia="Arial" w:hAnsi="Arial"/>
          <w:sz w:val="20"/>
          <w:szCs w:val="20"/>
        </w:rPr>
        <w:t xml:space="preserve">O Regime de Concurso aplica-se quando o servidor pratica duas ou mais infrações disciplinares autônomas apuradas no mesmo processo.</w:t>
      </w:r>
    </w:p>
    <w:p>
      <w:pPr>
        <w:pStyle w:val="Heading2"/>
      </w:pPr>
      <w:r>
        <w:rPr>
          <w:rFonts w:ascii="Arial" w:cs="Arial" w:eastAsia="Arial" w:hAnsi="Arial"/>
          <w:b/>
          <w:bCs/>
          <w:color w:val="2E5090"/>
          <w:sz w:val="24"/>
          <w:szCs w:val="24"/>
        </w:rPr>
        <w:t xml:space="preserve">11.1 Regras de consolidação</w:t>
      </w:r>
    </w:p>
    <w:p>
      <w:pPr>
        <w:pStyle w:val="ListParagraph"/>
        <w:numPr>
          <w:ilvl w:val="0"/>
          <w:numId w:val="2"/>
        </w:numPr>
        <w:spacing w:after="60" w:before="60" w:line="260"/>
      </w:pPr>
      <w:r>
        <w:rPr>
          <w:rFonts w:ascii="Arial" w:cs="Arial" w:eastAsia="Arial" w:hAnsi="Arial"/>
          <w:sz w:val="20"/>
          <w:szCs w:val="20"/>
        </w:rPr>
        <w:t xml:space="preserve">Se todas as infrações resultarem em advertência, a penalidade final é advertência.</w:t>
      </w:r>
    </w:p>
    <w:p>
      <w:pPr>
        <w:pStyle w:val="ListParagraph"/>
        <w:numPr>
          <w:ilvl w:val="0"/>
          <w:numId w:val="2"/>
        </w:numPr>
        <w:spacing w:after="60" w:before="60" w:line="260"/>
      </w:pPr>
      <w:r>
        <w:rPr>
          <w:rFonts w:ascii="Arial" w:cs="Arial" w:eastAsia="Arial" w:hAnsi="Arial"/>
          <w:sz w:val="20"/>
          <w:szCs w:val="20"/>
        </w:rPr>
        <w:t xml:space="preserve">Se ao menos uma infração resultar em suspensão, a advertência é absorvida pela suspensão.</w:t>
      </w:r>
    </w:p>
    <w:p>
      <w:pPr>
        <w:pStyle w:val="ListParagraph"/>
        <w:numPr>
          <w:ilvl w:val="0"/>
          <w:numId w:val="2"/>
        </w:numPr>
        <w:spacing w:after="60" w:before="60" w:line="260"/>
      </w:pPr>
      <w:r>
        <w:rPr>
          <w:rFonts w:ascii="Arial" w:cs="Arial" w:eastAsia="Arial" w:hAnsi="Arial"/>
          <w:sz w:val="20"/>
          <w:szCs w:val="20"/>
        </w:rPr>
        <w:t xml:space="preserve">Duas ou mais suspensões são somadas, limitando-se o total a 90 dias. Se o resultado for zero dias e houver advertência, a ferramenta retorna advertência.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No Regime de Concurso, o operador insere a Soma Total calculada individualmente para cada infração. Recomenda-se realizar dosimetrias individuais completas antes de inserir os resultados na tela de Concurso. O sistema alerta quando a soma das suspensões ultrapassar 90 dias.</w:t>
            </w:r>
          </w:p>
        </w:tc>
      </w:tr>
    </w:tbl>
    <w:p>
      <w:r>
        <w:br w:type="page"/>
      </w:r>
    </w:p>
    <w:p>
      <w:pPr>
        <w:shd w:fill="1F3864" w:val="clear"/>
        <w:spacing w:after="200" w:before="200"/>
        <w:jc w:val="center"/>
      </w:pPr>
      <w:r>
        <w:rPr>
          <w:rFonts w:ascii="Arial" w:cs="Arial" w:eastAsia="Arial" w:hAnsi="Arial"/>
          <w:b/>
          <w:bCs/>
          <w:color w:val="FFFFFF"/>
          <w:sz w:val="28"/>
          <w:szCs w:val="28"/>
        </w:rPr>
        <w:t xml:space="preserve">PARTE IV — TERMO DE AJUSTAMENTO DE CONDUTA</w:t>
      </w:r>
    </w:p>
    <w:p>
      <w:pPr>
        <w:pStyle w:val="Heading1"/>
      </w:pPr>
      <w:r>
        <w:rPr>
          <w:rFonts w:ascii="Arial" w:cs="Arial" w:eastAsia="Arial" w:hAnsi="Arial"/>
          <w:b/>
          <w:bCs/>
          <w:color w:val="1F3864"/>
          <w:sz w:val="28"/>
          <w:szCs w:val="28"/>
        </w:rPr>
        <w:t xml:space="preserve">12. Admissibilidade do Termo de Ajustamento de Conduta</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62 a 72 da Portaria Normativa CGU nº 27/2022</w:t>
      </w:r>
      <w:r>
        <w:rPr>
          <w:rFonts w:ascii="Arial" w:cs="Arial" w:eastAsia="Arial" w:hAnsi="Arial"/>
          <w:sz w:val="20"/>
          <w:szCs w:val="20"/>
        </w:rPr>
        <w:t xml:space="preserve">; art. 46.</w:t>
      </w:r>
    </w:p>
    <w:p>
      <w:r>
        <w:t xml:space="preserve"/>
      </w:r>
    </w:p>
    <w:p>
      <w:pPr>
        <w:spacing w:after="80" w:before="80" w:line="276"/>
        <w:jc w:val="both"/>
      </w:pPr>
      <w:r>
        <w:rPr>
          <w:rFonts w:ascii="Arial" w:cs="Arial" w:eastAsia="Arial" w:hAnsi="Arial"/>
          <w:sz w:val="20"/>
          <w:szCs w:val="20"/>
        </w:rPr>
        <w:t xml:space="preserve">O TAC é instrumento pelo qual o servidor se compromete a cumprir obrigações específicas em substituição à penalidade disciplinar. A Calculadora verifica a elegibilidade em três camadas sequenciais; reprovado em qualquer camada, o TAC é inviável.</w:t>
      </w:r>
    </w:p>
    <w:p>
      <w:pPr>
        <w:pStyle w:val="Heading2"/>
      </w:pPr>
      <w:r>
        <w:rPr>
          <w:rFonts w:ascii="Arial" w:cs="Arial" w:eastAsia="Arial" w:hAnsi="Arial"/>
          <w:b/>
          <w:bCs/>
          <w:color w:val="2E5090"/>
          <w:sz w:val="24"/>
          <w:szCs w:val="24"/>
        </w:rPr>
        <w:t xml:space="preserve">12.1 Camada 1 — Elegibilidade da infração (art. 62)</w:t>
      </w:r>
    </w:p>
    <w:p>
      <w:pPr>
        <w:spacing w:after="80" w:before="80" w:line="276"/>
        <w:jc w:val="both"/>
      </w:pPr>
      <w:r>
        <w:rPr>
          <w:rFonts w:ascii="Arial" w:cs="Arial" w:eastAsia="Arial" w:hAnsi="Arial"/>
          <w:sz w:val="20"/>
          <w:szCs w:val="20"/>
        </w:rPr>
        <w:t xml:space="preserve">O art. 62 admite o instrumento para infrações culposas ou dolosas punidas com advertência ou suspensão de até 30 dias; suspensões superiores o inviabilizam. Para servidor não ocupante de cargo efetivo e empregado público, o TAC somente é admissível nas infrações puníveis com advertência (parágrafo único do art. 62).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Condição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Resultado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advertência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VIÁVEL</w:t>
            </w:r>
          </w:p>
        </w:tc>
      </w:tr>
      <w:tr>
        <w:tc>
          <w:tcPr>
            <w:tcW w:type="dxa" w:w="4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 30 dias e vínculo efetivo</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VIÁVEL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 30 dias e vínculo não efetivo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INVIÁVEL — TAC só admissível para advertência (art. 62, §único)</w:t>
            </w:r>
          </w:p>
        </w:tc>
      </w:tr>
      <w:tr>
        <w:tc>
          <w:tcPr>
            <w:tcW w:type="dxa" w:w="4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&gt; 30 dias</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INVIÁVEL — penalidade excede o limite (art. 62)</w:t>
            </w:r>
          </w:p>
        </w:tc>
      </w:tr>
    </w:tbl>
    <w:p>
      <w:r>
        <w:t xml:space="preserve"/>
      </w:r>
    </w:p>
    <w:p>
      <w:pPr>
        <w:pStyle w:val="Heading2"/>
      </w:pPr>
      <w:r>
        <w:rPr>
          <w:rFonts w:ascii="Arial" w:cs="Arial" w:eastAsia="Arial" w:hAnsi="Arial"/>
          <w:b/>
          <w:bCs/>
          <w:color w:val="2E5090"/>
          <w:sz w:val="24"/>
          <w:szCs w:val="24"/>
        </w:rPr>
        <w:t xml:space="preserve">12.2 Camada 2 — Elegibilidade do servidor (art. 63)</w:t>
      </w:r>
    </w:p>
    <w:p>
      <w:pPr>
        <w:spacing w:after="80" w:before="80" w:line="276"/>
        <w:jc w:val="both"/>
      </w:pPr>
      <w:r>
        <w:rPr>
          <w:rFonts w:ascii="Arial" w:cs="Arial" w:eastAsia="Arial" w:hAnsi="Arial"/>
          <w:sz w:val="20"/>
          <w:szCs w:val="20"/>
        </w:rPr>
        <w:t xml:space="preserve">Três condições cumulativas:</w:t>
      </w:r>
    </w:p>
    <w:p>
      <w:pPr>
        <w:pStyle w:val="ListParagraph"/>
        <w:numPr>
          <w:ilvl w:val="0"/>
          <w:numId w:val="2"/>
        </w:numPr>
        <w:spacing w:after="60" w:before="60" w:line="260"/>
      </w:pPr>
      <w:r>
        <w:rPr>
          <w:rFonts w:ascii="Arial" w:cs="Arial" w:eastAsia="Arial" w:hAnsi="Arial"/>
          <w:sz w:val="20"/>
          <w:szCs w:val="20"/>
        </w:rPr>
        <w:t>Ausência de registro vigente de penalidade disciplinar (prazos do art. 131). A reincidência implica existência de registro vigente — além de impor suspensão, veta o TAC quando a suspensão calculada for de até 30 dias. O contrário não é verdadeiro: registro vigente não implica necessariamente reincidência. Atenção: se o operador indicar ausência de registro vigente na tela de elegibilidade do TAC e, posteriormente, confirmar reincidência, a Calculadora corrigirá automaticamente o campo para registro vigente = Sim, vedando o TAC (art. 63, I, Portaria CGU 27/2022).</w:t>
      </w:r>
    </w:p>
    <w:p>
      <w:pPr>
        <w:pStyle w:val="ListParagraph"/>
        <w:numPr>
          <w:ilvl w:val="0"/>
          <w:numId w:val="2"/>
        </w:numPr>
        <w:spacing w:after="60" w:before="60" w:line="260"/>
      </w:pPr>
      <w:r>
        <w:rPr>
          <w:rFonts w:ascii="Arial" w:cs="Arial" w:eastAsia="Arial" w:hAnsi="Arial"/>
          <w:sz w:val="20"/>
          <w:szCs w:val="20"/>
        </w:rPr>
        <w:t xml:space="preserve">Ausência de TAC firmado nos últimos 2 anos — ressalvado o art. 63, § 1º: admissível quando a infração ora apurada for anterior ao TAC anteriormente firmado.</w:t>
      </w:r>
    </w:p>
    <w:p>
      <w:pPr>
        <w:pStyle w:val="ListParagraph"/>
        <w:numPr>
          <w:ilvl w:val="0"/>
          <w:numId w:val="2"/>
        </w:numPr>
        <w:spacing w:after="60" w:before="60" w:line="260"/>
      </w:pPr>
      <w:r>
        <w:rPr>
          <w:rFonts w:ascii="Arial" w:cs="Arial" w:eastAsia="Arial" w:hAnsi="Arial"/>
          <w:sz w:val="20"/>
          <w:szCs w:val="20"/>
        </w:rPr>
        <w:t xml:space="preserve">Ressarcimento do dano ou compromisso formal de ressarcimento, quando houver dano à Administração (art. 63, III, c/c art. 46).</w:t>
      </w:r>
    </w:p>
    <w:p>
      <w:pPr>
        <w:pStyle w:val="Heading2"/>
      </w:pPr>
      <w:r>
        <w:rPr>
          <w:rFonts w:ascii="Arial" w:cs="Arial" w:eastAsia="Arial" w:hAnsi="Arial"/>
          <w:b/>
          <w:bCs/>
          <w:color w:val="2E5090"/>
          <w:sz w:val="24"/>
          <w:szCs w:val="24"/>
        </w:rPr>
        <w:t xml:space="preserve">12.3 Camada 3 — Proporcionalidade das obrigações (art.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Faixa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Critério (Soma Total 1ª fase)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Obrigações disponíveis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 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(Reparação do Dano); OB-02 (Retratação Formal); OB-03 (Capacitação Específica); OB-04 (Curso de Ética); OB-05 (Acordo de Horário).</w:t>
            </w:r>
          </w:p>
        </w:tc>
      </w:tr>
      <w:tr>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LEVE-MÉDIA</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21 a 40</w:t>
            </w:r>
          </w:p>
        </w:tc>
        <w:tc>
          <w:tcPr>
            <w:tcW w:type="dxa" w:w="5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OB-02; OB-03; OB-04; OB-06 (Metas de Desempenho); OB-07 (Monitoramento de Acessos).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LIMITE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&gt; 40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OB-02; OB-03; OB-06; OB-07; OB-08 (Relatório Periódico); OB-09 (Comunicação à Corregedoria).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2760"/>
        <w:gridCol w:w="18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Código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Obrigação</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Base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Prazo padrão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Reparação do Dano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OB-02</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Retratação Formal</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 mês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Capacitação Específica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OB-04</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Curso de Ética</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Acordo de Horário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OB-06</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Metas de Desempenho</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LM, 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Monitoramento de Acessos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18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OB-08</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 Periódico</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24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Comunicação à Corregedoria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Imediata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Os prazos das obrigações correm em paralelo: a vigência total do TAC corresponde ao maior prazo individual, limitada a 24 meses (art. 68, § 2º). Para cada obrigação selecionada é obrigatório preencher a Obrigação Efetiva e a Forma de Comprovação. A nulidade do TAC firmado sem observância da Portaria é expressa no art. 72.</w:t>
            </w:r>
          </w:p>
        </w:tc>
      </w:tr>
    </w:tbl>
    <w:p>
      <w:r>
        <w:br w:type="page"/>
      </w:r>
    </w:p>
    <w:p>
      <w:pPr>
        <w:shd w:fill="1F3864" w:val="clear"/>
        <w:spacing w:after="200" w:before="200"/>
        <w:jc w:val="center"/>
      </w:pPr>
      <w:r>
        <w:rPr>
          <w:rFonts w:ascii="Arial" w:cs="Arial" w:eastAsia="Arial" w:hAnsi="Arial"/>
          <w:b/>
          <w:bCs/>
          <w:color w:val="FFFFFF"/>
          <w:sz w:val="28"/>
          <w:szCs w:val="28"/>
        </w:rPr>
        <w:t xml:space="preserve">PARTE V — GUIA OPERACIONAL DA CALCULADORA v3</w:t>
      </w:r>
    </w:p>
    <w:p>
      <w:pPr>
        <w:pStyle w:val="Heading1"/>
      </w:pPr>
      <w:r>
        <w:rPr>
          <w:rFonts w:ascii="Arial" w:cs="Arial" w:eastAsia="Arial" w:hAnsi="Arial"/>
          <w:b/>
          <w:bCs/>
          <w:color w:val="1F3864"/>
          <w:sz w:val="28"/>
          <w:szCs w:val="28"/>
        </w:rPr>
        <w:t xml:space="preserve">13. Recursos Gerais da Ferramenta</w:t>
      </w:r>
    </w:p>
    <w:p>
      <w:pPr>
        <w:pStyle w:val="Heading2"/>
      </w:pPr>
      <w:r>
        <w:rPr>
          <w:rFonts w:ascii="Arial" w:cs="Arial" w:eastAsia="Arial" w:hAnsi="Arial"/>
          <w:b/>
          <w:bCs/>
          <w:color w:val="2E5090"/>
          <w:sz w:val="24"/>
          <w:szCs w:val="24"/>
        </w:rPr>
        <w:t xml:space="preserve">13.1 Persistência automática de sessão</w:t>
      </w:r>
    </w:p>
    <w:p>
      <w:pPr>
        <w:spacing w:after="80" w:before="80" w:line="276"/>
        <w:jc w:val="both"/>
      </w:pPr>
      <w:r>
        <w:rPr>
          <w:rFonts w:ascii="Arial" w:cs="Arial" w:eastAsia="Arial" w:hAnsi="Arial"/>
          <w:sz w:val="20"/>
          <w:szCs w:val="20"/>
        </w:rPr>
        <w:t xml:space="preserve">A Calculadora v3 salva automaticamente o estado da sessão no armazenamento local do navegador (localStorage) a cada alteração. Ao recarregar a página, o sistema restaura o preenchimento anterior. Para iniciar um novo processo, use a opção de limpar a sessão disponível na interface.</w:t>
      </w:r>
    </w:p>
    <w:p>
      <w:pPr>
        <w:pStyle w:val="Heading2"/>
      </w:pPr>
      <w:r>
        <w:rPr>
          <w:rFonts w:ascii="Arial" w:cs="Arial" w:eastAsia="Arial" w:hAnsi="Arial"/>
          <w:b/>
          <w:bCs/>
          <w:color w:val="2E5090"/>
          <w:sz w:val="24"/>
          <w:szCs w:val="24"/>
        </w:rPr>
        <w:t xml:space="preserve">13.2 Barra de progresso e navegação por telas</w:t>
      </w:r>
    </w:p>
    <w:p>
      <w:pPr>
        <w:spacing w:after="80" w:before="80" w:line="276"/>
        <w:jc w:val="both"/>
      </w:pPr>
      <w:r>
        <w:rPr>
          <w:rFonts w:ascii="Arial" w:cs="Arial" w:eastAsia="Arial" w:hAnsi="Arial"/>
          <w:sz w:val="20"/>
          <w:szCs w:val="20"/>
        </w:rPr>
        <w:t xml:space="preserve">A interface exibe as doze etapas em uma barra de progresso no topo. O operador avança pelo botão "Próximo" ou retorna pelo botão "Anterior". Algumas telas bloqueiam o avanço até que campos obrigatórios sejam preenchidos — a confirmação do art. 132 na Identificação e a seleção de artigo/inciso na Classificação.</w:t>
      </w:r>
    </w:p>
    <w:p>
      <w:pPr>
        <w:pStyle w:val="Heading2"/>
      </w:pPr>
      <w:r>
        <w:rPr>
          <w:rFonts w:ascii="Arial" w:cs="Arial" w:eastAsia="Arial" w:hAnsi="Arial"/>
          <w:b/>
          <w:bCs/>
          <w:color w:val="2E5090"/>
          <w:sz w:val="24"/>
          <w:szCs w:val="24"/>
        </w:rPr>
        <w:t xml:space="preserve">13.3 Campos de complementação facultativa</w:t>
      </w:r>
    </w:p>
    <w:p>
      <w:pPr>
        <w:spacing w:after="80" w:before="80" w:line="276"/>
        <w:jc w:val="both"/>
      </w:pPr>
      <w:r>
        <w:rPr>
          <w:rFonts w:ascii="Arial" w:cs="Arial" w:eastAsia="Arial" w:hAnsi="Arial"/>
          <w:sz w:val="20"/>
          <w:szCs w:val="20"/>
        </w:rPr>
        <w:t xml:space="preserve">Cada subfator admite campo de complementação facultativa (máx. 500 caracteres) para registrar particularidades não capturadas pelas alternativas predefinidas. No relatório gerado, o conteúdo inserido pelo operador é diferenciado visualmente com borda dourada à esquerda e rótulo "Complementação do operador", permitindo verificar, em eventual impugnação, se o resultado sistemático foi mantido ou modificado.</w:t>
      </w:r>
    </w:p>
    <w:p>
      <w:pPr>
        <w:pStyle w:val="Heading2"/>
      </w:pPr>
      <w:r>
        <w:rPr>
          <w:rFonts w:ascii="Arial" w:cs="Arial" w:eastAsia="Arial" w:hAnsi="Arial"/>
          <w:b/>
          <w:bCs/>
          <w:color w:val="2E5090"/>
          <w:sz w:val="24"/>
          <w:szCs w:val="24"/>
        </w:rPr>
        <w:t xml:space="preserve">13.4 Sliders de intensidade</w:t>
      </w:r>
    </w:p>
    <w:p>
      <w:pPr>
        <w:spacing w:after="80" w:before="80" w:line="276"/>
        <w:jc w:val="both"/>
      </w:pPr>
      <w:r>
        <w:rPr>
          <w:rFonts w:ascii="Arial" w:cs="Arial" w:eastAsia="Arial" w:hAnsi="Arial"/>
          <w:sz w:val="20"/>
          <w:szCs w:val="20"/>
        </w:rPr>
        <w:t xml:space="preserve">Para circunstâncias e antecedentes, cada item marcado é acompanhado de um slider de intensidade com três posições — mínimo, padrão e máximo. O valor padrão é ponto de partida: o operador deve avaliar o grau de influência da circunstância ou antecedente no caso concreto e ajustar o slider com fundamentação no campo de complementação.</w:t>
      </w:r>
    </w:p>
    <w:p>
      <w:pPr>
        <w:pStyle w:val="Heading2"/>
      </w:pPr>
      <w:r>
        <w:rPr>
          <w:rFonts w:ascii="Arial" w:cs="Arial" w:eastAsia="Arial" w:hAnsi="Arial"/>
          <w:b/>
          <w:bCs/>
          <w:color w:val="2E5090"/>
          <w:sz w:val="24"/>
          <w:szCs w:val="24"/>
        </w:rPr>
        <w:t xml:space="preserve">13.5 Zona limítrofe</w:t>
      </w:r>
    </w:p>
    <w:p>
      <w:pPr>
        <w:spacing w:after="80" w:before="80" w:line="276"/>
        <w:jc w:val="both"/>
      </w:pPr>
      <w:r>
        <w:rPr>
          <w:rFonts w:ascii="Arial" w:cs="Arial" w:eastAsia="Arial" w:hAnsi="Arial"/>
          <w:sz w:val="20"/>
          <w:szCs w:val="20"/>
        </w:rPr>
        <w:t xml:space="preserve">No Regime Geral, o ponto 30 separa a advertência da suspensão (faixa de alerta: 27–33 pontos). Há também zona limítrofe para elegibilidade do TAC: suspensões na faixa de 57–63 pontos separam o TAC viável (suspensão de até 30 dias) do inviável (acima de 30 dias). Em ambas as zonas, o sistema exibe alerta recomendando revisão colegiada.</w:t>
      </w:r>
    </w:p>
    <w:p>
      <w:pPr>
        <w:pStyle w:val="Heading2"/>
      </w:pPr>
      <w:r>
        <w:rPr>
          <w:rFonts w:ascii="Arial" w:cs="Arial" w:eastAsia="Arial" w:hAnsi="Arial"/>
          <w:b/>
          <w:bCs/>
          <w:color w:val="2E5090"/>
          <w:sz w:val="24"/>
          <w:szCs w:val="24"/>
        </w:rPr>
        <w:t xml:space="preserve">13.6 Exportação de documentos</w:t>
      </w:r>
    </w:p>
    <w:p>
      <w:pPr>
        <w:spacing w:after="80" w:before="80" w:line="276"/>
        <w:jc w:val="both"/>
      </w:pPr>
      <w:r>
        <w:rPr>
          <w:rFonts w:ascii="Arial" w:cs="Arial" w:eastAsia="Arial" w:hAnsi="Arial"/>
          <w:sz w:val="20"/>
          <w:szCs w:val="20"/>
        </w:rPr>
        <w:t xml:space="preserve">Na tela Relatório (Tela 11), o operador dispõe de três opções:</w:t>
      </w:r>
    </w:p>
    <w:p>
      <w:pPr>
        <w:pStyle w:val="ListParagraph"/>
        <w:numPr>
          <w:ilvl w:val="0"/>
          <w:numId w:val="2"/>
        </w:numPr>
        <w:spacing w:after="60" w:before="60" w:line="260"/>
      </w:pPr>
      <w:r>
        <w:rPr>
          <w:rFonts w:ascii="Arial" w:cs="Arial" w:eastAsia="Arial" w:hAnsi="Arial"/>
          <w:sz w:val="20"/>
          <w:szCs w:val="20"/>
        </w:rPr>
        <w:t xml:space="preserve">Gerar Relatório PDF: exporta o relatório técnico de fundamentação com identificação do processo, enquadramento legal, descrição de cada subfator, sliders ajustados, quadro-resumo da pontuação, memória de cálculo, resultado da segunda fase, análise das três camadas do TAC e referências legais.</w:t>
      </w:r>
    </w:p>
    <w:p>
      <w:pPr>
        <w:pStyle w:val="ListParagraph"/>
        <w:numPr>
          <w:ilvl w:val="0"/>
          <w:numId w:val="2"/>
        </w:numPr>
        <w:spacing w:after="60" w:before="60" w:line="260"/>
      </w:pPr>
      <w:r>
        <w:rPr>
          <w:rFonts w:ascii="Arial" w:cs="Arial" w:eastAsia="Arial" w:hAnsi="Arial"/>
          <w:sz w:val="20"/>
          <w:szCs w:val="20"/>
        </w:rPr>
        <w:t xml:space="preserve">Exportar JSON: exporta o estado completo da sessão para arquivamento junto ao processo e reprodução auditável do cálculo.</w:t>
      </w:r>
    </w:p>
    <w:p>
      <w:pPr>
        <w:pStyle w:val="ListParagraph"/>
        <w:numPr>
          <w:ilvl w:val="0"/>
          <w:numId w:val="2"/>
        </w:numPr>
        <w:spacing w:after="60" w:before="60" w:line="260"/>
      </w:pPr>
      <w:r>
        <w:rPr>
          <w:rFonts w:ascii="Arial" w:cs="Arial" w:eastAsia="Arial" w:hAnsi="Arial"/>
          <w:sz w:val="20"/>
          <w:szCs w:val="20"/>
        </w:rPr>
        <w:t xml:space="preserve">Gerar TAC: exporta o documento do TAC em HTML, contendo as obrigações selecionadas com descrições efetivas e formas de comprovação.</w:t>
      </w:r>
    </w:p>
    <w:p>
      <w:pPr>
        <w:pStyle w:val="Heading2"/>
      </w:pPr>
      <w:r>
        <w:t xml:space="preserve">13.7 Painel "Perfil da Conduta"</w:t>
      </w:r>
    </w:p>
    <w:p>
      <w:pPr>
        <w:pStyle w:val="Normal"/>
      </w:pPr>
      <w:r>
        <w:t xml:space="preserve">O painel Perfil da Conduta é exibido automaticamente na Tela 9, logo após o cartão de Penalidade Calculada e antes da Análise TAC. Seu objetivo é oferecer ao operador uma leitura analítica e visual da composição da pontuação, permitindo identificar quais elementos têm maior peso relativo antes de consolidar o resultado.</w:t>
      </w:r>
    </w:p>
    <w:p>
      <w:pPr>
        <w:pStyle w:val="Normal"/>
      </w:pPr>
      <w:r>
        <w:t xml:space="preserve">O painel é não editável e não bloqueante: não interfere no fluxo de navegação e não impede o prosseguimento.</w:t>
      </w:r>
    </w:p>
    <w:p>
      <w:pPr>
        <w:pStyle w:val="Normal"/>
      </w:pPr>
      <w:r>
        <w:t xml:space="preserve">O painel organiza-se em três blocos lado a lado:</w:t>
      </w:r>
    </w:p>
    <w:p>
      <w:pPr>
        <w:pStyle w:val="ListParagraph"/>
      </w:pPr>
      <w:r>
        <w:t xml:space="preserve">Bloco 1 — Tabela de composição (coluna esquerda, ~45% da largura): exibe, para cada elemento, a pontuação atribuída, o teto máximo, o percentual do teto atingido e o percentual de contribuição na Soma Total. O percentual do teto é codificado por cor: verde (≤ 40%), amarelo (41–70%) e vermelho (&gt; 70%). Circunstâncias e antecedentes negativos são exibidos em verde com sinal negativo. A linha final mostra a Soma Total e o máximo fixo de 90 pontos (Natureza 30 + Gravidade 30 + Dano 30). Os tetos individuais são: Natureza 30, Gravidade 30, Dano Material 20 e Dano Imaterial 20 (cap conjunto de 30).</w:t>
      </w:r>
    </w:p>
    <w:p>
      <w:pPr>
        <w:pStyle w:val="ListParagraph"/>
      </w:pPr>
      <w:r>
        <w:t xml:space="preserve">Bloco 2 — Gráfico de barras horizontais (coluna direita, parte superior): apresenta, para Natureza, Gravidade, Dano Material e Dano Imaterial, a porcentagem do teto individual atingida. As barras seguem o mesmo código de cor do Bloco 1.</w:t>
      </w:r>
    </w:p>
    <w:p>
      <w:pPr>
        <w:pStyle w:val="ListParagraph"/>
      </w:pPr>
      <w:r>
        <w:t xml:space="preserve">Bloco 3 — Gráfico de rosca (coluna direita, parte inferior): ilustra a composição proporcional da Soma Total por elemento. Elementos positivos são representados por fatias sólidas; moduladores negativos (atenuantes e bons antecedentes) por fatias semitransparentes com borda tracejada. A legenda ao lado identifica cada segmento com cor e valor absoluto.</w:t>
      </w:r>
    </w:p>
    <w:p>
      <w:pPr>
        <w:pStyle w:val="Normal"/>
      </w:pPr>
      <w:r>
        <w:t xml:space="preserve">O painel é incluído no relatório PDF como seção 6A, com tabela e gráficos SVG inline compatíveis com impressão.</w:t>
      </w:r>
    </w:p>
    <w:p>
      <w:pPr>
        <w:pStyle w:val="Heading2"/>
      </w:pPr>
      <w:r>
        <w:t xml:space="preserve">13.8 Painel "Pontos de Atenção Identificados"</w:t>
      </w:r>
    </w:p>
    <w:p>
      <w:pPr>
        <w:pStyle w:val="Normal"/>
      </w:pPr>
      <w:r>
        <w:t xml:space="preserve">O painel Pontos de Atenção Identificados é exibido na Tela 9, após o Perfil da Conduta e antes da Análise TAC. Sua função é detectar automaticamente tensões de consistência interna entre as respostas fornecidas pelo operador, sinalizando combinações que, embora formalmente possíveis, apresentam incompatibilidade jurídica ou fática relevante. O painel é estritamente não bloqueante: não impede o operador de prosseguir e não altera nenhum valor calculado.</w:t>
      </w:r>
    </w:p>
    <w:p>
      <w:pPr>
        <w:pStyle w:val="Normal"/>
      </w:pPr>
      <w:r>
        <w:t xml:space="preserve">Comportamento visual e interativo:</w:t>
      </w:r>
    </w:p>
    <w:p>
      <w:pPr>
        <w:pStyle w:val="ListParagraph"/>
      </w:pPr>
      <w:r>
        <w:t xml:space="preserve">Sem tensões detectadas: exibe apenas linha discreta em verde — "Nenhum ponto de atenção identificado. As respostas são internamente consistentes." — sem painel colapsável.</w:t>
      </w:r>
    </w:p>
    <w:p>
      <w:pPr>
        <w:pStyle w:val="ListParagraph"/>
      </w:pPr>
      <w:r>
        <w:t xml:space="preserve">Apenas tensões MÉDIA ou INFORMATIVA: painel colapsável exibido fechado, com contador de tensões e convite a expandir.</w:t>
      </w:r>
    </w:p>
    <w:p>
      <w:pPr>
        <w:pStyle w:val="ListParagraph"/>
      </w:pPr>
      <w:r>
        <w:t xml:space="preserve">Ao menos uma tensão ALTA: painel colapsável aberto automaticamente, cabeçalho em amarelo escuro.</w:t>
      </w:r>
    </w:p>
    <w:p>
      <w:pPr>
        <w:pStyle w:val="Normal"/>
      </w:pPr>
      <w:r>
        <w:t xml:space="preserve">Cada card de tensão exibe: identificador (ex.: T1), nível de intensidade, texto da mensagem e sugestão em itálico. Quando o operador tiver preenchido campos de complementação nos subfatores envolvidos, o texto é exibido abaixo do card sob o rótulo "Fundamentação do operador:", demonstrando que a tensão foi reconhecida e motivada expressamente.</w:t>
      </w:r>
    </w:p>
    <w:p>
      <w:pPr>
        <w:pStyle w:val="Normal"/>
      </w:pPr>
      <w:r>
        <w:t xml:space="preserve">Código visual de intensidade:</w:t>
      </w:r>
    </w:p>
    <w:p>
      <w:pPr>
        <w:pStyle w:val="ListParagraph"/>
      </w:pPr>
      <w:r>
        <w:t xml:space="preserve">ALTA — fundo amarelo escuro, borda esquerda vermelha, ícone ⚠. Indica combinação com forte incompatibilidade jurídica ou fática.</w:t>
      </w:r>
    </w:p>
    <w:p>
      <w:pPr>
        <w:pStyle w:val="ListParagraph"/>
      </w:pPr>
      <w:r>
        <w:t xml:space="preserve">MÉDIA — fundo amarelo claro, borda esquerda laranja, ícone ⚠. Indica combinação incomum que merece fundamentação expressa.</w:t>
      </w:r>
    </w:p>
    <w:p>
      <w:pPr>
        <w:pStyle w:val="ListParagraph"/>
      </w:pPr>
      <w:r>
        <w:t xml:space="preserve">INFORMATIVA — fundo azul claro, borda esquerda azul, ícone ℹ. Indica combinação possível que merece atenção adicional.</w:t>
      </w:r>
    </w:p>
    <w:p>
      <w:pPr>
        <w:pStyle w:val="Normal"/>
      </w:pPr>
      <w:r>
        <w:t xml:space="preserve">O painel é incluído no relatório PDF como seção 6B, com o mesmo conteúdo e incluindo as complementações do operador quando presentes.</w:t>
      </w:r>
    </w:p>
    <w:p>
      <w:pPr>
        <w:pStyle w:val="Normal"/>
      </w:pPr>
      <w:r>
        <w:t xml:space="preserve">Regras de detecção implementadas (T1 a T14):</w:t>
      </w:r>
    </w:p>
    <w:p>
      <w:pPr>
        <w:pStyle w:val="ListParagraph"/>
      </w:pPr>
      <w:r>
        <w:t xml:space="preserve">T1 (ALTA): SF1.1 = dolo direto (val 20) ou especial fim de agir (val 22) E SF1.2 = 0 (ausência total de referência normativa ou informal). O dolo direto pressupõe conhecimento suficiente da situação — ausência de qualquer orientação é incompatível com essa gradação na quase totalidade dos casos práticos. Sugestão: rever SF1.1 ou SF1.2 e fundamentar no campo de complementação.</w:t>
      </w:r>
    </w:p>
    <w:p>
      <w:pPr>
        <w:pStyle w:val="ListParagraph"/>
      </w:pPr>
      <w:r>
        <w:t xml:space="preserve">T2 (MÉDIA): SF1.1 = dolo direto (val 20) ou especial fim de agir (val 22) E SF1.2 = 1 (apenas informação informal). Informação apenas informal é base frágil para sustentar o dolo direto. Sugestão: rever SF1.1 ou SF1.2 e fundamentar no campo de complementação.</w:t>
      </w:r>
    </w:p>
    <w:p>
      <w:pPr>
        <w:pStyle w:val="ListParagraph"/>
      </w:pPr>
      <w:r>
        <w:t xml:space="preserve">T3 (MÉDIA): SF1.1 = culpa leve grau 1 (val 2) E SF1.2 = 8 (capacitação específica documentada). A capacitação documentada sobre exatamente esta conduta eleva o dever de cuidado exigível, tendendo a afastar a gradação mínima da culpa leve. Sugestão: rever SF1.1 e fundamentar por que o treinamento não elevou o padrão de cuidado.</w:t>
      </w:r>
    </w:p>
    <w:p>
      <w:pPr>
        <w:pStyle w:val="ListParagraph"/>
      </w:pPr>
      <w:r>
        <w:t xml:space="preserve">T4 (INFORMATIVA): SF1.1 = culpa leve grau 2 (val 5) ou grau 3 (val 8) E SF1.2 = 8 (capacitação específica documentada). Combinação possível, mas capacitação específica tende a elevar o elemento subjetivo ao menos para culpa grave. Sugestão: verificar se o caso concreto justifica manter culpa leve e registrar a razão.</w:t>
      </w:r>
    </w:p>
    <w:p>
      <w:pPr>
        <w:pStyle w:val="ListParagraph"/>
      </w:pPr>
      <w:r>
        <w:t xml:space="preserve">T5 (ALTA): SF1.1 = culpa leve grau 1 (val 2) E SF2.2 = infração continuada superior a 6 meses (val 15). Conduta que persiste por mais de seis meses é incompatível com a menor gradação da culpa leve — a persistência temporal afasta o caráter de equívoco esporádico. Sugestão: rever SF1.1 ou SF2.2.</w:t>
      </w:r>
    </w:p>
    <w:p>
      <w:pPr>
        <w:pStyle w:val="ListParagraph"/>
      </w:pPr>
      <w:r>
        <w:t xml:space="preserve">T6 (MÉDIA): SF1.1 = culpa leve grau 1 (val 2) E SF2.2 = infração reiterada com 4 ou mais episódios ou período superior a 3 meses (val 10). A reiteração é de difícil conciliação com a menor gradação da culpa leve. Sugestão: rever SF1.1 ou SF2.2 e fundamentar.</w:t>
      </w:r>
    </w:p>
    <w:p>
      <w:pPr>
        <w:pStyle w:val="ListParagraph"/>
      </w:pPr>
      <w:r>
        <w:t xml:space="preserve">T7 (MÉDIA): SF1.1 = culpa leve grau 1 (val 2) E SF2.2 = infração continuada até 6 meses (val 11). A continuidade da conduta tende a afastar a menor gradação da culpa leve. Sugestão: rever SF1.1 ou SF2.2 e fundamentar.</w:t>
      </w:r>
    </w:p>
    <w:p>
      <w:pPr>
        <w:pStyle w:val="ListParagraph"/>
      </w:pPr>
      <w:r>
        <w:t xml:space="preserve">T8 (MÉDIA): SF1.1 = culpa leve grau 1 (val 2) E SF2.1 = alta proteção institucional (vals 11, 13 ou 15 — regularidade formal de procedimentos fiscais, isonomia tributária, sigilo fiscal ou segurança de sistemas). Bens jurídicos nucleares da missão da RFB exigem atenção redobrada. Sugestão: verificar se o caso concreto justifica manter a gradação mínima da culpa leve.</w:t>
      </w:r>
    </w:p>
    <w:p>
      <w:pPr>
        <w:pStyle w:val="ListParagraph"/>
      </w:pPr>
      <w:r>
        <w:t xml:space="preserve">T9 (MÉDIA): SF3B.4a = 12 (divulgação ampla ou utilização indevida de dados sigilosos de contribuintes) E SF1.1 = culpa leve grau 1 (val 2). A gravidade objetiva do resultado — grau máximo de comprometimento do sigilo fiscal — tende a indicar ao menos culpa grave. Sugestão: fundamentar no campo de complementação de SF1.1.</w:t>
      </w:r>
    </w:p>
    <w:p>
      <w:pPr>
        <w:pStyle w:val="ListParagraph"/>
      </w:pPr>
      <w:r>
        <w:t xml:space="preserve">T10 (MÉDIA): SF3B.4b = 12 (comprometimento grave e documentado do processo tributário) E SF1.1 = culpa leve grau 1 (val 2). A gravidade objetiva do resultado tende a indicar ao menos culpa grave. Sugestão: fundamentar no campo de complementação de SF1.1.</w:t>
      </w:r>
    </w:p>
    <w:p>
      <w:pPr>
        <w:pStyle w:val="ListParagraph"/>
      </w:pPr>
      <w:r>
        <w:t xml:space="preserve">T11 (ALTA): Agravante ag1 marcada (capacitação específica documentada na área da infração) E SF1.1 = culpa leve grau 1 (val 2). A agravante implica que o servidor detinha conhecimento especializado, mas o elemento subjetivo foi graduado no mínimo da culpa leve — risco de dupla valoração em sentidos conflitantes: a capacitação agrava na Tela 6 e deveria ter elevado o dever de cuidado na Tela 2. Sugestão: rever SF1.1 ou fundamentar expressamente.</w:t>
      </w:r>
    </w:p>
    <w:p>
      <w:pPr>
        <w:pStyle w:val="ListParagraph"/>
      </w:pPr>
      <w:r>
        <w:t xml:space="preserve">T12 (MÉDIA): Agravante ag7 marcada (experiência pretérita em cargo de chefia em área correlata) E SF1.1 = culpa leve grau 1 (val 2). Trajetória de gestão em área correlata eleva o padrão de cuidado exigível — difícil conciliação com a menor gradação da culpa leve. Sugestão: rever SF1.1 e fundamentar.</w:t>
      </w:r>
    </w:p>
    <w:p>
      <w:pPr>
        <w:pStyle w:val="ListParagraph"/>
      </w:pPr>
      <w:r>
        <w:t xml:space="preserve">T14 (MÉDIA): Soma Total ≤ 10 pontos E (Dano Material ≥ 12 pts OU Dano Imaterial ≥ 15 pts). Soma Total muito baixa com dano elevado pode indicar subavaliação dos elementos de Natureza e/ou Gravidade em relação ao resultado produzido. Sugestão: revisar Natureza e Gravidade à luz do dano apurado.</w:t>
      </w:r>
    </w:p>
    <w:p>
      <w:pPr>
        <w:pStyle w:val="Heading1"/>
      </w:pPr>
      <w:r>
        <w:rPr>
          <w:rFonts w:ascii="Arial" w:cs="Arial" w:eastAsia="Arial" w:hAnsi="Arial"/>
          <w:b/>
          <w:bCs/>
          <w:color w:val="1F3864"/>
          <w:sz w:val="28"/>
          <w:szCs w:val="28"/>
        </w:rPr>
        <w:t xml:space="preserve">14. Fluxo Operacional Passo a Passo</w:t>
      </w:r>
    </w:p>
    <w:p>
      <w:pPr>
        <w:spacing w:after="80" w:before="80" w:line="276"/>
        <w:jc w:val="both"/>
      </w:pPr>
      <w:r>
        <w:rPr>
          <w:rFonts w:ascii="Arial" w:cs="Arial" w:eastAsia="Arial" w:hAnsi="Arial"/>
          <w:sz w:val="20"/>
          <w:szCs w:val="20"/>
        </w:rPr>
        <w:t xml:space="preserve">A seguir, o percurso completo nas doze telas da Calculadora v3.</w:t>
      </w:r>
    </w:p>
    <w:p>
      <w:pPr>
        <w:pStyle w:val="Heading2"/>
      </w:pPr>
      <w:r>
        <w:rPr>
          <w:rFonts w:ascii="Arial" w:cs="Arial" w:eastAsia="Arial" w:hAnsi="Arial"/>
          <w:b/>
          <w:bCs/>
          <w:color w:val="2E5090"/>
          <w:sz w:val="24"/>
          <w:szCs w:val="24"/>
        </w:rPr>
        <w:t xml:space="preserve">Tela 0 — Identificação</w:t>
      </w:r>
    </w:p>
    <w:p>
      <w:pPr>
        <w:spacing w:after="80" w:before="80" w:line="276"/>
        <w:jc w:val="both"/>
      </w:pPr>
      <w:r>
        <w:rPr>
          <w:rFonts w:ascii="Arial" w:cs="Arial" w:eastAsia="Arial" w:hAnsi="Arial"/>
          <w:sz w:val="20"/>
          <w:szCs w:val="20"/>
        </w:rPr>
        <w:t xml:space="preserve">Preencher: Número do Processo, Nome do Servidor, Matrícula, Cargo, Unidade e Data do Ilícito. Marcar expressamente que a conduta apurada não é punível com pena capital do art. 132. Sem essa confirmação, o sistema bloqueia o avanço. Boa prática: verificar a inaplicabilidade do art. 132 antes de iniciar o preenchimento.</w:t>
      </w:r>
    </w:p>
    <w:p>
      <w:pPr>
        <w:pStyle w:val="Heading2"/>
      </w:pPr>
      <w:r>
        <w:rPr>
          <w:rFonts w:ascii="Arial" w:cs="Arial" w:eastAsia="Arial" w:hAnsi="Arial"/>
          <w:b/>
          <w:bCs/>
          <w:color w:val="2E5090"/>
          <w:sz w:val="24"/>
          <w:szCs w:val="24"/>
        </w:rPr>
        <w:t xml:space="preserve">Tela 1 — Classificação</w:t>
      </w:r>
    </w:p>
    <w:p>
      <w:pPr>
        <w:spacing w:after="80" w:before="80" w:line="276"/>
        <w:jc w:val="both"/>
      </w:pPr>
      <w:r>
        <w:rPr>
          <w:rFonts w:ascii="Arial" w:cs="Arial" w:eastAsia="Arial" w:hAnsi="Arial"/>
          <w:sz w:val="20"/>
          <w:szCs w:val="20"/>
        </w:rPr>
        <w:t>Selecionar o regime: A — Regime Geral; B — Regime RE1; C — Regime RE2; D — Regime RE3; E — Concurso Material de Infrações. Abrir o modal de Enquadramento Legal e selecionar o(s) artigo(s) e inciso(s) específicos violados. O sistema organiza os dispositivos por artigo (116, 117, 130 ou 32 da LAI). A seleção é obrigatória para prosseguir. Em caso de Concurso, o enquadramento é preenchido individualmente em cada ciclo.</w:t>
      </w:r>
    </w:p>
    <w:p>
      <w:pPr>
        <w:pStyle w:val="Heading2"/>
      </w:pPr>
      <w:r>
        <w:rPr>
          <w:rFonts w:ascii="Arial" w:cs="Arial" w:eastAsia="Arial" w:hAnsi="Arial"/>
          <w:b/>
          <w:bCs/>
          <w:color w:val="2E5090"/>
          <w:sz w:val="24"/>
          <w:szCs w:val="24"/>
        </w:rPr>
        <w:t xml:space="preserve">Tela 2 — Natureza</w:t>
      </w:r>
    </w:p>
    <w:p>
      <w:pPr>
        <w:spacing w:after="80" w:before="80" w:line="276"/>
        <w:jc w:val="both"/>
      </w:pPr>
      <w:r>
        <w:rPr>
          <w:rFonts w:ascii="Arial" w:cs="Arial" w:eastAsia="Arial" w:hAnsi="Arial"/>
          <w:sz w:val="20"/>
          <w:szCs w:val="20"/>
        </w:rPr>
        <w:t>Responder ao SF1.1 navegando pela árvore de decisão: culpa leve (3 graus: 2/5/8 pts), culpa grave (3 graus: 10/13/16 pts) ou dolo (eventual: 17 pts, direto: 20 pts, especial fim de agir: 22 pts). O refinamento da modalidade dolosa está integrado no próprio SF1.1. Responder ao SF1.2 (0–8 pts) percorrendo os quatro ramos mutuamente exclusivos: (A) sem norma/orientação/capacitação — com ou sem informação informal (0–1 pts); (B) norma sem orientação formal nem capacitação (2–3 pts); (C) norma com orientação institucional formal, sem capacitação (4–5 pts); (D) norma, orientação e capacitação documentada (6–8 pts). Complementar os campos livres sempre que as alternativas não captarem a situação fática com precisão.</w:t>
      </w:r>
    </w:p>
    <w:p>
      <w:pPr>
        <w:pStyle w:val="Heading2"/>
      </w:pPr>
      <w:r>
        <w:rPr>
          <w:rFonts w:ascii="Arial" w:cs="Arial" w:eastAsia="Arial" w:hAnsi="Arial"/>
          <w:b/>
          <w:bCs/>
          <w:color w:val="2E5090"/>
          <w:sz w:val="24"/>
          <w:szCs w:val="24"/>
        </w:rPr>
        <w:t xml:space="preserve">Tela 3 — Gravidade</w:t>
      </w:r>
    </w:p>
    <w:p>
      <w:pPr>
        <w:spacing w:after="80" w:before="80" w:line="276"/>
        <w:jc w:val="both"/>
      </w:pPr>
      <w:r>
        <w:rPr>
          <w:rFonts w:ascii="Arial" w:cs="Arial" w:eastAsia="Arial" w:hAnsi="Arial"/>
          <w:sz w:val="20"/>
          <w:szCs w:val="20"/>
        </w:rPr>
        <w:t>Avaliar SF2.1 (hierarquia do bem jurídico em abstrato — não o dano concreto, 1–15 pts), SF2.2 (caráter temporal — isolada/reiterada/continuada, 1–15 pts; a reiteração considera a mesma infração cometida mais de uma vez) e SF2.3 (concurso formal de dispositivos — 0 ou 15 pts). Atentar para a distinção metodológica entre SF2.1 e os subfatores de dano imaterial.</w:t>
      </w:r>
    </w:p>
    <w:p>
      <w:pPr>
        <w:pStyle w:val="Heading2"/>
      </w:pPr>
      <w:r>
        <w:rPr>
          <w:rFonts w:ascii="Arial" w:cs="Arial" w:eastAsia="Arial" w:hAnsi="Arial"/>
          <w:b/>
          <w:bCs/>
          <w:color w:val="2E5090"/>
          <w:sz w:val="24"/>
          <w:szCs w:val="24"/>
        </w:rPr>
        <w:t xml:space="preserve">Tela 4 — Dano Material</w:t>
      </w:r>
    </w:p>
    <w:p>
      <w:pPr>
        <w:spacing w:after="80" w:before="80" w:line="276"/>
        <w:jc w:val="both"/>
      </w:pPr>
      <w:r>
        <w:rPr>
          <w:rFonts w:ascii="Arial" w:cs="Arial" w:eastAsia="Arial" w:hAnsi="Arial"/>
          <w:sz w:val="20"/>
          <w:szCs w:val="20"/>
        </w:rPr>
        <w:t xml:space="preserve">Percorrer a árvore: (1) existência do dano material efetivo; (2) extensão relativa — baixa (&lt;5%), média (5–25%) ou alta (&gt;25%) em relação ao referencial orçamentário ou contratual; (3) reversibilidade — ressarcimento integral, parcial ou ausente. Informar se houve ressarcimento: essa informação alimenta automaticamente a Camada 2 do TAC. Boa prática: anotar a fundamentação probatória no campo de complementação — não presumir dano.</w:t>
      </w:r>
    </w:p>
    <w:p>
      <w:pPr>
        <w:pStyle w:val="Heading2"/>
      </w:pPr>
      <w:r>
        <w:rPr>
          <w:rFonts w:ascii="Arial" w:cs="Arial" w:eastAsia="Arial" w:hAnsi="Arial"/>
          <w:b/>
          <w:bCs/>
          <w:color w:val="2E5090"/>
          <w:sz w:val="24"/>
          <w:szCs w:val="24"/>
        </w:rPr>
        <w:t xml:space="preserve">Tela 5 — Dano Imaterial</w:t>
      </w:r>
    </w:p>
    <w:p>
      <w:pPr>
        <w:spacing w:after="80" w:before="80" w:line="276"/>
        <w:jc w:val="both"/>
      </w:pPr>
      <w:r>
        <w:rPr>
          <w:rFonts w:ascii="Arial" w:cs="Arial" w:eastAsia="Arial" w:hAnsi="Arial"/>
          <w:sz w:val="20"/>
          <w:szCs w:val="20"/>
        </w:rPr>
        <w:t>Avaliar os cinco subfatores independentemente: SF3B.1 (credibilidade — 0–10 pts: sem repercussão perceptível, interna, regional, ampla); SF3B.2 (regularidade do serviço — 0–6 pts); SF3B.3 (impacto sobre contribuintes e terceiros — 0–6 pts); SF3B.4a (comprometimento concreto do sigilo fiscal — 0–12 pts: se dados foram efetivamente expostos); SF3B.4b (comprometimento concreto de fiscalização/lançamento — 0–12 pts). SF3B.4a e SF3B.4b avaliam o impacto concreto, não a hierarquia abstrata da norma.</w:t>
      </w:r>
    </w:p>
    <w:p>
      <w:pPr>
        <w:pStyle w:val="Heading2"/>
      </w:pPr>
      <w:r>
        <w:rPr>
          <w:rFonts w:ascii="Arial" w:cs="Arial" w:eastAsia="Arial" w:hAnsi="Arial"/>
          <w:b/>
          <w:bCs/>
          <w:color w:val="2E5090"/>
          <w:sz w:val="24"/>
          <w:szCs w:val="24"/>
        </w:rPr>
        <w:t xml:space="preserve">Tela 6 — Circunstâncias</w:t>
      </w:r>
    </w:p>
    <w:p>
      <w:pPr>
        <w:spacing w:after="80" w:before="80" w:line="276"/>
        <w:jc w:val="both"/>
      </w:pPr>
      <w:r>
        <w:rPr>
          <w:rFonts w:ascii="Arial" w:cs="Arial" w:eastAsia="Arial" w:hAnsi="Arial"/>
          <w:sz w:val="20"/>
          <w:szCs w:val="20"/>
        </w:rPr>
        <w:t xml:space="preserve">Marcar agravantes e atenuantes apenas quando efetivamente comprovadas nos autos. Para cada item marcado, ajustar o slider de intensidade (mínimo, padrão ou máximo) à medida do caso concreto. Lembrar que o alto dano já valorado no Elemento 3 não pode ser reaproveitado como agravante. Boa prática: para cada item marcado, usar o campo de complementação para indicar a prova que o sustenta e a razão do slider ajustado.</w:t>
      </w:r>
    </w:p>
    <w:p>
      <w:pPr>
        <w:pStyle w:val="Heading2"/>
      </w:pPr>
      <w:r>
        <w:rPr>
          <w:rFonts w:ascii="Arial" w:cs="Arial" w:eastAsia="Arial" w:hAnsi="Arial"/>
          <w:b/>
          <w:bCs/>
          <w:color w:val="2E5090"/>
          <w:sz w:val="24"/>
          <w:szCs w:val="24"/>
        </w:rPr>
        <w:t xml:space="preserve">Tela 7 — Antecedentes</w:t>
      </w:r>
    </w:p>
    <w:p>
      <w:pPr>
        <w:spacing w:after="80" w:before="80" w:line="276"/>
        <w:jc w:val="both"/>
      </w:pPr>
      <w:r>
        <w:rPr>
          <w:rFonts w:ascii="Arial" w:cs="Arial" w:eastAsia="Arial" w:hAnsi="Arial"/>
          <w:sz w:val="20"/>
          <w:szCs w:val="20"/>
        </w:rPr>
        <w:t xml:space="preserve">Verificar os assentamentos funcionais do servidor. Marcar bons antecedentes (ba1–ba5, reduzem a pontuação) e maus antecedentes (ma1–ma4, aumentam a pontuação), ajustando os sliders de intensidade. Observar que o mesmo registro não pode configurar simultaneamente reincidência e mau antecedente (ma3).</w:t>
      </w:r>
    </w:p>
    <w:p>
      <w:pPr>
        <w:pStyle w:val="Heading2"/>
      </w:pPr>
      <w:r>
        <w:rPr>
          <w:rFonts w:ascii="Arial" w:cs="Arial" w:eastAsia="Arial" w:hAnsi="Arial"/>
          <w:b/>
          <w:bCs/>
          <w:color w:val="2E5090"/>
          <w:sz w:val="24"/>
          <w:szCs w:val="24"/>
        </w:rPr>
        <w:t xml:space="preserve">Tela 8 — Dados TAC</w:t>
      </w:r>
    </w:p>
    <w:p>
      <w:pPr>
        <w:spacing w:after="80" w:before="80" w:line="276"/>
        <w:jc w:val="both"/>
      </w:pPr>
      <w:r>
        <w:rPr>
          <w:rFonts w:ascii="Arial" w:cs="Arial" w:eastAsia="Arial" w:hAnsi="Arial"/>
          <w:sz w:val="20"/>
          <w:szCs w:val="20"/>
        </w:rPr>
        <w:t xml:space="preserve">Responder às perguntas que alimentam as três camadas de elegibilidade: (i) o servidor é ocupante de cargo efetivo?; (ii) há registro vigente de penalidade disciplinar (advertência &lt; 3 anos ou suspensão &lt; 5 anos)?; (iii) o servidor firmou TAC nos últimos 2 anos?; (iv) o servidor ressarciu o dano ou formalizou compromisso de ressarcimento?</w:t>
      </w:r>
    </w:p>
    <w:p>
      <w:pPr>
        <w:pStyle w:val="Heading2"/>
      </w:pPr>
      <w:r>
        <w:rPr>
          <w:rFonts w:ascii="Arial" w:cs="Arial" w:eastAsia="Arial" w:hAnsi="Arial"/>
          <w:b/>
          <w:bCs/>
          <w:color w:val="2E5090"/>
          <w:sz w:val="24"/>
          <w:szCs w:val="24"/>
        </w:rPr>
        <w:t xml:space="preserve">Tela 9 — Resultado</w:t>
      </w:r>
    </w:p>
    <w:p>
      <w:pPr>
        <w:spacing w:after="80" w:before="80" w:line="276"/>
        <w:jc w:val="both"/>
      </w:pPr>
      <w:r>
        <w:rPr>
          <w:rFonts w:ascii="Arial" w:cs="Arial" w:eastAsia="Arial" w:hAnsi="Arial"/>
          <w:sz w:val="20"/>
          <w:szCs w:val="20"/>
        </w:rPr>
        <w:t>Verificar a Soma Total calculada e o painel de conversão por regime. Se a Soma Total situar-se na zona limítrofe, o sistema emite alerta de revisão colegiada. Responder à pergunta sobre reincidência, cujo efeito conversor é exibido imediatamente. Após a Penalidade Calculada: (a) o painel Perfil da Conduta (§13.7) exibe a composição analítica e visual da pontuação; (b) o painel Pontos de Atenção Identificados (§13.8) sinaliza eventuais tensões de consistência interna entre as respostas. O painel Análise TAC indica a viabilidade por camadas, com mensagens contextuais diferenciadas para cada motivo de inviabilidade. O botão "Prosseguir" leva à revisão das obrigações (TAC viável) ou diretamente ao Relatório (TAC inviável).</w:t>
      </w:r>
    </w:p>
    <w:p>
      <w:pPr>
        <w:pStyle w:val="Heading2"/>
      </w:pPr>
      <w:r>
        <w:rPr>
          <w:rFonts w:ascii="Arial" w:cs="Arial" w:eastAsia="Arial" w:hAnsi="Arial"/>
          <w:b/>
          <w:bCs/>
          <w:color w:val="2E5090"/>
          <w:sz w:val="24"/>
          <w:szCs w:val="24"/>
        </w:rPr>
        <w:t xml:space="preserve">Tela 10 — Revisão TAC</w:t>
      </w:r>
    </w:p>
    <w:p>
      <w:pPr>
        <w:spacing w:after="80" w:before="80" w:line="276"/>
        <w:jc w:val="both"/>
      </w:pPr>
      <w:r>
        <w:rPr>
          <w:rFonts w:ascii="Arial" w:cs="Arial" w:eastAsia="Arial" w:hAnsi="Arial"/>
          <w:sz w:val="20"/>
          <w:szCs w:val="20"/>
        </w:rPr>
        <w:t xml:space="preserve">Se o TAC for viável até a Camada 2, revisar as obrigações sugeridas pelo sistema com base na faixa de proporcionalidade (Leve, Leve-Média ou Limite). Para cada obrigação selecionada, preencher obrigatoriamente: (a) Obrigação Efetiva — descrição concreta e específica para este caso; e (b) Forma de Comprovação — como o cumprimento será atestado. Ajustar os prazos individuais (máx. 24 meses cada; vigência total = maior prazo individual).</w:t>
      </w:r>
    </w:p>
    <w:p>
      <w:pPr>
        <w:pStyle w:val="Heading2"/>
      </w:pPr>
      <w:r>
        <w:rPr>
          <w:rFonts w:ascii="Arial" w:cs="Arial" w:eastAsia="Arial" w:hAnsi="Arial"/>
          <w:b/>
          <w:bCs/>
          <w:color w:val="2E5090"/>
          <w:sz w:val="24"/>
          <w:szCs w:val="24"/>
        </w:rPr>
        <w:t xml:space="preserve">Tela 11 — Relatório</w:t>
      </w:r>
    </w:p>
    <w:p>
      <w:pPr>
        <w:spacing w:after="80" w:before="80" w:line="276"/>
        <w:jc w:val="both"/>
      </w:pPr>
      <w:r>
        <w:rPr>
          <w:rFonts w:ascii="Arial" w:cs="Arial" w:eastAsia="Arial" w:hAnsi="Arial"/>
          <w:sz w:val="20"/>
          <w:szCs w:val="20"/>
        </w:rPr>
        <w:t xml:space="preserve">Revisar o relatório de fundamentação gerado automaticamente. O conteúdo inserido pelo operador aparece com borda dourada à esquerda. Exportar o relatório em PDF para instrução do processo. Exportar o JSON para arquivamento e auditoria. Se o TAC foi concluído, gerar o documento de TAC em HTML.</w:t>
      </w:r>
    </w:p>
    <w:p>
      <w:pPr>
        <w:pStyle w:val="Heading1"/>
      </w:pPr>
      <w:r>
        <w:rPr>
          <w:rFonts w:ascii="Arial" w:cs="Arial" w:eastAsia="Arial" w:hAnsi="Arial"/>
          <w:b/>
          <w:bCs/>
          <w:color w:val="1F3864"/>
          <w:sz w:val="28"/>
          <w:szCs w:val="28"/>
        </w:rPr>
        <w:t xml:space="preserve">15. Relatório de Fundamentação</w:t>
      </w:r>
    </w:p>
    <w:p>
      <w:pPr>
        <w:pStyle w:val="Heading2"/>
      </w:pPr>
      <w:r>
        <w:rPr>
          <w:rFonts w:ascii="Arial" w:cs="Arial" w:eastAsia="Arial" w:hAnsi="Arial"/>
          <w:b/>
          <w:bCs/>
          <w:color w:val="2E5090"/>
          <w:sz w:val="24"/>
          <w:szCs w:val="24"/>
        </w:rPr>
        <w:t xml:space="preserve">15.1 Conteúdo</w:t>
      </w:r>
    </w:p>
    <w:p>
      <w:pPr>
        <w:pStyle w:val="ListParagraph"/>
        <w:numPr>
          <w:ilvl w:val="0"/>
          <w:numId w:val="2"/>
        </w:numPr>
        <w:spacing w:after="60" w:before="60" w:line="260"/>
      </w:pPr>
      <w:r>
        <w:rPr>
          <w:rFonts w:ascii="Arial" w:cs="Arial" w:eastAsia="Arial" w:hAnsi="Arial"/>
          <w:sz w:val="20"/>
          <w:szCs w:val="20"/>
        </w:rPr>
        <w:t xml:space="preserve">Identificação do processo, do servidor e do regime aplicável.</w:t>
      </w:r>
    </w:p>
    <w:p>
      <w:pPr>
        <w:pStyle w:val="ListParagraph"/>
        <w:numPr>
          <w:ilvl w:val="0"/>
          <w:numId w:val="2"/>
        </w:numPr>
        <w:spacing w:after="60" w:before="60" w:line="260"/>
      </w:pPr>
      <w:r>
        <w:rPr>
          <w:rFonts w:ascii="Arial" w:cs="Arial" w:eastAsia="Arial" w:hAnsi="Arial"/>
          <w:sz w:val="20"/>
          <w:szCs w:val="20"/>
        </w:rPr>
        <w:t xml:space="preserve">Enquadramento legal com indicação do artigo e inciso específico violado.</w:t>
      </w:r>
    </w:p>
    <w:p>
      <w:pPr>
        <w:pStyle w:val="ListParagraph"/>
        <w:numPr>
          <w:ilvl w:val="0"/>
          <w:numId w:val="2"/>
        </w:numPr>
        <w:spacing w:after="60" w:before="60" w:line="260"/>
      </w:pPr>
      <w:r>
        <w:rPr>
          <w:rFonts w:ascii="Arial" w:cs="Arial" w:eastAsia="Arial" w:hAnsi="Arial"/>
          <w:sz w:val="20"/>
          <w:szCs w:val="20"/>
        </w:rPr>
        <w:t xml:space="preserve">Descrição de cada subfator com a alternativa selecionada, o slider ajustado e o respectivo fundamento legal, em linguagem corrente.</w:t>
      </w:r>
    </w:p>
    <w:p>
      <w:pPr>
        <w:pStyle w:val="ListParagraph"/>
        <w:numPr>
          <w:ilvl w:val="0"/>
          <w:numId w:val="2"/>
        </w:numPr>
        <w:spacing w:after="60" w:before="60" w:line="260"/>
      </w:pPr>
      <w:r>
        <w:rPr>
          <w:rFonts w:ascii="Arial" w:cs="Arial" w:eastAsia="Arial" w:hAnsi="Arial"/>
          <w:sz w:val="20"/>
          <w:szCs w:val="20"/>
        </w:rPr>
        <w:t xml:space="preserve">Quadro-resumo da pontuação por elemento e Soma Total; memória de cálculo da conversão por regime.</w:t>
      </w:r>
    </w:p>
    <w:p>
      <w:pPr>
        <w:pStyle w:val="ListParagraph"/>
      </w:pPr>
      <w:r>
        <w:t xml:space="preserve">Perfil da Conduta (seção 6A): tabela de composição com percentuais de teto e de Soma Total por elemento; gráfico de barras de ocupação de teto; gráfico de rosca da composição proporcional. Tudo em SVG inline compatível com impressão PDF.</w:t>
      </w:r>
    </w:p>
    <w:p>
      <w:pPr>
        <w:pStyle w:val="ListParagraph"/>
      </w:pPr>
      <w:r>
        <w:t xml:space="preserve">Pontos de Atenção Identificados (seção 6B): lista das tensões de consistência interna efetivamente detectadas, com identificador, intensidade, mensagem e sugestão. As complementações do operador nos subfatores envolvidos são incluídas sob o rótulo "Fundamentação do operador:" quando presentes. Se nenhuma tensão for detectada, a seção registra: "Consistência interna verificada: nenhum ponto de atenção identificado."</w:t>
      </w:r>
    </w:p>
    <w:p>
      <w:pPr>
        <w:pStyle w:val="ListParagraph"/>
        <w:numPr>
          <w:ilvl w:val="0"/>
          <w:numId w:val="2"/>
        </w:numPr>
        <w:spacing w:after="60" w:before="60" w:line="260"/>
      </w:pPr>
      <w:r>
        <w:rPr>
          <w:rFonts w:ascii="Arial" w:cs="Arial" w:eastAsia="Arial" w:hAnsi="Arial"/>
          <w:sz w:val="20"/>
          <w:szCs w:val="20"/>
        </w:rPr>
        <w:t xml:space="preserve">Resultado da segunda fase e efeito da reincidência, quando aplicável.</w:t>
      </w:r>
    </w:p>
    <w:p>
      <w:pPr>
        <w:pStyle w:val="ListParagraph"/>
        <w:numPr>
          <w:ilvl w:val="0"/>
          <w:numId w:val="2"/>
        </w:numPr>
        <w:spacing w:after="60" w:before="60" w:line="260"/>
      </w:pPr>
      <w:r>
        <w:rPr>
          <w:rFonts w:ascii="Arial" w:cs="Arial" w:eastAsia="Arial" w:hAnsi="Arial"/>
          <w:sz w:val="20"/>
          <w:szCs w:val="20"/>
        </w:rPr>
        <w:t xml:space="preserve">Análise linha a linha das três camadas de admissibilidade do TAC; obrigações confirmadas com prazos e vigência máxima.</w:t>
      </w:r>
    </w:p>
    <w:p>
      <w:pPr>
        <w:pStyle w:val="ListParagraph"/>
        <w:numPr>
          <w:ilvl w:val="0"/>
          <w:numId w:val="2"/>
        </w:numPr>
        <w:spacing w:after="60" w:before="60" w:line="260"/>
      </w:pPr>
      <w:r>
        <w:rPr>
          <w:rFonts w:ascii="Arial" w:cs="Arial" w:eastAsia="Arial" w:hAnsi="Arial"/>
          <w:sz w:val="20"/>
          <w:szCs w:val="20"/>
        </w:rPr>
        <w:t xml:space="preserve">Referências legais completas.</w:t>
      </w:r>
    </w:p>
    <w:p>
      <w:pPr>
        <w:pStyle w:val="Heading2"/>
      </w:pPr>
      <w:r>
        <w:rPr>
          <w:rFonts w:ascii="Arial" w:cs="Arial" w:eastAsia="Arial" w:hAnsi="Arial"/>
          <w:b/>
          <w:bCs/>
          <w:color w:val="2E5090"/>
          <w:sz w:val="24"/>
          <w:szCs w:val="24"/>
        </w:rPr>
        <w:t xml:space="preserve">15.2 Diferenciação visual das complementações do operador</w:t>
      </w:r>
    </w:p>
    <w:p>
      <w:pPr>
        <w:spacing w:after="80" w:before="80" w:line="276"/>
        <w:jc w:val="both"/>
      </w:pPr>
      <w:r>
        <w:rPr>
          <w:rFonts w:ascii="Arial" w:cs="Arial" w:eastAsia="Arial" w:hAnsi="Arial"/>
          <w:sz w:val="20"/>
          <w:szCs w:val="20"/>
        </w:rPr>
        <w:t xml:space="preserve">No relatório, o conteúdo gerado pelo sistema é apresentado em fundo neutro; o conteúdo inserido pelo operador é destacado com fundo diferenciado, borda dourada à esquerda e o rótulo "Complementação do operador". Essa diferenciação permite verificar, em eventual impugnação, se o resultado sistemático foi mantido ou modificado.</w:t>
      </w:r>
    </w:p>
    <w:p>
      <w:pPr>
        <w:pStyle w:val="Heading1"/>
      </w:pPr>
      <w:r>
        <w:rPr>
          <w:rFonts w:ascii="Arial" w:cs="Arial" w:eastAsia="Arial" w:hAnsi="Arial"/>
          <w:b/>
          <w:bCs/>
          <w:color w:val="1F3864"/>
          <w:sz w:val="28"/>
          <w:szCs w:val="28"/>
        </w:rPr>
        <w:t xml:space="preserve">16. Limitações, Boas Práticas e Salvaguardas</w:t>
      </w:r>
    </w:p>
    <w:p>
      <w:pPr>
        <w:pStyle w:val="Heading2"/>
      </w:pPr>
      <w:r>
        <w:rPr>
          <w:rFonts w:ascii="Arial" w:cs="Arial" w:eastAsia="Arial" w:hAnsi="Arial"/>
          <w:b/>
          <w:bCs/>
          <w:color w:val="2E5090"/>
          <w:sz w:val="24"/>
          <w:szCs w:val="24"/>
        </w:rPr>
        <w:t xml:space="preserve">16.1 Limitações reconhecidas</w:t>
      </w:r>
    </w:p>
    <w:p>
      <w:pPr>
        <w:pStyle w:val="ListParagraph"/>
        <w:numPr>
          <w:ilvl w:val="0"/>
          <w:numId w:val="2"/>
        </w:numPr>
        <w:spacing w:after="60" w:before="60" w:line="260"/>
      </w:pPr>
      <w:r>
        <w:rPr>
          <w:rFonts w:ascii="Arial" w:cs="Arial" w:eastAsia="Arial" w:hAnsi="Arial"/>
          <w:sz w:val="20"/>
          <w:szCs w:val="20"/>
        </w:rPr>
        <w:t xml:space="preserve">A ferramenta é auxiliar, não substitutiva: o resultado numérico não vincula a autoridade, que pode, fundamentadamente, divergir da pontuação.</w:t>
      </w:r>
    </w:p>
    <w:p>
      <w:pPr>
        <w:pStyle w:val="ListParagraph"/>
        <w:numPr>
          <w:ilvl w:val="0"/>
          <w:numId w:val="2"/>
        </w:numPr>
        <w:spacing w:after="60" w:before="60" w:line="260"/>
      </w:pPr>
      <w:r>
        <w:rPr>
          <w:rFonts w:ascii="Arial" w:cs="Arial" w:eastAsia="Arial" w:hAnsi="Arial"/>
          <w:sz w:val="20"/>
          <w:szCs w:val="20"/>
        </w:rPr>
        <w:t xml:space="preserve">A escolha das alternativas e o ajuste dos sliders permanecem atos de julgamento: o sistema reduz, mas não elimina, a discricionariedade do operador.</w:t>
      </w:r>
    </w:p>
    <w:p>
      <w:pPr>
        <w:pStyle w:val="ListParagraph"/>
        <w:numPr>
          <w:ilvl w:val="0"/>
          <w:numId w:val="2"/>
        </w:numPr>
        <w:spacing w:after="60" w:before="60" w:line="260"/>
      </w:pPr>
      <w:r>
        <w:rPr>
          <w:rFonts w:ascii="Arial" w:cs="Arial" w:eastAsia="Arial" w:hAnsi="Arial"/>
          <w:sz w:val="20"/>
          <w:szCs w:val="20"/>
        </w:rPr>
        <w:t xml:space="preserve">Os intervalos refletem escolhas metodológicas da Corregedoria, não determinações legais explícitas, e podem ser revistos.</w:t>
      </w:r>
    </w:p>
    <w:p>
      <w:pPr>
        <w:pStyle w:val="ListParagraph"/>
        <w:numPr>
          <w:ilvl w:val="0"/>
          <w:numId w:val="2"/>
        </w:numPr>
        <w:spacing w:after="60" w:before="60" w:line="260"/>
      </w:pPr>
      <w:r>
        <w:rPr>
          <w:rFonts w:ascii="Arial" w:cs="Arial" w:eastAsia="Arial" w:hAnsi="Arial"/>
          <w:sz w:val="20"/>
          <w:szCs w:val="20"/>
        </w:rPr>
        <w:t xml:space="preserve">Casos de alta complexidade ou com elementos atípicos podem exigir análise jurídica complementar.</w:t>
      </w:r>
    </w:p>
    <w:p>
      <w:pPr>
        <w:pStyle w:val="ListParagraph"/>
        <w:numPr>
          <w:ilvl w:val="0"/>
          <w:numId w:val="2"/>
        </w:numPr>
        <w:spacing w:after="60" w:before="60" w:line="260"/>
      </w:pPr>
      <w:r>
        <w:rPr>
          <w:rFonts w:ascii="Arial" w:cs="Arial" w:eastAsia="Arial" w:hAnsi="Arial"/>
          <w:sz w:val="20"/>
          <w:szCs w:val="20"/>
        </w:rPr>
        <w:t xml:space="preserve">O sistema pressupõe instrução concluída e fatos devidamente apurados.</w:t>
      </w:r>
    </w:p>
    <w:p>
      <w:pPr>
        <w:pStyle w:val="Heading2"/>
      </w:pPr>
      <w:r>
        <w:rPr>
          <w:rFonts w:ascii="Arial" w:cs="Arial" w:eastAsia="Arial" w:hAnsi="Arial"/>
          <w:b/>
          <w:bCs/>
          <w:color w:val="2E5090"/>
          <w:sz w:val="24"/>
          <w:szCs w:val="24"/>
        </w:rPr>
        <w:t xml:space="preserve">16.2 Boas práticas</w:t>
      </w:r>
    </w:p>
    <w:p>
      <w:pPr>
        <w:pStyle w:val="ListParagraph"/>
        <w:numPr>
          <w:ilvl w:val="0"/>
          <w:numId w:val="2"/>
        </w:numPr>
        <w:spacing w:after="60" w:before="60" w:line="260"/>
      </w:pPr>
      <w:r>
        <w:rPr>
          <w:rFonts w:ascii="Arial" w:cs="Arial" w:eastAsia="Arial" w:hAnsi="Arial"/>
          <w:sz w:val="20"/>
          <w:szCs w:val="20"/>
        </w:rPr>
        <w:t xml:space="preserve">Utilizar a ferramenta somente após a conclusão da instrução, com os autos à disposição.</w:t>
      </w:r>
    </w:p>
    <w:p>
      <w:pPr>
        <w:pStyle w:val="ListParagraph"/>
        <w:numPr>
          <w:ilvl w:val="0"/>
          <w:numId w:val="2"/>
        </w:numPr>
        <w:spacing w:after="60" w:before="60" w:line="260"/>
      </w:pPr>
      <w:r>
        <w:rPr>
          <w:rFonts w:ascii="Arial" w:cs="Arial" w:eastAsia="Arial" w:hAnsi="Arial"/>
          <w:sz w:val="20"/>
          <w:szCs w:val="20"/>
        </w:rPr>
        <w:t xml:space="preserve">Preencher os campos de complementação sempre que as alternativas predefinidas não captarem a situação fática com precisão.</w:t>
      </w:r>
    </w:p>
    <w:p>
      <w:pPr>
        <w:pStyle w:val="ListParagraph"/>
        <w:numPr>
          <w:ilvl w:val="0"/>
          <w:numId w:val="2"/>
        </w:numPr>
        <w:spacing w:after="60" w:before="60" w:line="260"/>
      </w:pPr>
      <w:r>
        <w:rPr>
          <w:rFonts w:ascii="Arial" w:cs="Arial" w:eastAsia="Arial" w:hAnsi="Arial"/>
          <w:sz w:val="20"/>
          <w:szCs w:val="20"/>
        </w:rPr>
        <w:t xml:space="preserve">Ajustar os sliders de intensidade com critério: o valor padrão é ponto de partida, não ponto de chegada — fundamentar o ajuste no campo de complementação.</w:t>
      </w:r>
    </w:p>
    <w:p>
      <w:pPr>
        <w:pStyle w:val="ListParagraph"/>
        <w:numPr>
          <w:ilvl w:val="0"/>
          <w:numId w:val="2"/>
        </w:numPr>
        <w:spacing w:after="60" w:before="60" w:line="260"/>
      </w:pPr>
      <w:r>
        <w:rPr>
          <w:rFonts w:ascii="Arial" w:cs="Arial" w:eastAsia="Arial" w:hAnsi="Arial"/>
          <w:sz w:val="20"/>
          <w:szCs w:val="20"/>
        </w:rPr>
        <w:t xml:space="preserve">Arquivar o JSON exportado junto ao processo, para auditoria e reprodução do cálculo.</w:t>
      </w:r>
    </w:p>
    <w:p>
      <w:pPr>
        <w:pStyle w:val="ListParagraph"/>
        <w:numPr>
          <w:ilvl w:val="0"/>
          <w:numId w:val="2"/>
        </w:numPr>
        <w:spacing w:after="60" w:before="60" w:line="260"/>
      </w:pPr>
      <w:r>
        <w:rPr>
          <w:rFonts w:ascii="Arial" w:cs="Arial" w:eastAsia="Arial" w:hAnsi="Arial"/>
          <w:sz w:val="20"/>
          <w:szCs w:val="20"/>
        </w:rPr>
        <w:t xml:space="preserve">Não usar o relatório como substituto da fundamentação do ato — ele a integra como peça auxiliar.</w:t>
      </w:r>
    </w:p>
    <w:p>
      <w:pPr>
        <w:pStyle w:val="ListParagraph"/>
        <w:numPr>
          <w:ilvl w:val="0"/>
          <w:numId w:val="2"/>
        </w:numPr>
        <w:spacing w:after="60" w:before="60" w:line="260"/>
      </w:pPr>
      <w:r>
        <w:rPr>
          <w:rFonts w:ascii="Arial" w:cs="Arial" w:eastAsia="Arial" w:hAnsi="Arial"/>
          <w:sz w:val="20"/>
          <w:szCs w:val="20"/>
        </w:rPr>
        <w:t xml:space="preserve">Na zona limítrofe, realizar revisão colegiada antes de consolidar o resultado.</w:t>
      </w:r>
    </w:p>
    <w:p>
      <w:pPr>
        <w:pStyle w:val="ListParagraph"/>
        <w:numPr>
          <w:ilvl w:val="0"/>
          <w:numId w:val="2"/>
        </w:numPr>
        <w:spacing w:after="60" w:before="60" w:line="260"/>
      </w:pPr>
      <w:r>
        <w:rPr>
          <w:rFonts w:ascii="Arial" w:cs="Arial" w:eastAsia="Arial" w:hAnsi="Arial"/>
          <w:sz w:val="20"/>
          <w:szCs w:val="20"/>
        </w:rPr>
        <w:t xml:space="preserve">Manter a ferramenta atualizada diante de alterações normativas.</w:t>
      </w:r>
    </w:p>
    <w:p>
      <w:r>
        <w:br w:type="page"/>
      </w:r>
    </w:p>
    <w:p>
      <w:pPr>
        <w:shd w:fill="1F3864" w:val="clear"/>
        <w:spacing w:after="200" w:before="200"/>
        <w:jc w:val="center"/>
      </w:pPr>
      <w:r>
        <w:rPr>
          <w:rFonts w:ascii="Arial" w:cs="Arial" w:eastAsia="Arial" w:hAnsi="Arial"/>
          <w:b/>
          <w:bCs/>
          <w:color w:val="FFFFFF"/>
          <w:sz w:val="28"/>
          <w:szCs w:val="28"/>
        </w:rPr>
        <w:t xml:space="preserve">PARTE VI — MODELOS DE FUNDAMENTAÇÃO</w:t>
      </w:r>
    </w:p>
    <w:p>
      <w:pPr>
        <w:spacing w:after="80" w:before="80" w:line="276"/>
        <w:jc w:val="both"/>
      </w:pPr>
      <w:r>
        <w:rPr>
          <w:rFonts w:ascii="Arial" w:cs="Arial" w:eastAsia="Arial" w:hAnsi="Arial"/>
          <w:sz w:val="20"/>
          <w:szCs w:val="20"/>
        </w:rPr>
        <w:t xml:space="preserve">Os textos a seguir são sugestões adaptáveis. Os trechos entre colchetes indicam onde inserir os dados da apuração. Não dispensam a motivação específica da autoridade julgadora.</w:t>
      </w:r>
    </w:p>
    <w:p>
      <w:pPr>
        <w:pStyle w:val="Heading1"/>
      </w:pPr>
      <w:r>
        <w:rPr>
          <w:rFonts w:ascii="Arial" w:cs="Arial" w:eastAsia="Arial" w:hAnsi="Arial"/>
          <w:b/>
          <w:bCs/>
          <w:color w:val="1F3864"/>
          <w:sz w:val="28"/>
          <w:szCs w:val="28"/>
        </w:rPr>
        <w:t xml:space="preserve">17. Modelos de Fundamentação</w:t>
      </w:r>
    </w:p>
    <w:p>
      <w:pPr>
        <w:pStyle w:val="Heading2"/>
      </w:pPr>
      <w:r>
        <w:rPr>
          <w:rFonts w:ascii="Arial" w:cs="Arial" w:eastAsia="Arial" w:hAnsi="Arial"/>
          <w:b/>
          <w:bCs/>
          <w:color w:val="2E5090"/>
          <w:sz w:val="24"/>
          <w:szCs w:val="24"/>
        </w:rPr>
        <w:t xml:space="preserve">17.1 Abertura e enquadramento</w:t>
      </w:r>
    </w:p>
    <w:p>
      <w:pPr>
        <w:spacing w:after="80" w:before="80" w:line="260"/>
        <w:ind w:left="720"/>
        <w:jc w:val="both"/>
      </w:pPr>
      <w:r>
        <w:rPr>
          <w:rFonts w:ascii="Arial" w:cs="Arial" w:eastAsia="Arial" w:hAnsi="Arial"/>
          <w:i/>
          <w:iCs/>
          <w:sz w:val="20"/>
          <w:szCs w:val="20"/>
        </w:rPr>
        <w:t xml:space="preserve">Segundo o apurado, o(a) agente cometeu [descrever a conduta], de modo que a(s) irregularidade(s) consistiu(íram) em [descrever a violação ao ordenamento]. A infração amolda-se ao art. [129/130], podendo resultar em advertência ou suspensão, razão pela qual se realiza a análise dos elementos balizadores do art. 128. Não foram detectadas hipóteses do art. 132. Os dispositivos específicos violados foram: [art. X, inc. Y]. A dosimetria foi processada com o auxílio da Calculadora de Dosimetria das Sanções Disciplinares v3.</w:t>
      </w:r>
    </w:p>
    <w:p>
      <w:pPr>
        <w:pStyle w:val="Heading2"/>
      </w:pPr>
      <w:r>
        <w:rPr>
          <w:rFonts w:ascii="Arial" w:cs="Arial" w:eastAsia="Arial" w:hAnsi="Arial"/>
          <w:b/>
          <w:bCs/>
          <w:color w:val="2E5090"/>
          <w:sz w:val="24"/>
          <w:szCs w:val="24"/>
        </w:rPr>
        <w:t xml:space="preserve">17.2 Natureza</w:t>
      </w:r>
    </w:p>
    <w:p>
      <w:pPr>
        <w:spacing w:after="80" w:before="80" w:line="260"/>
        <w:ind w:left="720"/>
        <w:jc w:val="both"/>
      </w:pPr>
      <w:r>
        <w:rPr>
          <w:rFonts w:ascii="Arial" w:cs="Arial" w:eastAsia="Arial" w:hAnsi="Arial"/>
          <w:i/>
          <w:iCs/>
          <w:sz w:val="20"/>
          <w:szCs w:val="20"/>
        </w:rPr>
        <w:t xml:space="preserve">A partir do apurado, verificou-se que o(a) agente [não previu nem aceitou o risco da conduta / assumiu o risco qualificado / quis o resultado / orientou sua vontade por especial fim de agir], o que caracterizou [culpa leve grau X / culpa grave grau X / dolo eventual / dolo direto / dolo com especial fim de agir], sob a modalidade [negligência / imprudência / imperícia], conforme [art. 17 / art. 12, §1º, do Decreto nº 9.830/2019]. Quanto à acessibilidade normativa, [havia / não havia] norma específica, orientação institucional e capacitação documentada. Atribui-se a pontuação de [X] pts ao SF1.1 e [Y] pts ao SF1.2.</w:t>
      </w:r>
    </w:p>
    <w:p>
      <w:pPr>
        <w:pStyle w:val="Heading2"/>
      </w:pPr>
      <w:r>
        <w:rPr>
          <w:rFonts w:ascii="Arial" w:cs="Arial" w:eastAsia="Arial" w:hAnsi="Arial"/>
          <w:b/>
          <w:bCs/>
          <w:color w:val="2E5090"/>
          <w:sz w:val="24"/>
          <w:szCs w:val="24"/>
        </w:rPr>
        <w:t xml:space="preserve">17.3 Gravidade</w:t>
      </w:r>
    </w:p>
    <w:p>
      <w:pPr>
        <w:spacing w:after="80" w:before="80" w:line="260"/>
        <w:ind w:left="720"/>
        <w:jc w:val="both"/>
      </w:pPr>
      <w:r>
        <w:rPr>
          <w:rFonts w:ascii="Arial" w:cs="Arial" w:eastAsia="Arial" w:hAnsi="Arial"/>
          <w:i/>
          <w:iCs/>
          <w:sz w:val="20"/>
          <w:szCs w:val="20"/>
        </w:rPr>
        <w:t xml:space="preserve">Constatou-se a violação de [especificar as normas e incisos], cujo bem jurídico tutelado em abstrato possui hierarquia [baixa / média / alta] (SF2.1 = [X] pts). A conduta ocorreu de modo [isolado / reiterado — [N] episódios em [período] / continuado por [período]] (SF2.2 = [X] pts). [Havendo concurso formal: uma única conduta violou [N] dispositivos distintos (SF2.3 = 15 pts).] Atribui-se ao elemento Gravidade a pontuação de [X] pts, sem reaproveitamento do dano, em respeito ao ne bis in idem.</w:t>
      </w:r>
    </w:p>
    <w:p>
      <w:pPr>
        <w:pStyle w:val="Heading2"/>
      </w:pPr>
      <w:r>
        <w:rPr>
          <w:rFonts w:ascii="Arial" w:cs="Arial" w:eastAsia="Arial" w:hAnsi="Arial"/>
          <w:b/>
          <w:bCs/>
          <w:color w:val="2E5090"/>
          <w:sz w:val="24"/>
          <w:szCs w:val="24"/>
        </w:rPr>
        <w:t xml:space="preserve">17.4 Dano</w:t>
      </w:r>
    </w:p>
    <w:p>
      <w:pPr>
        <w:spacing w:after="80" w:before="80" w:line="260"/>
        <w:ind w:left="720"/>
        <w:jc w:val="both"/>
      </w:pPr>
      <w:r>
        <w:rPr>
          <w:rFonts w:ascii="Arial" w:cs="Arial" w:eastAsia="Arial" w:hAnsi="Arial"/>
          <w:i/>
          <w:iCs/>
          <w:sz w:val="20"/>
          <w:szCs w:val="20"/>
        </w:rPr>
        <w:t xml:space="preserve">Detectou-se dano [material / imaterial / material e imaterial cumulados], demonstrado da seguinte forma: [descrever e elencar os prejuízos — não presumir]. O dano material apresentou extensão [baixa/média/alta] em relação a [referencial] e reversibilidade [integral/parcial/ausente]. O dano imaterial recaiu sobre [credibilidade institucional — alcance X / regularidade do serviço / sigilo fiscal — exposição Y / contribuintes]. Atribui-se ao elemento Dano a pontuação de [X] pts, respeitado o teto conjunto de 30 pts.</w:t>
      </w:r>
    </w:p>
    <w:p>
      <w:pPr>
        <w:pStyle w:val="Heading2"/>
      </w:pPr>
      <w:r>
        <w:rPr>
          <w:rFonts w:ascii="Arial" w:cs="Arial" w:eastAsia="Arial" w:hAnsi="Arial"/>
          <w:b/>
          <w:bCs/>
          <w:color w:val="2E5090"/>
          <w:sz w:val="24"/>
          <w:szCs w:val="24"/>
        </w:rPr>
        <w:t xml:space="preserve">17.5 Circunstâncias e antecedentes</w:t>
      </w:r>
    </w:p>
    <w:p>
      <w:pPr>
        <w:spacing w:after="80" w:before="80" w:line="260"/>
        <w:ind w:left="720"/>
        <w:jc w:val="both"/>
      </w:pPr>
      <w:r>
        <w:rPr>
          <w:rFonts w:ascii="Arial" w:cs="Arial" w:eastAsia="Arial" w:hAnsi="Arial"/>
          <w:i/>
          <w:iCs/>
          <w:sz w:val="20"/>
          <w:szCs w:val="20"/>
        </w:rPr>
        <w:t xml:space="preserve">Identificaram-se as seguintes circunstâncias efetivamente comprovadas nos autos: agravantes — [elencar, com prova e slider ajustado]; atenuantes — [elencar, com prova e slider ajustado]. Tais circunstâncias atuam horizontalmente, sem alterar o enquadramento e sem reduzir a pena abaixo do mínimo (Súmula 231/STJ). Quanto aos antecedentes funcionais, os assentamentos registram [bons antecedentes / maus antecedentes / ausência de registros]. Atribui-se [±X] ao elemento Circunstâncias e [±Y] ao elemento Antecedentes.</w:t>
      </w:r>
    </w:p>
    <w:p>
      <w:pPr>
        <w:pStyle w:val="Heading2"/>
      </w:pPr>
      <w:r>
        <w:rPr>
          <w:rFonts w:ascii="Arial" w:cs="Arial" w:eastAsia="Arial" w:hAnsi="Arial"/>
          <w:b/>
          <w:bCs/>
          <w:color w:val="2E5090"/>
          <w:sz w:val="24"/>
          <w:szCs w:val="24"/>
        </w:rPr>
        <w:t xml:space="preserve">17.6 Resultado e reincidência</w:t>
      </w:r>
    </w:p>
    <w:p>
      <w:pPr>
        <w:spacing w:after="80" w:before="80" w:line="260"/>
        <w:ind w:left="720"/>
        <w:jc w:val="both"/>
      </w:pPr>
      <w:r>
        <w:rPr>
          <w:rFonts w:ascii="Arial" w:cs="Arial" w:eastAsia="Arial" w:hAnsi="Arial"/>
          <w:i/>
          <w:iCs/>
          <w:sz w:val="20"/>
          <w:szCs w:val="20"/>
        </w:rPr>
        <w:t xml:space="preserve">Da soma dos elementos resultou a Soma Total de [X] pontos, que, aplicada a fórmula do Regime [Geral/RE1/RE2/RE3], converte-se em [advertência / suspensão de N dias]. Verificada a [existência/inexistência] de reincidência nos termos dos arts. 130 e 131, [a advertência converte-se em suspensão de 1 dia / mantém-se a penalidade]. Conclui-se pela aplicação da penalidade de [especificar].</w:t>
      </w:r>
    </w:p>
    <w:p>
      <w:pPr>
        <w:pStyle w:val="Heading2"/>
      </w:pPr>
      <w:r>
        <w:rPr>
          <w:rFonts w:ascii="Arial" w:cs="Arial" w:eastAsia="Arial" w:hAnsi="Arial"/>
          <w:b/>
          <w:bCs/>
          <w:color w:val="2E5090"/>
          <w:sz w:val="24"/>
          <w:szCs w:val="24"/>
        </w:rPr>
        <w:t xml:space="preserve">17.7 TAC</w:t>
      </w:r>
    </w:p>
    <w:p>
      <w:pPr>
        <w:spacing w:after="80" w:before="80" w:line="260"/>
        <w:ind w:left="720"/>
        <w:jc w:val="both"/>
      </w:pPr>
      <w:r>
        <w:rPr>
          <w:rFonts w:ascii="Arial" w:cs="Arial" w:eastAsia="Arial" w:hAnsi="Arial"/>
          <w:i/>
          <w:iCs/>
          <w:sz w:val="20"/>
          <w:szCs w:val="20"/>
        </w:rPr>
        <w:t xml:space="preserve">Quanto à viabilidade do TAC: (Camada 1) a penalidade calculada é [advertência / suspensão de até 30 dias / suspensão superior a 30 dias], [compatível / incompatível] com o art. 62 da Portaria CGU nº 27/2022; (Camada 2) o servidor [atende / não atende] às condições cumulativas do art. 63; (Camada 3) sendo elegível, a faixa de proporcionalidade é [Leve/Leve-Média/Limite], com as obrigações [elencar, com obrigação efetiva e forma de comprovação] e vigência máxima de [N] meses. Conclui-se pela [possibilidade / impossibilidade] da proposta de TAC, observado que a decisão compete à autoridade (arts. 65 e 66 da Portaria).</w:t>
      </w:r>
    </w:p>
    <w:p>
      <w:r>
        <w:br w:type="page"/>
      </w:r>
    </w:p>
    <w:p>
      <w:pPr>
        <w:pStyle w:val="Heading1"/>
      </w:pPr>
      <w:r>
        <w:rPr>
          <w:rFonts w:ascii="Arial" w:cs="Arial" w:eastAsia="Arial" w:hAnsi="Arial"/>
          <w:b/>
          <w:bCs/>
          <w:color w:val="1F3864"/>
          <w:sz w:val="28"/>
          <w:szCs w:val="28"/>
        </w:rPr>
        <w:t xml:space="preserve">18.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Termo</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Definição</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Advertência</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Penalidade mais leve (art. 129), aplicável a infrações que não causem maior perturbação ao serviço.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Antecedentes funcionais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Registros positivos e negativos do histórico disciplinar e de desempenho do servidor, conforme os assentamentos.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Circunstâncias agravantes/atenuantes</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Elementos fáticos comprovados que modulam a reprovabilidade sem alterar o enquadramento jurídico. Na Calculadora v3, cada item tem slider de intensidade (min/padrão/máx).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Complementação do operador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Texto livre inserido nos campos facultativos de cada subfator. Diferenciado visualmente no relatório com borda dourada.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Concurso formal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Uma única conduta que viola mais de uma norma. Na v3: SF2.3 = 15 pontos.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Concurso material (Regime de Concurso)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Duas ou mais condutas autônomas, com dosimetria individual para cada uma.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Culpa consciente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O agente prevê o resultado como possível, mas confia que não ocorrerá. Distingue-se do dolo eventual, no qual o agente aceita o risco.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Culpa grave / erro grosseiro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Erro manifesto, evidente e inescusável, com elevado grau de negligência, imprudência ou imperícia (art. 12, §1º, Decreto 9.830/2019). SF1.1: 10–16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Culpa inconsciente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O agente não prevê o resultado, embora objetivamente previsível.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Culpa leve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Conduta evitável com a atenção e o cuidado básicos esperados do agente em função similar. SF1.1: 2–8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Dano imaterial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Prejuízo extrapatrimonial — credibilidade institucional, regularidade do serviço, sigilo fiscal, entre outros. Teto SF3B: 30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Dano material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Prejuízo financeiro ou patrimonial à Administração ou a terceiros. Teto SF3A: 20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Dolo com especial fim de agir</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Modalidade mais grave: servidor orienta sua vontade por finalidade específica para além do resultado imediato. SF1.1: 22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Dolo direto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Conduta em que o resultado ilícito é conscientemente buscado (teoria da vontade). SF1.1: 20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Dolo eventual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Conduta em que o agente assume o risco de produzir o resultado sem buscá-lo (teoria do assentimento). SF1.1: 17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Dosimetria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Mensuração e graduação fundamentada da sanção, com base nos critérios do art. 128.</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Enquadramento legal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Identificação do(s) artigo(s) e inciso(s) específicos violados no modal da Tela 1. Obrigatório na v3.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Erro de proibição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Dúvida inescusável quanto à licitude da conduta. Quando evitável, não exclui dolo ou culpa, mas pode atenuar a gravidade.</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Erro escusável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Equívoco funcional não punível: ausência de dolo, eventualidade do erro e ínfimo poder ofensivo (tese da Coger/RFB; NT nº 2006/1 e nº 12/2021). Na v3, sinalizado indiretamente pela combinação de SF1.1 e SF1.2 mínimos com dano ínfimo e conduta isolada.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Exportação 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Recurso que salva o estado completo da sessão para arquivamento e auditoria futura.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Infração continuada</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Pluralidade de atos da mesma espécie em circunstâncias similares (analogia ao art. 71 do CP). SF2.2: 11–15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Ne bis in idem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Vedação à dupla valoração da mesma circunstância em prejuízo do agente.</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Persistência de sessão</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Recurso que salva automaticamente o preenchimento no localStorage do navegador.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Reincidência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Registro vigente de penalidade anterior não cancelada (art. 131). Verificada na segunda fase, com efeito exclusivamente conversor (transforma advertência em suspensão de 1 dia).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Regime RE1</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Art. 117, XVII e XVIII — suspensão obrigatória: max(1, min(⌊3×Soma÷4⌋, 90)) dias.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Regime RE2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Art. 130, §1º — recusa à perícia; suspensão de 1 a 15 dias; apenas dolo admissível em SF1.1.</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Regime RE3</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Art. 32 da LAI — suspensão obrigatória, fórmula idêntica ao RE1.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Slider de intensidade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Controle que permite ajustar o grau de cada circunstância e antecedente entre valores mínimo, padrão e máximo.</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Soma Total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Resultado aritmético dos elementos da primeira fase; base da conversão em penalidade.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TAC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Termo de Ajustamento de Conduta (Portaria Normativa CGU nº 27/2022) — substitui a penalidade pelo cumprimento de obrigações específicas.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Zona limítrofe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27–33 pts (advertência/suspensão, Regime Geral) ou 57–63 pts (elegibilidade TAC, Regime Geral): o sistema recomenda revisão colegiada.</w:t>
            </w:r>
          </w:p>
        </w:tc>
      </w:tr>
    </w:tbl>
    <w:p>
      <w:pPr>
        <w:pStyle w:val="Heading1"/>
      </w:pPr>
      <w:r>
        <w:rPr>
          <w:rFonts w:ascii="Arial" w:cs="Arial" w:eastAsia="Arial" w:hAnsi="Arial"/>
          <w:b/>
          <w:bCs/>
          <w:color w:val="1F3864"/>
          <w:sz w:val="28"/>
          <w:szCs w:val="28"/>
        </w:rPr>
        <w:t xml:space="preserve">19. Referências</w:t>
      </w:r>
    </w:p>
    <w:p>
      <w:pPr>
        <w:pStyle w:val="Heading2"/>
      </w:pPr>
      <w:r>
        <w:rPr>
          <w:rFonts w:ascii="Arial" w:cs="Arial" w:eastAsia="Arial" w:hAnsi="Arial"/>
          <w:b/>
          <w:bCs/>
          <w:color w:val="2E5090"/>
          <w:sz w:val="24"/>
          <w:szCs w:val="24"/>
        </w:rPr>
        <w:t xml:space="preserve">19.1 Normas</w:t>
      </w:r>
    </w:p>
    <w:p>
      <w:pPr>
        <w:pStyle w:val="ListParagraph"/>
        <w:numPr>
          <w:ilvl w:val="0"/>
          <w:numId w:val="2"/>
        </w:numPr>
        <w:spacing w:after="60" w:before="60" w:line="260"/>
      </w:pPr>
      <w:r>
        <w:rPr>
          <w:rFonts w:ascii="Arial" w:cs="Arial" w:eastAsia="Arial" w:hAnsi="Arial"/>
          <w:sz w:val="20"/>
          <w:szCs w:val="20"/>
        </w:rPr>
        <w:t xml:space="preserve">Constituição Federal de 1988 — art. 5º, X, XII e LIV; art. 37.</w:t>
      </w:r>
    </w:p>
    <w:p>
      <w:pPr>
        <w:pStyle w:val="ListParagraph"/>
        <w:numPr>
          <w:ilvl w:val="0"/>
          <w:numId w:val="2"/>
        </w:numPr>
        <w:spacing w:after="60" w:before="60" w:line="260"/>
      </w:pPr>
      <w:r>
        <w:rPr>
          <w:rFonts w:ascii="Arial" w:cs="Arial" w:eastAsia="Arial" w:hAnsi="Arial"/>
          <w:sz w:val="20"/>
          <w:szCs w:val="20"/>
        </w:rPr>
        <w:t xml:space="preserve">Lei nº 8.112, de 11 de dezembro de 1990 — arts. 116, 117, 128 a 132 e 46.</w:t>
      </w:r>
    </w:p>
    <w:p>
      <w:pPr>
        <w:pStyle w:val="ListParagraph"/>
        <w:numPr>
          <w:ilvl w:val="0"/>
          <w:numId w:val="2"/>
        </w:numPr>
        <w:spacing w:after="60" w:before="60" w:line="260"/>
      </w:pPr>
      <w:r>
        <w:rPr>
          <w:rFonts w:ascii="Arial" w:cs="Arial" w:eastAsia="Arial" w:hAnsi="Arial"/>
          <w:sz w:val="20"/>
          <w:szCs w:val="20"/>
        </w:rPr>
        <w:t xml:space="preserve">Lei nº 9.784, de 29 de janeiro de 1999 — art. 2º, parágrafo único, e art. 50.</w:t>
      </w:r>
    </w:p>
    <w:p>
      <w:pPr>
        <w:pStyle w:val="ListParagraph"/>
        <w:numPr>
          <w:ilvl w:val="0"/>
          <w:numId w:val="2"/>
        </w:numPr>
        <w:spacing w:after="60" w:before="60" w:line="260"/>
      </w:pPr>
      <w:r>
        <w:rPr>
          <w:rFonts w:ascii="Arial" w:cs="Arial" w:eastAsia="Arial" w:hAnsi="Arial"/>
          <w:sz w:val="20"/>
          <w:szCs w:val="20"/>
        </w:rPr>
        <w:t xml:space="preserve">Lei nº 12.527, de 18 de novembro de 2011 (LAI) — art. 32.</w:t>
      </w:r>
    </w:p>
    <w:p>
      <w:pPr>
        <w:pStyle w:val="ListParagraph"/>
        <w:numPr>
          <w:ilvl w:val="0"/>
          <w:numId w:val="2"/>
        </w:numPr>
        <w:spacing w:after="60" w:before="60" w:line="260"/>
      </w:pPr>
      <w:r>
        <w:rPr>
          <w:rFonts w:ascii="Arial" w:cs="Arial" w:eastAsia="Arial" w:hAnsi="Arial"/>
          <w:sz w:val="20"/>
          <w:szCs w:val="20"/>
        </w:rPr>
        <w:t xml:space="preserve">Lei nº 5.172, de 25 de outubro de 1966 (CTN) — art. 198.</w:t>
      </w:r>
    </w:p>
    <w:p>
      <w:pPr>
        <w:pStyle w:val="ListParagraph"/>
        <w:numPr>
          <w:ilvl w:val="0"/>
          <w:numId w:val="2"/>
        </w:numPr>
        <w:spacing w:after="60" w:before="60" w:line="260"/>
      </w:pPr>
      <w:r>
        <w:rPr>
          <w:rFonts w:ascii="Arial" w:cs="Arial" w:eastAsia="Arial" w:hAnsi="Arial"/>
          <w:sz w:val="20"/>
          <w:szCs w:val="20"/>
        </w:rPr>
        <w:t xml:space="preserve">Decreto-Lei nº 4.657, de 1942 (LINDB) — arts. 20, 22 e 28.</w:t>
      </w:r>
    </w:p>
    <w:p>
      <w:pPr>
        <w:pStyle w:val="ListParagraph"/>
        <w:numPr>
          <w:ilvl w:val="0"/>
          <w:numId w:val="2"/>
        </w:numPr>
        <w:spacing w:after="60" w:before="60" w:line="260"/>
      </w:pPr>
      <w:r>
        <w:rPr>
          <w:rFonts w:ascii="Arial" w:cs="Arial" w:eastAsia="Arial" w:hAnsi="Arial"/>
          <w:sz w:val="20"/>
          <w:szCs w:val="20"/>
        </w:rPr>
        <w:t xml:space="preserve">Decreto nº 9.830, de 10 de junho de 2019 — arts. 12, 16 e 17.</w:t>
      </w:r>
    </w:p>
    <w:p>
      <w:pPr>
        <w:pStyle w:val="ListParagraph"/>
        <w:numPr>
          <w:ilvl w:val="0"/>
          <w:numId w:val="2"/>
        </w:numPr>
        <w:spacing w:after="60" w:before="60" w:line="260"/>
      </w:pPr>
      <w:r>
        <w:rPr>
          <w:rFonts w:ascii="Arial" w:cs="Arial" w:eastAsia="Arial" w:hAnsi="Arial"/>
          <w:sz w:val="20"/>
          <w:szCs w:val="20"/>
        </w:rPr>
        <w:t xml:space="preserve">Portaria Normativa CGU nº 27, de 11 de outubro de 2022 — arts. 62 a 72, 65, 66, 140 e 141.</w:t>
      </w:r>
    </w:p>
    <w:p>
      <w:pPr>
        <w:pStyle w:val="Heading2"/>
      </w:pPr>
      <w:r>
        <w:rPr>
          <w:rFonts w:ascii="Arial" w:cs="Arial" w:eastAsia="Arial" w:hAnsi="Arial"/>
          <w:b/>
          <w:bCs/>
          <w:color w:val="2E5090"/>
          <w:sz w:val="24"/>
          <w:szCs w:val="24"/>
        </w:rPr>
        <w:t xml:space="preserve">19.2 Jurisprudência e súmulas</w:t>
      </w:r>
    </w:p>
    <w:p>
      <w:pPr>
        <w:pStyle w:val="ListParagraph"/>
        <w:numPr>
          <w:ilvl w:val="0"/>
          <w:numId w:val="2"/>
        </w:numPr>
        <w:spacing w:after="60" w:before="60" w:line="260"/>
      </w:pPr>
      <w:r>
        <w:rPr>
          <w:rFonts w:ascii="Arial" w:cs="Arial" w:eastAsia="Arial" w:hAnsi="Arial"/>
          <w:sz w:val="20"/>
          <w:szCs w:val="20"/>
        </w:rPr>
        <w:t xml:space="preserve">STJ — Súmula 231; Súmula 241; Súmula 650.</w:t>
      </w:r>
    </w:p>
    <w:p>
      <w:pPr>
        <w:pStyle w:val="ListParagraph"/>
        <w:numPr>
          <w:ilvl w:val="0"/>
          <w:numId w:val="2"/>
        </w:numPr>
        <w:spacing w:after="60" w:before="60" w:line="260"/>
      </w:pPr>
      <w:r>
        <w:rPr>
          <w:rFonts w:ascii="Arial" w:cs="Arial" w:eastAsia="Arial" w:hAnsi="Arial"/>
          <w:sz w:val="20"/>
          <w:szCs w:val="20"/>
        </w:rPr>
        <w:t xml:space="preserve">STJ — AgRg no REsp 1.043.279/PR; REsp 1.943.262/SC; REsp 1.854.893/SP; AgRg no RHC 76.581/PE; REsp 1.440.893/MT; AgRg no AREsp 455.209/SP; AgInt no AREsp 949.377/MG; REsp 1.585.939/PB; REsp 621.415/MG; HC 229.260/GO.</w:t>
      </w:r>
    </w:p>
    <w:p>
      <w:pPr>
        <w:pStyle w:val="ListParagraph"/>
        <w:numPr>
          <w:ilvl w:val="0"/>
          <w:numId w:val="2"/>
        </w:numPr>
        <w:spacing w:after="60" w:before="60" w:line="260"/>
      </w:pPr>
      <w:r>
        <w:rPr>
          <w:rFonts w:ascii="Arial" w:cs="Arial" w:eastAsia="Arial" w:hAnsi="Arial"/>
          <w:sz w:val="20"/>
          <w:szCs w:val="20"/>
        </w:rPr>
        <w:t xml:space="preserve">STF — HC 91.159/MG.</w:t>
      </w:r>
    </w:p>
    <w:p>
      <w:pPr>
        <w:pStyle w:val="ListParagraph"/>
        <w:numPr>
          <w:ilvl w:val="0"/>
          <w:numId w:val="2"/>
        </w:numPr>
        <w:spacing w:after="60" w:before="60" w:line="260"/>
      </w:pPr>
      <w:r>
        <w:rPr>
          <w:rFonts w:ascii="Arial" w:cs="Arial" w:eastAsia="Arial" w:hAnsi="Arial"/>
          <w:sz w:val="20"/>
          <w:szCs w:val="20"/>
        </w:rPr>
        <w:t xml:space="preserve">TCU — Acórdão nº 63/2023 — Plenário.</w:t>
      </w:r>
    </w:p>
    <w:p>
      <w:pPr>
        <w:pStyle w:val="ListParagraph"/>
        <w:numPr>
          <w:ilvl w:val="0"/>
          <w:numId w:val="2"/>
        </w:numPr>
        <w:spacing w:after="60" w:before="60" w:line="260"/>
      </w:pPr>
      <w:r>
        <w:rPr>
          <w:rFonts w:ascii="Arial" w:cs="Arial" w:eastAsia="Arial" w:hAnsi="Arial"/>
          <w:sz w:val="20"/>
          <w:szCs w:val="20"/>
        </w:rPr>
        <w:t xml:space="preserve">TRF-4 — ACR 5005401-57.2017.4.04.7207.  TJ-PR — ACR 0614090-5.</w:t>
      </w:r>
    </w:p>
    <w:p>
      <w:pPr>
        <w:pStyle w:val="Heading2"/>
      </w:pPr>
      <w:r>
        <w:rPr>
          <w:rFonts w:ascii="Arial" w:cs="Arial" w:eastAsia="Arial" w:hAnsi="Arial"/>
          <w:b/>
          <w:bCs/>
          <w:color w:val="2E5090"/>
          <w:sz w:val="24"/>
          <w:szCs w:val="24"/>
        </w:rPr>
        <w:t xml:space="preserve">19.3 Documentos de referência</w:t>
      </w:r>
    </w:p>
    <w:p>
      <w:pPr>
        <w:pStyle w:val="ListParagraph"/>
        <w:numPr>
          <w:ilvl w:val="0"/>
          <w:numId w:val="2"/>
        </w:numPr>
        <w:spacing w:after="60" w:before="60" w:line="260"/>
      </w:pPr>
      <w:r>
        <w:rPr>
          <w:rFonts w:ascii="Arial" w:cs="Arial" w:eastAsia="Arial" w:hAnsi="Arial"/>
          <w:sz w:val="20"/>
          <w:szCs w:val="20"/>
        </w:rPr>
        <w:t xml:space="preserve">CGU. Guia Teórico e Prático da Dosimetria da Sanção Disciplinar. Brasília, 2024.</w:t>
      </w:r>
    </w:p>
    <w:p>
      <w:pPr>
        <w:pStyle w:val="ListParagraph"/>
        <w:numPr>
          <w:ilvl w:val="0"/>
          <w:numId w:val="2"/>
        </w:numPr>
        <w:spacing w:after="60" w:before="60" w:line="260"/>
      </w:pPr>
      <w:r>
        <w:rPr>
          <w:rFonts w:ascii="Arial" w:cs="Arial" w:eastAsia="Arial" w:hAnsi="Arial"/>
          <w:sz w:val="20"/>
          <w:szCs w:val="20"/>
        </w:rPr>
        <w:t xml:space="preserve">CGU. Estudo Dosimetria das Sanções Administrativas Disciplinares: Advertência e Suspensão.</w:t>
      </w:r>
    </w:p>
    <w:p>
      <w:pPr>
        <w:pStyle w:val="ListParagraph"/>
        <w:numPr>
          <w:ilvl w:val="0"/>
          <w:numId w:val="2"/>
        </w:numPr>
        <w:spacing w:after="60" w:before="60" w:line="260"/>
      </w:pPr>
      <w:r>
        <w:rPr>
          <w:rFonts w:ascii="Arial" w:cs="Arial" w:eastAsia="Arial" w:hAnsi="Arial"/>
          <w:sz w:val="20"/>
          <w:szCs w:val="20"/>
        </w:rPr>
        <w:t xml:space="preserve">CGU. Manual de Processo Administrativo Disciplinar, 2022.</w:t>
      </w:r>
    </w:p>
    <w:p>
      <w:pPr>
        <w:pStyle w:val="ListParagraph"/>
        <w:numPr>
          <w:ilvl w:val="0"/>
          <w:numId w:val="2"/>
        </w:numPr>
        <w:spacing w:after="60" w:before="60" w:line="260"/>
      </w:pPr>
      <w:r>
        <w:rPr>
          <w:rFonts w:ascii="Arial" w:cs="Arial" w:eastAsia="Arial" w:hAnsi="Arial"/>
          <w:sz w:val="20"/>
          <w:szCs w:val="20"/>
        </w:rPr>
        <w:t xml:space="preserve">Corregedoria da RFB. Nota Técnica Coger nº 2006/1, de 21 de setembro de 2006.</w:t>
      </w:r>
    </w:p>
    <w:p>
      <w:pPr>
        <w:pStyle w:val="ListParagraph"/>
        <w:numPr>
          <w:ilvl w:val="0"/>
          <w:numId w:val="2"/>
        </w:numPr>
        <w:spacing w:after="60" w:before="60" w:line="260"/>
      </w:pPr>
      <w:r>
        <w:rPr>
          <w:rFonts w:ascii="Arial" w:cs="Arial" w:eastAsia="Arial" w:hAnsi="Arial"/>
          <w:sz w:val="20"/>
          <w:szCs w:val="20"/>
        </w:rPr>
        <w:t xml:space="preserve">Corregedoria da RFB. Nota Técnica Coger/RFB nº 12/2021, de 9 de setembro de 2021.</w:t>
      </w:r>
    </w:p>
    <w:p>
      <w:pPr>
        <w:pStyle w:val="ListParagraph"/>
        <w:numPr>
          <w:ilvl w:val="0"/>
          <w:numId w:val="2"/>
        </w:numPr>
        <w:spacing w:after="60" w:before="60" w:line="260"/>
      </w:pPr>
      <w:r>
        <w:rPr>
          <w:rFonts w:ascii="Arial" w:cs="Arial" w:eastAsia="Arial" w:hAnsi="Arial"/>
          <w:sz w:val="20"/>
          <w:szCs w:val="20"/>
        </w:rPr>
        <w:t xml:space="preserve">TEIXEIRA, Marcos Salles. Anotações sobre processo administrativo disciplinar. Distrito Federal: CGU, 2025. Disponível em: https://basedeconhecimento.cgu.gov.br/handle/1/20744.</w:t>
      </w:r>
    </w:p>
    <w:p>
      <w:pPr>
        <w:pStyle w:val="ListParagraph"/>
        <w:numPr>
          <w:ilvl w:val="0"/>
          <w:numId w:val="2"/>
        </w:numPr>
        <w:spacing w:after="60" w:before="60" w:line="260"/>
      </w:pPr>
      <w:r>
        <w:rPr>
          <w:rFonts w:ascii="Arial" w:cs="Arial" w:eastAsia="Arial" w:hAnsi="Arial"/>
          <w:sz w:val="20"/>
          <w:szCs w:val="20"/>
        </w:rPr>
        <w:t xml:space="preserve">ÁVILA, Humberto. Teoria dos Princípios: da definição à aplicação dos princípios jurídicos. 3. ed. São Paulo: Malheiros, 2004.</w:t>
      </w:r>
    </w:p>
    <w:p>
      <w:r>
        <w:t xml:space="preserve"/>
      </w:r>
    </w:p>
    <w:p>
      <w:r>
        <w:t xml:space="preserve"/>
      </w:r>
    </w:p>
    <w:p>
      <w:pPr>
        <w:pBdr>
          <w:top w:val="single" w:color="1F3864" w:sz="4" w:space="4"/>
        </w:pBdr>
        <w:spacing w:after="0" w:before="200"/>
        <w:jc w:val="center"/>
      </w:pPr>
      <w:r>
        <w:rPr>
          <w:rFonts w:ascii="Arial" w:cs="Arial" w:eastAsia="Arial" w:hAnsi="Arial"/>
          <w:i/>
          <w:iCs/>
          <w:color w:val="555555"/>
          <w:sz w:val="18"/>
          <w:szCs w:val="18"/>
        </w:rPr>
        <w:t xml:space="preserve">Corregedoria da Receita Federal do Brasil  ·  Calculadora de Dosimetria v3  ·  Uso restrito a servidores autorizados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555555"/>
        <w:sz w:val="16"/>
        <w:szCs w:val="16"/>
      </w:rPr>
      <w:t xml:space="preserve">Uso restrito a servidores autorizados  |  Brasília · 2026  |  Pág.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555555"/>
        <w:sz w:val="16"/>
        <w:szCs w:val="16"/>
      </w:rPr>
      <w:t xml:space="preserve">Manual da Calculadora de Dosimetria v3 — Coger/RFB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509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2026-06-11T19:11:11.513Z</dcterms:created>
  <dcterms:modified xsi:type="dcterms:W3CDTF">2026-06-11T19:11:11.525Z</dcterms:modified>
</cp:coreProperties>
</file>

<file path=docProps/custom.xml><?xml version="1.0" encoding="utf-8"?>
<Properties xmlns="http://schemas.openxmlformats.org/officeDocument/2006/custom-properties" xmlns:vt="http://schemas.openxmlformats.org/officeDocument/2006/docPropsVTypes"/>
</file>