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CORREGEDORIA DA RECEITA FEDERAL DO BRASIL</w:t>
      </w:r>
    </w:p>
    <w:p>
      <w:r>
        <w:rPr>
          <w:b/>
        </w:rPr>
        <w:t>MANUAL TEÓRICO-PRÁTICO</w:t>
      </w:r>
    </w:p>
    <w:p>
      <w:r>
        <w:rPr>
          <w:b/>
        </w:rPr>
        <w:t>Calculadora</w:t>
      </w:r>
      <w:r>
        <w:rPr>
          <w:b/>
        </w:rPr>
        <w:t xml:space="preserve"> de </w:t>
      </w:r>
      <w:r>
        <w:rPr>
          <w:b/>
        </w:rPr>
        <w:t>Sanções</w:t>
      </w:r>
      <w:r>
        <w:rPr>
          <w:b/>
        </w:rPr>
        <w:t xml:space="preserve"> -</w:t>
      </w:r>
      <w:r>
        <w:rPr>
          <w:b/>
        </w:rPr>
        <w:t xml:space="preserve"> PAR</w:t>
      </w:r>
    </w:p>
    <w:p>
      <w:pPr>
        <w:pStyle w:val="Heading1"/>
        <w:pageBreakBefore/>
      </w:pPr>
    </w:p>
    <w:p>
      <w:r>
        <w:t>Processo Administrativo de Responsabilização — PAR Lei nº 12.846/2013 | Decreto nº 11.129/2022</w:t>
      </w:r>
    </w:p>
    <w:p>
      <w:r>
        <w:t>Versão junho de 2026</w:t>
      </w:r>
    </w:p>
    <w:p>
      <w:r>
        <w:rPr>
          <w:b/>
        </w:rPr>
        <w:t>Autores</w:t>
      </w:r>
    </w:p>
    <w:p>
      <w:r>
        <w:t>Cristina Torri Paiva</w:t>
      </w:r>
    </w:p>
    <w:p>
      <w:r>
        <w:t>Raphael Albuquerque de Souza</w:t>
      </w:r>
    </w:p>
    <w:p>
      <w:pPr>
        <w:pStyle w:val="Heading1"/>
      </w:pPr>
      <w:r>
        <w:t>SUMÁRIO</w:t>
      </w:r>
    </w:p>
    <w:p>
      <w:r>
        <w:fldChar w:fldCharType="begin"/>
        <w:instrText xml:space="preserve">TOC \o "1-3" \h \z \u</w:instrText>
        <w:fldChar w:fldCharType="separate"/>
        <w:t>Clique com o botão direito e escolha 'Atualizar campo' para gerar o sumário.</w:t>
        <w:fldChar w:fldCharType="end"/>
      </w:r>
    </w:p>
    <w:p>
      <w:pPr>
        <w:pStyle w:val="Heading1"/>
        <w:pageBreakBefore/>
      </w:pPr>
      <w:r>
        <w:t>APRESENTAÇÃO</w:t>
      </w:r>
    </w:p>
    <w:p>
      <w:r>
        <w:t>A responsabilização administrativa da pessoa jurídica por atos de corrupção é, simultaneamente, um instrumento de política pública e uma exigência de precisão técnica. A Lei nº 12.846/2013 — a Lei Anticorrupção — inaugurou no ordenamento jurídico brasileiro um regime de responsabilidade objetiva da empresa, deslocando o eixo punitivo da pessoa natural do corruptor para a organização que se beneficia do ato ilícito. Esse deslocamento não é apenas dogmático: ele reflete a compreensão, solidamente documentada pela ciência econômica contemporânea, de que a corrupção corporativa distorce mercados, inverte mecanismos de seleção competitiva e produz danos sistêmicos que transcendem o episódio individual investigado.</w:t>
      </w:r>
    </w:p>
    <w:p>
      <w:r>
        <w:t>O Processo Administrativo de Responsabilização (PAR) é o instrumento por meio do qual esse regime se realiza concretamente. Seu resultado central é a dosimetria da multa pecuniária: uma operação técnico-jurídica que traduz em cifra precisa o grau de reprovabilidade da conduta apurada, ponderando faturamento, vantagens auferidas, agravantes, atenuantes e limites legais. Executada corretamente, ela espelha não apenas os fatos do caso concreto, mas também os fundamentos que justificam a própria existência da lei.</w:t>
      </w:r>
    </w:p>
    <w:p>
      <w:r>
        <w:t xml:space="preserve">Este Manual foi concebido para que o operador do PAR, o servidor responsável por instruir, julgar ou revisar o processo, compreenda esses dois planos de forma integrada. A Parte I expõe os fundamentos teóricos da lei: o fenômeno econômico da corrupção e suas distorções documentadas; a trajetória normativa internacional que desembocou na Lei nº 12.846/2013, do FCPA norte-americano de 1977 à Convenção da OCDE de 1997 e ao </w:t>
      </w:r>
      <w:r>
        <w:rPr>
          <w:i/>
        </w:rPr>
        <w:t>Bribery</w:t>
      </w:r>
      <w:r>
        <w:rPr>
          <w:i/>
        </w:rPr>
        <w:t xml:space="preserve"> </w:t>
      </w:r>
      <w:r>
        <w:rPr>
          <w:i/>
        </w:rPr>
        <w:t>Act</w:t>
      </w:r>
      <w:r>
        <w:t xml:space="preserve"> britânico de 2010; os sujeitos alcançados e as hipóteses de sucessão e desconsideração da personalidade jurídica; a tipologia dos atos lesivos do art. 5º e suas implicações dosimétricas; o rito processual completo, da admissibilidade ao julgamento; o regime recursal; a prescrição administrativa e a prescrição da pretensão executória; a execução da multa em caso de inadimplemento; o acordo de leniência e sua interação com a dosimetria; os cadastros nacionais de sanções; e as interfaces entre a LAC, a Lei nº 14.133/2021 e a Lei de Improbidade Administrativa. A Parte II traduz esse arcabouço em procedimento operacional: apresenta, etapa por etapa, a metodologia de cálculo da multa e da publicação extraordinária conforme o Decreto nº 11.129/2022, com fórmulas, tabelas legais, fluxos de decisão, casos especiais e quatro estudos de caso comentados com memória de cálculo completa.</w:t>
      </w:r>
    </w:p>
    <w:p>
      <w:r>
        <w:t>A Calculadora de Multa PAR, ferramenta desenvolvida pela Corregedoria da Receita Federal do Brasil, automatiza o percurso descrito na Parte II. Mas nenhuma ferramenta substitui o julgamento fundamentado. A dosimetria da multa não é exercício aritmético: cada agravante e cada atenuante traduzem, em percentual, uma valoração jurídica sobre a gravidade da conduta, a postura da empresa durante o processo e o impacto concreto do ato lesivo sobre a administração pública. Aplicar percentuais sem compreender a razão que os sustenta é incorrer exatamente no risco que a responsabilidade objetiva buscou afastar: o da punição mecânica, despida de proporcionalidade.</w:t>
      </w:r>
    </w:p>
    <w:p>
      <w:r>
        <w:t>Por isso, recomenda-se a leitura integral da Parte I antes de utilizar a ferramenta descrita na Parte II. O operador que conhece a teoria aplica a calculadora com o necessário juízo crítico. Aquele que conhece apenas a mecânica opera no escuro.</w:t>
      </w:r>
    </w:p>
    <w:p>
      <w:pPr>
        <w:pStyle w:val="Heading1"/>
        <w:pageBreakBefore/>
        <w:jc w:val="center"/>
      </w:pPr>
      <w:r>
        <w:rPr>
          <w:sz w:val="48"/>
        </w:rPr>
        <w:t>PARTE I</w:t>
      </w:r>
    </w:p>
    <w:p>
      <w:pPr>
        <w:pStyle w:val="Heading1"/>
        <w:pageBreakBefore/>
      </w:pPr>
    </w:p>
    <w:p>
      <w:r>
        <w:rPr>
          <w:i/>
        </w:rPr>
        <w:t>Fundamentos</w:t>
      </w:r>
      <w:r>
        <w:rPr>
          <w:i/>
        </w:rPr>
        <w:t xml:space="preserve"> </w:t>
      </w:r>
      <w:r>
        <w:rPr>
          <w:i/>
        </w:rPr>
        <w:t>Teóricos</w:t>
      </w:r>
      <w:r>
        <w:rPr>
          <w:i/>
        </w:rPr>
        <w:t xml:space="preserve"> do PAR</w:t>
      </w:r>
    </w:p>
    <w:p>
      <w:pPr>
        <w:pStyle w:val="Heading1"/>
        <w:pageBreakBefore/>
      </w:pPr>
      <w:r>
        <w:t>1. A CORRUPÇÃO E SUAS DISTORÇÕES</w:t>
      </w:r>
    </w:p>
    <w:p>
      <w:r>
        <w:rPr>
          <w:b/>
        </w:rPr>
        <w:t>Introdução: a corrupção como fenômeno econômico e jurídico</w:t>
      </w:r>
    </w:p>
    <w:p>
      <w:r>
        <w:t xml:space="preserve">Compreender a finalidade da Lei Anticorrupção exige, antes, compreender o mal que ela combate. Durante décadas, parte relevante da literatura econômica sustentou que a corrupção poderia desempenhar um papel funcional nas economias em desenvolvimento: a propina seria um mecanismo informal de agilização burocrática — o chamado </w:t>
      </w:r>
      <w:r>
        <w:rPr>
          <w:i/>
        </w:rPr>
        <w:t>grease</w:t>
      </w:r>
      <w:r>
        <w:rPr>
          <w:i/>
        </w:rPr>
        <w:t xml:space="preserve"> </w:t>
      </w:r>
      <w:r>
        <w:rPr>
          <w:i/>
        </w:rPr>
        <w:t>the</w:t>
      </w:r>
      <w:r>
        <w:rPr>
          <w:i/>
        </w:rPr>
        <w:t xml:space="preserve"> </w:t>
      </w:r>
      <w:r>
        <w:rPr>
          <w:i/>
        </w:rPr>
        <w:t>wheels</w:t>
      </w:r>
      <w:r>
        <w:t xml:space="preserve"> ("untar as rodas"). Essa tese, associada originalmente aos trabalhos de Leff (1964), Huntington (1968) e Leys (1965), partia da premissa de que, em ambientes de regulação excessiva e burocracia rígida, o pagamento de vantagens indevidas operaria como válvula de escape, permitindo que agentes econômicos eficientes contornassem obstáculos institucionais desnecessários.</w:t>
      </w:r>
    </w:p>
    <w:p>
      <w:r>
        <w:t>Essa hipótese propõe que a corrupção pode ser benéfica num contexto de segunda melhor opção (</w:t>
      </w:r>
      <w:r>
        <w:rPr>
          <w:i/>
        </w:rPr>
        <w:t>second</w:t>
      </w:r>
      <w:r>
        <w:rPr>
          <w:i/>
        </w:rPr>
        <w:t xml:space="preserve"> </w:t>
      </w:r>
      <w:r>
        <w:rPr>
          <w:i/>
        </w:rPr>
        <w:t>best</w:t>
      </w:r>
      <w:r>
        <w:t>), em razão das distorções provocadas pelo mau funcionamento das instituições. O argumento central é que uma burocracia ineficiente constitui impedimento ao investimento, que o chamado "dinheiro de velocidade" (</w:t>
      </w:r>
      <w:r>
        <w:rPr>
          <w:i/>
        </w:rPr>
        <w:t>speed</w:t>
      </w:r>
      <w:r>
        <w:rPr>
          <w:i/>
        </w:rPr>
        <w:t xml:space="preserve"> </w:t>
      </w:r>
      <w:r>
        <w:rPr>
          <w:i/>
        </w:rPr>
        <w:t>money</w:t>
      </w:r>
      <w:r>
        <w:t>) ajudaria a contornar.</w:t>
      </w:r>
    </w:p>
    <w:p>
      <w:r>
        <w:t>A tese, contudo, é empiricamente falsa e metodologicamente perigosa — e sua refutação constitui o fundamento teórico mais sólido para a responsabilização objetiva da pessoa jurídica prevista na Lei nº 12.846/2013.</w:t>
      </w:r>
    </w:p>
    <w:p>
      <w:pPr>
        <w:pStyle w:val="Heading2"/>
      </w:pPr>
      <w:r>
        <w:t>1.1 Tipos de Corrupção</w:t>
      </w:r>
    </w:p>
    <w:p>
      <w:r>
        <w:t>A doutrina econômica contemporânea identifica pelo menos dois tipos funcionalmente distintos de corrupção, com mecanismos e consequências próprios. Ambos são relevantes para a correta compreensão do bem jurídico tutelado pela Lei Anticorrupção e para a dosimetria da multa — especialmente no que diz respeito à identificação do ato lesivo (art. 5º) e à avaliação dos danos à administração pública.</w:t>
      </w:r>
    </w:p>
    <w:p>
      <w:pPr>
        <w:pStyle w:val="Heading3"/>
      </w:pPr>
      <w:r>
        <w:t>1.1.1 Speedy Money (Dinheiro de Velocidade)</w:t>
      </w:r>
    </w:p>
    <w:p>
      <w:r>
        <w:t xml:space="preserve">O primeiro tipo — o </w:t>
      </w:r>
      <w:r>
        <w:rPr>
          <w:i/>
        </w:rPr>
        <w:t>speed</w:t>
      </w:r>
      <w:r>
        <w:rPr>
          <w:i/>
        </w:rPr>
        <w:t xml:space="preserve"> </w:t>
      </w:r>
      <w:r>
        <w:rPr>
          <w:i/>
        </w:rPr>
        <w:t>money</w:t>
      </w:r>
      <w:r>
        <w:t xml:space="preserve"> ou </w:t>
      </w:r>
      <w:r>
        <w:rPr>
          <w:i/>
        </w:rPr>
        <w:t>grease</w:t>
      </w:r>
      <w:r>
        <w:rPr>
          <w:i/>
        </w:rPr>
        <w:t xml:space="preserve"> </w:t>
      </w:r>
      <w:r>
        <w:rPr>
          <w:i/>
        </w:rPr>
        <w:t>money</w:t>
      </w:r>
      <w:r>
        <w:t xml:space="preserve"> — é a forma de corrupção diretamente associada à hipótese que a própria ciência econômica já refutou. Trata-se da propina paga para acelerar procedimentos burocráticos: obtenção de licenças, liberação de alvarás, aprovação de projetos, despacho aduaneiro e congêneres.</w:t>
      </w:r>
    </w:p>
    <w:p>
      <w:r>
        <w:t xml:space="preserve">A refutação mais rigorosa dessa hipótese encontra-se no trabalho seminal de Kaufmann e Wei, publicado como </w:t>
      </w:r>
      <w:r>
        <w:rPr>
          <w:i/>
        </w:rPr>
        <w:t xml:space="preserve">NBER </w:t>
      </w:r>
      <w:r>
        <w:rPr>
          <w:i/>
        </w:rPr>
        <w:t>Working</w:t>
      </w:r>
      <w:r>
        <w:rPr>
          <w:i/>
        </w:rPr>
        <w:t xml:space="preserve"> </w:t>
      </w:r>
      <w:r>
        <w:rPr>
          <w:i/>
        </w:rPr>
        <w:t>Paper</w:t>
      </w:r>
      <w:r>
        <w:t xml:space="preserve"> nº 7.093 (1999) e posteriormente editado como documento de trabalho do FMI. Contrariamente à teoria do "lubrificante eficiente", as evidências empíricas demonstram que empresas que pagam mais propinas também tendem a despender mais — e não menos — tempo gerencial negociando com burocratas, e enfrentam custo de capital mais elevado, e não inferior.</w:t>
      </w:r>
    </w:p>
    <w:p>
      <w:r>
        <w:t>O mecanismo explicativo é de natureza estratégica e revela a dinâmica central desse tipo de corrupção: em equilíbrio geral, quando o ônus regulatório e os atrasos podem ser endogenamente escolhidos por burocratas em busca de renda, a burocracia efetiva — e não apenas a nominal — tende a ser positivamente correlacionada com o pagamento de propinas entre as firmas. Em outras palavras, o agente público corruptível não apenas remove entraves existentes — ele os cria deliberadamente para extrair renda. A propina não elimina a barreira; ela a pressupõe e a perpetua.</w:t>
      </w:r>
    </w:p>
    <w:p>
      <w:r>
        <w:t>Como anotou o célebre politólogo Samuel P. Huntington em 1968, "em termos de crescimento econômico, a única coisa pior do que uma sociedade com uma burocracia rígida, centralizada e desonesta é uma com burocracia rígida, centralizada e honesta." Essa visão reflete o núcleo da hipótese do "lubrificante" — mas os dados a contrariam sistematicamente.</w:t>
      </w:r>
    </w:p>
    <w:p>
      <w:r>
        <w:t xml:space="preserve">A consequência prática do </w:t>
      </w:r>
      <w:r>
        <w:rPr>
          <w:i/>
        </w:rPr>
        <w:t>speed</w:t>
      </w:r>
      <w:r>
        <w:rPr>
          <w:i/>
        </w:rPr>
        <w:t xml:space="preserve"> </w:t>
      </w:r>
      <w:r>
        <w:rPr>
          <w:i/>
        </w:rPr>
        <w:t>money</w:t>
      </w:r>
      <w:r>
        <w:t xml:space="preserve"> é tripla: (i) gera tolerância social generalizada ao pagamento de propinas como custo operacional; (ii) induz novas demandas corruptivas, pois o agente público percebe que o mercado de vantagens indevidas é elástico; e (iii) acentua distorções econômicas ao deslocar recursos — gerenciais, financeiros e humanos — do processo produtivo para a negociação com a burocracia.</w:t>
      </w:r>
    </w:p>
    <w:p>
      <w:pPr>
        <w:pStyle w:val="Heading3"/>
      </w:pPr>
      <w:r>
        <w:t>1.1.2 Rent Seeking (Busca de Renda)</w:t>
      </w:r>
    </w:p>
    <w:p>
      <w:r>
        <w:t xml:space="preserve">O segundo tipo — a </w:t>
      </w:r>
      <w:r>
        <w:rPr>
          <w:i/>
        </w:rPr>
        <w:t>rent</w:t>
      </w:r>
      <w:r>
        <w:rPr>
          <w:i/>
        </w:rPr>
        <w:t xml:space="preserve"> </w:t>
      </w:r>
      <w:r>
        <w:rPr>
          <w:i/>
        </w:rPr>
        <w:t>seeking</w:t>
      </w:r>
      <w:r>
        <w:rPr>
          <w:i/>
        </w:rPr>
        <w:t xml:space="preserve"> </w:t>
      </w:r>
      <w:r>
        <w:rPr>
          <w:i/>
        </w:rPr>
        <w:t>corruption</w:t>
      </w:r>
      <w:r>
        <w:t xml:space="preserve"> — opera em nível estruturalmente mais profundo. O conceito foi sistematizado por Anne O. Krueger em estudo publicado no </w:t>
      </w:r>
      <w:r>
        <w:rPr>
          <w:i/>
        </w:rPr>
        <w:t>American Economic Review</w:t>
      </w:r>
      <w:r>
        <w:t xml:space="preserve"> de junho de 1974, considerado um dos vinte artigos mais influentes da história da revista. Krueger demonstrou que, em muitas economias de mercado, restrições governamentais à atividade econômica são fatos pervasivos da vida. Tais restrições geram rendas de variadas formas, e as pessoas frequentemente competem por elas. Por vezes, essa competição é inteiramente legal; em outros casos, a busca de renda assume a forma de suborno, corrupção, contrabando e mercados negros.</w:t>
      </w:r>
    </w:p>
    <w:p>
      <w:r>
        <w:t xml:space="preserve">A corrupção do tipo </w:t>
      </w:r>
      <w:r>
        <w:rPr>
          <w:i/>
        </w:rPr>
        <w:t>rent</w:t>
      </w:r>
      <w:r>
        <w:rPr>
          <w:i/>
        </w:rPr>
        <w:t xml:space="preserve"> </w:t>
      </w:r>
      <w:r>
        <w:rPr>
          <w:i/>
        </w:rPr>
        <w:t>seeking</w:t>
      </w:r>
      <w:r>
        <w:t xml:space="preserve"> não se limita, portanto, a agilizar trâmites: ela é orientada à captura de posições privilegiadas de mercado — licenças de importação, contratos públicos, concessões, autorizações regulatórias — por meio de relações espúrias com agentes do Estado. A intuição central de Krueger é que, quando as pessoas competem por quotas e licenças, boa parte das rendas pelas quais competem é dissipada na própria competição por essas rendas. Recursos que deveriam ser alocados à inovação, à produtividade e ao investimento são desviados para atividades economicamente improdutivas.</w:t>
      </w:r>
    </w:p>
    <w:p>
      <w:r>
        <w:t xml:space="preserve">A afirmação intuitiva de que "só o mais eficiente paga propina" e, portanto, o mercado, mesmo corrompido, selecionaria os melhores, é logicamente incorreta. Shleifer e Vishny, em artigo seminal publicado no </w:t>
      </w:r>
      <w:r>
        <w:rPr>
          <w:i/>
        </w:rPr>
        <w:t>Quarterly</w:t>
      </w:r>
      <w:r>
        <w:rPr>
          <w:i/>
        </w:rPr>
        <w:t xml:space="preserve"> </w:t>
      </w:r>
      <w:r>
        <w:rPr>
          <w:i/>
        </w:rPr>
        <w:t>Journal</w:t>
      </w:r>
      <w:r>
        <w:rPr>
          <w:i/>
        </w:rPr>
        <w:t xml:space="preserve"> </w:t>
      </w:r>
      <w:r>
        <w:rPr>
          <w:i/>
        </w:rPr>
        <w:t>of</w:t>
      </w:r>
      <w:r>
        <w:rPr>
          <w:i/>
        </w:rPr>
        <w:t xml:space="preserve"> </w:t>
      </w:r>
      <w:r>
        <w:rPr>
          <w:i/>
        </w:rPr>
        <w:t>Economics</w:t>
      </w:r>
      <w:r>
        <w:t xml:space="preserve"> em 1993, demonstraram que a ilegalidade da corrupção e a necessidade de sigilo tornam-na muito mais distorciva e custosa do que a tributação — seu paralelo lícito. Isso ocorre porque a corrupção não pode ser anunciada, auditada ou padronizada: ela favorece as firmas com melhores conexões políticas, não necessariamente as mais produtivas.</w:t>
      </w:r>
    </w:p>
    <w:p>
      <w:r>
        <w:t>O resultado é uma seleção adversa sistêmica: o mercado corrupto não premia a eficiência produtiva, mas a capacidade relacional com o poder público. Empresas honestas e tecnicamente superiores são sistematicamente excluídas dos processos competitivos, enquanto firmas com acesso privilegiado a agentes corruptos obtêm vantagens duradouras e indevidas.</w:t>
      </w:r>
    </w:p>
    <w:p>
      <w:pPr>
        <w:pStyle w:val="Heading2"/>
      </w:pPr>
      <w:r>
        <w:t>1.2 Distorções Econômicas e Sociais</w:t>
      </w:r>
    </w:p>
    <w:p>
      <w:r>
        <w:t>Os dois tipos de corrupção acima descritos convergem para um conjunto de distorções macroeconômicas e sociais que justificam a adoção de um regime de responsabilização objetiva da pessoa jurídica. A literatura econômica contemporânea identifica, com base em evidências empíricas robustas, ao menos três classes de efeitos sistêmicos:</w:t>
      </w:r>
    </w:p>
    <w:p>
      <w:r>
        <w:t>a) Seleção adversa: A corrupção inverte o mecanismo de seleção de mercado. Não vencem necessariamente as empresas mais eficientes, inovadoras ou comprometidas com qualidade — vencem aquelas dispostas a corromper e com melhores vínculos junto a agentes corruptos. Rose-Ackerman (1978; 1999) demonstrou que esse mecanismo produz estruturas de mercado dominadas por empresas com vantagens de natureza espúria, em detrimento das que competem pela via legítima da produtividade.</w:t>
      </w:r>
    </w:p>
    <w:p>
      <w:r>
        <w:t>b) Alocação ineficiente de recursos: Bardhan, em revisão sistemática da literatura publicada no Journal of Economic Literature em 1997, consolidou as evidências sobre os canais pelos quais a corrupção prejudica economias em desenvolvimento. A corrupção compromete os mecanismos de alocação eficiente de recursos, distorce as escolhas do setor público e perpetua-se como fenômeno estruturalmente resistente por razões institucionais e culturais. No plano concreto, isso se traduz em obras superfaturadas, contratos de serviços desnecessários ou de qualidade inferior, e desvio de investimento público de áreas socialmente prioritárias para setores de maior opacidade e, portanto, maior extração de renda.</w:t>
      </w:r>
    </w:p>
    <w:p>
      <w:r>
        <w:t>c) Redução da competição e exclusão de entrantes honestos: Empresas que recusam participar de esquemas corruptivos são afastadas de licitações e mercados regulados — os chamados "pseudoleilões" — cujos resultados estão previamente comprometidos. Essa dinâmica produz concentração de mercado artificialmente imposta pela corrupção, com consequências diretas sobre a qualidade dos bens e serviços fornecidos ao Estado e, em última análise, ao cidadão.</w:t>
      </w:r>
    </w:p>
    <w:p>
      <w:pPr>
        <w:pStyle w:val="Heading1"/>
        <w:pageBreakBefore/>
      </w:pPr>
      <w:r>
        <w:t xml:space="preserve">⚠  </w:t>
      </w:r>
      <w:r>
        <w:rPr>
          <w:b/>
        </w:rPr>
        <w:t>Nota</w:t>
      </w:r>
      <w:r>
        <w:rPr>
          <w:b/>
        </w:rPr>
        <w:t xml:space="preserve"> para o operador do PAR:</w:t>
      </w:r>
      <w:r>
        <w:t xml:space="preserve"> A dosimetria da multa não é mero exercício aritmético. Cada agravante e atenuante traduz, em percentual, o grau de reprovabilidade da conduta à luz desses danos sociais documentados pela ciência econômica. A correta identificação do tipo de corrupção praticada — </w:t>
      </w:r>
      <w:r>
        <w:rPr>
          <w:i/>
        </w:rPr>
        <w:t>speed</w:t>
      </w:r>
      <w:r>
        <w:rPr>
          <w:i/>
        </w:rPr>
        <w:t xml:space="preserve"> </w:t>
      </w:r>
      <w:r>
        <w:rPr>
          <w:i/>
        </w:rPr>
        <w:t>money</w:t>
      </w:r>
      <w:r>
        <w:t xml:space="preserve"> ou </w:t>
      </w:r>
      <w:r>
        <w:rPr>
          <w:i/>
        </w:rPr>
        <w:t>rent</w:t>
      </w:r>
      <w:r>
        <w:rPr>
          <w:i/>
        </w:rPr>
        <w:t xml:space="preserve"> </w:t>
      </w:r>
      <w:r>
        <w:rPr>
          <w:i/>
        </w:rPr>
        <w:t>seeking</w:t>
      </w:r>
      <w:r>
        <w:t xml:space="preserve"> — informa diretamente a avaliação do concurso de atos lesivos (art. 22, I), da ciência hierárquica (art. 22, II) e do valor dos contratos com o ente lesado (art. 22, VI).</w:t>
      </w:r>
    </w:p>
    <w:p>
      <w:pPr>
        <w:pStyle w:val="Heading3"/>
        <w:spacing w:after="150" w:before="300"/>
      </w:pPr>
      <w:r>
        <w:t xml:space="preserve">1.2.1 Evidência Empírica Brasileira: o Programa de Fiscalização por Sorteios da CGU</w:t>
      </w:r>
    </w:p>
    <w:p>
      <w:pPr>
        <w:spacing w:after="160" w:line="276"/>
      </w:pPr>
      <w:r>
        <w:rPr>
          <w:rFonts w:ascii="Calibri" w:cs="Calibri" w:eastAsia="Calibri" w:hAnsi="Calibri"/>
          <w:b w:val="false"/>
          <w:bCs w:val="false"/>
          <w:i w:val="false"/>
          <w:iCs w:val="false"/>
          <w:sz w:val="22"/>
          <w:szCs w:val="22"/>
        </w:rPr>
        <w:t xml:space="preserve">A literatura teórica revisada no item 1.1 e 1.2 encontra confirmação empírica direta em dados brasileiros. Cláudio Ferraz e Frederico Finan, em estudo publicado na Quarterly Journal of Economics em 2008, analisaram o programa de fiscalização por sorteios públicos de municípios conduzido pela própria CGU a partir de 2003, no qual municípios de pequeno e médio porte são selecionados aleatoriamente para auditoria de recursos federais repassados, com divulgação pública dos resultados. Os autores demonstraram que a divulgação dos relatórios de auditoria antes das eleições municipais de 2004 reduziu significativamente a probabilidade de reeleição de prefeitos cujos municípios foram flagrados com irregularidades, e que esse efeito era ainda mais pronunciado nos municípios com emissora de rádio local — evidenciando o papel da transparência e da mídia local no fortalecimento do controle social sobre o uso do dinheiro público. Estudos subsequentes dos mesmos autores, examinando período mais longo (2006-2013), indicaram que o programa de auditorias também produziu efeito de responsabilização judicial, não apenas eleitoral, reforçando a tese de que a exposição pública de irregularidades é mecanismo autônomo de controle da corrupção, distinto e complementar à responsabilização administrativa e penal individual.</w:t>
      </w:r>
    </w:p>
    <w:p>
      <w:pPr>
        <w:spacing w:after="160" w:line="276"/>
      </w:pPr>
      <w:r>
        <w:rPr>
          <w:rFonts w:ascii="Calibri" w:cs="Calibri" w:eastAsia="Calibri" w:hAnsi="Calibri"/>
          <w:b w:val="false"/>
          <w:bCs w:val="false"/>
          <w:i w:val="false"/>
          <w:iCs w:val="false"/>
          <w:sz w:val="22"/>
          <w:szCs w:val="22"/>
        </w:rPr>
        <w:t xml:space="preserve">Esse achado empírico é relevante para o operador do PAR por uma razão estrutural: a publicação extraordinária da decisão condenatória (art. 6º, II, da LAC) não é sanção meramente simbólica ou acessória. Ela replica, no âmbito da responsabilização de pessoas jurídicas, a mesma lógica de exposição pública que a evidência de Ferraz e Finan associa à redução de práticas irregulares — a publicidade da sanção opera como mecanismo de reputação e dissuasão que se soma, e não se subordina, ao efeito pecuniário da multa.</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Duas empresas praticam o mesmo ato lesivo e recebem multas de valor equivalente. Uma delas tem grande visibilidade em seu mercado consumidor (por exemplo, fornecedora de bens de consumo com marca reconhecida); a outra opera como fornecedora industrial de nicho, com baixíssima exposição de marca. A evidência empírica sobre o efeito reputacional da publicidade de irregularidades sugere que o impacto dissuasório da publicação extraordinária tende a ser assimétrico entre as duas — o que não altera o cálculo da multa (que segue critérios objetivos), mas é argumento relevante para a comissão processante não subestimar, na motivação da decisão, o peso da publicação extraordinária como componente autônomo da resposta sancionatória, ainda que não quantificável na fórmula da dosimetria.</w:t>
            </w:r>
          </w:p>
        </w:tc>
      </w:tr>
    </w:tbl>
    <w:p/>
    <w:p>
      <w:pPr>
        <w:pStyle w:val="Heading1"/>
        <w:pageBreakBefore/>
      </w:pPr>
      <w:r>
        <w:t>2. A LEI ANTICORRUPÇÃO: ORIGEM E CARACTERÍSTICAS</w:t>
      </w:r>
    </w:p>
    <w:p>
      <w:pPr>
        <w:pStyle w:val="Heading2"/>
      </w:pPr>
      <w:r>
        <w:t>2.1 Contexto Histórico e Pressão Internacional</w:t>
      </w:r>
    </w:p>
    <w:p>
      <w:r>
        <w:t xml:space="preserve">A Lei nº 12.846/2013 não surgiu num vácuo legislativo. Ela é o resultado de um processo normativo internacional que se desenvolveu ao longo de três décadas, impulsionado pela percepção crescente de que a corrupção transnacional exigia resposta sistêmica e multilateral — e que os sistemas jurídicos domésticos, até então centrados na punição da pessoa física e na dimensão passiva do delito (o corrompido), eram estruturalmente insuficientes para enfrentar o </w:t>
      </w:r>
      <w:r>
        <w:rPr>
          <w:i/>
        </w:rPr>
        <w:t>lado da oferta</w:t>
      </w:r>
      <w:r>
        <w:t xml:space="preserve"> da corrupção corporativa.</w:t>
      </w:r>
    </w:p>
    <w:p>
      <w:pPr>
        <w:pStyle w:val="Heading3"/>
      </w:pPr>
      <w:r>
        <w:t>2.1.1 O Pioneirismo Norte-Americano: o FCPA de 1977</w:t>
      </w:r>
    </w:p>
    <w:p>
      <w:r>
        <w:t xml:space="preserve">O ponto de partida histórico da responsabilização corporativa por atos de corrupção transnacional é o </w:t>
      </w:r>
      <w:r>
        <w:rPr>
          <w:i/>
        </w:rPr>
        <w:t>Foreign</w:t>
      </w:r>
      <w:r>
        <w:rPr>
          <w:i/>
        </w:rPr>
        <w:t xml:space="preserve"> </w:t>
      </w:r>
      <w:r>
        <w:rPr>
          <w:i/>
        </w:rPr>
        <w:t>Corrupt</w:t>
      </w:r>
      <w:r>
        <w:rPr>
          <w:i/>
        </w:rPr>
        <w:t xml:space="preserve"> </w:t>
      </w:r>
      <w:r>
        <w:rPr>
          <w:i/>
        </w:rPr>
        <w:t>Practices</w:t>
      </w:r>
      <w:r>
        <w:rPr>
          <w:i/>
        </w:rPr>
        <w:t xml:space="preserve"> </w:t>
      </w:r>
      <w:r>
        <w:rPr>
          <w:i/>
        </w:rPr>
        <w:t>Act</w:t>
      </w:r>
      <w:r>
        <w:t xml:space="preserve"> (FCPA), promulgado nos Estados Unidos em 19 de dezembro de 1977. O Congresso norte-americano aprovou o FCPA em resposta a investigação conduzida pela </w:t>
      </w:r>
      <w:r>
        <w:rPr>
          <w:i/>
        </w:rPr>
        <w:t>Securities</w:t>
      </w:r>
      <w:r>
        <w:rPr>
          <w:i/>
        </w:rPr>
        <w:t xml:space="preserve"> </w:t>
      </w:r>
      <w:r>
        <w:rPr>
          <w:i/>
        </w:rPr>
        <w:t>and</w:t>
      </w:r>
      <w:r>
        <w:rPr>
          <w:i/>
        </w:rPr>
        <w:t xml:space="preserve"> Exchange Commission</w:t>
      </w:r>
      <w:r>
        <w:t xml:space="preserve"> (SEC) na esteira do escândalo Watergate, que revelou que empresas estadunidenses haviam despendido centenas de milhões de dólares em pagamentos de propinas a agentes públicos estrangeiros.</w:t>
      </w:r>
    </w:p>
    <w:p>
      <w:r>
        <w:t xml:space="preserve">O FCPA foi promulgado com o propósito específico de tornar ilícito que determinadas classes de pessoas e entidades realizem pagamentos a funcionários públicos estrangeiros com o objetivo de obter ou manter negócios. Pela primeira vez na história do direito comparado, uma lei nacional responsabilizava diretamente a </w:t>
      </w:r>
      <w:r>
        <w:rPr>
          <w:i/>
        </w:rPr>
        <w:t>pessoa jurídica</w:t>
      </w:r>
      <w:r>
        <w:t xml:space="preserve"> pelo pagamento de vantagens indevidas a agentes públicos — deslocando o foco punitivo da pessoa natural do corruptor para a organização empresarial que se beneficia do ato ilícito.</w:t>
      </w:r>
    </w:p>
    <w:p>
      <w:r>
        <w:t>A consequência geopolítica do FCPA foi, paradoxalmente, uma desvantagem competitiva para as empresas norte-americanas: enquanto as corporações dos Estados Unidos estavam sujeitas a sanções severas por práticas corriqueiras em seus concorrentes europeus e asiáticos — para os quais o pagamento de propinas no exterior era, em muitos casos, fiscalmente dedutível —, estas operavam sem qualquer restrição legal doméstica equivalente. Essa assimetria regulatória motivou a intensa pressão norte-americana junto à OCDE para a criação de um padrão mínimo multilateral, a fim de nivelar o campo de jogo no comércio internacional.</w:t>
      </w:r>
    </w:p>
    <w:p>
      <w:pPr>
        <w:pStyle w:val="Heading3"/>
      </w:pPr>
      <w:r>
        <w:t>2.1.2 A Convenção da OCDE de 1997: A Virada Multilateral</w:t>
      </w:r>
    </w:p>
    <w:p>
      <w:r>
        <w:t xml:space="preserve">O mais importante instrumento internacional no combate à corrupção corporativa transnacional é a Convenção sobre o Combate da Corrupção de Funcionários Públicos Estrangeiros em Transações Comerciais Internacionais, adotada sob os auspícios da Organização para a Cooperação e Desenvolvimento Econômico (OCDE). A Convenção foi assinada em 17 de dezembro de 1997 e entrou em vigor em 15 de fevereiro de 1999. Trata-se de acordo internacional juridicamente vinculante que foca no lado da </w:t>
      </w:r>
      <w:r>
        <w:rPr>
          <w:i/>
        </w:rPr>
        <w:t>oferta</w:t>
      </w:r>
      <w:r>
        <w:t xml:space="preserve"> da corrupção, criminalizando os atos de oferta ou concessão de propinas a funcionários públicos estrangeiros por empresas ou indivíduos, com o objetivo de criar um ambiente equitativo nos negócios internacionais.</w:t>
      </w:r>
    </w:p>
    <w:p>
      <w:r>
        <w:t>Antes de 1997, a maioria dos grandes países exportadores não havia adotado essa lógica; em muitos deles, pagamentos de propinas no exterior eram dedutíveis para fins tributários. Com a Convenção, os países da OCDE reconheceram sua responsabilidade por sancionar a corrupção transfronteiriça envolvendo as empresas sediadas em seus territórios.</w:t>
      </w:r>
    </w:p>
    <w:p>
      <w:r>
        <w:t>A Convenção da OCDE estabeleceu obrigações concretas para seus signatários em matéria de responsabilidade da pessoa jurídica. O art. 2 da Convenção exige que os Estados-Partes adotem as medidas necessárias, em conformidade com seus princípios jurídicos, para estabelecer a responsabilidade de pessoas jurídicas pela prática de suborno de funcionários públicos estrangeiros. Essa determinação foi o gatilho normativo que induziu países de sistema jurídico continental — como o Brasil — a inovar em seu ordenamento interno para criar hipóteses de responsabilização da empresa independentemente da responsabilização da pessoa física.</w:t>
      </w:r>
    </w:p>
    <w:p>
      <w:pPr>
        <w:pStyle w:val="Heading3"/>
      </w:pPr>
      <w:r>
        <w:t>2.1.3 A Convenção de Mérida (CNUCC) de 2003</w:t>
      </w:r>
    </w:p>
    <w:p>
      <w:r>
        <w:t>O segundo grande instrumento multilateral é a Convenção das Nações Unidas contra a Corrupção (CNUCC), negociada no âmbito do Escritório das Nações Unidas sobre Drogas e Crime (UNODC) e aberta à assinatura em Mérida, México, entre 9 e 11 de dezembro de 2003. A CNUCC é o único tratado anticorrupção multilateral juridicamente vinculante de alcance universal. Adotada pela Assembleia Geral das Nações Unidas em outubro de 2003, entrou em vigor em dezembro de 2005</w:t>
      </w:r>
    </w:p>
    <w:p>
      <w:r>
        <w:t>A Convenção abrange cinco grandes áreas: medidas preventivas, criminalização e aplicação da lei, cooperação internacional, recuperação de ativos, e assistência técnica e intercâmbio de informações. Cobre diversas formas de corrupção, como suborno, tráfico de influência, abuso de funções e atos de corrupção no setor privado.</w:t>
      </w:r>
    </w:p>
    <w:p>
      <w:r>
        <w:t>Em matéria de responsabilidade da pessoa jurídica, o art. 26 da CNUCC é imperativo. O dispositivo exige que cada Estado-Parte adote as medidas necessárias para estabelecer a responsabilidade de pessoas jurídicas pela participação nos delitos previstos na Convenção. A responsabilidade poderá ser criminal, civil ou administrativa, e não prejudicará a responsabilidade criminal das pessoas naturais que cometeram as infrações.</w:t>
      </w:r>
    </w:p>
    <w:p>
      <w:r>
        <w:t>No Brasil, a CNUCC foi ratificada pelo Decreto Legislativo nº 348, de 18 de maio de 2005, e promulgada pelo Decreto Presidencial nº 5.687, de 31 de janeiro de 2006 — tornando-se, portanto, direito interno vigente sete anos antes da promulgação da Lei nº 12.846/2013.</w:t>
      </w:r>
    </w:p>
    <w:p>
      <w:pPr>
        <w:pStyle w:val="Heading3"/>
      </w:pPr>
      <w:r>
        <w:t>2.1.4 A Convenção da OEA (CICC) de 1996</w:t>
      </w:r>
    </w:p>
    <w:p>
      <w:r>
        <w:t>No âmbito regional americano, os Estados-Partes da Organização dos Estados Americanos (OEA) subscreveram, em 29 de março de 1996, em Caracas, Venezuela, a Convenção Interamericana contra a Corrupção (CICC) — tratando-se do primeiro documento internacional a definir padrões mínimos a serem observados pelos Estados-Partes no combate à corrupção.</w:t>
      </w:r>
    </w:p>
    <w:p>
      <w:r>
        <w:t>No Brasil, a CICC foi aprovada pelo Decreto Legislativo nº 152, de 25 de junho de 2002, e promulgada pelo Decreto Presidencial nº 4.410, de 7 de outubro de 2002. A Convenção abrange tanto o lado ativo quanto o passivo do delito de corrupção, incluindo desde a corrupção puramente doméstica até sua dimensão transnacional, dirigindo-se aos atos praticados por quem exerce funções públicas ou delas se beneficia indevidamente.</w:t>
      </w:r>
    </w:p>
    <w:p>
      <w:pPr>
        <w:pStyle w:val="Heading3"/>
      </w:pPr>
      <w:r>
        <w:t>2.1.5 O Modelo Britânico: o Bribery Act de 2010</w:t>
      </w:r>
    </w:p>
    <w:p>
      <w:r>
        <w:t xml:space="preserve">Para a compreensão da arquitetura de responsabilidade objetiva adotada pela Lei nº 12.846/2013, é relevante o paralelo com o </w:t>
      </w:r>
      <w:r>
        <w:rPr>
          <w:i/>
        </w:rPr>
        <w:t xml:space="preserve">UK </w:t>
      </w:r>
      <w:r>
        <w:rPr>
          <w:i/>
        </w:rPr>
        <w:t>Bribery</w:t>
      </w:r>
      <w:r>
        <w:rPr>
          <w:i/>
        </w:rPr>
        <w:t xml:space="preserve"> </w:t>
      </w:r>
      <w:r>
        <w:rPr>
          <w:i/>
        </w:rPr>
        <w:t>Act</w:t>
      </w:r>
      <w:r>
        <w:t xml:space="preserve"> 2010, que introduziu no direito britânico o inovador modelo de </w:t>
      </w:r>
      <w:r>
        <w:rPr>
          <w:i/>
        </w:rPr>
        <w:t>failure</w:t>
      </w:r>
      <w:r>
        <w:rPr>
          <w:i/>
        </w:rPr>
        <w:t xml:space="preserve"> </w:t>
      </w:r>
      <w:r>
        <w:rPr>
          <w:i/>
        </w:rPr>
        <w:t>to</w:t>
      </w:r>
      <w:r>
        <w:rPr>
          <w:i/>
        </w:rPr>
        <w:t xml:space="preserve"> </w:t>
      </w:r>
      <w:r>
        <w:rPr>
          <w:i/>
        </w:rPr>
        <w:t>prevent</w:t>
      </w:r>
      <w:r>
        <w:t xml:space="preserve"> (omissão em prevenir). O </w:t>
      </w:r>
      <w:r>
        <w:rPr>
          <w:i/>
        </w:rPr>
        <w:t>Bribery</w:t>
      </w:r>
      <w:r>
        <w:rPr>
          <w:i/>
        </w:rPr>
        <w:t xml:space="preserve"> </w:t>
      </w:r>
      <w:r>
        <w:rPr>
          <w:i/>
        </w:rPr>
        <w:t>Act</w:t>
      </w:r>
      <w:r>
        <w:t xml:space="preserve"> revolucionou o direito penal corporativo ao tornar as organizações comerciais criminalmente responsáveis quando deixaram de impedir atos de suborno praticados em seu benefício por pessoas a elas associadas.</w:t>
      </w:r>
    </w:p>
    <w:p>
      <w:r>
        <w:t xml:space="preserve">A seção 7 do </w:t>
      </w:r>
      <w:r>
        <w:rPr>
          <w:i/>
        </w:rPr>
        <w:t>Bribery</w:t>
      </w:r>
      <w:r>
        <w:rPr>
          <w:i/>
        </w:rPr>
        <w:t xml:space="preserve"> </w:t>
      </w:r>
      <w:r>
        <w:rPr>
          <w:i/>
        </w:rPr>
        <w:t>Act</w:t>
      </w:r>
      <w:r>
        <w:t xml:space="preserve">, embora de natureza penal e com uma defesa disponível baseada em </w:t>
      </w:r>
      <w:r>
        <w:rPr>
          <w:i/>
        </w:rPr>
        <w:t>adequate</w:t>
      </w:r>
      <w:r>
        <w:rPr>
          <w:i/>
        </w:rPr>
        <w:t xml:space="preserve"> procedures</w:t>
      </w:r>
      <w:r>
        <w:t xml:space="preserve"> (procedimentos adequados de integridade), converge com a filosofia da Lei Anticorrupção brasileira: o benefício econômico auferido pela pessoa jurídica, ainda que o ato tenha sido praticado por um agente individual, é suficiente para fundamentar sua responsabilização. No modelo brasileiro, contudo, a responsabilidade é </w:t>
      </w:r>
      <w:r>
        <w:rPr>
          <w:i/>
        </w:rPr>
        <w:t>objetiva</w:t>
      </w:r>
      <w:r>
        <w:t xml:space="preserve"> — prescinde de qualquer elemento subjetivo, inclusive culpa </w:t>
      </w:r>
      <w:r>
        <w:rPr>
          <w:i/>
        </w:rPr>
        <w:t>in vigilando</w:t>
      </w:r>
      <w:r>
        <w:t xml:space="preserve"> ou </w:t>
      </w:r>
      <w:r>
        <w:rPr>
          <w:i/>
        </w:rPr>
        <w:t xml:space="preserve">in </w:t>
      </w:r>
      <w:r>
        <w:rPr>
          <w:i/>
        </w:rPr>
        <w:t>eligendo</w:t>
      </w:r>
      <w:r>
        <w:t xml:space="preserve"> —, o que a torna mais abrangente do que o sistema britânico, que ainda admite a defesa da ausência de culpa institucional.</w:t>
      </w:r>
    </w:p>
    <w:p>
      <w:pPr>
        <w:pStyle w:val="Heading2"/>
      </w:pPr>
      <w:r>
        <w:t>2.2 O Processo Legislativo Brasileiro e o Papel das Manifestações de Junho de 2013</w:t>
      </w:r>
    </w:p>
    <w:p>
      <w:r>
        <w:t>O anteprojeto que originou a Lei Anticorrupção foi elaborado pela Controladoria-Geral da União (CGU) e encaminhado ao Congresso Nacional pelo Poder Executivo Federal em 18 de fevereiro de 2010, sob o número PL 6.826/2010. O projeto tramitava na Câmara dos Deputados quando eclodiram as manifestações populares de junho de 2013, em meio à Copa das Confederações, com protestos que alcançaram todas as regiões do país. Em resposta, o governo agilizou a tramitação do projeto, que foi aprovado em tempo recorde.</w:t>
      </w:r>
    </w:p>
    <w:p>
      <w:r>
        <w:t>O fator catalisador específico foi o contexto das manifestações populares de junho de 2013, quando milhões de brasileiros protestaram, entre outras causas, contra a corrupção. Essa pressão social acelerou a tramitação do projeto de lei, que estava no Congresso Nacional desde 2010, resultando em sua aprovação em tempo recorde.</w:t>
      </w:r>
    </w:p>
    <w:p>
      <w:r>
        <w:t xml:space="preserve">A lei foi sancionada em 1º de agosto de 2013, integrando ao ordenamento jurídico brasileiro, pela primeira vez, um regime específico e sistemático de responsabilização </w:t>
      </w:r>
      <w:r>
        <w:rPr>
          <w:i/>
        </w:rPr>
        <w:t>objetiva</w:t>
      </w:r>
      <w:r>
        <w:t xml:space="preserve"> administrativa e civil da pessoa jurídica por atos lesivos à administração pública nacional e estrangeira. Tanto como resposta da classe política às manifestações de junho de 2013 quanto como consequência de compromissos internacionais firmados anteriormente, a nova lei colocou o Brasil no rol dos países com legislação mais avançada contra a corrupção, além de impulsionar mudanças nas estruturas administrativas das empresas, popularizando a cultura de integridade (</w:t>
      </w:r>
      <w:r>
        <w:rPr>
          <w:i/>
        </w:rPr>
        <w:t>compliance</w:t>
      </w:r>
      <w:r>
        <w:t>) — algo até então praticamente inexistente no ambiente corporativo nacional.</w:t>
      </w:r>
    </w:p>
    <w:p>
      <w:pPr>
        <w:pStyle w:val="Heading2"/>
      </w:pPr>
      <w:r>
        <w:t>2.3 Características Centrais da Lei Anticorrupção</w:t>
      </w:r>
    </w:p>
    <w:p>
      <w:pPr>
        <w:pStyle w:val="Heading3"/>
      </w:pPr>
      <w:r>
        <w:t>2.3.1 Responsabilidade Objetiva da Pessoa Jurídica</w:t>
      </w:r>
    </w:p>
    <w:p>
      <w:r>
        <w:t>A característica mais inovadora — e tecnicamente mais relevante para a dosimetria da multa — é a responsabilidade objetiva da pessoa jurídica, consagrada nos arts. 1º e 2º da Lei nº 12.846/2013.</w:t>
      </w:r>
    </w:p>
    <w:p>
      <w:r>
        <w:t xml:space="preserve">Nos termos do art. 2º: </w:t>
      </w:r>
      <w:r>
        <w:rPr>
          <w:i/>
        </w:rPr>
        <w:t>"As pessoas jurídicas serão responsabilizadas objetivamente, nos âmbitos administrativo e civil, pelos atos lesivos previstos nesta Lei praticados em seu interesse ou benefício, exclusivo ou não."</w:t>
      </w:r>
    </w:p>
    <w:p>
      <w:r>
        <w:t>A expressão "responsabilidade objetiva" tem conteúdo técnico preciso no direito brasileiro: trata-se de modalidade de responsabilização que prescinde da demonstração de dolo ou culpa. Basta, para a configuração da responsabilidade, a prova de três elementos: (i) a prática do ato lesivo tipificado no art. 5º; (ii) o nexo causal entre o ato e o benefício — direto ou indireto — auferido pela pessoa jurídica; e (iii) a identidade do sujeito passivo (administração pública nacional ou estrangeira).</w:t>
      </w:r>
    </w:p>
    <w:p>
      <w:r>
        <w:t>A adoção desse modelo representa uma ruptura consciente e deliberada com o paradigma anterior, em que a responsabilização por atos de corrupção pressupunha a comprovação de dolo específico da pessoa natural, tornando a responsabilização da pessoa jurídica praticamente impossível na ausência de confissão ou de cooperação do agente individual. O principal objetivo da lei foi preencher uma lacuna no ordenamento jurídico brasileiro: a ausência de mecanismos específicos para responsabilização objetiva de pessoas jurídicas por atos de corrupção, uma vez que, anteriormente à lei, somente pessoas físicas podiam ser responsabilizadas criminalmente por tais condutas.</w:t>
      </w:r>
    </w:p>
    <w:p>
      <w:pPr>
        <w:pStyle w:val="Heading1"/>
        <w:pageBreakBefore/>
      </w:pPr>
      <w:r>
        <w:t xml:space="preserve">⚠  </w:t>
      </w:r>
      <w:r>
        <w:rPr>
          <w:b/>
        </w:rPr>
        <w:t>Consequência</w:t>
      </w:r>
      <w:r>
        <w:rPr>
          <w:b/>
        </w:rPr>
        <w:t xml:space="preserve"> para a dosimetria:</w:t>
      </w:r>
      <w:r>
        <w:t xml:space="preserve"> Como a responsabilidade é objetiva, o PAR não investiga nem discute a "intenção" da empresa. A Parte II deste Manual pressupõe que o mérito — ato lesivo + nexo causal + benefício, já foi reconhecido na instrução processual. A dosimetria apenas quantifica a sanção pecuniária proporcional ao grau de reprovabilidade da conduta.</w:t>
      </w:r>
    </w:p>
    <w:p>
      <w:pPr>
        <w:pStyle w:val="Heading4"/>
        <w:spacing w:after="150" w:before="300"/>
      </w:pPr>
      <w:r>
        <w:t xml:space="preserve">2.3.1.1 Estado da Controvérsia: Objetividade Pura vs. Culpa Residual</w:t>
      </w:r>
    </w:p>
    <w:p>
      <w:pPr>
        <w:spacing w:after="80" w:before="120"/>
      </w:pPr>
      <w:r>
        <w:rPr>
          <w:rFonts w:ascii="Calibri" w:cs="Calibri" w:eastAsia="Calibri" w:hAnsi="Calibri"/>
          <w:b/>
          <w:bCs/>
          <w:sz w:val="22"/>
          <w:szCs w:val="22"/>
        </w:rPr>
        <w:t xml:space="preserve">(i) Posição da CGU</w:t>
      </w:r>
    </w:p>
    <w:p>
      <w:pPr>
        <w:spacing w:after="160" w:line="276"/>
      </w:pPr>
      <w:r>
        <w:rPr>
          <w:rFonts w:ascii="Calibri" w:cs="Calibri" w:eastAsia="Calibri" w:hAnsi="Calibri"/>
          <w:b w:val="false"/>
          <w:bCs w:val="false"/>
          <w:i w:val="false"/>
          <w:iCs w:val="false"/>
          <w:sz w:val="22"/>
          <w:szCs w:val="22"/>
        </w:rPr>
        <w:t xml:space="preserve">A posição institucional, refletida na disciplina do art. 2º da LAC e na prática de instrução do PAR, é de objetividade pura: a responsabilização da pessoa jurídica prescinde de qualquer investigação sobre dolo ou culpa da empresa, bastando a comprovação do ato lesivo, do nexo causal e do benefício, direto ou indireto. A distinção entre a responsabilidade objetiva da pessoa jurídica (art. 2º) e a responsabilidade subjetiva das pessoas físicas dirigentes ou administradoras, que respondem “na medida da sua culpabilidade” (art. 3º, §2º), é tratada como divisor estrutural do sistema: o elemento subjetivo é relevante apenas para a pessoa natural, nunca para a pessoa jurídica.</w:t>
      </w:r>
    </w:p>
    <w:p>
      <w:pPr>
        <w:spacing w:after="80" w:before="120"/>
      </w:pPr>
      <w:r>
        <w:rPr>
          <w:rFonts w:ascii="Calibri" w:cs="Calibri" w:eastAsia="Calibri" w:hAnsi="Calibri"/>
          <w:b/>
          <w:bCs/>
          <w:sz w:val="22"/>
          <w:szCs w:val="22"/>
        </w:rPr>
        <w:t xml:space="preserve">(ii) Posição doutrinária divergente</w:t>
      </w:r>
    </w:p>
    <w:p>
      <w:pPr>
        <w:spacing w:after="160" w:line="276"/>
      </w:pPr>
      <w:r>
        <w:rPr>
          <w:rFonts w:ascii="Calibri" w:cs="Calibri" w:eastAsia="Calibri" w:hAnsi="Calibri"/>
          <w:b w:val="false"/>
          <w:bCs w:val="false"/>
          <w:i w:val="false"/>
          <w:iCs w:val="false"/>
          <w:sz w:val="22"/>
          <w:szCs w:val="22"/>
        </w:rPr>
        <w:t xml:space="preserve">Parte da doutrina questiona a coerência de se atribuir objetividade plena a um ente que, por definição, não tem vontade própria. Autores como Antonio Araldo Ferraz Dal Pozzo e coautores observam que a pessoa jurídica é uma ficção que só age por meio de seus órgãos, administradores e prepostos, o que tornaria artificial tratar a </w:t>
      </w:r>
    </w:p>
    <w:p>
      <w:pPr>
        <w:spacing w:after="160" w:line="276"/>
      </w:pPr>
      <w:r>
        <w:rPr>
          <w:rFonts w:ascii="Calibri" w:cs="Calibri" w:eastAsia="Calibri" w:hAnsi="Calibri"/>
          <w:sz w:val="22"/>
          <w:szCs w:val="22"/>
        </w:rPr>
        <w:t xml:space="preserve">conduta corporativa</w:t>
      </w:r>
      <w:r>
        <w:rPr>
          <w:rFonts w:ascii="Calibri" w:cs="Calibri" w:eastAsia="Calibri" w:hAnsi="Calibri"/>
          <w:sz w:val="22"/>
          <w:szCs w:val="22"/>
        </w:rPr>
        <w:t xml:space="preserve"> como algo dissociado da culpabilidade dos indivíduos que a compõem — gerando tensão entre a objetividade do art. 2º e a subjetividade exigida para as pessoas físicas pelo art. 3º, §2º, da mesma lei.</w:t>
      </w:r>
    </w:p>
    <w:p>
      <w:pPr>
        <w:spacing w:after="160" w:line="276"/>
      </w:pPr>
      <w:r>
        <w:rPr>
          <w:rFonts w:ascii="Calibri" w:cs="Calibri" w:eastAsia="Calibri" w:hAnsi="Calibri"/>
          <w:b w:val="false"/>
          <w:bCs w:val="false"/>
          <w:i w:val="false"/>
          <w:iCs w:val="false"/>
          <w:sz w:val="22"/>
          <w:szCs w:val="22"/>
        </w:rPr>
        <w:t xml:space="preserve">Uma vertente intermediária, de inspiração comparada, sustenta que a responsabilidade da pessoa jurídica não seria propriamente “sem culpa”, mas apoiada em uma culpabilidade de tipo organizacional — o chamado modelo da culpabilidade por defeito de organização empresarial, associado à obra de Klaus Tiedemann e difundido no Brasil por autores como Fernando Galvão da Rocha. Nessa leitura, o que a lei dispensa é a prova do dolo específico de um agente identificado, não a ideia de que a responsabilização pressupõe, ainda que implicitamente, uma falha de controles internos equivalente às noções civis de culpa in eligendo (má escolha de prepostos e terceiros) e culpa in vigilando (fiscalização deficiente). A literatura de direito administrativo sancionador, por sua vez, tende a rejeitar essa importação de categorias penais, argumentando que a resposta ao problema da “culpabilidade da pessoa jurídica” está no próprio direito administrativo sancionador, que dispensa os elementos antropomórficos do direito penal clássico e admite, sem inconstitucionalidade, um regime de imputação mais célere e funcional ao propósito da lei.</w:t>
      </w:r>
    </w:p>
    <w:p>
      <w:pPr>
        <w:spacing w:after="80" w:before="120"/>
      </w:pPr>
      <w:r>
        <w:rPr>
          <w:rFonts w:ascii="Calibri" w:cs="Calibri" w:eastAsia="Calibri" w:hAnsi="Calibri"/>
          <w:b/>
          <w:bCs/>
          <w:sz w:val="22"/>
          <w:szCs w:val="22"/>
        </w:rPr>
        <w:t xml:space="preserve">(iii) Precedentes relevantes</w:t>
      </w:r>
    </w:p>
    <w:p>
      <w:pPr>
        <w:spacing w:after="160" w:line="276"/>
      </w:pPr>
      <w:r>
        <w:rPr>
          <w:rFonts w:ascii="Calibri" w:cs="Calibri" w:eastAsia="Calibri" w:hAnsi="Calibri"/>
          <w:b w:val="false"/>
          <w:bCs w:val="false"/>
          <w:i w:val="false"/>
          <w:iCs w:val="false"/>
          <w:sz w:val="22"/>
          <w:szCs w:val="22"/>
        </w:rPr>
        <w:t xml:space="preserve">Não há, até o momento, precedente do STF que tenha invalidado ou restringido a objetividade do art. 2º da LAC especificamente; a jurisprudência dos tribunais superiores sobre responsabilidade objetiva de pessoas jurídicas por atos lesivos ao erário tem se mantido favorável ao modelo objetivo quando fundado em lei formal expressa, entendimento que a doutrina majoritária (a exemplo de Márcio de Aguiar Ribeiro) sustenta com base no princípio da função social da empresa e na moralidade administrativa. A controvérsia permanece, portanto, essencialmente doutrinária e ainda não foi objeto de teste direto e conclusivo em sede de controle concentrado ou de precedente vinculante sobre a constitucionalidade do art. 2º da LAC — o que recomenda cautela em não apresentar o debate como encerrado.</w:t>
      </w:r>
    </w:p>
    <w:p>
      <w:pPr>
        <w:spacing w:after="80" w:before="120"/>
      </w:pPr>
      <w:r>
        <w:rPr>
          <w:rFonts w:ascii="Calibri" w:cs="Calibri" w:eastAsia="Calibri" w:hAnsi="Calibri"/>
          <w:b/>
          <w:bCs/>
          <w:sz w:val="22"/>
          <w:szCs w:val="22"/>
        </w:rPr>
        <w:t xml:space="preserve">(iv) Impacto prático na dosimetria</w:t>
      </w:r>
    </w:p>
    <w:p>
      <w:pPr>
        <w:spacing w:after="160" w:line="276"/>
      </w:pPr>
      <w:r>
        <w:rPr>
          <w:rFonts w:ascii="Calibri" w:cs="Calibri" w:eastAsia="Calibri" w:hAnsi="Calibri"/>
          <w:b w:val="false"/>
          <w:bCs w:val="false"/>
          <w:i w:val="false"/>
          <w:iCs w:val="false"/>
          <w:sz w:val="22"/>
          <w:szCs w:val="22"/>
        </w:rPr>
        <w:t xml:space="preserve">A controvérsia tem baixo impacto na etapa de mérito — a Parte II deste Manual corretamente pressupõe o ato lesivo, o nexo causal e o benefício já reconhecidos na instrução, independentemente da posição doutrinária adotada. O ponto de contato prático está na dosimetria: os critérios de existência e qualidade de programa de integridade (art. 22, III) e de grau de colaboração da pessoa jurídica (art. 23, III, do Decreto nº 11.129/2022) operam, na prática, como um proxy da discussão sobre culpabilidade organizacional — premiando, via redução do percentual da multa, exatamente a existência de controles de prevenção e detecção (mecanismos de eleição e vigilância de terceiros) que a tese da culpa residual sustenta como relevantes, ainda que a lei não os trate como requisito de mérito.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empresa terceiriza a um despachante aduaneiro a interlocução com determinado órgão público. Sem conhecimento da diretoria, o despachante oferece vantagem indevida a servidor para agilizar um desembaraço. Sob a objetividade pura, a pessoa jurídica responde pelo ato lesivo independentemente de a cúpula ter incorrido em falha de escolha ou de fiscalização do terceiro — não há defesa de “culpa zero” na fase de mérito. A discussão sobre a adequação dos controles de terceiros contratados só reingressa no processo na fase de dosimetria, como elemento do Programa de Integridade e da colaboração processual, e não como excludente de responsabilidade.</w:t>
            </w:r>
          </w:p>
        </w:tc>
      </w:tr>
    </w:tbl>
    <w:p/>
    <w:p>
      <w:pPr>
        <w:pStyle w:val="Heading3"/>
      </w:pPr>
      <w:r>
        <w:t>2.3.2 Dupla Esfera de Responsabilização: Administrativa e Cível</w:t>
      </w:r>
    </w:p>
    <w:p>
      <w:r>
        <w:t>A Lei nº 12.846/2013 inaugura um modelo bifásico de responsabilização da pessoa jurídica: administrativa (via PAR, instrumento central deste Manual) e civil (via ação judicial).</w:t>
      </w:r>
    </w:p>
    <w:p>
      <w:r>
        <w:t>A esfera administrativa é conduzida por comissão designada pela autoridade competente e resulta na aplicação de multa pecuniária e publicação extraordinária da decisão condenatória (art. 6º). A esfera civil, exercida mediante ação proposta pelo Ministério Público ou pelos próprios entes lesados, pode resultar em perdimento de bens, suspensão ou interdição de atividades, dissolução compulsória da pessoa jurídica e proibição de receber incentivos públicos (art. 19).</w:t>
      </w:r>
    </w:p>
    <w:p>
      <w:r>
        <w:t>As duas esferas são independentes e simultâneas: a instauração do PAR não impede a propositura de ação civil, nem a ausência desta afeta a validade das sanções administrativas.</w:t>
      </w:r>
    </w:p>
    <w:p>
      <w:pPr>
        <w:pStyle w:val="Heading3"/>
      </w:pPr>
      <w:r>
        <w:t>2.3.3 Independência das Instâncias</w:t>
      </w:r>
    </w:p>
    <w:p>
      <w:r>
        <w:t xml:space="preserve">O art. 3º da Lei Anticorrupção consagra expressamente a independência entre as esferas de responsabilização, ao dispor que </w:t>
      </w:r>
      <w:r>
        <w:rPr>
          <w:i/>
        </w:rPr>
        <w:t>"a responsabilização da pessoa jurídica não exclui a responsabilidade individual de seus dirigentes ou administradores ou de qualquer pessoa natural, autora, coautora ou partícipe do ato ilícito."</w:t>
      </w:r>
    </w:p>
    <w:p>
      <w:r>
        <w:t>Esse princípio tem duas consequências práticas de relevo para o operador do PAR. Primeira: a punição da pessoa jurídica no âmbito administrativo não impede — nem depende de — condenação criminal dos responsáveis pessoas físicas. Segunda: a absolvição criminal da pessoa física, por insuficiência de provas subjetivas, não obsta a responsabilização objetiva da pessoa jurídica pelos mesmos fatos, pois os critérios de imputação são distintos.</w:t>
      </w:r>
    </w:p>
    <w:p>
      <w:pPr>
        <w:pStyle w:val="Heading1"/>
        <w:pageBreakBefore/>
      </w:pPr>
      <w:r>
        <w:t>⚠ Como a responsabilidade é objetiva, o PAR não discute a "intenção" da empresa. A Parte II pressupõe que o mérito (ato lesivo + nexo causal) já foi reconhecido; a dosimetria apenas quantifica a sanção.</w:t>
      </w:r>
    </w:p>
    <w:p>
      <w:pPr>
        <w:pStyle w:val="Heading2"/>
        <w:spacing w:after="150" w:before="300"/>
      </w:pPr>
      <w:r>
        <w:t xml:space="preserve">2.4 Concorrência de Sistemas Sancionadores: Enforcement Paralelo e Dupla Exposição</w:t>
      </w:r>
    </w:p>
    <w:p>
      <w:pPr>
        <w:spacing w:after="160" w:line="276"/>
      </w:pPr>
      <w:r>
        <w:rPr>
          <w:rFonts w:ascii="Calibri" w:cs="Calibri" w:eastAsia="Calibri" w:hAnsi="Calibri"/>
          <w:b w:val="false"/>
          <w:bCs w:val="false"/>
          <w:i w:val="false"/>
          <w:iCs w:val="false"/>
          <w:sz w:val="22"/>
          <w:szCs w:val="22"/>
        </w:rPr>
        <w:t xml:space="preserve">Uma consequência pouco explorada da convergência entre a LAC e os diplomas internacionais examinados neste capítulo é a possibilidade de enforcement paralelo: uma mesma conduta — o pagamento de vantagem indevida por uma empresa brasileira com operação internacional, ou por uma subsidiária brasileira de grupo estrangeiro — pode, simultaneamente, atrair a competência da CGU sob a LAC e a competência das autoridades norte-americanas sob o FCPA (quando presente nexo com o mercado de capitais ou meios de comércio interestadual dos EUA), ou de autoridades de outras jurisdições signatárias da Convenção OCDE.</w:t>
      </w:r>
    </w:p>
    <w:p>
      <w:pPr>
        <w:spacing w:after="160" w:line="276"/>
      </w:pPr>
      <w:r>
        <w:rPr>
          <w:rFonts w:ascii="Calibri" w:cs="Calibri" w:eastAsia="Calibri" w:hAnsi="Calibri"/>
          <w:b w:val="false"/>
          <w:bCs w:val="false"/>
          <w:i w:val="false"/>
          <w:iCs w:val="false"/>
          <w:sz w:val="22"/>
          <w:szCs w:val="22"/>
        </w:rPr>
        <w:t xml:space="preserve">A doutrina de direito comparado observa que essa sobreposição não configura, tecnicamente, bis in idem no sentido interno do termo — a vedação à dupla punição pelo mesmo fato opera, em regra, no âmbito de uma mesma soberania, não entre Estados distintos, cada qual exercendo sua própria pretensão punitiva sobre o mesmo fato lesivo a bens jurídicos que, embora relacionados, são formalmente autônomos (o patrimônio público brasileiro e o sistema de integridade do mercado de capitais americano, por exemplo). Para mitigar os efeitos perversos de sanções cumulativas desproporcionais, autoridades norte-americanas adotaram diretrizes de coordenação de penalidades corporativas (a chamada política de vedação ao "piling on", do Departamento de Justiça dos EUA), que orientam seus próprios órgãos a considerar, na dosimetria de sanções domésticas, os valores já pagos pela mesma empresa a outras autoridades — inclusive estrangeiras — pelo mesmo conjunto de fatos. O Brasil não dispõe, na LAC ou no Decreto nº 11.129/2022, de dispositivo equivalente e expresso de dedução ou compensação por sanções pecuniárias já aplicadas no exterior pelo mesmo fato, o que é apontado pela doutrina como lacuna a ser observada pela autoridade julgadora em nome da proporcionalidade, ainda que sem base normativa que a torne uma dedução automaticamente exigível.</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empresa brasileira, subsidiária de grupo com American Depositary Receipts negociados nos Estados Unidos, é investigada simultaneamente pela CGU (LAC) e pelo Department of Justice/SEC norte-americanos (FCPA) pelo mesmo esquema de pagamento de vantagem indevida a agentes públicos brasileiros. A autoridade americana, ao final de seu próprio processo, pode considerar o valor da multa já aplicada no Brasil ao dimensionar sua sanção, em linha com sua política de coordenação de penalidades. A autoridade brasileira, por sua vez, não tem dispositivo legal expresso equivalente na LAC ou no Decreto nº 11.129/2022 — cabendo à comissão processante e à autoridade julgadora, no exercício da motivação da decisão, avaliar a proporcionalidade da sanção brasileira à luz do contexto sancionatório internacional já conhecido nos autos, sem que isso configure redução automática ou vinculada.</w:t>
            </w:r>
          </w:p>
        </w:tc>
      </w:tr>
    </w:tbl>
    <w:p/>
    <w:p>
      <w:pPr>
        <w:pStyle w:val="Heading1"/>
        <w:pageBreakBefore/>
      </w:pPr>
      <w:r>
        <w:t>3. SUJEITOS PASSIVOS E ALCANCE DA LEI</w:t>
      </w:r>
    </w:p>
    <w:p>
      <w:r>
        <w:t>Introdução</w:t>
      </w:r>
    </w:p>
    <w:p>
      <w:r>
        <w:t>A definição do polo passivo da Lei Anticorrupção é tecnicamente mais complexa do que a leitura literal do art. 1º, parágrafo único, pode sugerir. A lei não apenas enumera as entidades sujeitas à sua incidência — ela estabelece um conjunto de regras sobre a persistência da responsabilidade ao longo do tempo (sucessão empresarial), sobre a extensão dessa responsabilidade para além dos limites formais da personalidade jurídica (desconsideração) e sobre o alcance territorial da norma. A correta compreensão desses três eixos é essencial tanto para a instrução processual quanto para a dosimetria da multa, especialmente nos casos envolvendo grupo econômico (art. 20, §2º, do Decreto nº 11.129/2022) e sucessão societária.</w:t>
      </w:r>
    </w:p>
    <w:p>
      <w:pPr>
        <w:pStyle w:val="Heading2"/>
      </w:pPr>
      <w:r>
        <w:t>3.1 A Quem se Aplica: O Sujeito Passivo do PAR (Art. 1º, Parágrafo Único)</w:t>
      </w:r>
    </w:p>
    <w:p>
      <w:r>
        <w:t>O art. 1º, parágrafo único, da Lei nº 12.846/2013 define o campo subjetivo de incidência da lei com amplitude deliberadamente abrangente:</w:t>
      </w:r>
    </w:p>
    <w:p>
      <w:r>
        <w:rPr>
          <w:i/>
        </w:rPr>
        <w:t>"Aplica-se o disposto nesta Lei às sociedades empresárias e às sociedades simples, personificadas ou não, independentemente da forma de organização ou modelo societário adotado, bem como a quaisquer fundações, associações de entidades ou pessoas, ou sociedades estrangeiras, que tenham sede, filial ou representação no território brasileiro, constituídas de fato ou de direito, ainda que temporariamente."</w:t>
      </w:r>
    </w:p>
    <w:p>
      <w:r>
        <w:t>A opção legislativa por uma cláusula geral e aberta — em lugar de uma enumeração exaustiva de tipos societários — tem consequências técnicas relevantes.</w:t>
      </w:r>
    </w:p>
    <w:p>
      <w:r>
        <w:rPr>
          <w:b/>
        </w:rPr>
        <w:t>Primeiro</w:t>
      </w:r>
      <w:r>
        <w:t xml:space="preserve">, a lei alcança entidades </w:t>
      </w:r>
      <w:r>
        <w:rPr>
          <w:i/>
        </w:rPr>
        <w:t>personificadas</w:t>
      </w:r>
      <w:r>
        <w:t xml:space="preserve"> (dotadas de personalidade jurídica regular, como as sociedades limitadas, anônimas, fundações e associações) e entidades </w:t>
      </w:r>
      <w:r>
        <w:rPr>
          <w:i/>
        </w:rPr>
        <w:t>não personificadas</w:t>
      </w:r>
      <w:r>
        <w:t xml:space="preserve"> (como as sociedades em comum e os consórcios), recusando qualquer argumento de que a ausência de personalidade jurídica formal seria escudo contra a responsabilização. A responsabilidade objetiva incide sobre a </w:t>
      </w:r>
      <w:r>
        <w:rPr>
          <w:i/>
        </w:rPr>
        <w:t>organização que obteve o benefício</w:t>
      </w:r>
      <w:r>
        <w:t>, não sobre o ente que preenche este ou aquele requisito formal de constituição.</w:t>
      </w:r>
    </w:p>
    <w:p>
      <w:r>
        <w:rPr>
          <w:b/>
        </w:rPr>
        <w:t>Segundo</w:t>
      </w:r>
      <w:r>
        <w:t xml:space="preserve">, a expressão "constituídas de fato ou de direito, ainda que temporariamente" tem incidência direta sobre as empresas-fantasma e as denominadas </w:t>
      </w:r>
      <w:r>
        <w:rPr>
          <w:i/>
        </w:rPr>
        <w:t>noteiras</w:t>
      </w:r>
      <w:r>
        <w:t xml:space="preserve"> — aquelas constituídas com o único propósito de intermediar o pagamento de propinas sem aparente substância econômica. A falta de registro, de CNPJ ativo ou de escrituração contábil regular não afasta a sujeição à lei; ao contrário, esses elementos podem configurar os pressupostos da desconsideração da personalidade jurídica prevista no art. 14.</w:t>
      </w:r>
    </w:p>
    <w:p>
      <w:r>
        <w:rPr>
          <w:b/>
        </w:rPr>
        <w:t>Terceiro</w:t>
      </w:r>
      <w:r>
        <w:t xml:space="preserve">, o alcance sobre sociedades estrangeiras com </w:t>
      </w:r>
      <w:r>
        <w:rPr>
          <w:i/>
        </w:rPr>
        <w:t>sede, filial ou representação</w:t>
      </w:r>
      <w:r>
        <w:t xml:space="preserve"> no território brasileiro confere à lei dimensão de extraterritorialidade moderada: a pessoa jurídica constituída no exterior, mas que mantém vínculo operacional com o Brasil, submete-se ao regime da LAC pelos atos lesivos praticados em detrimento da administração pública nacional ou estrangeira — esta última hipótese sendo particularmente relevante em casos de corrupção transnacional.</w:t>
      </w:r>
    </w:p>
    <w:p>
      <w:r>
        <w:t xml:space="preserve">⚠ </w:t>
      </w:r>
      <w:r>
        <w:rPr>
          <w:b/>
        </w:rPr>
        <w:t>Para o operador do PAR:</w:t>
      </w:r>
      <w:r>
        <w:t xml:space="preserve"> A identificação correta do sujeito passivo é o primeiro ato decisório da dosimetria. Em casos de grupo econômico, a base de cálculo da multa pode ser ampliada para a consolidação dos faturamentos de todas as PJs participantes (art. 20, §2º, do Decreto nº 11.129/2022). Verificar sempre se há vínculos societários entre a investigada e outras entidades antes de definir o polo passivo.</w:t>
      </w:r>
    </w:p>
    <w:p>
      <w:pPr>
        <w:pStyle w:val="Heading3"/>
        <w:spacing w:after="150" w:before="300"/>
      </w:pPr>
      <w:r>
        <w:t xml:space="preserve">3.1.1 Grupo Econômico e Consolidação da Base de Cálculo</w:t>
      </w:r>
    </w:p>
    <w:p>
      <w:pPr>
        <w:spacing w:after="160" w:line="276"/>
      </w:pPr>
      <w:r>
        <w:rPr>
          <w:rFonts w:ascii="Calibri" w:cs="Calibri" w:eastAsia="Calibri" w:hAnsi="Calibri"/>
          <w:b w:val="false"/>
          <w:bCs w:val="false"/>
          <w:i w:val="false"/>
          <w:iCs w:val="false"/>
          <w:sz w:val="22"/>
          <w:szCs w:val="22"/>
        </w:rPr>
        <w:t xml:space="preserve">A identificação do sujeito passivo ganha complexidade adicional quando a pessoa jurídica investigada integra grupo econômico. O art. 20, §2º, do Decreto nº 11.129/2022 autoriza a consolidação dos faturamentos brutos de todas as pessoas jurídicas do grupo para fins de composição da base de cálculo da multa, nas hipóteses em que a autuada não disponha de faturamento próprio suficiente ou identificável — cenário comum em holdings, sociedades de propósito específico (SPEs) e estruturas de projeto sem receita operacional direta. A doutrina de direito societário aplicada ao PAR recomenda que essa consolidação seja lida em conjunto com o regime de solidariedade do art. 4º, §2º, da LAC (controladoras, controladas, coligadas e consorciadas), evitando que a comissão confunda dois fundamentos jurídicos distintos: a consolidação da base de cálculo (questão de mensuração da capacidade contributiva do grupo) e a solidariedade passiva pelo pagamento (questão de legitimidade para figurar no polo passivo da obrigação).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SPE constituída exclusivamente para execução de determinado contrato público, sem faturamento relevante em nome próprio, pratica ato lesivo vinculado a esse contrato. Isoladamente, sua base de cálculo (faturamento bruto do exercício anterior) seria irrisória frente à gravidade do ilícito. Comprovado que a SPE integra grupo econômico com controladora dotada de faturamento robusto, a comissão processante pode fundamentar a consolidação dos faturamentos do grupo, nos termos do art. 20, §2º, do Decreto, para que a base de cálculo reflita a real capacidade econômica por trás da estrutura societária utilizada — sem que isso, por si só, autorize a desconsideração da personalidade jurídica examinada no item 3.3, que exige a comprovação adicional de abuso de direito.</w:t>
            </w:r>
          </w:p>
        </w:tc>
      </w:tr>
    </w:tbl>
    <w:p/>
    <w:p>
      <w:pPr>
        <w:pStyle w:val="Heading2"/>
      </w:pPr>
      <w:r>
        <w:t>3.2 Sucessão Empresarial: A Persistência da Responsabilidade (Art. 4º)</w:t>
      </w:r>
    </w:p>
    <w:p>
      <w:r>
        <w:t xml:space="preserve">Um dos riscos sistêmicos mais graves na aplicação da Lei Anticorrupção seria a possibilidade de que as pessoas jurídicas investigadas ou condenadas utilizassem operações de reorganização societária — fusões, incorporações, cisões ou transformações — para escapar das sanções. O art. 4º da LAC neutraliza essa estratégia ao estabelecer que a responsabilidade </w:t>
      </w:r>
      <w:r>
        <w:rPr>
          <w:i/>
        </w:rPr>
        <w:t>subsiste</w:t>
      </w:r>
      <w:r>
        <w:t xml:space="preserve"> em qualquer hipótese de reestruturação societária, modulando, contudo, a extensão dessa persistência conforme a natureza do evento.</w:t>
      </w:r>
    </w:p>
    <w:p>
      <w:pPr>
        <w:pStyle w:val="Heading3"/>
      </w:pPr>
      <w:r>
        <w:t>3.2.1 Alteração Contratual e Transformação</w:t>
      </w:r>
    </w:p>
    <w:p>
      <w:r>
        <w:t>Nas hipóteses de mera alteração contratual (mudança de sócios, de objeto social ou de denominação) e de transformação societária (conversão, por exemplo, de uma LTDA em SA), a pessoa jurídica permanece a mesma entidade — o ato não implica extinção da personalidade jurídica anterior nem criação de um novo sujeito de direito. A pessoa jurídica sucessora de outra que sofreu processo de transformação responderá integralmente pelos eventuais atos ilícitos praticados pela pessoa jurídica transformada, sujeitando-se a todas as sanções legais cabíveis. A responsabilidade é, portanto, inalterada em sua extensão.</w:t>
      </w:r>
    </w:p>
    <w:p>
      <w:pPr>
        <w:pStyle w:val="Heading3"/>
      </w:pPr>
      <w:r>
        <w:t>3.2.2 Fusão e Incorporação</w:t>
      </w:r>
    </w:p>
    <w:p>
      <w:r>
        <w:t xml:space="preserve">Nas hipóteses de fusão (em que duas ou mais sociedades se unem para formar uma nova entidade) e de incorporação (em que uma sociedade absorve outra, que se extingue), a sucessora herda a responsabilidade, mas com limitação quantitativa e qualitativa expressa no §1º do art. 4º: a responsabilidade fica </w:t>
      </w:r>
      <w:r>
        <w:rPr>
          <w:i/>
        </w:rPr>
        <w:t>restrita à obrigação de pagamento de multa e de reparação integral do dano causado, até o limite do patrimônio transferido</w:t>
      </w:r>
      <w:r>
        <w:t>, não se aplicando à sucessora as demais sanções — notadamente a publicação extraordinária e as restrições ao recebimento de benefícios públicos — decorrentes de atos ocorridos antes do evento societário.</w:t>
      </w:r>
    </w:p>
    <w:p>
      <w:r>
        <w:t>A ratio desse limite é a proteção dos acionistas e credores da sociedade incorporadora ou da nova empresa formada pela fusão, que não participaram dos atos ilícitos e adquiriram participação no patrimônio transferido sem o conhecimento ou controle das infrações passadas. O limite do patrimônio transferido funciona, assim, como um teto objetivo de responsabilidade que corresponde ao enriquecimento efetivo auferido pela sucessora em decorrência do evento societário.</w:t>
      </w:r>
    </w:p>
    <w:p>
      <w:r>
        <w:t xml:space="preserve">Há, porém, uma cláusula de exceção de fundamento antifraude: nos casos em que a fusão ou incorporação for realizada com </w:t>
      </w:r>
      <w:r>
        <w:rPr>
          <w:i/>
        </w:rPr>
        <w:t>simulação ou evidente intuito de fraude</w:t>
      </w:r>
      <w:r>
        <w:t xml:space="preserve">, devidamente comprovados, a limitação cai e a responsabilidade é plena. Essa hipótese alcança reorganizações societárias precipitadamente realizadas após a instauração ou iminência de um PAR — o chamado </w:t>
      </w:r>
      <w:r>
        <w:rPr>
          <w:i/>
        </w:rPr>
        <w:t>fraude à lei</w:t>
      </w:r>
      <w:r>
        <w:t xml:space="preserve"> por meio da forma societária.</w:t>
      </w:r>
    </w:p>
    <w:p>
      <w:r>
        <w:t xml:space="preserve">⚠ </w:t>
      </w:r>
      <w:r>
        <w:rPr>
          <w:b/>
        </w:rPr>
        <w:t>Para o operador do PAR:</w:t>
      </w:r>
      <w:r>
        <w:t xml:space="preserve"> Se o evento sucessório ocorrer durante o andamento do processo, o polo passivo deve ser redirecionado na Nota de Indiciação para a empresa sucessora. A base de cálculo da multa, nesse caso, é o faturamento bruto da empresa sucessora no exercício anterior ao PAR, e não o da incorporada ou fundida.</w:t>
      </w:r>
    </w:p>
    <w:p>
      <w:pPr>
        <w:pStyle w:val="Heading3"/>
      </w:pPr>
      <w:r>
        <w:t>3.2.3 Cisão</w:t>
      </w:r>
    </w:p>
    <w:p>
      <w:r>
        <w:t>A cisão societária — seja total (a empresa se divide em duas ou mais, extinguindo-se a original) ou parcial (a empresa transfere parte do patrimônio a uma ou mais sociedades, sem se extinguir) — recebe tratamento análogo à transformação: a responsabilidade é integral e não está sujeita à limitação do patrimônio transferido. Isso porque, na cisão, a estrutura de controle e os beneficiários das infrações tendem a ser os mesmos, e a operação não resulta em absorção por um terceiro estranho à ilicitude, mas em reorganização dos mesmos interesses econômicos.</w:t>
      </w:r>
    </w:p>
    <w:p>
      <w:pPr>
        <w:pStyle w:val="Heading3"/>
        <w:spacing w:after="150" w:before="300"/>
      </w:pPr>
      <w:r>
        <w:t xml:space="preserve">3.2.4 Estado da Controvérsia: Due Diligence Prévia em Operações de M&amp;A e Efeito sobre a Responsabilidade da Sucessora</w:t>
      </w:r>
    </w:p>
    <w:p>
      <w:pPr>
        <w:spacing w:after="80" w:before="120"/>
      </w:pPr>
      <w:r>
        <w:rPr>
          <w:rFonts w:ascii="Calibri" w:cs="Calibri" w:eastAsia="Calibri" w:hAnsi="Calibri"/>
          <w:b/>
          <w:bCs/>
          <w:sz w:val="22"/>
          <w:szCs w:val="22"/>
        </w:rPr>
        <w:t xml:space="preserve">(i) Posição da CGU / regime legal</w:t>
      </w:r>
    </w:p>
    <w:p>
      <w:pPr>
        <w:spacing w:after="160" w:line="276"/>
      </w:pPr>
      <w:r>
        <w:rPr>
          <w:rFonts w:ascii="Calibri" w:cs="Calibri" w:eastAsia="Calibri" w:hAnsi="Calibri"/>
          <w:b w:val="false"/>
          <w:bCs w:val="false"/>
          <w:i w:val="false"/>
          <w:iCs w:val="false"/>
          <w:sz w:val="22"/>
          <w:szCs w:val="22"/>
        </w:rPr>
        <w:t xml:space="preserve">O regime do art. 4º da LAC é objetivo e não condiciona a subsistência da responsabilidade à existência ou não de due diligence prévia por parte da sucessora. Nas hipóteses de fusão e incorporação, a responsabilidade é herdada com o teto quantitativo do patrimônio transferido (art. 4º, §1º), afastando-se esse limite apenas em caso de simulação ou fraude comprovada — circunstância apurada objetivamente, sem relação com o grau de diligência da adquirente. A due diligence anticorrupção é tratada pela prática de mercado e pela própria CGU como instrumento preventivo e de gestão de risco — inclusive relevante para a modelagem do programa de integridade pós-aquisição —, mas não como causa legal de exoneração ou de afastamento da sucessão.</w:t>
      </w:r>
    </w:p>
    <w:p>
      <w:pPr>
        <w:spacing w:after="80" w:before="120"/>
      </w:pPr>
      <w:r>
        <w:rPr>
          <w:rFonts w:ascii="Calibri" w:cs="Calibri" w:eastAsia="Calibri" w:hAnsi="Calibri"/>
          <w:b/>
          <w:bCs/>
          <w:sz w:val="22"/>
          <w:szCs w:val="22"/>
        </w:rPr>
        <w:t xml:space="preserve">(ii) Posição doutrinária divergente</w:t>
      </w:r>
    </w:p>
    <w:p>
      <w:pPr>
        <w:spacing w:after="160" w:line="276"/>
      </w:pPr>
      <w:r>
        <w:rPr>
          <w:rFonts w:ascii="Calibri" w:cs="Calibri" w:eastAsia="Calibri" w:hAnsi="Calibri"/>
          <w:b w:val="false"/>
          <w:bCs w:val="false"/>
          <w:i w:val="false"/>
          <w:iCs w:val="false"/>
          <w:sz w:val="22"/>
          <w:szCs w:val="22"/>
        </w:rPr>
        <w:t xml:space="preserve">Setores da advocacia empresarial e da literatura de compliance argumentam que uma due diligence anticorrupção robusta, conduzida previamente ao fechamento e sem identificação de red flags, deveria ter peso jurídico mais relevante do que hoje lhe é reconhecido no direito brasileiro — aproximando o regime nacional da experiência norte-americana, em que a diligência prévia e a remediação pós-aquisição figuram entre os fatores que podem levar a autoridade a recusar a persecução (declinação) ou a atenuar substancialmente a sanção. A crítica, nesse sentido, é de que o art. 4º da LAC adota um critério puramente patrimonial e objetivo (limite do patrimônio transferido), sem espaço estrutural para premiar a diligência do adquirente que não tinha, nem podia razoavelmente ter, conhecimento do ilícito pretérito. Em sentido oposto, parte da doutrina nacional pondera que introduzir uma defesa de diligência prévia como causa de exoneração comprometeria a lógica de proteção ao erário que fundamenta o art. 4º — cuja finalidade é impedir que reorganizações societárias sejam usadas, ainda que involuntariamente do ponto de vista da adquirente, como via de escape patrimonial —, e que o instrumento adequado para valorizar a diligência do adquirente é a dosimetria (via programa de integridade), não o afastamento do mérito da sucessão.</w:t>
      </w:r>
    </w:p>
    <w:p>
      <w:pPr>
        <w:spacing w:after="80" w:before="120"/>
      </w:pPr>
      <w:r>
        <w:rPr>
          <w:rFonts w:ascii="Calibri" w:cs="Calibri" w:eastAsia="Calibri" w:hAnsi="Calibri"/>
          <w:b/>
          <w:bCs/>
          <w:sz w:val="22"/>
          <w:szCs w:val="22"/>
        </w:rPr>
        <w:t xml:space="preserve">(iii) Precedentes relevantes</w:t>
      </w:r>
    </w:p>
    <w:p>
      <w:pPr>
        <w:spacing w:after="160" w:line="276"/>
      </w:pPr>
      <w:r>
        <w:rPr>
          <w:rFonts w:ascii="Calibri" w:cs="Calibri" w:eastAsia="Calibri" w:hAnsi="Calibri"/>
          <w:b w:val="false"/>
          <w:bCs w:val="false"/>
          <w:i w:val="false"/>
          <w:iCs w:val="false"/>
          <w:sz w:val="22"/>
          <w:szCs w:val="22"/>
        </w:rPr>
        <w:t xml:space="preserve">Não foram identificados, na jurisprudência consolidada de PARs julgados pela CGU, casos em que a due diligence prévia tenha sido expressamente invocada e acolhida como fator exonerativo da responsabilidade da sucessora — a discussão permanece, no cenário brasileiro, majoritariamente doutrinária e comparada, ancorada na prática internacional de fusões e aquisições e nas diretrizes de agências estrangeiras sobre due diligence anticorrupção, sem correspondente equivalente ainda consolidado na aplicação do art. 4º da LAC. Esse é, em si, um dado relevante para o operador: a ausência de precedente administrativo brasileiro testando a tese reforça, na prática, a leitura literal e objetiva do dispositivo.</w:t>
      </w:r>
    </w:p>
    <w:p>
      <w:pPr>
        <w:spacing w:after="80" w:before="120"/>
      </w:pPr>
      <w:r>
        <w:rPr>
          <w:rFonts w:ascii="Calibri" w:cs="Calibri" w:eastAsia="Calibri" w:hAnsi="Calibri"/>
          <w:b/>
          <w:bCs/>
          <w:sz w:val="22"/>
          <w:szCs w:val="22"/>
        </w:rPr>
        <w:t xml:space="preserve">(iv) Impacto prático na dosimetria</w:t>
      </w:r>
    </w:p>
    <w:p>
      <w:pPr>
        <w:spacing w:after="160" w:line="276"/>
      </w:pPr>
      <w:r>
        <w:rPr>
          <w:rFonts w:ascii="Calibri" w:cs="Calibri" w:eastAsia="Calibri" w:hAnsi="Calibri"/>
          <w:b w:val="false"/>
          <w:bCs w:val="false"/>
          <w:i w:val="false"/>
          <w:iCs w:val="false"/>
          <w:sz w:val="22"/>
          <w:szCs w:val="22"/>
        </w:rPr>
        <w:t xml:space="preserve">Ainda que a due diligence prévia não afaste a sucessão nem o teto do art. 4º, §1º, ela tem repercussão indireta relevante: (a) subsidia a construção do programa de integridade da sucessora, valorizado na dosimetria pelo art. 22, III, da LAC e pelo Decreto nº 11.129/2022; (b) facilita a demonstração de ausência de simulação ou fraude, afastando o risco de perda do teto patrimonial de responsabilidade; e (c) orienta a estratégia de colaboração processual da sucessora perante a comissão, fator também dosimétrico (art. 23, III, do Decreto).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A empresa A adquire a empresa B mediante incorporação, precedida de due diligence anticorrupção completa, sem identificação de indícios de ilicitude. Meses depois, apura-se que B praticara ato lesivo antes do fechamento da operação. A responsabilidade de A subsiste, limitada ao patrimônio transferido, independentemente da qualidade da diligência conduzida — que não configura excludente. Na dosimetria, contudo, a diligência prévia e a rápida adoção de medidas corretivas por A após a descoberta podem ser valorizadas como evidência de programa de integridade efetivo e de colaboração processual, reduzindo o percentual da multa dentro dos limites legais.</w:t>
            </w:r>
          </w:p>
        </w:tc>
      </w:tr>
    </w:tbl>
    <w:p/>
    <w:p>
      <w:pPr>
        <w:pStyle w:val="Heading2"/>
      </w:pPr>
      <w:r>
        <w:t>3.3 Desconsideração da Personalidade Jurídica: Fundamentos Teóricos e Regime da LAC (Art. 14)</w:t>
      </w:r>
    </w:p>
    <w:p>
      <w:pPr>
        <w:pStyle w:val="Heading3"/>
      </w:pPr>
      <w:r>
        <w:t>3.3.1 Origem da Teoria: da Disregard Doctrine ao Direito Brasileiro</w:t>
      </w:r>
    </w:p>
    <w:p>
      <w:r>
        <w:t>A desconsideração da personalidade jurídica (</w:t>
      </w:r>
      <w:r>
        <w:rPr>
          <w:i/>
        </w:rPr>
        <w:t>disregard</w:t>
      </w:r>
      <w:r>
        <w:rPr>
          <w:i/>
        </w:rPr>
        <w:t xml:space="preserve"> </w:t>
      </w:r>
      <w:r>
        <w:rPr>
          <w:i/>
        </w:rPr>
        <w:t>of</w:t>
      </w:r>
      <w:r>
        <w:rPr>
          <w:i/>
        </w:rPr>
        <w:t xml:space="preserve"> legal </w:t>
      </w:r>
      <w:r>
        <w:rPr>
          <w:i/>
        </w:rPr>
        <w:t>entity</w:t>
      </w:r>
      <w:r>
        <w:t xml:space="preserve"> ou </w:t>
      </w:r>
      <w:r>
        <w:rPr>
          <w:i/>
        </w:rPr>
        <w:t xml:space="preserve">piercing </w:t>
      </w:r>
      <w:r>
        <w:rPr>
          <w:i/>
        </w:rPr>
        <w:t>the</w:t>
      </w:r>
      <w:r>
        <w:rPr>
          <w:i/>
        </w:rPr>
        <w:t xml:space="preserve"> </w:t>
      </w:r>
      <w:r>
        <w:rPr>
          <w:i/>
        </w:rPr>
        <w:t>corporate</w:t>
      </w:r>
      <w:r>
        <w:rPr>
          <w:i/>
        </w:rPr>
        <w:t xml:space="preserve"> </w:t>
      </w:r>
      <w:r>
        <w:rPr>
          <w:i/>
        </w:rPr>
        <w:t>veil</w:t>
      </w:r>
      <w:r>
        <w:t xml:space="preserve">) é, em sua origem, uma construção jurisprudencial anglo-americana. A doutrina originou-se no caso seminal </w:t>
      </w:r>
      <w:r>
        <w:rPr>
          <w:i/>
        </w:rPr>
        <w:t xml:space="preserve">Salomon v. A Salomon </w:t>
      </w:r>
      <w:r>
        <w:rPr>
          <w:i/>
        </w:rPr>
        <w:t>and</w:t>
      </w:r>
      <w:r>
        <w:rPr>
          <w:i/>
        </w:rPr>
        <w:t xml:space="preserve"> Co. Ltd.</w:t>
      </w:r>
      <w:r>
        <w:t>, julgado pela Câmara dos Lordes inglesa em 1897, que estabeleceu o princípio da personalidade jurídica separada para as companhias, mas também reconheceu que, em determinadas circunstâncias excepcionais, o véu corporativo poderia ser levantado para prevenir o abuso da forma empresarial.</w:t>
      </w:r>
    </w:p>
    <w:p>
      <w:r>
        <w:t xml:space="preserve">A sistematização teórica do instituto, contudo, coube ao jurista alemão Rolf Serick, cuja obra </w:t>
      </w:r>
      <w:r>
        <w:rPr>
          <w:i/>
        </w:rPr>
        <w:t>Rechtsform</w:t>
      </w:r>
      <w:r>
        <w:rPr>
          <w:i/>
        </w:rPr>
        <w:t xml:space="preserve"> </w:t>
      </w:r>
      <w:r>
        <w:rPr>
          <w:i/>
        </w:rPr>
        <w:t>und</w:t>
      </w:r>
      <w:r>
        <w:rPr>
          <w:i/>
        </w:rPr>
        <w:t xml:space="preserve"> </w:t>
      </w:r>
      <w:r>
        <w:rPr>
          <w:i/>
        </w:rPr>
        <w:t>Realität</w:t>
      </w:r>
      <w:r>
        <w:rPr>
          <w:i/>
        </w:rPr>
        <w:t xml:space="preserve"> </w:t>
      </w:r>
      <w:r>
        <w:rPr>
          <w:i/>
        </w:rPr>
        <w:t>juristischer</w:t>
      </w:r>
      <w:r>
        <w:rPr>
          <w:i/>
        </w:rPr>
        <w:t xml:space="preserve"> </w:t>
      </w:r>
      <w:r>
        <w:rPr>
          <w:i/>
        </w:rPr>
        <w:t>Personen</w:t>
      </w:r>
      <w:r>
        <w:t xml:space="preserve"> (1955) forneceu os fundamentos dogmáticos da doutrina que seria posteriormente recepcionada no Brasil. No Brasil, a teoria teve seu embrião formado na obra de Rolf Serick e se generalizou rapidamente na doutrina e na jurisprudência com base nos princípios de boa-fé, ordem pública, equidade e justiça, com duas situações comumente eleitas para sua aplicação: fraude no uso da pessoa jurídica e abuso de direito.</w:t>
      </w:r>
    </w:p>
    <w:p>
      <w:r>
        <w:t>Rubens Requião foi reconhecidamente o primeiro jurista brasileiro a tratar do tema e defender sua incorporação no ordenamento jurídico nacional em meados da década de 1960, quando apontou uma decisão do Tribunal de Justiça de São Paulo proferida em 1955 como precedente de sua aplicabilidade.</w:t>
      </w:r>
    </w:p>
    <w:p>
      <w:r>
        <w:t>A positivação da desconsideração no direito brasileiro percorreu um longo caminho: foi incorporada inicialmente pelo art. 28 do Código de Defesa do Consumidor (Lei nº 8.078/1990) e, posteriormente, pelo art. 50 do Código Civil de 2002. O art. 50 do Código Civil consagrou a teoria maior da desconsideração, exigindo, para sua aplicação, a caracterização de abuso da personalidade jurídica por desvio de finalidade ou por confusão patrimonial, podendo o juiz estender os efeitos de determinadas obrigações aos bens particulares dos administradores ou sócios.</w:t>
      </w:r>
    </w:p>
    <w:p>
      <w:pPr>
        <w:pStyle w:val="Heading3"/>
      </w:pPr>
      <w:r>
        <w:t>3.3.2 A Desconsideração Administrativa no Art. 14 da LAC</w:t>
      </w:r>
    </w:p>
    <w:p>
      <w:r>
        <w:t xml:space="preserve">A Lei nº 12.846/2013 introduziu no ordenamento jurídico brasileiro a desconsideração da personalidade jurídica no âmbito </w:t>
      </w:r>
      <w:r>
        <w:rPr>
          <w:i/>
        </w:rPr>
        <w:t>administrativo</w:t>
      </w:r>
      <w:r>
        <w:t xml:space="preserve"> — inovação que gerou debate doutrinário, mas que possui fundamento legal autônomo e expresso.</w:t>
      </w:r>
    </w:p>
    <w:p>
      <w:r>
        <w:t>Nos termos do art. 14 da LAC:</w:t>
      </w:r>
    </w:p>
    <w:p>
      <w:r>
        <w:rPr>
          <w:i/>
        </w:rPr>
        <w:t>"A personalidade jurídica poderá ser desconsiderada sempre que utilizada com abuso do direito para facilitar, encobrir ou dissimular a prática dos atos ilícitos previstos nesta Lei ou para provocar confusão patrimonial, sendo estendidos todos os efeitos das sanções aplicadas à pessoa jurídica aos seus administradores e sócios com poderes de administração, observados o contraditório e a ampla defesa."</w:t>
      </w:r>
    </w:p>
    <w:p>
      <w:r>
        <w:t>O dispositivo consagra duas hipóteses autônomas e alternativas de desconsideração:</w:t>
      </w:r>
    </w:p>
    <w:p>
      <w:r>
        <w:rPr>
          <w:b/>
        </w:rPr>
        <w:t>a) Abuso de direito instrumental:</w:t>
      </w:r>
      <w:r>
        <w:t xml:space="preserve"> Quando a personalidade jurídica é utilizada como instrumento para </w:t>
      </w:r>
      <w:r>
        <w:rPr>
          <w:i/>
        </w:rPr>
        <w:t>facilitar, encobrir ou dissimular</w:t>
      </w:r>
      <w:r>
        <w:t xml:space="preserve"> a prática do ato lesivo. Exemplos: criação de empresa-fantasma para intermediar o pagamento de propinas; utilização de pessoa jurídica coligada para ocultar a identidade do beneficiário final; constituição de nova sociedade imediatamente após a instauração do PAR para esvaziamento patrimonial.</w:t>
      </w:r>
    </w:p>
    <w:p>
      <w:r>
        <w:rPr>
          <w:b/>
        </w:rPr>
        <w:t>b) Confusão patrimonial:</w:t>
      </w:r>
      <w:r>
        <w:t xml:space="preserve"> Quando a separação formal entre o patrimônio da pessoa jurídica e o patrimônio pessoal dos sócios ou administradores inexiste na prática — evidenciada por pagamentos pessoais custeados pela empresa, uso indiscriminado de contas bancárias, ou ausência de escrituração contábil regular que permita distinguir os patrimônios.</w:t>
      </w:r>
    </w:p>
    <w:p>
      <w:r>
        <w:t>A Lei Anticorrupção inovou ao prever expressamente a possibilidade de desconsideração da personalidade jurídica no âmbito do direito administrativo. Embora o instituto, antes mesmo da criação da Lei 12.846/2013, já estivesse sendo aplicado pela Administração Pública com respaldo em alguns tribunais, parte da doutrina defendia que a sua aplicação sem ordem judicial necessitaria de previsão legal expressa — lacuna que o art. 14 veio preencher.</w:t>
      </w:r>
    </w:p>
    <w:p>
      <w:r>
        <w:rPr>
          <w:b/>
        </w:rPr>
        <w:t>Consequência prática:</w:t>
      </w:r>
      <w:r>
        <w:t xml:space="preserve"> Verificada uma das hipóteses do art. 14, </w:t>
      </w:r>
      <w:r>
        <w:rPr>
          <w:i/>
        </w:rPr>
        <w:t>todos</w:t>
      </w:r>
      <w:r>
        <w:t xml:space="preserve"> os efeitos das sanções aplicadas à pessoa jurídica são estendidos aos administradores e sócios com poderes de gerência — o que inclui, em tese, a imputação do valor da multa, da publicação extraordinária e das restrições cadastrais previstas na lei. A extensão das sanções, contudo, exige observância do contraditório e da ampla defesa, o que implica a necessidade de abertura de prazo para manifestação específica dos atingidos pela desconsideração antes da decisão condenatória.</w:t>
      </w:r>
    </w:p>
    <w:p>
      <w:r>
        <w:t xml:space="preserve">⚠ </w:t>
      </w:r>
      <w:r>
        <w:rPr>
          <w:b/>
        </w:rPr>
        <w:t>Atenção crítica:</w:t>
      </w:r>
      <w:r>
        <w:t xml:space="preserve"> A desconsideração do art. 14 da LAC destina-se a atingir os sócios e administradores com poderes de gerência — não a qualquer sócio. O mero ingresso no quadro societário sem participação na gestão não é suficiente para a extensão das sanções. A comissão deve demonstrar a posição hierárquica do atingido e seu vínculo com a prática ou cobertura do ato lesivo.</w:t>
      </w:r>
    </w:p>
    <w:p>
      <w:pPr>
        <w:pStyle w:val="Heading3"/>
        <w:spacing w:after="150" w:before="300"/>
      </w:pPr>
      <w:r>
        <w:t xml:space="preserve">3.3.3 Estado da Controvérsia: Extensão da Desconsideração a Grupos Econômicos de Fato</w:t>
      </w:r>
    </w:p>
    <w:p>
      <w:pPr>
        <w:spacing w:after="80" w:before="120"/>
      </w:pPr>
      <w:r>
        <w:rPr>
          <w:rFonts w:ascii="Calibri" w:cs="Calibri" w:eastAsia="Calibri" w:hAnsi="Calibri"/>
          <w:b/>
          <w:bCs/>
          <w:sz w:val="22"/>
          <w:szCs w:val="22"/>
        </w:rPr>
        <w:t xml:space="preserve">(i) Posição da CGU</w:t>
      </w:r>
    </w:p>
    <w:p>
      <w:pPr>
        <w:spacing w:after="160" w:line="276"/>
      </w:pPr>
      <w:r>
        <w:rPr>
          <w:rFonts w:ascii="Calibri" w:cs="Calibri" w:eastAsia="Calibri" w:hAnsi="Calibri"/>
          <w:b w:val="false"/>
          <w:bCs w:val="false"/>
          <w:i w:val="false"/>
          <w:iCs w:val="false"/>
          <w:sz w:val="22"/>
          <w:szCs w:val="22"/>
        </w:rPr>
        <w:t xml:space="preserve">A Nota Técnica nº 3.657/2025/COSEP/DIREP/SIPRI, que consolida o entendimento da CGU sobre a desconsideração da personalidade jurídica no PAR, fixa balizas relevantes para o tema: a medida é excepcional e não se aplica automaticamente a empresas do mesmo grupo econômico regular — hipótese que segue as regras próprias de solidariedade e sucessão do art. 4º da LAC —, exigindo-se, para a desconsideração propriamente dita, a comprovação de que a personalidade jurídica foi criada ou utilizada de forma exclusiva, majoritária, habitual ou reiterada para facilitar, encobrir ou dissimular o ilícito, ou para provocar confusão patrimonial. A mesma Nota Técnica reconhece, contudo, que a desconsideração pode alcançar terceiros que se beneficiaram do abuso, ainda que indiretamente, e outras sociedades integrantes do mesmo grupo quando caracterizado esse uso abusivo — abrindo espaço, portanto, para a extensão a grupos econômicos de fato quando o vínculo formal de controle não existe, mas a instrumentalização abusiva está comprovada.</w:t>
      </w:r>
    </w:p>
    <w:p>
      <w:pPr>
        <w:spacing w:after="80" w:before="120"/>
      </w:pPr>
      <w:r>
        <w:rPr>
          <w:rFonts w:ascii="Calibri" w:cs="Calibri" w:eastAsia="Calibri" w:hAnsi="Calibri"/>
          <w:b/>
          <w:bCs/>
          <w:sz w:val="22"/>
          <w:szCs w:val="22"/>
        </w:rPr>
        <w:t xml:space="preserve">(ii) Posição doutrinária divergente</w:t>
      </w:r>
    </w:p>
    <w:p>
      <w:pPr>
        <w:spacing w:after="160" w:line="276"/>
      </w:pPr>
      <w:r>
        <w:rPr>
          <w:rFonts w:ascii="Calibri" w:cs="Calibri" w:eastAsia="Calibri" w:hAnsi="Calibri"/>
          <w:b w:val="false"/>
          <w:bCs w:val="false"/>
          <w:i w:val="false"/>
          <w:iCs w:val="false"/>
          <w:sz w:val="22"/>
          <w:szCs w:val="22"/>
        </w:rPr>
        <w:t xml:space="preserve">A controvérsia doutrinária sobre a desconsideração no âmbito de órgãos administrativos e tribunais de contas é anterior e mais ampla do que a discussão específica do PAR. Parte da doutrina especializada em controle externo — refletida, por exemplo, nos escritos de Carlos Ari Sundfeld e Jacintho Arruda Câmara — sustenta que a desconsideração da personalidade jurídica, por sua gravidade e por decorrer do art. 50 do Código Civil, estaria sujeita a reserva de jurisdição, cabendo exclusivamente ao Poder Judiciário decretá-la; a aplicação por órgãos administrativos, ainda que amparada na teoria dos poderes implícitos, seria, nessa leitura, questionável. O art. 14 da LAC oferece, nesse debate, um contra-argumento parcial relevante: diferentemente do TCU, que se apoia diretamente no art. 50 do Código Civil sem previsão legal expressa de competência, a autoridade julgadora do PAR desconsidera com fundamento em dispositivo legal próprio e específico (art. 14), o que atenua a crítica da reserva de jurisdição nesse contexto particular. A controvérsia mais aguda, portanto, desloca-se para a extensão do conceito: o texto do art. 14 fala em estender os efeitos das sanções a “administradores e sócios com poderes de administração”, e a discussão doutrinária e jurisprudencial gira em torno de saber se essa extensão comporta, por interpretação sistemática, o alcance de outras pessoas jurídicas do mesmo grupo econômico de fato — sem vínculo societário formal de controle, mas unidas por confusão patrimonial ou direção unificada —, hipótese batizada pela doutrina de desconsideração expansiva.</w:t>
      </w:r>
    </w:p>
    <w:p>
      <w:pPr>
        <w:spacing w:after="80" w:before="120"/>
      </w:pPr>
      <w:r>
        <w:rPr>
          <w:rFonts w:ascii="Calibri" w:cs="Calibri" w:eastAsia="Calibri" w:hAnsi="Calibri"/>
          <w:b/>
          <w:bCs/>
          <w:sz w:val="22"/>
          <w:szCs w:val="22"/>
        </w:rPr>
        <w:t xml:space="preserve">(iii) Precedentes relevantes</w:t>
      </w:r>
    </w:p>
    <w:p>
      <w:pPr>
        <w:spacing w:after="160" w:line="276"/>
      </w:pPr>
      <w:r>
        <w:rPr>
          <w:rFonts w:ascii="Calibri" w:cs="Calibri" w:eastAsia="Calibri" w:hAnsi="Calibri"/>
          <w:b w:val="false"/>
          <w:bCs w:val="false"/>
          <w:i w:val="false"/>
          <w:iCs w:val="false"/>
          <w:sz w:val="22"/>
          <w:szCs w:val="22"/>
        </w:rPr>
        <w:t xml:space="preserve">O STF, no julgamento do MS 35.920 ED (rel. Min. Gilmar Mendes, Tribunal Pleno, j. 30.10.2023), reconheceu como legal e constitucionalmente fundada a desconsideração da personalidade jurídica por tribunal de contas para alcançar o patrimônio de pessoas físicas ou jurídicas envolvidas na prática de atos lesivos ao erário, desde que observados o contraditório e a ampla defesa — precedente favorável à competência administrativa para desconsiderar, ainda que fora do contexto específico do PAR. Já o julgamento do MS 35.506, também no STF, permanece um retrato da divisão da Corte sobre os limites dessa competência, com correntes que vão da rejeição total da competência administrativa (por reserva de jurisdição) à admissão ampla fundada em poder geral de cautela. No plano infraconstitucional, o STJ tem reiteradamente exigido, para a desconsideração fundada em grupo econômico, a comprovação de desvio de finalidade ou confusão patrimonial — rejeitando a tese de que a mera existência de vínculo de grupo, por si só, autoriza a medida —, e tem exigido a instauração de incidente próprio com contraditório mesmo em fase de execução, reforçando a garantia processual em qualquer hipótese de extensão a terceira pessoa jurídica.</w:t>
      </w:r>
    </w:p>
    <w:p>
      <w:pPr>
        <w:spacing w:after="80" w:before="120"/>
      </w:pPr>
      <w:r>
        <w:rPr>
          <w:rFonts w:ascii="Calibri" w:cs="Calibri" w:eastAsia="Calibri" w:hAnsi="Calibri"/>
          <w:b/>
          <w:bCs/>
          <w:sz w:val="22"/>
          <w:szCs w:val="22"/>
        </w:rPr>
        <w:t xml:space="preserve">(iv) Impacto prático na dosimetria</w:t>
      </w:r>
    </w:p>
    <w:p>
      <w:pPr>
        <w:spacing w:after="160" w:line="276"/>
      </w:pPr>
      <w:r>
        <w:rPr>
          <w:rFonts w:ascii="Calibri" w:cs="Calibri" w:eastAsia="Calibri" w:hAnsi="Calibri"/>
          <w:b w:val="false"/>
          <w:bCs w:val="false"/>
          <w:i w:val="false"/>
          <w:iCs w:val="false"/>
          <w:sz w:val="22"/>
          <w:szCs w:val="22"/>
        </w:rPr>
        <w:t xml:space="preserve">Quando a desconsideração recai sobre administradores ou sócios com poderes de administração, os efeitos da condenação (inclusive a multa) passam a alcançar o patrimônio pessoal desses indivíduos, sem alteração da base de cálculo da dosimetria. Quando a extensão recai sobre outra pessoa jurídica do grupo econômico de fato — hipótese da desconsideração expansiva ou indireta —, a instrução processual deve demonstrar de forma robusta o abuso de direito e a confusão patrimonial antes de qualquer repercussão na base de cálculo ou na responsabilização solidária, sob pena de se confundir indevidamente o instituto da desconsideração (art. 14) com o da solidariedade entre sociedades do mesmo grupo regularmente constituído (art. 4º, §2º) — institutos que a própria Nota Técnica da CGU recomenda não confundir.</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organização opera por meio de diversas sociedades de fachada, sem vínculo societário formal entre si, mas com sócios de fato comuns, endereços coincidentes e fluxo de caixa cruzado, usadas para intermediar o pagamento de vantagens indevidas. Após a instauração do PAR, uma das sociedades é baixada na Receita Federal para tentar frustrar a execução da sanção. Diante da confusão patrimonial evidenciada entre as sociedades e da comprovação de que a estrutura societária foi utilizada de forma abusiva para dissimular o ilícito, a comissão processante pode recomendar a desconsideração expansiva, estendendo os efeitos da condenação à sociedade que efetivamente controla o negócio, ainda que não exista entre as empresas vínculo formal de controle societário registrado.</w:t>
            </w:r>
          </w:p>
        </w:tc>
      </w:tr>
    </w:tbl>
    <w:p/>
    <w:p>
      <w:pPr>
        <w:pStyle w:val="Heading2"/>
      </w:pPr>
      <w:r>
        <w:t>3.4 Alcance Extraterritorial e Atos contra a Administração Pública Estrangeira</w:t>
      </w:r>
    </w:p>
    <w:p>
      <w:r>
        <w:t xml:space="preserve">O art. 1º da LAC estabelece que a lei se aplica aos atos lesivos praticados </w:t>
      </w:r>
      <w:r>
        <w:rPr>
          <w:i/>
        </w:rPr>
        <w:t>"contra a administração pública, nacional ou estrangeira"</w:t>
      </w:r>
      <w:r>
        <w:t>. Essa cláusula, combinada com o art. 28 do Decreto nº 11.129/2022, confere à norma dimensão de alcance extraterritorial que merece destaque.</w:t>
      </w:r>
    </w:p>
    <w:p>
      <w:r>
        <w:t xml:space="preserve">A Lei Anticorrupção incide sobre a pessoa jurídica com sede, filial ou representação no Brasil ainda que o ato lesivo tenha sido praticado fora do território nacional, desde que tenha causado dano à administração pública estrangeira. Essa é a dimensão </w:t>
      </w:r>
      <w:r>
        <w:rPr>
          <w:i/>
        </w:rPr>
        <w:t>ativa</w:t>
      </w:r>
      <w:r>
        <w:t xml:space="preserve"> da extraterritorialidade: a empresa brasileira responde pela propina paga a um agente público de outro país para obter contratos ou vantagens no exterior.</w:t>
      </w:r>
    </w:p>
    <w:p>
      <w:r>
        <w:t>Esse alcance é exigência direta das convenções internacionais ratificadas pelo Brasil — notadamente a Convenção da OCDE de 1997, que trata especificamente da responsabilização da pessoa jurídica pela corrupção de funcionários públicos estrangeiros em transações comerciais internacionais, e a Convenção de Mérida, cujo art. 26 impõe responsabilidade das entidades jurídicas pela corrupção em qualquer de suas formas previstas na Convenção.</w:t>
      </w:r>
    </w:p>
    <w:p>
      <w:pPr>
        <w:pStyle w:val="Heading2"/>
      </w:pPr>
      <w:r>
        <w:t>3.5 Responsabilidade Solidária de Grupo Econômico (Art. 4º, §2º)</w:t>
      </w:r>
    </w:p>
    <w:p>
      <w:r>
        <w:t xml:space="preserve">O §2º do art. 4º da LAC introduz regra de solidariedade passiva entre entidades do mesmo grupo econômico: </w:t>
      </w:r>
      <w:r>
        <w:rPr>
          <w:i/>
        </w:rPr>
        <w:t>"As sociedades controladoras, controladas, coligadas ou, no âmbito do respectivo contrato, as consorciadas serão solidariamente responsáveis pela prática dos atos previstos nesta Lei, restringindo-se tal responsabilidade à obrigação de pagamento de multa e reparação integral do dano causado."</w:t>
      </w:r>
    </w:p>
    <w:p>
      <w:r>
        <w:t>A solidariedade de grupo econômico no âmbito da LAC tem dois pressupostos que a distinguem da mera responsabilidade do art. 2º: (i) é necessária a prova de que as entidades do grupo participaram, direta ou indiretamente, da prática do ato lesivo — a mera existência de vínculo societário não basta; e (ii) a responsabilidade solidária restringe-se ao pagamento da multa e ao ressarcimento dos danos, não alcançando as demais sanções administrativas.</w:t>
      </w:r>
    </w:p>
    <w:p>
      <w:r>
        <w:t>O Decreto nº 11.129/2022, em seu art. 20, §2º, complementa esse regime ao dispor que, quando houver prova de que diferentes empresas agiram em conluio ou fraude estruturada como se fossem uma única entidade, os faturamentos brutos de todas as pessoas jurídicas participantes podem ser consolidados para fins de base de cálculo da multa — regra de enorme relevância dosimétrica em casos de cartel ou esquemas complexos de corrupção sistêmica.</w:t>
      </w:r>
    </w:p>
    <w:p>
      <w:pPr>
        <w:pStyle w:val="Heading1"/>
        <w:pageBreakBefore/>
      </w:pPr>
      <w:r>
        <w:t>4. OS ATOS LESIVOS À ADMINISTRAÇÃO PÚBLICA (Art. 5º)</w:t>
      </w:r>
    </w:p>
    <w:p>
      <w:r>
        <w:rPr>
          <w:b/>
        </w:rPr>
        <w:t>Introdução: Estrutura Normativa e Bem Jurídico Tutelado</w:t>
      </w:r>
    </w:p>
    <w:p>
      <w:r>
        <w:t>O art. 5º da Lei nº 12.846/2013 é o núcleo tipificador da Lei Anticorrupção. É ele que define, em rol exaustivo, as condutas que constituem atos lesivos à administração pública para fins de responsabilização objetiva da pessoa jurídica. A correta compreensão de sua estrutura — dos bens jurídicos protegidos, da natureza do rol, da distinção entre as espécies de atos e do critério de contagem para fins dosimétricos — é pressuposto indispensável para a instrução do PAR e, em especial, para a aplicação do agravante de concurso de atos lesivos previsto no art. 22, I, do Decreto nº 11.129/2022.</w:t>
      </w:r>
    </w:p>
    <w:p>
      <w:pPr>
        <w:pStyle w:val="Heading2"/>
      </w:pPr>
      <w:r>
        <w:t>4.1 O Caput: Bens Jurídicos Protegidos</w:t>
      </w:r>
    </w:p>
    <w:p>
      <w:r>
        <w:t>O caput do art. 5º identifica três bens jurídicos cuja proteção justifica a incidência da lei:</w:t>
      </w:r>
    </w:p>
    <w:p>
      <w:r>
        <w:rPr>
          <w:i/>
        </w:rPr>
        <w:t xml:space="preserve">"Constituem atos lesivos à administração pública, nacional ou estrangeira, para os fins desta Lei, todos aqueles praticados pelas pessoas jurídicas mencionadas no parágrafo único do art. 1º, que atentem contra </w:t>
      </w:r>
      <w:r>
        <w:rPr>
          <w:b/>
          <w:i/>
        </w:rPr>
        <w:t>o patrimônio público nacional ou estrangeiro</w:t>
      </w:r>
      <w:r>
        <w:rPr>
          <w:i/>
        </w:rPr>
        <w:t xml:space="preserve">, contra </w:t>
      </w:r>
      <w:r>
        <w:rPr>
          <w:b/>
          <w:i/>
        </w:rPr>
        <w:t>princípios da administração pública</w:t>
      </w:r>
      <w:r>
        <w:rPr>
          <w:i/>
        </w:rPr>
        <w:t xml:space="preserve"> ou contra </w:t>
      </w:r>
      <w:r>
        <w:rPr>
          <w:b/>
          <w:i/>
        </w:rPr>
        <w:t>os compromissos internacionais assumidos pelo Brasil</w:t>
      </w:r>
      <w:r>
        <w:rPr>
          <w:i/>
        </w:rPr>
        <w:t>, assim definidos: [...]"</w:t>
      </w:r>
    </w:p>
    <w:p>
      <w:r>
        <w:t xml:space="preserve">A tripartição é significativa. O </w:t>
      </w:r>
      <w:r>
        <w:rPr>
          <w:i/>
        </w:rPr>
        <w:t>patrimônio público</w:t>
      </w:r>
      <w:r>
        <w:t xml:space="preserve"> compreende o conjunto de bens e direitos de titularidade da administração, incluindo os contratos e as receitas públicas. Os </w:t>
      </w:r>
      <w:r>
        <w:rPr>
          <w:i/>
        </w:rPr>
        <w:t>princípios da administração pública</w:t>
      </w:r>
      <w:r>
        <w:t xml:space="preserve"> — legalidade, impessoalidade, moralidade, publicidade e eficiência, nos termos do art. 37, </w:t>
      </w:r>
      <w:r>
        <w:rPr>
          <w:i/>
        </w:rPr>
        <w:t>caput</w:t>
      </w:r>
      <w:r>
        <w:t xml:space="preserve">, da CF/88 — são tutelados em sua dimensão moral e intangível: atos que corrompem a impessoalidade de processos licitatórios ou que violam a moralidade administrativa configuram atos lesivos independentemente de dano patrimonial quantificável. Os </w:t>
      </w:r>
      <w:r>
        <w:rPr>
          <w:i/>
        </w:rPr>
        <w:t>compromissos internacionais</w:t>
      </w:r>
      <w:r>
        <w:t xml:space="preserve"> remetem diretamente às convenções estudadas no item 2 deste Manual — OCDE, ONU/Mérida e OEA —, conferindo à lei explícita dimensão de direito convencional internalizado.</w:t>
      </w:r>
    </w:p>
    <w:p>
      <w:r>
        <w:t>A antijuridicidade dos atos lesivos decorre do fato de que as condutas previstas nos incisos do art. 5º devem necessariamente atentar contra os bens jurídicos indicados no caput: o patrimônio público material, os princípios da administração pública (patrimônio público moral) e os compromissos internacionais assumidos pelo Brasil.</w:t>
      </w:r>
    </w:p>
    <w:p>
      <w:pPr>
        <w:pStyle w:val="Heading3"/>
      </w:pPr>
      <w:r>
        <w:t>4.1.1 Taxatividade: o Rol é Exaustivo, Não Exemplificativo</w:t>
      </w:r>
    </w:p>
    <w:p>
      <w:r>
        <w:t xml:space="preserve">Um ponto técnico de primeira importância: o rol do art. 5º é </w:t>
      </w:r>
      <w:r>
        <w:rPr>
          <w:i/>
        </w:rPr>
        <w:t>taxativo</w:t>
      </w:r>
      <w:r>
        <w:t xml:space="preserve"> (numerus clausus). A expressão final do caput — "assim definidos" — deixa claro que apenas as condutas descritas nos incisos I a V configuram atos lesivos para fins da LAC. Não há cláusula geral de incriminação, nem analogia extensiva é admissível.</w:t>
      </w:r>
    </w:p>
    <w:p>
      <w:r>
        <w:t>Aplica-se o princípio da estrita legalidade em relação à responsabilização objetiva de pessoas jurídicas pela prática de atos contra a administração pública. Os atos lesivos do art. 5º constituem uma relação exaustiva e não meramente exemplificativa. Essa característica aproxima a tipologia do art. 5º da técnica legislativa do direito penal, embora a responsabilidade da LAC seja de natureza administrativa — e, por isso, objetiva.</w:t>
      </w:r>
    </w:p>
    <w:p>
      <w:r>
        <w:t>A consequência prática para o operador do PAR é direta: condutas que causem dano à administração pública mas não se enquadrem em nenhum dos incisos do art. 5º não autorizam a instauração do processo nem a aplicação das sanções da LAC. A persecução deverá ser buscada em outros diplomas — Lei de Improbidade Administrativa, Lei de Licitações, Código Penal ou lei da ordem econômica.</w:t>
      </w:r>
    </w:p>
    <w:p>
      <w:pPr>
        <w:pStyle w:val="Heading2"/>
      </w:pPr>
      <w:r>
        <w:t>4.2 Análise Dogmática dos Incisos</w:t>
      </w:r>
    </w:p>
    <w:p>
      <w:pPr>
        <w:pStyle w:val="Heading3"/>
      </w:pPr>
      <w:r>
        <w:t>4.2.1 Art. 5º, I — Oferta de Vantagem Indevida (Active Bribery)</w:t>
      </w:r>
    </w:p>
    <w:p>
      <w:r>
        <w:rPr>
          <w:i/>
        </w:rPr>
        <w:t>"Prometer, oferecer ou dar, direta ou indiretamente, vantagem indevida a agente público, ou a terceira pessoa a ele relacionada."</w:t>
      </w:r>
    </w:p>
    <w:p>
      <w:r>
        <w:t>Este é o ato lesivo central e paradigmático da lei — a corrupção ativa praticada pela pessoa jurídica. O inciso I da LAC corresponde, em direito comparado, ao núcleo do FCPA norte-americano e do art. 1 da Convenção da OCDE de 1997. As disposições anticorrupção do FCPA proíbem especificamente o uso de qualquer meio de comércio interestadual para, corruptamente, oferecer, pagar, prometer pagar ou autorizar o pagamento de dinheiro ou qualquer coisa de valor a funcionário público estrangeiro, com o objetivo de influenciá-lo em sua capacidade oficial, induzi-lo a omitir ou praticar ato em violação a seus deveres legais, ou para assegurar qualquer vantagem indevida.</w:t>
      </w:r>
    </w:p>
    <w:p>
      <w:r>
        <w:t>No plano estrutural do tipo, merecem destaque cinco elementos:</w:t>
      </w:r>
    </w:p>
    <w:p>
      <w:r>
        <w:rPr>
          <w:b/>
        </w:rPr>
        <w:t>a) Verbos nucleares alternativos:</w:t>
      </w:r>
      <w:r>
        <w:t xml:space="preserve"> </w:t>
      </w:r>
      <w:r>
        <w:rPr>
          <w:i/>
        </w:rPr>
        <w:t>Prometer, oferecer ou dar</w:t>
      </w:r>
      <w:r>
        <w:t xml:space="preserve"> são condutas distintas e suficientes, cada uma por si, para a configuração do ato lesivo. A promessa (exteriorização da intenção de conceder a vantagem, oral ou escrita) já configura ato lesivo consumado — não é necessário que a propina seja efetivamente entregue. A lei anticorrupção considera ofensa à Administração Pública o ato de prometer, oferecer ou dar, direta ou indiretamente, vantagem indevida a agente público. Prometer consiste na exteriorização, oral, escrita ou gestual, de alguém em favor do destinatário, no sentido de que se pretenda praticar determinado ato em seu favor.</w:t>
      </w:r>
    </w:p>
    <w:p>
      <w:r>
        <w:rPr>
          <w:b/>
        </w:rPr>
        <w:t xml:space="preserve">b) </w:t>
      </w:r>
      <w:r>
        <w:rPr>
          <w:b/>
          <w:i/>
        </w:rPr>
        <w:t>Direta ou indiretamente</w:t>
      </w:r>
      <w:r>
        <w:rPr>
          <w:b/>
        </w:rPr>
        <w:t>:</w:t>
      </w:r>
      <w:r>
        <w:t xml:space="preserve"> O legislador antecipou a utilização de intermediários (consultores, agentes comerciais, advogados, familiares do agente público) como mecanismo de distanciamento formal do ato corrupto. A responsabilidade da pessoa jurídica não é afastada pela interposição de terceiros — elemento que dialoga diretamente com o inciso III (interposta pessoa).</w:t>
      </w:r>
    </w:p>
    <w:p>
      <w:r>
        <w:rPr>
          <w:b/>
        </w:rPr>
        <w:t xml:space="preserve">c) </w:t>
      </w:r>
      <w:r>
        <w:rPr>
          <w:b/>
          <w:i/>
        </w:rPr>
        <w:t>Vantagem indevida</w:t>
      </w:r>
      <w:r>
        <w:rPr>
          <w:b/>
        </w:rPr>
        <w:t>:</w:t>
      </w:r>
      <w:r>
        <w:t xml:space="preserve"> A expressão é mais ampla do que "pagamento em dinheiro". Compreende qualquer benefício de natureza econômica ou não — viagens, presentes, empregos para familiares, contratos favorecidos a empresas relacionadas ao agente público. O </w:t>
      </w:r>
      <w:r>
        <w:rPr>
          <w:i/>
        </w:rPr>
        <w:t xml:space="preserve">UK </w:t>
      </w:r>
      <w:r>
        <w:rPr>
          <w:i/>
        </w:rPr>
        <w:t>Bribery</w:t>
      </w:r>
      <w:r>
        <w:rPr>
          <w:i/>
        </w:rPr>
        <w:t xml:space="preserve"> </w:t>
      </w:r>
      <w:r>
        <w:rPr>
          <w:i/>
        </w:rPr>
        <w:t>Act</w:t>
      </w:r>
      <w:r>
        <w:t xml:space="preserve"> 2010 utiliza a expressão "financial or other advantage" com idêntica amplitude; o FCPA emprega "anything of value". A expressão "vantagem financeira ou outra vantagem" não é definida no Bribery Act, mas sua construção literal coloca tanto indivíduos quanto entidades em aviso de que as proibições da lei provavelmente se estendem a vantagens não pecuniárias também.</w:t>
      </w:r>
    </w:p>
    <w:p>
      <w:r>
        <w:rPr>
          <w:b/>
        </w:rPr>
        <w:t xml:space="preserve">d) </w:t>
      </w:r>
      <w:r>
        <w:rPr>
          <w:b/>
          <w:i/>
        </w:rPr>
        <w:t>Agente público ou terceira pessoa a ele relacionada</w:t>
      </w:r>
      <w:r>
        <w:rPr>
          <w:b/>
        </w:rPr>
        <w:t>:</w:t>
      </w:r>
      <w:r>
        <w:t xml:space="preserve"> A lei alcança não apenas o pagamento direto ao agente corruptível, mas também benefícios concedidos a cônjuges, filhos, sócios, empresas controladas e qualquer pessoa com quem o agente mantenha relação econômica ou pessoal relevante. O art. 5º, §3º, da LAC equipara à administração pública estrangeira as organizações internacionais públicas.</w:t>
      </w:r>
    </w:p>
    <w:p>
      <w:r>
        <w:rPr>
          <w:b/>
        </w:rPr>
        <w:t>e) Ausência do requisito de "comprovação":</w:t>
      </w:r>
      <w:r>
        <w:t xml:space="preserve"> Note-se que o inciso I não exige, ao contrário dos incisos II e III, a expressão "comprovadamente". Isso significa que, para o inciso I, não há exigência de prova direta do efetivo recebimento pelo agente público — basta demonstrar que a pessoa jurídica realizou a conduta de prometer, oferecer ou dar. Seguindo a lógica da Convenção da OCDE e da CNUCC, ao crime de corrupção da pessoa física que agiu em nome da empresa há de corresponder a responsabilização objetiva da pessoa jurídica que dele se beneficiou.</w:t>
      </w:r>
    </w:p>
    <w:p>
      <w:pPr>
        <w:pStyle w:val="Heading3"/>
      </w:pPr>
      <w:r>
        <w:t>4.2.2 Art. 5º, II — Financiamento de Atos Ilícitos</w:t>
      </w:r>
    </w:p>
    <w:p>
      <w:r>
        <w:rPr>
          <w:i/>
        </w:rPr>
        <w:t>"Comprovadamente, financiar, custear, patrocinar ou de qualquer modo subvencionar a prática dos atos ilícitos previstos nesta Lei."</w:t>
      </w:r>
    </w:p>
    <w:p>
      <w:r>
        <w:t>O inciso II alcança a empresa que não pratica diretamente o ato lesivo, mas que o financia — ou seja, que aporta recursos econômicos para que terceiros pratiquem as condutas tipificadas na LAC. Trata-se de uma forma de coautoria econômica: a pessoa jurídica que banca a propina paga por outrem, mesmo sem ser a beneficiária direta do ato, enquadra-se nessa hipótese.</w:t>
      </w:r>
    </w:p>
    <w:p>
      <w:r>
        <w:t>A exigência de comprovação (</w:t>
      </w:r>
      <w:r>
        <w:rPr>
          <w:i/>
        </w:rPr>
        <w:t>"comprovadamente"</w:t>
      </w:r>
      <w:r>
        <w:t>) indica que este inciso demanda prova documental ou pericial do fluxo financeiro — a mera suspeita de financiamento é insuficiente. Extratos bancários, relatórios de movimentação financeira, comprovantes de transferência, escrituração contábil manipulada e documentos obtidos em operações de busca e apreensão são os meios típicos de prova para este inciso.</w:t>
      </w:r>
    </w:p>
    <w:p>
      <w:r>
        <w:t>Na prática dos grandes esquemas de corrupção sistêmica investigados no Brasil a partir de 2014 — especialmente na Operação Lava Jato e suas ramificações —, este inciso teve aplicação frequente: empresas que mantinham fundos ocultos (</w:t>
      </w:r>
      <w:r>
        <w:rPr>
          <w:i/>
        </w:rPr>
        <w:t>slush</w:t>
      </w:r>
      <w:r>
        <w:rPr>
          <w:i/>
        </w:rPr>
        <w:t xml:space="preserve"> </w:t>
      </w:r>
      <w:r>
        <w:rPr>
          <w:i/>
        </w:rPr>
        <w:t>funds</w:t>
      </w:r>
      <w:r>
        <w:t>) ou caixas-dois para financiar campanhas políticas corruptas em troca de favorecimentos em contratos públicos enquadravam-se em múltiplos incisos do art. 5º, com consequências diretas para o agravante de concurso (art. 22, I).</w:t>
      </w:r>
    </w:p>
    <w:p>
      <w:pPr>
        <w:pStyle w:val="Heading3"/>
      </w:pPr>
      <w:r>
        <w:t>4.2.3 Art. 5º, III — Interposta Pessoa (Shell Companies e Laranjas)</w:t>
      </w:r>
    </w:p>
    <w:p>
      <w:r>
        <w:rPr>
          <w:i/>
        </w:rPr>
        <w:t>"Comprovadamente, utilizar-se de interposta pessoa física ou jurídica para ocultar ou dissimular seus reais interesses ou a identidade dos beneficiários dos atos praticados."</w:t>
      </w:r>
    </w:p>
    <w:p>
      <w:r>
        <w:t xml:space="preserve">O inciso III tipifica especificamente o uso de </w:t>
      </w:r>
      <w:r>
        <w:rPr>
          <w:i/>
        </w:rPr>
        <w:t>testas de ferro</w:t>
      </w:r>
      <w:r>
        <w:t xml:space="preserve">, </w:t>
      </w:r>
      <w:r>
        <w:rPr>
          <w:i/>
        </w:rPr>
        <w:t>laranjas</w:t>
      </w:r>
      <w:r>
        <w:t xml:space="preserve"> ou empresas-veículo (</w:t>
      </w:r>
      <w:r>
        <w:rPr>
          <w:i/>
        </w:rPr>
        <w:t>shell</w:t>
      </w:r>
      <w:r>
        <w:rPr>
          <w:i/>
        </w:rPr>
        <w:t xml:space="preserve"> </w:t>
      </w:r>
      <w:r>
        <w:rPr>
          <w:i/>
        </w:rPr>
        <w:t>companies</w:t>
      </w:r>
      <w:r>
        <w:t>) para dissimular a autoria real dos atos lesivos. O dispositivo proíbe a utilização de interpostas pessoas, também chamadas de "laranjas" ou "testas-de-ferro", para a prática de irregularidades. Trata-se de artifício comum em atos de corrupção e ilícitos financeiros. O ato lesivo aproxima-se, nesse sentido, do crime de lavagem de capitais previsto na Lei nº 9.613/1988, no qual também se encontra o caráter de dissimulação e ocultação de bens e/ou beneficiários.</w:t>
      </w:r>
    </w:p>
    <w:p>
      <w:r>
        <w:t xml:space="preserve">A figura da interposta pessoa abrange dois objetos de ocultação alternativos: (i) os </w:t>
      </w:r>
      <w:r>
        <w:rPr>
          <w:i/>
        </w:rPr>
        <w:t>reais interesses</w:t>
      </w:r>
      <w:r>
        <w:t xml:space="preserve"> da pessoa jurídica infratora — dissimulação do motivo ou do benefício visado; e (ii) a </w:t>
      </w:r>
      <w:r>
        <w:rPr>
          <w:i/>
        </w:rPr>
        <w:t>identidade dos beneficiários</w:t>
      </w:r>
      <w:r>
        <w:t xml:space="preserve"> dos atos praticados — ocultação de quem efetivamente lucrou com a conduta.</w:t>
      </w:r>
    </w:p>
    <w:p>
      <w:r>
        <w:t>Exemplos práticos: empresa que cria subsidiária em paraíso fiscal para pagar propina sem que seu nome apareça nos registros; grupo econômico que utiliza empresa coligada fictícia para receber contratos obtidos mediante corrupção; pessoa jurídica que interpõe "consultora" fantasma entre si e o agente público para disfarçar os pagamentos de vantagem indevida. Em todos esses casos, tanto a empresa que se utiliza do artifício quanto a interposta pessoa jurídica podem ser responsabilizadas — cada qual pelo inciso aplicável à sua conduta.</w:t>
      </w:r>
    </w:p>
    <w:p>
      <w:pPr>
        <w:pStyle w:val="Heading3"/>
      </w:pPr>
      <w:r>
        <w:t>4.2.4 Art. 5º, IV — Fraudes em Licitações e Contratos Administrativos (Bid Rigging)</w:t>
      </w:r>
    </w:p>
    <w:p>
      <w:r>
        <w:t>O inciso IV é o mais extenso do art. 5º, desdobrando-se em sete alíneas (a a g) que tipificam especificamente as fraudes praticadas no âmbito de procedimentos licitatórios e contratos com a administração pública. Representa a maior fonte de concurso de atos lesivos para fins do agravante do art. 22, I, uma vez que uma mesma conduta factual pode, conforme a análise, enquadrar-se em múltiplas alíneas — cada qual configurando espécie distinta para fins dosimétricos.</w:t>
      </w:r>
    </w:p>
    <w:p>
      <w:r>
        <w:rPr>
          <w:b/>
        </w:rPr>
        <w:t>a) Frustrar ou fraudar o caráter competitivo de licitação</w:t>
      </w:r>
      <w:r>
        <w:t xml:space="preserve"> (alínea a): A essência desta alínea é a proteção da </w:t>
      </w:r>
      <w:r>
        <w:rPr>
          <w:i/>
        </w:rPr>
        <w:t>competição genuína</w:t>
      </w:r>
      <w:r>
        <w:t xml:space="preserve"> nos procedimentos de contratação pública — bem jurídico que corresponde, no plano concorrencial, ao que a lei antitruste protege nos mercados privados. O CADE define o </w:t>
      </w:r>
      <w:r>
        <w:rPr>
          <w:i/>
        </w:rPr>
        <w:t>bid</w:t>
      </w:r>
      <w:r>
        <w:rPr>
          <w:i/>
        </w:rPr>
        <w:t xml:space="preserve"> </w:t>
      </w:r>
      <w:r>
        <w:rPr>
          <w:i/>
        </w:rPr>
        <w:t>rigging</w:t>
      </w:r>
      <w:r>
        <w:t xml:space="preserve"> como o fenômeno que ocorre quando grupos de firmas conspiram para aumentar preços ou reduzir a qualidade de bens, obras ou serviços oferecidos em contratações públicas. A OCDE tem recomendações específicas sobre o tema, reconhecendo que cartéis em licitações públicas conjugam, ao mesmo tempo, infração anticoncorrencial e ato de corrupção.</w:t>
      </w:r>
    </w:p>
    <w:p>
      <w:r>
        <w:rPr>
          <w:b/>
        </w:rPr>
        <w:t>b) Impedir, perturbar ou fraudar atos do procedimento licitatório</w:t>
      </w:r>
      <w:r>
        <w:t xml:space="preserve"> (alínea b): Alcança condutas que, sem necessariamente eliminar a competição, interferem nos atos processuais específicos — impugnação abusiva de habilitações, apresentação de documentos falsos, pressão sobre pregoeiros ou membros de comissões.</w:t>
      </w:r>
    </w:p>
    <w:p>
      <w:r>
        <w:rPr>
          <w:b/>
        </w:rPr>
        <w:t>c) Afastar licitante por fraude ou vantagem indevida</w:t>
      </w:r>
      <w:r>
        <w:t xml:space="preserve"> (alínea c): Tipifica o acordo corrupto que elimina um concorrente específico do certame — mediante propina para que ele apresente proposta perdedora, se abstenha de participar, ou retire a proposta já apresentada.</w:t>
      </w:r>
    </w:p>
    <w:p>
      <w:r>
        <w:rPr>
          <w:b/>
        </w:rPr>
        <w:t>d) Fraudar licitação ou contrato dela decorrente</w:t>
      </w:r>
      <w:r>
        <w:t xml:space="preserve"> (alínea d): Condutas de execução contratual fraudulenta — entrega de material de qualidade inferior ao especificado, medições adulteradas, serviços não executados e cobrados, superfaturamento.</w:t>
      </w:r>
    </w:p>
    <w:p>
      <w:r>
        <w:rPr>
          <w:b/>
        </w:rPr>
        <w:t>e) Criar pessoa jurídica de modo fraudulento</w:t>
      </w:r>
      <w:r>
        <w:t xml:space="preserve"> (alínea e): A criação de empresa-fantasma ou </w:t>
      </w:r>
      <w:r>
        <w:rPr>
          <w:i/>
        </w:rPr>
        <w:t>shell</w:t>
      </w:r>
      <w:r>
        <w:rPr>
          <w:i/>
        </w:rPr>
        <w:t xml:space="preserve"> </w:t>
      </w:r>
      <w:r>
        <w:rPr>
          <w:i/>
        </w:rPr>
        <w:t>company</w:t>
      </w:r>
      <w:r>
        <w:t xml:space="preserve"> especificamente para participar de licitação ou contrato configura ato lesivo autônomo, capaz de concorrer com o inciso III (interposta pessoa).</w:t>
      </w:r>
    </w:p>
    <w:p>
      <w:r>
        <w:rPr>
          <w:b/>
        </w:rPr>
        <w:t>f) Obter vantagem indevida de modificações/prorrogações</w:t>
      </w:r>
      <w:r>
        <w:t xml:space="preserve"> (alínea f): Tipifica o </w:t>
      </w:r>
      <w:r>
        <w:rPr>
          <w:i/>
        </w:rPr>
        <w:t>rent</w:t>
      </w:r>
      <w:r>
        <w:rPr>
          <w:i/>
        </w:rPr>
        <w:t xml:space="preserve"> </w:t>
      </w:r>
      <w:r>
        <w:rPr>
          <w:i/>
        </w:rPr>
        <w:t>seeking</w:t>
      </w:r>
      <w:r>
        <w:t xml:space="preserve"> contratual — a empresa que obtém, mediante corrupção, modificações ou prorrogações contratuais benéficas não autorizadas pela lei ou pelo instrumento convocatório.</w:t>
      </w:r>
    </w:p>
    <w:p>
      <w:r>
        <w:rPr>
          <w:b/>
        </w:rPr>
        <w:t>g) Manipular o equilíbrio econômico-financeiro</w:t>
      </w:r>
      <w:r>
        <w:t xml:space="preserve"> (alínea g): A mais sofisticada das alíneas — cobre a manipulação artificial dos índices de reequilíbrio contratual para extração de vantagem financeira da administração.</w:t>
      </w:r>
    </w:p>
    <w:p>
      <w:r>
        <w:t xml:space="preserve">⚠ </w:t>
      </w:r>
      <w:r>
        <w:rPr>
          <w:b/>
        </w:rPr>
        <w:t>Para o agravante do art. 22, I:</w:t>
      </w:r>
      <w:r>
        <w:t xml:space="preserve"> Cada alínea do inciso IV pode constituir uma </w:t>
      </w:r>
      <w:r>
        <w:rPr>
          <w:i/>
        </w:rPr>
        <w:t>espécie</w:t>
      </w:r>
      <w:r>
        <w:t xml:space="preserve"> distinta de ato lesivo, a depender da análise fática. Uma empresa que (i) fraudou o caráter competitivo da licitação (alínea a) e (ii) posteriormente manipulou o equilíbrio econômico-financeiro do contrato vencido (alínea g) praticou duas espécies de atos lesivos distintos no inciso IV. Somadas a uma oferta de vantagem indevida ao pregoeiro (inciso I), tem-se três espécies, alcançando a terceira coluna da tabela do art. 22, I.</w:t>
      </w:r>
    </w:p>
    <w:p>
      <w:pPr>
        <w:pStyle w:val="Heading3"/>
      </w:pPr>
      <w:r>
        <w:t>4.2.5 Art. 5º, V — Obstrução à Investigação e à Fiscalização</w:t>
      </w:r>
    </w:p>
    <w:p>
      <w:r>
        <w:rPr>
          <w:i/>
        </w:rPr>
        <w:t>"Dificultar atividade de investigação ou fiscalização de órgãos, entidades ou agentes públicos, ou intervir em sua atuação, inclusive no âmbito das agências reguladoras e dos órgãos de fiscalização do sistema financeiro nacional."</w:t>
      </w:r>
    </w:p>
    <w:p>
      <w:r>
        <w:t xml:space="preserve">O inciso V constitui, em direito comparado, a equivalente nacional do </w:t>
      </w:r>
      <w:r>
        <w:rPr>
          <w:i/>
        </w:rPr>
        <w:t>obstruction</w:t>
      </w:r>
      <w:r>
        <w:rPr>
          <w:i/>
        </w:rPr>
        <w:t xml:space="preserve"> </w:t>
      </w:r>
      <w:r>
        <w:rPr>
          <w:i/>
        </w:rPr>
        <w:t>of</w:t>
      </w:r>
      <w:r>
        <w:rPr>
          <w:i/>
        </w:rPr>
        <w:t xml:space="preserve"> justice</w:t>
      </w:r>
      <w:r>
        <w:t xml:space="preserve"> norte-americano — conduta que, no âmbito do FCPA e de outros diplomas, é tratada com extrema severidade, por representar ataque direto à capacidade do Estado de apurar e reprimir a corrupção.</w:t>
      </w:r>
    </w:p>
    <w:p>
      <w:r>
        <w:t>A redação ampla do inciso alcança qualquer conduta que dificulte ou interfira na atuação investigativa ou fiscalizatória — o que inclui:</w:t>
      </w:r>
    </w:p>
    <w:p>
      <w:r>
        <w:t>— Destruição ou adulteração de documentos, registros contábeis ou sistemas de informação que poderiam ser objeto de auditoria;</w:t>
      </w:r>
    </w:p>
    <w:p>
      <w:r>
        <w:t>— Pressão, intimidação ou corrupção de auditores, fiscais, membros de comissões e agentes públicos de controle;</w:t>
      </w:r>
    </w:p>
    <w:p>
      <w:r>
        <w:t>— Interposição de recursos protelatórios e procedimentos jurídicos instrumentalizados para retardar investigações;</w:t>
      </w:r>
    </w:p>
    <w:p>
      <w:r>
        <w:t>— Recusa de acesso a instalações, documentos ou sistemas durante fiscalização regularmente conduzida;</w:t>
      </w:r>
    </w:p>
    <w:p>
      <w:r>
        <w:t>— Interferência em procedimentos de agências reguladoras, tais como ANS, ANEEL, ANVISA, BACEN, CVM etc, que sejam relativos a obrigações da pessoa jurídica.</w:t>
      </w:r>
    </w:p>
    <w:p>
      <w:r>
        <w:t xml:space="preserve">Um aspecto doutrinariamente relevante é a relação entre o inciso V e a agravante de obstrução prevista no art. 22, III, do Decreto nº 11.129/2022. São institutos distintos: o inciso V tipifica o </w:t>
      </w:r>
      <w:r>
        <w:rPr>
          <w:i/>
        </w:rPr>
        <w:t>ato lesivo autônomo</w:t>
      </w:r>
      <w:r>
        <w:t xml:space="preserve"> de obstrução (e, portanto, define uma espécie para fins do concurso do art. 22, I); o art. 22, III regula a </w:t>
      </w:r>
      <w:r>
        <w:rPr>
          <w:i/>
        </w:rPr>
        <w:t>interrupção de serviços ou descumprimento regulatório</w:t>
      </w:r>
      <w:r>
        <w:t xml:space="preserve"> como circunstância agravante da conduta principal. Não há absorção entre eles: a empresa que pratica o ato lesivo do inciso I (oferta de vantagem) e, simultaneamente, destrói documentos para obstruir a investigação (inciso V) pratica </w:t>
      </w:r>
      <w:r>
        <w:rPr>
          <w:i/>
        </w:rPr>
        <w:t>dois atos lesivos de espécies distintas</w:t>
      </w:r>
      <w:r>
        <w:t>, com reflexo direto no agravante do art. 22, I, além de poder ter o percentual do art. 22, III aplicado sobre a conduta obstrutiva.</w:t>
      </w:r>
    </w:p>
    <w:p>
      <w:pPr>
        <w:pStyle w:val="Heading3"/>
        <w:spacing w:after="150" w:before="300"/>
      </w:pPr>
      <w:r>
        <w:t xml:space="preserve">4.2.6 Proporcionalidade na Aplicação do Inciso V: Obstrução à Investigação</w:t>
      </w:r>
    </w:p>
    <w:p>
      <w:pPr>
        <w:spacing w:after="160" w:line="276"/>
      </w:pPr>
      <w:r>
        <w:rPr>
          <w:rFonts w:ascii="Calibri" w:cs="Calibri" w:eastAsia="Calibri" w:hAnsi="Calibri"/>
          <w:b w:val="false"/>
          <w:bCs w:val="false"/>
          <w:i w:val="false"/>
          <w:iCs w:val="false"/>
          <w:sz w:val="22"/>
          <w:szCs w:val="22"/>
        </w:rPr>
        <w:t xml:space="preserve">A doutrina chama atenção para o risco de aplicação expansiva do inciso V do art. 5º (atos que dificultam a atividade de investigação ou fiscalização de órgãos públicos), cuja redação aberta — se lida de forma puramente literal — poderia alcançar praticamente qualquer resistência processual da pessoa jurídica investigada, inclusive o exercício regular do direito de defesa. A leitura mais cautelosa, hoje prevalecente, exige que a conduta enquadrada no inciso V tenha efetivamente comprometido, de forma significativa, o regular andamento da atividade de fiscalização ou investigação — e não meramente dificultado o trabalho da Administração no sentido lato, sob pena de o dispositivo colidir com os princípios do contraditório e da ampla defesa tratados no item 3.2 deste Manual e de sobrepor-se, sem critério de especialidade claro, a outros ramos do direito administrativo sancionador que também tipificam condutas obstrutivas.</w:t>
      </w:r>
    </w:p>
    <w:p>
      <w:pPr>
        <w:spacing w:after="160" w:line="276"/>
      </w:pPr>
      <w:r>
        <w:rPr>
          <w:rFonts w:ascii="Calibri" w:cs="Calibri" w:eastAsia="Calibri" w:hAnsi="Calibri"/>
          <w:b w:val="false"/>
          <w:bCs w:val="false"/>
          <w:i w:val="false"/>
          <w:iCs w:val="false"/>
          <w:sz w:val="22"/>
          <w:szCs w:val="22"/>
        </w:rPr>
        <w:t xml:space="preserve">Essa cautela interpretativa tem reflexo direto na contagem de espécies do art. 22, I, do Decreto nº 11.129/2022 (concurso de atos lesivos), tratada no item 4.3 deste Manual: a subsunção indevida de uma conduta de defesa processual legítima ao inciso V infla artificialmente o número de espécies violadas e, por consequência, o percentual do agravante de concurso, exigindo da comissão processante fundamentação redobrada sempre que o inciso V for imputado cumulativamente a outro inciso do art. 5º.</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Distinguem-se duas situações. Na primeira, a pessoa jurídica investigada, após notificada, atrasa a entrega de documentos solicitados pela comissão, alegando dificuldades operacionais, mas os entrega dentro de prazo suplementar concedido — conduta que, isoladamente, não configura o inciso V, por não ter inviabilizado a investigação. Na segunda, a pessoa jurídica insere dados falsos em sistema de fiscalização de órgão regulador e se utiliza de interpostas pessoas jurídicas para ocultar seus reais interesses, comprometendo de forma efetiva e substancial a atividade fiscalizatória — hipótese que se enquadra no inciso V como ato lesivo autônomo, ensejando concurso de atos lesivos com a conduta principal, nos termos do art. 22, I, do Decreto.</w:t>
            </w:r>
          </w:p>
        </w:tc>
      </w:tr>
    </w:tbl>
    <w:p/>
    <w:p>
      <w:pPr>
        <w:pStyle w:val="Heading2"/>
      </w:pPr>
      <w:r>
        <w:t>4.3 Relevância da Distinção entre Incisos para a Dosimetria</w:t>
      </w:r>
    </w:p>
    <w:p>
      <w:r>
        <w:t>A identificação precisa de quantos incisos (espécies) do art. 5º foram violados, e com quantas condutas distintas em cada inciso, é o dado de entrada fundamental para o preenchimento do agravante do art. 22, I, do Decreto nº 11.129/2022 — a célula da tabela que determina o percentual de concurso de atos lesivos.</w:t>
      </w:r>
    </w:p>
    <w:p>
      <w:r>
        <w:t>O critério de contagem adotado pelo Decreto é bidimensional:</w:t>
      </w:r>
    </w:p>
    <w:p>
      <w:r>
        <w:t xml:space="preserve">— </w:t>
      </w:r>
      <w:r>
        <w:rPr>
          <w:b/>
        </w:rPr>
        <w:t>Linhas</w:t>
      </w:r>
      <w:r>
        <w:t xml:space="preserve"> (condutas): cada ato concreto e individualizado praticado pela pessoa jurídica, ainda que enquadrado na mesma espécie. Três pagamentos de propina distintos, a três agentes públicos diferentes, em três ocasiões temporalmente separadas = três condutas.</w:t>
      </w:r>
    </w:p>
    <w:p>
      <w:r>
        <w:t xml:space="preserve">— </w:t>
      </w:r>
      <w:r>
        <w:rPr>
          <w:b/>
        </w:rPr>
        <w:t>Colunas</w:t>
      </w:r>
      <w:r>
        <w:t xml:space="preserve"> (espécies): cada inciso (I, II, III, IV ou V) distinto que tenha sido violado. Uma empresa que praticou atos do inciso I e do inciso V praticou duas espécies distintas.</w:t>
      </w:r>
    </w:p>
    <w:p>
      <w:r>
        <w:t xml:space="preserve">⚠ </w:t>
      </w:r>
      <w:r>
        <w:rPr>
          <w:b/>
        </w:rPr>
        <w:t>Alerta metodológico:</w:t>
      </w:r>
      <w:r>
        <w:t xml:space="preserve"> O inciso IV não deve ser tratado como uma única espécie monolítica. Cada alínea (a, b, c, d, e, f, g) tipifica conduta autônoma, e a doutrina majoritária interpreta cada alínea como potencialmente constituindo uma espécie distinta quando os fatos subjacentes são materialmente diferentes. A comissão deve fundamentar explicitamente na Nota de Indiciação quais alíneas foram identificadas e por que constituem espécies distintas, sob pena de comprometer a legitimidade do percentual de concurso aplicado.</w:t>
      </w:r>
    </w:p>
    <w:p>
      <w:pPr>
        <w:pStyle w:val="Heading3"/>
        <w:spacing w:after="150" w:before="300"/>
      </w:pPr>
      <w:r>
        <w:t xml:space="preserve">4.3.1 Estado da Controvérsia: Concurso de Atos Lesivos — Continuidade Delitiva Administrativa vs. Atos Autônomos</w:t>
      </w:r>
    </w:p>
    <w:p>
      <w:pPr>
        <w:spacing w:after="80" w:before="120"/>
      </w:pPr>
      <w:r>
        <w:rPr>
          <w:rFonts w:ascii="Calibri" w:cs="Calibri" w:eastAsia="Calibri" w:hAnsi="Calibri"/>
          <w:b/>
          <w:bCs/>
          <w:sz w:val="22"/>
          <w:szCs w:val="22"/>
        </w:rPr>
        <w:t xml:space="preserve">(i) Posição da CGU / regime legal</w:t>
      </w:r>
    </w:p>
    <w:p>
      <w:pPr>
        <w:spacing w:after="160" w:line="276"/>
      </w:pPr>
      <w:r>
        <w:rPr>
          <w:rFonts w:ascii="Calibri" w:cs="Calibri" w:eastAsia="Calibri" w:hAnsi="Calibri"/>
          <w:b w:val="false"/>
          <w:bCs w:val="false"/>
          <w:i w:val="false"/>
          <w:iCs w:val="false"/>
          <w:sz w:val="22"/>
          <w:szCs w:val="22"/>
        </w:rPr>
        <w:t xml:space="preserve">Como tratado no corpo deste Manual, o Decreto nº 11.129/2022 adota, para o agravante do art. 22, I, um critério de contagem bidimensional e essencialmente atomístico: cada conduta concreta e individualizada é contada isoladamente, ainda que enquadrada na mesma espécie do art. 5º, e cada espécie distinta violada soma-se ao percentual do concurso. É relevante notar que essa opção regulatória não é a mesma do regime anterior: o Decreto nº 8.420/2015 falava expressamente em “ato lesivo continuado”, com percentual mais baixo (até 2,5%), enquanto o Decreto nº 11.129/2022 substituiu essa terminologia por “concurso de atos lesivos”, elevando o teto para até 4%. A mudança de nomenclatura — de “continuado” para “concurso” — não é neutra: sinaliza um afastamento deliberado da lógica de unificação de condutas repetidas em benefício do infrator, tal como ocorre no crime continuado do direito penal, em favor de uma contagem mais estrita e discreta de cada ato.</w:t>
      </w:r>
    </w:p>
    <w:p>
      <w:pPr>
        <w:spacing w:after="80" w:before="120"/>
      </w:pPr>
      <w:r>
        <w:rPr>
          <w:rFonts w:ascii="Calibri" w:cs="Calibri" w:eastAsia="Calibri" w:hAnsi="Calibri"/>
          <w:b/>
          <w:bCs/>
          <w:sz w:val="22"/>
          <w:szCs w:val="22"/>
        </w:rPr>
        <w:t xml:space="preserve">(ii) Posição doutrinária divergente</w:t>
      </w:r>
    </w:p>
    <w:p>
      <w:pPr>
        <w:spacing w:after="160" w:line="276"/>
      </w:pPr>
      <w:r>
        <w:rPr>
          <w:rFonts w:ascii="Calibri" w:cs="Calibri" w:eastAsia="Calibri" w:hAnsi="Calibri"/>
          <w:b w:val="false"/>
          <w:bCs w:val="false"/>
          <w:i w:val="false"/>
          <w:iCs w:val="false"/>
          <w:sz w:val="22"/>
          <w:szCs w:val="22"/>
        </w:rPr>
        <w:t xml:space="preserve">Parte da doutrina de direito administrativo sancionador propõe a importação, por analogia, da lógica da continuidade delitiva do art. 71 do Código Penal para a dosimetria do PAR: quando uma série de atos lesivos da mesma espécie é praticada em condições semelhantes de tempo, lugar e modo de execução, e há evidência de unidade de desígnio — por exemplo, doze pagamentos mensais de propina ao mesmo agente público, decorrentes de um único ajuste corruptivo original —, a punição de cada pagamento como uma “condut a” autônoma para fins do agravante do art. 22, I, poderia gerar uma exasperação da multa desproporcional à real unidade da conduta ilícita subjacente, penalizando de forma mais severa o infrator que fraciona o pagamento de uma única vantagem indevida do que aquele que a recebe de uma só vez. A doutrina que defende essa leitura mais próxima da continuidade delitiva argumenta que a ausência, na LAC e no Decreto, de qualquer filtro de unidade de desígnio ou de conexão temporal entre os atos contraria o princípio da proporcionalidade em sua dimensão de vedação ao excesso. Em sentido oposto, a doutrina majoritária — amparada na mudança terminológica de 2022 e na natureza objetiva da responsabilização, que dispensa investigação de elementos subjetivos como o “desígnio” — sustenta que a opção pelo critério atomístico é legítima e coerente com o sistema da LAC: diferentemente do direito penal, em que a pena privativa de liberdade impõe um limite de razoabilidade mais rígido à exasperação, a multa administrativa é quantificada percentualmente sobre o faturamento, e cada ato lesivo, ainda que relacionado aos demais, representa uma nova lesão autônoma ao bem jurídico tutelado, justificando sua contagem individualizada.</w:t>
      </w:r>
    </w:p>
    <w:p>
      <w:pPr>
        <w:spacing w:after="80" w:before="120"/>
      </w:pPr>
      <w:r>
        <w:rPr>
          <w:rFonts w:ascii="Calibri" w:cs="Calibri" w:eastAsia="Calibri" w:hAnsi="Calibri"/>
          <w:b/>
          <w:bCs/>
          <w:sz w:val="22"/>
          <w:szCs w:val="22"/>
        </w:rPr>
        <w:t xml:space="preserve">(iii) Precedentes relevantes</w:t>
      </w:r>
    </w:p>
    <w:p>
      <w:pPr>
        <w:spacing w:after="160" w:line="276"/>
      </w:pPr>
      <w:r>
        <w:rPr>
          <w:rFonts w:ascii="Calibri" w:cs="Calibri" w:eastAsia="Calibri" w:hAnsi="Calibri"/>
          <w:b w:val="false"/>
          <w:bCs w:val="false"/>
          <w:i w:val="false"/>
          <w:iCs w:val="false"/>
          <w:sz w:val="22"/>
          <w:szCs w:val="22"/>
        </w:rPr>
        <w:t xml:space="preserve">Não foram identificados precedentes do STJ ou do STF que enfrentem diretamente a aplicabilidade da lógica da continuidade delitiva penal à dosimetria do concurso de atos lesivos do PAR. A jurisprudência disponível sobre continuidade delitiva permanece confinada ao direito penal, onde o STJ exige cumulativamente os requisitos objetivos (mesmas condições de tempo, lugar e modo de execução) e o requisito subjetivo da unidade de desígnios, afastando o instituto quando a prática se aproxima da habitualidade delitiva (modo de vida) ou quando o intervalo entre os atos é muito extenso. A ausência de precedente administrativo ou judicial que transponha esse debate ao PAR reforça que a matéria permanece em aberto: o operador não deve presumir a aplicabilidade da lógica penal por analogia, tratando-se de tese doutrinária ainda não acolhida pela prática consolidada da CGU nem pela jurisprudência.</w:t>
      </w:r>
    </w:p>
    <w:p>
      <w:pPr>
        <w:spacing w:after="80" w:before="120"/>
      </w:pPr>
      <w:r>
        <w:rPr>
          <w:rFonts w:ascii="Calibri" w:cs="Calibri" w:eastAsia="Calibri" w:hAnsi="Calibri"/>
          <w:b/>
          <w:bCs/>
          <w:sz w:val="22"/>
          <w:szCs w:val="22"/>
        </w:rPr>
        <w:t xml:space="preserve">(iv) Impacto prático na dosimetria</w:t>
      </w:r>
    </w:p>
    <w:p>
      <w:pPr>
        <w:spacing w:after="160" w:line="276"/>
      </w:pPr>
      <w:r>
        <w:rPr>
          <w:rFonts w:ascii="Calibri" w:cs="Calibri" w:eastAsia="Calibri" w:hAnsi="Calibri"/>
          <w:b w:val="false"/>
          <w:bCs w:val="false"/>
          <w:i w:val="false"/>
          <w:iCs w:val="false"/>
          <w:sz w:val="22"/>
          <w:szCs w:val="22"/>
        </w:rPr>
        <w:t xml:space="preserve">A controvérsia tem impacto direto e mensurável: sob a leitura atomística hoje praticada, doze condutas da mesma espécie elevam o percentual do concurso ao patamar máximo da tabela do art. 22, I; sob uma eventual leitura de continuidade delitiva, o operador poderia ser levado a tratar o conjunto como uma única conduta multiplicada por um fator de exasperação mais moderado — método que a legislação vigente não contempla. Enquanto a controvérsia não se resolve na jurisprudência, a prática recomendável é a aplicação literal do critério do Decreto (contagem individualizada), com registro expresso, na Nota de Indiciação e no Relatório Final, do contexto de unidade ou pluralidade de desígnio entre os atos — de modo a documentar o debate e subsidiar eventual ponderação em fase recursal ou judicial sobre a proporcionalidade do percentual total resultante.</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empresa paga, ao longo de doze meses, uma propina mensal fixa ao mesmo agente público, como contrapartida por um único ajuste de favorecimento em processo de fiscalização continuado. Sob o critério hoje vigente, a comissão pode identificar doze condutas distintas do inciso I do art. 5º, elevando o percentual do concurso de atos lesivos ao patamar mais alto da tabela do art. 22, I. Uma empresa que paga a mesma vantagem total de uma só vez, em parcela única, pratica apenas uma conduta do mesmo inciso, recebendo tratamento dosimétrico mais brando — ainda que a lesão econômica ao erário e o proveito obtido sejam idênticos em ambos os casos. Esse é exatamente o tipo de assimetria que a tese da continuidade delitiva administrativa busca corrigir, e que a comissão deve estar preparada para enfrentar argumentativamente na motivação da Nota de Indiciação.</w:t>
            </w:r>
          </w:p>
        </w:tc>
      </w:tr>
    </w:tbl>
    <w:p/>
    <w:p>
      <w:pPr>
        <w:pStyle w:val="Heading2"/>
      </w:pPr>
      <w:r>
        <w:t>4.4 Comparativo com o Direito Internacional</w:t>
      </w:r>
    </w:p>
    <w:p>
      <w:r>
        <w:t>A tabela abaixo sintetiza a correspondência entre os incisos do art. 5º da LAC e os principais diplomas internacionais: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
              <w:rPr>
                <w:b/>
              </w:rPr>
              <w:t>Inciso da LAC</w:t>
            </w:r>
          </w:p>
        </w:tc>
        <w:tc>
          <w:tcPr>
            <w:tcW w:type="dxa" w:w="1440"/>
            <w:shd w:val="clear" w:color="auto" w:fill="D9E2F3"/>
          </w:tcPr>
          <w:p>
            <w:r/>
            <w:r>
              <w:rPr>
                <w:b/>
              </w:rPr>
              <w:t>Conduta</w:t>
            </w:r>
          </w:p>
        </w:tc>
        <w:tc>
          <w:tcPr>
            <w:tcW w:type="dxa" w:w="1440"/>
            <w:shd w:val="clear" w:color="auto" w:fill="D9E2F3"/>
          </w:tcPr>
          <w:p>
            <w:r/>
            <w:r>
              <w:rPr>
                <w:b/>
              </w:rPr>
              <w:t>FCPA (1977)</w:t>
            </w:r>
          </w:p>
        </w:tc>
        <w:tc>
          <w:tcPr>
            <w:tcW w:type="dxa" w:w="1440"/>
            <w:shd w:val="clear" w:color="auto" w:fill="D9E2F3"/>
          </w:tcPr>
          <w:p>
            <w:r/>
            <w:r>
              <w:rPr>
                <w:b/>
              </w:rPr>
              <w:t>OCDE Conv. (1997)</w:t>
            </w:r>
          </w:p>
        </w:tc>
        <w:tc>
          <w:tcPr>
            <w:tcW w:type="dxa" w:w="1440"/>
            <w:shd w:val="clear" w:color="auto" w:fill="D9E2F3"/>
          </w:tcPr>
          <w:p>
            <w:r/>
            <w:r>
              <w:rPr>
                <w:b/>
              </w:rPr>
              <w:t>UNCAC (2003)</w:t>
            </w:r>
          </w:p>
        </w:tc>
        <w:tc>
          <w:tcPr>
            <w:tcW w:type="dxa" w:w="1440"/>
            <w:shd w:val="clear" w:color="auto" w:fill="D9E2F3"/>
          </w:tcPr>
          <w:p>
            <w:r/>
            <w:r>
              <w:rPr>
                <w:b/>
              </w:rPr>
              <w:t>UK Bribery Act (2010)</w:t>
            </w:r>
          </w:p>
        </w:tc>
      </w:tr>
      <w:tr>
        <w:tc>
          <w:tcPr>
            <w:tcW w:type="dxa" w:w="1440"/>
          </w:tcPr>
          <w:p>
            <w:r/>
            <w:r>
              <w:t>I</w:t>
            </w:r>
          </w:p>
        </w:tc>
        <w:tc>
          <w:tcPr>
            <w:tcW w:type="dxa" w:w="1440"/>
          </w:tcPr>
          <w:p>
            <w:r/>
            <w:r>
              <w:t>Oferta de vantagem indevida</w:t>
            </w:r>
          </w:p>
        </w:tc>
        <w:tc>
          <w:tcPr>
            <w:tcW w:type="dxa" w:w="1440"/>
          </w:tcPr>
          <w:p>
            <w:r/>
            <w:r>
              <w:t>§78dd-1</w:t>
            </w:r>
          </w:p>
        </w:tc>
        <w:tc>
          <w:tcPr>
            <w:tcW w:type="dxa" w:w="1440"/>
          </w:tcPr>
          <w:p>
            <w:r/>
            <w:r>
              <w:t>Art. 1</w:t>
            </w:r>
          </w:p>
        </w:tc>
        <w:tc>
          <w:tcPr>
            <w:tcW w:type="dxa" w:w="1440"/>
          </w:tcPr>
          <w:p>
            <w:r/>
            <w:r>
              <w:t>Arts. 15–16</w:t>
            </w:r>
          </w:p>
        </w:tc>
        <w:tc>
          <w:tcPr>
            <w:tcW w:type="dxa" w:w="1440"/>
          </w:tcPr>
          <w:p>
            <w:r/>
            <w:r>
              <w:t>Seções 1 e 6</w:t>
            </w:r>
          </w:p>
        </w:tc>
      </w:tr>
      <w:tr>
        <w:tc>
          <w:tcPr>
            <w:tcW w:type="dxa" w:w="1440"/>
          </w:tcPr>
          <w:p>
            <w:r/>
            <w:r>
              <w:t>II</w:t>
            </w:r>
          </w:p>
        </w:tc>
        <w:tc>
          <w:tcPr>
            <w:tcW w:type="dxa" w:w="1440"/>
          </w:tcPr>
          <w:p>
            <w:r/>
            <w:r>
              <w:t>Financiamento de atos ilícitos</w:t>
            </w:r>
          </w:p>
        </w:tc>
        <w:tc>
          <w:tcPr>
            <w:tcW w:type="dxa" w:w="1440"/>
          </w:tcPr>
          <w:p>
            <w:r/>
            <w:r>
              <w:t>§78dd-1 (autorizações)</w:t>
            </w:r>
          </w:p>
        </w:tc>
        <w:tc>
          <w:tcPr>
            <w:tcW w:type="dxa" w:w="1440"/>
          </w:tcPr>
          <w:p>
            <w:r/>
            <w:r>
              <w:t>Art. 1</w:t>
            </w:r>
          </w:p>
        </w:tc>
        <w:tc>
          <w:tcPr>
            <w:tcW w:type="dxa" w:w="1440"/>
          </w:tcPr>
          <w:p>
            <w:r/>
            <w:r>
              <w:t>Art. 27</w:t>
            </w:r>
          </w:p>
        </w:tc>
        <w:tc>
          <w:tcPr>
            <w:tcW w:type="dxa" w:w="1440"/>
          </w:tcPr>
          <w:p>
            <w:r/>
            <w:r>
              <w:t>Seção 1 (participação)</w:t>
            </w:r>
          </w:p>
        </w:tc>
      </w:tr>
      <w:tr>
        <w:tc>
          <w:tcPr>
            <w:tcW w:type="dxa" w:w="1440"/>
          </w:tcPr>
          <w:p>
            <w:r/>
            <w:r>
              <w:t>III</w:t>
            </w:r>
          </w:p>
        </w:tc>
        <w:tc>
          <w:tcPr>
            <w:tcW w:type="dxa" w:w="1440"/>
          </w:tcPr>
          <w:p>
            <w:r/>
            <w:r>
              <w:t>Interposta pessoa</w:t>
            </w:r>
          </w:p>
        </w:tc>
        <w:tc>
          <w:tcPr>
            <w:tcW w:type="dxa" w:w="1440"/>
          </w:tcPr>
          <w:p>
            <w:r/>
            <w:r>
              <w:t>§78dd-1 (indiretamente)</w:t>
            </w:r>
          </w:p>
        </w:tc>
        <w:tc>
          <w:tcPr>
            <w:tcW w:type="dxa" w:w="1440"/>
          </w:tcPr>
          <w:p>
            <w:r/>
            <w:r>
              <w:t>Art. 1 (indiretamente)</w:t>
            </w:r>
          </w:p>
        </w:tc>
        <w:tc>
          <w:tcPr>
            <w:tcW w:type="dxa" w:w="1440"/>
          </w:tcPr>
          <w:p>
            <w:r/>
            <w:r>
              <w:t>Art. 23 (lavagem)</w:t>
            </w:r>
          </w:p>
        </w:tc>
        <w:tc>
          <w:tcPr>
            <w:tcW w:type="dxa" w:w="1440"/>
          </w:tcPr>
          <w:p>
            <w:r/>
            <w:r>
              <w:t>Seção 1(5)</w:t>
            </w:r>
          </w:p>
        </w:tc>
      </w:tr>
      <w:tr>
        <w:tc>
          <w:tcPr>
            <w:tcW w:type="dxa" w:w="1440"/>
          </w:tcPr>
          <w:p>
            <w:r/>
            <w:r>
              <w:t>IV</w:t>
            </w:r>
          </w:p>
        </w:tc>
        <w:tc>
          <w:tcPr>
            <w:tcW w:type="dxa" w:w="1440"/>
          </w:tcPr>
          <w:p>
            <w:r/>
            <w:r>
              <w:t>Fraude em licitações</w:t>
            </w:r>
          </w:p>
        </w:tc>
        <w:tc>
          <w:tcPr>
            <w:tcW w:type="dxa" w:w="1440"/>
          </w:tcPr>
          <w:p>
            <w:r/>
            <w:r>
              <w:t>— (direito doméstico)</w:t>
            </w:r>
          </w:p>
        </w:tc>
        <w:tc>
          <w:tcPr>
            <w:tcW w:type="dxa" w:w="1440"/>
          </w:tcPr>
          <w:p>
            <w:r/>
            <w:r>
              <w:t>—</w:t>
            </w:r>
          </w:p>
        </w:tc>
        <w:tc>
          <w:tcPr>
            <w:tcW w:type="dxa" w:w="1440"/>
          </w:tcPr>
          <w:p>
            <w:r/>
            <w:r>
              <w:t>Arts. 19, 21</w:t>
            </w:r>
          </w:p>
        </w:tc>
        <w:tc>
          <w:tcPr>
            <w:tcW w:type="dxa" w:w="1440"/>
          </w:tcPr>
          <w:p>
            <w:r/>
            <w:r>
              <w:t>—</w:t>
            </w:r>
          </w:p>
        </w:tc>
      </w:tr>
      <w:tr>
        <w:tc>
          <w:tcPr>
            <w:tcW w:type="dxa" w:w="1440"/>
          </w:tcPr>
          <w:p>
            <w:r/>
            <w:r>
              <w:t>V</w:t>
            </w:r>
          </w:p>
        </w:tc>
        <w:tc>
          <w:tcPr>
            <w:tcW w:type="dxa" w:w="1440"/>
          </w:tcPr>
          <w:p>
            <w:r/>
            <w:r>
              <w:t>Obstrução à fiscalização</w:t>
            </w:r>
          </w:p>
        </w:tc>
        <w:tc>
          <w:tcPr>
            <w:tcW w:type="dxa" w:w="1440"/>
          </w:tcPr>
          <w:p>
            <w:r/>
            <w:r>
              <w:t>18 U.S.C. §1519</w:t>
            </w:r>
          </w:p>
        </w:tc>
        <w:tc>
          <w:tcPr>
            <w:tcW w:type="dxa" w:w="1440"/>
          </w:tcPr>
          <w:p>
            <w:r/>
            <w:r>
              <w:t>—</w:t>
            </w:r>
          </w:p>
        </w:tc>
        <w:tc>
          <w:tcPr>
            <w:tcW w:type="dxa" w:w="1440"/>
          </w:tcPr>
          <w:p>
            <w:r/>
            <w:r>
              <w:t>Art. 25</w:t>
            </w:r>
          </w:p>
        </w:tc>
        <w:tc>
          <w:tcPr>
            <w:tcW w:type="dxa" w:w="1440"/>
          </w:tcPr>
          <w:p>
            <w:r/>
            <w:r>
              <w:t>—</w:t>
            </w:r>
          </w:p>
        </w:tc>
      </w:tr>
    </w:tbl>
    <w:p/>
    <w:p>
      <w:r>
        <w:t xml:space="preserve">A lacuna do FCPA e da Convenção da OCDE em relação ao inciso IV - fraudes em licitações é explicada pelo foco desses instrumentos na corrupção </w:t>
      </w:r>
      <w:r>
        <w:rPr>
          <w:i/>
        </w:rPr>
        <w:t>transnacional</w:t>
      </w:r>
      <w:r>
        <w:t xml:space="preserve">. As fraudes em licitações domésticas foram tipificadas pela LAC como resposta à realidade brasileira de conluios em contratos públicos, aproximando-a da Lei de Licitações (Lei nº 8.666/1993, substituída pela Lei nº 14.133/2021) e da lei antitruste (Lei nº 12.529/2011) no enfrentamento do </w:t>
      </w:r>
      <w:r>
        <w:rPr>
          <w:i/>
        </w:rPr>
        <w:t>bid</w:t>
      </w:r>
      <w:r>
        <w:rPr>
          <w:i/>
        </w:rPr>
        <w:t xml:space="preserve"> </w:t>
      </w:r>
      <w:r>
        <w:rPr>
          <w:i/>
        </w:rPr>
        <w:t>rigging</w:t>
      </w:r>
      <w:r>
        <w:t>.</w:t>
      </w:r>
    </w:p>
    <w:p>
      <w:pPr>
        <w:pStyle w:val="Heading1"/>
        <w:pageBreakBefore/>
      </w:pPr>
      <w:r>
        <w:t>5. O PROCESSO ADMINISTRATIVO DE RESPONSABILIZAÇÃO — RITO, FASES E GARANTIAS PROCESSUAIS</w:t>
      </w:r>
    </w:p>
    <w:p>
      <w:r>
        <w:rPr>
          <w:b/>
        </w:rPr>
        <w:t>Introdução: Natureza Jurídica e Fundamento Constitucional</w:t>
      </w:r>
    </w:p>
    <w:p>
      <w:r>
        <w:t xml:space="preserve">O Processo Administrativo de Responsabilização (PAR) é o instrumento formal por meio do qual o Estado exercita, na esfera administrativa, o poder punitivo decorrente da prática de atos lesivos tipificados no art. 5º da Lei nº 12.846/2013. Sua natureza é de </w:t>
      </w:r>
      <w:r>
        <w:rPr>
          <w:i/>
        </w:rPr>
        <w:t>processo administrativo sancionador</w:t>
      </w:r>
      <w:r>
        <w:t xml:space="preserve"> — categoria que se diferencia do processo administrativo disciplinar (destinado à apuração de faltas funcionais de servidores) e do processo administrativo tributário (voltado à constituição e revisão de créditos fiscais), embora com eles compartilhe as garantias constitucionais fundamentais.</w:t>
      </w:r>
    </w:p>
    <w:p>
      <w:r>
        <w:t>O alicerce constitucional do PAR está no art. 5º, incisos LIV e LV, da Constituição Federal de 1988:</w:t>
      </w:r>
    </w:p>
    <w:p>
      <w:r>
        <w:rPr>
          <w:i/>
        </w:rPr>
        <w:t>"LIV — ninguém será privado da liberdade ou de seus bens sem o devido processo legal;"</w:t>
      </w:r>
    </w:p>
    <w:p>
      <w:r>
        <w:rPr>
          <w:i/>
        </w:rPr>
        <w:t xml:space="preserve">"LV — </w:t>
      </w:r>
      <w:r>
        <w:rPr>
          <w:i/>
        </w:rPr>
        <w:t>aos</w:t>
      </w:r>
      <w:r>
        <w:rPr>
          <w:i/>
        </w:rPr>
        <w:t xml:space="preserve"> litigantes, em processo judicial ou administrativo, e aos acusados em geral são assegurados o contraditório e ampla defesa, com os meios e recursos a ela inerentes."</w:t>
      </w:r>
    </w:p>
    <w:p>
      <w:r>
        <w:t>O STF e o STJ têm reiterado a necessidade de observância dos princípios do contraditório e da ampla defesa em todos os processos administrativos sancionadores, sob pena de nulidade da penalidade administrativa. O entendimento consagrado é que o art. 5º, LV, da Constituição Federal aplica-se integralmente no âmbito da Administração Pública.</w:t>
      </w:r>
    </w:p>
    <w:p>
      <w:r>
        <w:t xml:space="preserve">A extensão dessas garantias ao PAR não é trivial e exige precisão conceitual. A responsabilidade </w:t>
      </w:r>
      <w:r>
        <w:rPr>
          <w:i/>
        </w:rPr>
        <w:t>objetiva</w:t>
      </w:r>
      <w:r>
        <w:t xml:space="preserve"> da pessoa jurídica — que prescinde de dolo ou culpa para a configuração da infração — não elimina o direito à ampla defesa quanto aos </w:t>
      </w:r>
      <w:r>
        <w:rPr>
          <w:i/>
        </w:rPr>
        <w:t>fatos</w:t>
      </w:r>
      <w:r>
        <w:t>: existência do ato lesivo, nexo causal com o benefício auferido e adequação dos parâmetros dosimétricos. O contraditório no PAR, portanto, não se exercita sobre o elemento subjetivo — irrelevante para a responsabilização objetiva —, mas sobre a materialidade dos fatos e sobre a quantificação da sanção. Essa distinção tem reflexo direto na estrutura das peças defensivas e na construção da Nota de Indiciação: a comissão não precisa provar a intenção da empresa, mas deve demonstrar com rigor a ocorrência do ato lesivo e sua ligação com o benefício por ela auferido.</w:t>
      </w:r>
    </w:p>
    <w:p>
      <w:pPr>
        <w:pStyle w:val="Heading2"/>
      </w:pPr>
      <w:r>
        <w:t>5.1 Estrutura Geral: Macrofases do PAR</w:t>
      </w:r>
    </w:p>
    <w:p>
      <w:r>
        <w:t>O PAR organiza-se em duas macrofases sequenciais e funcionalmente distintas, conforme o Decreto nº 11.129/2022:</w:t>
      </w:r>
    </w:p>
    <w:p>
      <w:r>
        <w:rPr>
          <w:b/>
        </w:rPr>
        <w:t>Macrofase</w:t>
      </w:r>
      <w:r>
        <w:rPr>
          <w:b/>
        </w:rPr>
        <w:t xml:space="preserve"> I — Admissibilidade e Investigação Preliminar</w:t>
      </w:r>
      <w:r>
        <w:t xml:space="preserve"> (fase interna, inquisitorial e sigilosa)</w:t>
      </w:r>
    </w:p>
    <w:p>
      <w:r>
        <w:rPr>
          <w:b/>
        </w:rPr>
        <w:t>Macrofase</w:t>
      </w:r>
      <w:r>
        <w:rPr>
          <w:b/>
        </w:rPr>
        <w:t xml:space="preserve"> II — Fase Externa, Acusatória e de Contraditório</w:t>
      </w:r>
      <w:r>
        <w:t xml:space="preserve"> (instauração formal, instrução probatória com defesa e julgamento)</w:t>
      </w:r>
    </w:p>
    <w:p>
      <w:r>
        <w:t xml:space="preserve">Essa bipartição não é acidental, ela espelha a estrutura de outros sistemas de persecução sancionadora no direito comparado. No modelo norte-americano do FCPA, a </w:t>
      </w:r>
      <w:r>
        <w:rPr>
          <w:i/>
        </w:rPr>
        <w:t>Securities</w:t>
      </w:r>
      <w:r>
        <w:rPr>
          <w:i/>
        </w:rPr>
        <w:t xml:space="preserve"> </w:t>
      </w:r>
      <w:r>
        <w:rPr>
          <w:i/>
        </w:rPr>
        <w:t>and</w:t>
      </w:r>
      <w:r>
        <w:rPr>
          <w:i/>
        </w:rPr>
        <w:t xml:space="preserve"> Exchange Commission</w:t>
      </w:r>
      <w:r>
        <w:t xml:space="preserve"> (SEC) conduz investigações informais (</w:t>
      </w:r>
      <w:r>
        <w:rPr>
          <w:i/>
        </w:rPr>
        <w:t xml:space="preserve">informal </w:t>
      </w:r>
      <w:r>
        <w:rPr>
          <w:i/>
        </w:rPr>
        <w:t>inquiry</w:t>
      </w:r>
      <w:r>
        <w:t>) antes de instaurar o processo formal (</w:t>
      </w:r>
      <w:r>
        <w:rPr>
          <w:i/>
        </w:rPr>
        <w:t xml:space="preserve">formal </w:t>
      </w:r>
      <w:r>
        <w:rPr>
          <w:i/>
        </w:rPr>
        <w:t>order</w:t>
      </w:r>
      <w:r>
        <w:rPr>
          <w:i/>
        </w:rPr>
        <w:t xml:space="preserve"> </w:t>
      </w:r>
      <w:r>
        <w:rPr>
          <w:i/>
        </w:rPr>
        <w:t>of</w:t>
      </w:r>
      <w:r>
        <w:rPr>
          <w:i/>
        </w:rPr>
        <w:t xml:space="preserve"> </w:t>
      </w:r>
      <w:r>
        <w:rPr>
          <w:i/>
        </w:rPr>
        <w:t>investigation</w:t>
      </w:r>
      <w:r>
        <w:t xml:space="preserve">); no sistema do </w:t>
      </w:r>
      <w:r>
        <w:rPr>
          <w:i/>
        </w:rPr>
        <w:t xml:space="preserve">UK </w:t>
      </w:r>
      <w:r>
        <w:rPr>
          <w:i/>
        </w:rPr>
        <w:t>Bribery</w:t>
      </w:r>
      <w:r>
        <w:rPr>
          <w:i/>
        </w:rPr>
        <w:t xml:space="preserve"> </w:t>
      </w:r>
      <w:r>
        <w:rPr>
          <w:i/>
        </w:rPr>
        <w:t>Act</w:t>
      </w:r>
      <w:r>
        <w:t xml:space="preserve">, o </w:t>
      </w:r>
      <w:r>
        <w:rPr>
          <w:i/>
        </w:rPr>
        <w:t>Serious</w:t>
      </w:r>
      <w:r>
        <w:rPr>
          <w:i/>
        </w:rPr>
        <w:t xml:space="preserve"> </w:t>
      </w:r>
      <w:r>
        <w:rPr>
          <w:i/>
        </w:rPr>
        <w:t>Fraud</w:t>
      </w:r>
      <w:r>
        <w:rPr>
          <w:i/>
        </w:rPr>
        <w:t xml:space="preserve"> Office</w:t>
      </w:r>
      <w:r>
        <w:t xml:space="preserve"> (SFO) realiza diligências preparatórias antes de abrir formalmente a investigação. A lógica é a mesma em todos os sistemas: preservar a empresa investigada de efeitos patrimoniais e reputacionais imediatos enquanto os indícios ainda são apurados e antes que a acusação formal seja formalizada.</w:t>
      </w:r>
    </w:p>
    <w:p>
      <w:pPr>
        <w:pStyle w:val="Heading2"/>
      </w:pPr>
      <w:r>
        <w:t>5.2 Macrofase I — Admissibilidade e Investigação Preliminar</w:t>
      </w:r>
    </w:p>
    <w:p>
      <w:pPr>
        <w:pStyle w:val="Heading3"/>
      </w:pPr>
      <w:r>
        <w:t>5.2.1 Fontes de Notícia do Fato e Juízo de Admissibilidade</w:t>
      </w:r>
    </w:p>
    <w:p>
      <w:r>
        <w:t>O PAR pode ser deflagrado por qualquer fonte que leve ao conhecimento da autoridade competente a possível ocorrência de ato lesivo: denúncias de cidadãos, servidores públicos ou parceiros comerciais; auditorias internas e externas; fiscalizações tributárias; representações fiscais para fins penais; operações policiais com compartilhamento de informações; informações recebidas de organismos internacionais; ou notícias veiculadas na imprensa com elementos de concretude suficientes.</w:t>
      </w:r>
    </w:p>
    <w:p>
      <w:r>
        <w:t xml:space="preserve">Ao receber a notícia do fato, a autoridade competente realiza um </w:t>
      </w:r>
      <w:r>
        <w:rPr>
          <w:i/>
        </w:rPr>
        <w:t>juízo preliminar de admissibilidade</w:t>
      </w:r>
      <w:r>
        <w:t>, verificando se os elementos disponíveis indicam, em tese, a possibilidade de configuração de ato lesivo tipificado no art. 5º. Nos termos do art. 3º do Decreto nº 11.129/2022, o titular da corregedoria da entidade ou unidade competente, ao tomar ciência da possível ocorrência do ato lesivo, decidirá fundamentadamente por uma de três opções: (i) abertura de investigação preliminar; (ii) instauração imediata do PAR quando os indícios já forem suficientes; ou (iii) arquivamento fundamentado quando os elementos forem manifestamente insuficientes ou os fatos não configurarem ato lesivo tipificado.</w:t>
      </w:r>
    </w:p>
    <w:p>
      <w:pPr>
        <w:pStyle w:val="Heading4"/>
        <w:spacing w:after="150" w:before="300"/>
      </w:pPr>
      <w:r>
        <w:t xml:space="preserve">5.2.1.1 Critérios para a Escolha entre Investigação Preliminar e Instauração Direta</w:t>
      </w:r>
    </w:p>
    <w:p>
      <w:pPr>
        <w:spacing w:after="160" w:line="276"/>
      </w:pPr>
      <w:r>
        <w:rPr>
          <w:rFonts w:ascii="Calibri" w:cs="Calibri" w:eastAsia="Calibri" w:hAnsi="Calibri"/>
          <w:b w:val="false"/>
          <w:bCs w:val="false"/>
          <w:i w:val="false"/>
          <w:iCs w:val="false"/>
          <w:sz w:val="22"/>
          <w:szCs w:val="22"/>
        </w:rPr>
        <w:t xml:space="preserve">A tríplice escolha do art. 3º do Decreto nº 11.129/2022 — investigação preliminar, instauração direta do PAR ou arquivamento — não é discricionária no sentido de livre escolha da autoridade: cada alternativa corresponde a um grau distinto de convicção sobre a existência de indícios de autoria e materialidade. A doutrina de direito administrativo sancionador recomenda que a instauração direta do PAR, sem investigação preliminar antecedente, fique reservada às hipóteses em que os elementos de informação já disponíveis — obtidos, por exemplo, de representação de outro órgão, de acordo de leniência, de comunicação de operação policial ou de auditoria já concluída — sejam suficientes, por si só, para amparar uma Nota de Indiciação tecnicamente defensável. Quando a notícia de irregularidade chega à corregedoria de forma ainda fragmentária — por denúncia anônima genérica, por exemplo —, a investigação preliminar cumpre função de filtro epistêmico: evita a instauração de processos formais (com os custos reputacionais que isso acarreta para a pessoa jurídica, tratados no item 5.2.2.2 deste Manual) baseados em elementos ainda não verificados.</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A corregedoria recebe cópia integral de um acordo de leniência celebrado por outra pessoa jurídica do mesmo cartel, no qual constam datas, valores e documentos que comprovam, de forma direta, a participação de uma segunda empresa não signatária do acordo. Diante da robustez e da origem já verificada desses elementos, a autoridade competente pode fundamentar a instauração direta do PAR contra essa segunda empresa, dispensando a investigação preliminar — que seria a via adequada caso a notícia inicial fosse, por exemplo, uma reportagem jornalística genérica sem lastro documental.</w:t>
            </w:r>
          </w:p>
        </w:tc>
      </w:tr>
    </w:tbl>
    <w:p/>
    <w:p>
      <w:pPr>
        <w:pStyle w:val="Heading3"/>
      </w:pPr>
      <w:r>
        <w:t>5.2.2 A Investigação Preliminar: Natureza, Procedimento e Prazo</w:t>
      </w:r>
    </w:p>
    <w:p>
      <w:r>
        <w:t>A investigação preliminar terá caráter sigiloso e não punitivo e será destinada à apuração de indícios de autoria e materialidade de atos lesivos à administração pública federal. Será conduzida diretamente pela corregedoria da entidade ou unidade competente, na forma estabelecida em regulamento, ou por comissão composta por dois ou mais membros, designados entre servidores efetivos ou empregados públicos.</w:t>
      </w:r>
    </w:p>
    <w:p>
      <w:r>
        <w:t xml:space="preserve">O caráter </w:t>
      </w:r>
      <w:r>
        <w:rPr>
          <w:i/>
        </w:rPr>
        <w:t>inquisitorial</w:t>
      </w:r>
      <w:r>
        <w:t xml:space="preserve"> da investigação preliminar (IP) distingue-a da fase externa acusatória: na IP, a pessoa jurídica investigada não é parte do procedimento, não tem acesso aos autos e não pode exercer o contraditório — em consonância com a lógica dos inquéritos civis e policiais preparatórios no direito brasileiro. Isso não viola as garantias constitucionais do art. 5º, LV, da CF/88: o contraditório é exigível nos processos </w:t>
      </w:r>
      <w:r>
        <w:rPr>
          <w:i/>
        </w:rPr>
        <w:t>sancionadores</w:t>
      </w:r>
      <w:r>
        <w:t xml:space="preserve"> formalmente instaurados, não nas investigações preliminares de natureza não punitiva, que ainda não importam em acusação formal nem em restrição de direitos.</w:t>
      </w:r>
    </w:p>
    <w:p>
      <w:r>
        <w:t>O Decreto nº 11.129/2022 tornou obrigatória a investigação preliminar, com duração de até 180 dias, para apuração da existência de indícios que justifiquem a formulação de acusação contra uma empresa. O prazo é prorrogável mediante solicitação justificada.</w:t>
      </w:r>
    </w:p>
    <w:p>
      <w:r>
        <w:t>As diligências admitidas na IP compreendem: requisição de documentos, dados e informações de órgãos públicos; consultas a bases de dados (ECF, SPED, NF-e, CNPJ, RAIS, BACEN); solicitação de informações de órgãos de controle e fiscalização; atuação de especialistas com conhecimentos técnicos ou operacionais; e proposição de medidas cautelares à autoridade instauradora, como a suspensão cautelar dos efeitos de atos ou processos objeto de investigação.</w:t>
      </w:r>
    </w:p>
    <w:p>
      <w:pPr>
        <w:pStyle w:val="Heading4"/>
        <w:spacing w:after="150" w:before="300"/>
      </w:pPr>
      <w:r>
        <w:t xml:space="preserve">5.2.2.2 O Contraditório Mitigado na Investigação Preliminar e seus Limites Práticos</w:t>
      </w:r>
    </w:p>
    <w:p>
      <w:pPr>
        <w:spacing w:after="160" w:line="276"/>
      </w:pPr>
      <w:r>
        <w:rPr>
          <w:rFonts w:ascii="Calibri" w:cs="Calibri" w:eastAsia="Calibri" w:hAnsi="Calibri"/>
          <w:b w:val="false"/>
          <w:bCs w:val="false"/>
          <w:i w:val="false"/>
          <w:iCs w:val="false"/>
          <w:sz w:val="22"/>
          <w:szCs w:val="22"/>
        </w:rPr>
        <w:t xml:space="preserve">A ausência de contraditório na investigação preliminar, tratada no corpo deste Manual como decorrência lógica de sua natureza não punitiva e sigilosa, tem contrapartida importante que merece registro: o sigilo da investigação preliminar não é apenas uma restrição de acesso da pessoa jurídica investigada, mas também uma proteção a seu favor. Enquanto a IP tramita sob sigilo, a empresa investigada não figura em nenhum cadastro público de sanções, não tem sua reputação exposta e mantém plena capacidade de contratar com a Administração Pública — diferentemente do que ocorreria caso a mera existência de uma apuração preliminar fosse tornada pública prematuramente. A doutrina de direito administrativo sancionador destaca que esse equilíbrio — ausência de contraditório em troca de sigilo protetivo — é o que justifica, constitucionalmente, a postergação das garantias do art. 5º, LV, da CF/88 para a fase processual formal (a partir da instauração do PAR), e não sua supressão.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empresa é objeto de investigação preliminar por 150 dias, sem ter conhecimento do procedimento. Ao final, a autoridade decide pelo arquivamento por insuficiência de indícios. Como a IP tramitou sob sigilo, a empresa nunca chegou a figurar como investigada perante terceiros, não sofreu qualquer registro em cadastro público e não teve capacidade de contratar afetada — o que seria diferente caso a IP fosse pública desde o início, hipótese em que a mera notícia de uma apuração, ainda que posteriormente arquivada, já produziria dano reputacional irreversível.</w:t>
            </w:r>
          </w:p>
        </w:tc>
      </w:tr>
    </w:tbl>
    <w:p/>
    <w:p>
      <w:pPr>
        <w:pStyle w:val="Heading4"/>
        <w:spacing w:after="150" w:before="300"/>
      </w:pPr>
      <w:r>
        <w:t xml:space="preserve">5.2.2.1 Estado da Controvérsia: Natureza do Prazo de 180 Dias (Investigação Preliminar e Instrução do PAR)</w:t>
      </w:r>
    </w:p>
    <w:p>
      <w:pPr>
        <w:spacing w:after="80" w:before="120"/>
      </w:pPr>
      <w:r>
        <w:rPr>
          <w:rFonts w:ascii="Calibri" w:cs="Calibri" w:eastAsia="Calibri" w:hAnsi="Calibri"/>
          <w:b/>
          <w:bCs/>
          <w:sz w:val="22"/>
          <w:szCs w:val="22"/>
        </w:rPr>
        <w:t xml:space="preserve">(i) Posição da CGU / regime legal</w:t>
      </w:r>
    </w:p>
    <w:p>
      <w:pPr>
        <w:spacing w:after="160" w:line="276"/>
      </w:pPr>
      <w:r>
        <w:rPr>
          <w:rFonts w:ascii="Calibri" w:cs="Calibri" w:eastAsia="Calibri" w:hAnsi="Calibri"/>
          <w:b w:val="false"/>
          <w:bCs w:val="false"/>
          <w:i w:val="false"/>
          <w:iCs w:val="false"/>
          <w:sz w:val="22"/>
          <w:szCs w:val="22"/>
        </w:rPr>
        <w:t xml:space="preserve">O Decreto nº 11.129/2022 fixa o prazo de 180 dias tanto para a investigação preliminar (art. 3º, §4º) quanto para a conclusão da instrução do PAR já instaurado (art. 10, §3º, por remissão à sistemática da Lei nº 12.846/2013), admitindo prorrogação mediante ato fundamentado da autoridade competente. O Decreto, contudo, é silente quanto à consequência jurídica do descumprimento do prazo sem prorrogação tempestiva e motivada — não prevê, expressamente, nulidade do processo, extinção do direito de punir ou qualquer outra sanção processual automática. A prática consolidada da CGU trata o prazo como parâmetro de gestão processual e boa-fé procedimental, não como marco extintivo por si só.</w:t>
      </w:r>
    </w:p>
    <w:p>
      <w:pPr>
        <w:spacing w:after="80" w:before="120"/>
      </w:pPr>
      <w:r>
        <w:rPr>
          <w:rFonts w:ascii="Calibri" w:cs="Calibri" w:eastAsia="Calibri" w:hAnsi="Calibri"/>
          <w:b/>
          <w:bCs/>
          <w:sz w:val="22"/>
          <w:szCs w:val="22"/>
        </w:rPr>
        <w:t xml:space="preserve">(ii) Posição doutrinária divergente</w:t>
      </w:r>
    </w:p>
    <w:p>
      <w:pPr>
        <w:spacing w:after="160" w:line="276"/>
      </w:pPr>
      <w:r>
        <w:rPr>
          <w:rFonts w:ascii="Calibri" w:cs="Calibri" w:eastAsia="Calibri" w:hAnsi="Calibri"/>
          <w:b w:val="false"/>
          <w:bCs w:val="false"/>
          <w:i w:val="false"/>
          <w:iCs w:val="false"/>
          <w:sz w:val="22"/>
          <w:szCs w:val="22"/>
        </w:rPr>
        <w:t xml:space="preserve">A ausência de regramento expresso sobre a natureza do prazo no âmbito da LAC leva a doutrina a recorrer, por analogia, ao debate equivalente e mais desenvolvido no âmbito da Lei de Improbidade Administrativa, cujo art. 23, §§2º e 3º, fixa prazo semelhante (365 dias) para conclusão do inquérito civil. Nesse debate paralelo, coexistem duas correntes diretamente transponíveis ao PAR: a primeira qualifica o prazo como impróprio — na definição de Nelson Nery Júnior, prazo fixado na lei apenas como parâmetro de boa gestão, cujo descumprimento não invalida o ato praticado a destempo, sujeitando o agente público, quando muito, a sanções disciplinares internas; a segunda, reforçada por decisões recentes do STJ em matéria de improbidade, atribui caráter mais rigoroso ao prazo, exigindo que eventual prorrogação seja determinada antes do término do prazo original e fundamentada de forma específica e concreta — sob pena de a prorrogação ser reconhecida como nula, ainda que sem, necessariamente, extinguir a pretensão punitiva de base. Transposta ao PAR, essa segunda corrente sustentaria que uma investigação preliminar ou instrução prolongada indefinidamente, sem prorrogações tempestivas e motivadas, comprometeria a legalidade do processo por violação ao princípio da duração razoável do processo (art. 5º, LXXVIII, da CF/88), ainda que não leve automaticamente à nulidade da sanção final.</w:t>
      </w:r>
    </w:p>
    <w:p>
      <w:pPr>
        <w:spacing w:after="80" w:before="120"/>
      </w:pPr>
      <w:r>
        <w:rPr>
          <w:rFonts w:ascii="Calibri" w:cs="Calibri" w:eastAsia="Calibri" w:hAnsi="Calibri"/>
          <w:b/>
          <w:bCs/>
          <w:sz w:val="22"/>
          <w:szCs w:val="22"/>
        </w:rPr>
        <w:t xml:space="preserve">(iii) Precedentes relevantes</w:t>
      </w:r>
    </w:p>
    <w:p>
      <w:pPr>
        <w:spacing w:after="160" w:line="276"/>
      </w:pPr>
      <w:r>
        <w:rPr>
          <w:rFonts w:ascii="Calibri" w:cs="Calibri" w:eastAsia="Calibri" w:hAnsi="Calibri"/>
          <w:b w:val="false"/>
          <w:bCs w:val="false"/>
          <w:i w:val="false"/>
          <w:iCs w:val="false"/>
          <w:sz w:val="22"/>
          <w:szCs w:val="22"/>
        </w:rPr>
        <w:t xml:space="preserve">Não foram identificados precedentes do STJ ou do STF que enfrentem diretamente a natureza do prazo de 180 dias no âmbito específico do PAR da Lei nº 12.846/2013 — a jurisprudência mais desenvolvida sobre prazos investigativos análogos vem do microssistema da improbidade administrativa, onde decisões recentes da Primeira Turma do STJ (2026) fixaram que a prorrogação do prazo do inquérito civil exige fundamentação específica e tempestiva, sob pena de nulidade da prorrogação — sem, contudo, extinguir a pretensão punitiva de base quando esta se apoia em elementos colhidos até a prorrogação inválida ou em outras fontes legítimas. A ausência de precedente equivalente e consolidado especificamente sobre o PAR é, em si, dado relevante: o operador não deve presumir que a jurisprudência da improbidade se transporá automaticamente para a LAC, tratando-se, por ora, de aplicação por analogia doutrinária, não de entendimento pacificado.</w:t>
      </w:r>
    </w:p>
    <w:p>
      <w:pPr>
        <w:spacing w:after="80" w:before="120"/>
      </w:pPr>
      <w:r>
        <w:rPr>
          <w:rFonts w:ascii="Calibri" w:cs="Calibri" w:eastAsia="Calibri" w:hAnsi="Calibri"/>
          <w:b/>
          <w:bCs/>
          <w:sz w:val="22"/>
          <w:szCs w:val="22"/>
        </w:rPr>
        <w:t xml:space="preserve">(iv) Impacto prático na dosimetria</w:t>
      </w:r>
    </w:p>
    <w:p>
      <w:pPr>
        <w:spacing w:after="160" w:line="276"/>
      </w:pPr>
      <w:r>
        <w:rPr>
          <w:rFonts w:ascii="Calibri" w:cs="Calibri" w:eastAsia="Calibri" w:hAnsi="Calibri"/>
          <w:b w:val="false"/>
          <w:bCs w:val="false"/>
          <w:i w:val="false"/>
          <w:iCs w:val="false"/>
          <w:sz w:val="22"/>
          <w:szCs w:val="22"/>
        </w:rPr>
        <w:t xml:space="preserve">O eventual reconhecimento de nulidade da prorrogação do prazo não repercute diretamente nos percentuais de dosimetria calculados pela Calculadora de Multa PAR, mas tem repercussão indireta relevante em dois pontos: (a) na aferição da prescrição, tratada no item 7 deste Manual, cujo termo pode ser afetado por período de paralisação processual não regularmente justificado; e (b) na robustez da decisão perante o controle judicial de legalidade (item 6.7), na medida em que a fundamentação tempestiva e específica de cada prorrogação de prazo reduz a vulnerabilidade do processo a arguições de nulidade por excesso de prazo.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investigação preliminar se estende por 240 dias sem que conste dos autos ato de prorrogação motivado antes do término do prazo original de 180 dias. Sob a leitura mais rigorosa (prazo próprio), a prorrogação tardia seria nula, e a comissão deveria demonstrar que o relatório conclusivo se apoiou em elementos colhidos até o marco original ou obtidos por outras fontes legítimas para preservar a validade da instauração subsequente do PAR. Sob a leitura tradicional (prazo impróprio), a mera ausência de prorrogação formal não contaminaria o processo, sujeitando apenas o condutor da investigação a eventual apuração disciplinar interna por inobservância do prazo regimental — mantendo hígida a instauração do PAR com base no relatório apresentado.</w:t>
            </w:r>
          </w:p>
        </w:tc>
      </w:tr>
    </w:tbl>
    <w:p/>
    <w:p>
      <w:pPr>
        <w:pStyle w:val="Heading3"/>
      </w:pPr>
      <w:r>
        <w:t>5.2.3 Relatório Conclusivo e Decisão de Instauração</w:t>
      </w:r>
    </w:p>
    <w:p>
      <w:r>
        <w:t>Ao final da investigação preliminar, serão enviadas à autoridade competente as peças de informação obtidas, acompanhadas de relatório conclusivo acerca da existência de indícios de autoria e materialidade de atos lesivos à administração pública federal, para decisão sobre a instauração do PAR.</w:t>
      </w:r>
    </w:p>
    <w:p>
      <w:r>
        <w:t xml:space="preserve">O relatório conclusivo apresenta três possíveis desfechos: (i) </w:t>
      </w:r>
      <w:r>
        <w:rPr>
          <w:i/>
        </w:rPr>
        <w:t>arquivamento fundamentado</w:t>
      </w:r>
      <w:r>
        <w:t xml:space="preserve">, quando não há indícios suficientes de autoria ou materialidade; (ii) </w:t>
      </w:r>
      <w:r>
        <w:rPr>
          <w:i/>
        </w:rPr>
        <w:t>determinação de diligências complementares ou nova IP</w:t>
      </w:r>
      <w:r>
        <w:t xml:space="preserve">, quando os elementos são insuficientes mas indicam possibilidade de aprofundamento; ou (iii) </w:t>
      </w:r>
      <w:r>
        <w:rPr>
          <w:i/>
        </w:rPr>
        <w:t>instauração formal do PAR</w:t>
      </w:r>
      <w:r>
        <w:t>. A decisão compete ao titular da corregedoria ou, conforme o órgão, à autoridade máxima da entidade lesada — no âmbito da administração federal direta, ao respectivo Ministro de Estado.</w:t>
      </w:r>
    </w:p>
    <w:p>
      <w:pPr>
        <w:pStyle w:val="Heading2"/>
      </w:pPr>
      <w:r>
        <w:t>5.3 Macrofase II — Fase Externa: Instauração, Instrução e Contraditório</w:t>
      </w:r>
    </w:p>
    <w:p>
      <w:pPr>
        <w:pStyle w:val="Heading3"/>
      </w:pPr>
      <w:r>
        <w:t>5.3.1 Instauração por Portaria Publicada no Diário Oficial</w:t>
      </w:r>
    </w:p>
    <w:p>
      <w:r>
        <w:t xml:space="preserve">A instauração formal do PAR se dá mediante </w:t>
      </w:r>
      <w:r>
        <w:rPr>
          <w:i/>
        </w:rPr>
        <w:t>portaria</w:t>
      </w:r>
      <w:r>
        <w:t xml:space="preserve"> da autoridade competente, publicada no Diário Oficial da União — ou no diário oficial do ente federativo responsável, nos casos estaduais e municipais. A publicação tem dupla função de altíssima relevância prática: fixa o </w:t>
      </w:r>
      <w:r>
        <w:rPr>
          <w:i/>
        </w:rPr>
        <w:t>marco temporal da instauração</w:t>
      </w:r>
      <w:r>
        <w:t xml:space="preserve"> — que determina o exercício de referência para o faturamento bruto (art. 20 do Decreto nº 11.129/2022) — e constitui o início da fase acusatória, a partir da qual a pessoa jurídica adquire o </w:t>
      </w:r>
      <w:r>
        <w:rPr>
          <w:i/>
        </w:rPr>
        <w:t>status</w:t>
      </w:r>
      <w:r>
        <w:t xml:space="preserve"> de investigada formalmente e, com isso, passa a ter o direito ao exercício pleno do contraditório e da ampla defesa.</w:t>
      </w:r>
    </w:p>
    <w:p>
      <w:r>
        <w:t>A instauração do PAR se dá mediante portaria a ser publicada no Diário Oficial, informando o nome e o cargo da autoridade instauradora, os nomes e os cargos dos integrantes da comissão processante, o nome empresarial ou a razão social da pessoa jurídica, o número de inscrição no CNPJ e a informação de que o processo tem por escopo apurar supostos ilícitos previstos na Lei nº 12.846/2013.</w:t>
      </w:r>
    </w:p>
    <w:p>
      <w:r>
        <w:t xml:space="preserve">⚠ </w:t>
      </w:r>
      <w:r>
        <w:rPr>
          <w:b/>
        </w:rPr>
        <w:t>Marco temporal e base de cálculo:</w:t>
      </w:r>
      <w:r>
        <w:t xml:space="preserve"> A data de publicação da portaria de instauração é o ponto de referência para apuração do faturamento bruto (art. 20 do Decreto nº 11.129/2022: "último exercício anterior ao da instauração do PAR"). Um PAR instaurado em março de 2025 terá como base de cálculo o faturamento bruto do exercício de 2024. Erros na identificação desse marco comprometem toda a dosimetria.</w:t>
      </w:r>
    </w:p>
    <w:p>
      <w:pPr>
        <w:pStyle w:val="Heading3"/>
      </w:pPr>
      <w:r>
        <w:t>5.3.2 A Comissão Processante: Composição e Requisitos</w:t>
      </w:r>
    </w:p>
    <w:p>
      <w:r>
        <w:t xml:space="preserve">O PAR é conduzido por </w:t>
      </w:r>
      <w:r>
        <w:rPr>
          <w:i/>
        </w:rPr>
        <w:t>comissão processante</w:t>
      </w:r>
      <w:r>
        <w:t xml:space="preserve"> composta por dois ou mais servidores estáveis, designados pela autoridade instauradora. Os membros devem ter idoneidade e competência técnica para a condução do processo, e não podem ter interesse direto ou indireto na matéria investigada — requisito implícito de imparcialidade que decorre do princípio constitucional do devido processo legal.</w:t>
      </w:r>
    </w:p>
    <w:p>
      <w:r>
        <w:t>O Decreto nº 11.129/2022 inovou ao permitir que a investigação preliminar seja conduzida também por empregados públicos — superando restrição anterior que exigia exclusivamente servidores efetivos na IP. Para a comissão do PAR propriamente dito, a exigência de estabilidade permanece como garantia de independência funcional dos membros em relação à chefia hierárquica da entidade instauradora, evitando influências indevidas sobre o curso do processo.</w:t>
      </w:r>
    </w:p>
    <w:p>
      <w:pPr>
        <w:pStyle w:val="Heading4"/>
        <w:spacing w:after="150" w:before="300"/>
      </w:pPr>
      <w:r>
        <w:t xml:space="preserve">5.3.2.1 Impedimento e Suspeição dos Membros da Comissão</w:t>
      </w:r>
    </w:p>
    <w:p>
      <w:pPr>
        <w:spacing w:after="160" w:line="276"/>
      </w:pPr>
      <w:r>
        <w:rPr>
          <w:rFonts w:ascii="Calibri" w:cs="Calibri" w:eastAsia="Calibri" w:hAnsi="Calibri"/>
          <w:b w:val="false"/>
          <w:bCs w:val="false"/>
          <w:i w:val="false"/>
          <w:iCs w:val="false"/>
          <w:sz w:val="22"/>
          <w:szCs w:val="22"/>
        </w:rPr>
        <w:t xml:space="preserve">Embora a LAC e o Decreto nº 11.129/2022 não disciplinem exaustivamente hipóteses de impedimento e suspeição dos membros da comissão processante, a doutrina e a prática administrativa aplicam, por integração sistemática, o regime geral dos arts. 18 a 20 da Lei nº 9.784/1999 — que impedem a atuação do servidor que tenha interesse direto ou indireto na matéria, que tenha atuado como perito, testemunha ou representante de qualquer dos interessados, ou que possua relação de parentesco com pessoa envolvida no processo. A exigência de idoneidade e competência técnica dos membros da comissão, mencionada no corpo deste Manual, não se esgota, portanto, na qualificação técnica: compreende também a ausência de vínculo que comprometa a imparcialidade exigida pelo devido processo legal.</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 servidor designado para compor a comissão processante constata, já no início dos trabalhos, que atuou anteriormente como consultor técnico contratado pela própria pessoa jurídica investigada em projeto não relacionado aos fatos apurados. Ainda que o projeto anterior nada tenha a ver com o objeto do PAR, a prudência recomenda que o servidor comunique o fato à autoridade instauradora e se dê por impedido, preservando a comissão de futura arguição de nulidade por quebra de imparcialidade — mesmo que a relação pretérita não guarde vínculo direto com a matéria investigada.</w:t>
            </w:r>
          </w:p>
        </w:tc>
      </w:tr>
    </w:tbl>
    <w:p/>
    <w:p>
      <w:pPr>
        <w:pStyle w:val="Heading3"/>
      </w:pPr>
      <w:r>
        <w:t>5.3.3 A Nota de Indiciação: Peça Técnica Estruturante</w:t>
      </w:r>
    </w:p>
    <w:p>
      <w:r>
        <w:t xml:space="preserve">O primeiro ato formal da comissão após a instauração é a elaboração da </w:t>
      </w:r>
      <w:r>
        <w:rPr>
          <w:i/>
        </w:rPr>
        <w:t>Nota de Indiciação</w:t>
      </w:r>
      <w:r>
        <w:t xml:space="preserve"> — a peça técnica que formaliza a acusação e delimita o objeto do processo. Sua importância é estruturante: assim como a denúncia no processo penal, a Nota de Indiciação fixa os limites dentro dos quais a pessoa jurídica exercitará sua defesa e a comissão conduzirá a instrução. Eventuais fatos não descritos na Nota de Indiciação não podem fundamentar a decisão condenatória, sob pena de violação da garantia constitucional da ampla defesa.</w:t>
      </w:r>
    </w:p>
    <w:p>
      <w:r>
        <w:t>Nos termos do art. 6º, §2º, do Decreto nº 11.129/2022, o ato de indiciação deve conter, no mínimo:</w:t>
      </w:r>
    </w:p>
    <w:p>
      <w:r>
        <w:t xml:space="preserve">— </w:t>
      </w:r>
      <w:r>
        <w:rPr>
          <w:i/>
        </w:rPr>
        <w:t>Descrição clara e objetiva do ato lesivo imputado</w:t>
      </w:r>
      <w:r>
        <w:t>, com as circunstâncias relevantes de modo, tempo, lugar e extensão do dano;</w:t>
      </w:r>
    </w:p>
    <w:p>
      <w:r>
        <w:t xml:space="preserve">— </w:t>
      </w:r>
      <w:r>
        <w:rPr>
          <w:i/>
        </w:rPr>
        <w:t>Apontamento das provas</w:t>
      </w:r>
      <w:r>
        <w:t xml:space="preserve"> que sustentam o entendimento da comissão pela ocorrência do ato lesivo;</w:t>
      </w:r>
    </w:p>
    <w:p>
      <w:r>
        <w:t xml:space="preserve">— </w:t>
      </w:r>
      <w:r>
        <w:rPr>
          <w:i/>
        </w:rPr>
        <w:t>Identificação precisa dos incisos</w:t>
      </w:r>
      <w:r>
        <w:t xml:space="preserve"> do art. 5º da LAC em que se enquadram as condutas imputadas.</w:t>
      </w:r>
    </w:p>
    <w:p>
      <w:r>
        <w:t xml:space="preserve">Além disso, a Nota de Indiciação deve, obrigatoriamente: (i) </w:t>
      </w:r>
      <w:r>
        <w:rPr>
          <w:i/>
        </w:rPr>
        <w:t>facultar expressamente</w:t>
      </w:r>
      <w:r>
        <w:t xml:space="preserve"> à pessoa jurídica a apresentação de informações e provas que subsidiem a análise dos fatores atenuantes do valor da multa (art. 23 do Decreto); e (ii) </w:t>
      </w:r>
      <w:r>
        <w:rPr>
          <w:i/>
        </w:rPr>
        <w:t>solicitar</w:t>
      </w:r>
      <w:r>
        <w:t xml:space="preserve"> a apresentação de documentos que permitam a análise do programa de integridade (art. 23, V). Instaurado o PAR, a comissão avaliará os fatos e as circunstâncias conhecidas e indiciará e intimará a pessoa jurídica processada para, no prazo de trinta dias, apresentar defesa escrita e especificar eventuais provas que pretenda produzir.</w:t>
      </w:r>
    </w:p>
    <w:p>
      <w:r>
        <w:t xml:space="preserve">⚠ </w:t>
      </w:r>
      <w:r>
        <w:rPr>
          <w:b/>
        </w:rPr>
        <w:t>Relevância dosimétrica da Nota de Indiciação:</w:t>
      </w:r>
      <w:r>
        <w:t xml:space="preserve"> A correta individualização dos atos lesivos — com identificação precisa de </w:t>
      </w:r>
      <w:r>
        <w:rPr>
          <w:i/>
        </w:rPr>
        <w:t>quantas condutas</w:t>
      </w:r>
      <w:r>
        <w:t xml:space="preserve"> foram praticadas e </w:t>
      </w:r>
      <w:r>
        <w:rPr>
          <w:i/>
        </w:rPr>
        <w:t>quantos incisos distintos</w:t>
      </w:r>
      <w:r>
        <w:t xml:space="preserve"> do art. 5º foram violados — é o dado de entrada fundamental para o agravante do art. 22, I (concurso de atos lesivos). Uma Nota de Indiciação que descreve três condutas em dois incisos distintos fixa parâmetros dosimétricos precisos e defensáveis. Indiciações genéricas comprometem a legitimidade do percentual de concurso e expõem o ato decisório a questionamento judicial.</w:t>
      </w:r>
    </w:p>
    <w:p>
      <w:pPr>
        <w:pStyle w:val="Heading3"/>
      </w:pPr>
      <w:r>
        <w:t>5.3.4 Citação e Prazo de Defesa Escrita</w:t>
      </w:r>
    </w:p>
    <w:p>
      <w:r>
        <w:t xml:space="preserve">Lavrada a Nota de Indiciação, a pessoa jurídica é </w:t>
      </w:r>
      <w:r>
        <w:rPr>
          <w:i/>
        </w:rPr>
        <w:t>citada</w:t>
      </w:r>
      <w:r>
        <w:t xml:space="preserve"> — intimada formalmente para exercer o contraditório. A citação pode ocorrer por meio físico ou eletrônico. Se infrutífera, adota-se a citação </w:t>
      </w:r>
      <w:r>
        <w:rPr>
          <w:i/>
        </w:rPr>
        <w:t>editalícia</w:t>
      </w:r>
      <w:r>
        <w:t>, com publicação simultânea na imprensa oficial e no sítio eletrônico do órgão condutor do PAR, contando-se o prazo de defesa a partir da data da última publicação.</w:t>
      </w:r>
    </w:p>
    <w:p>
      <w:r>
        <w:t xml:space="preserve">O prazo de defesa é de </w:t>
      </w:r>
      <w:r>
        <w:rPr>
          <w:i/>
        </w:rPr>
        <w:t>trinta dias corridos</w:t>
      </w:r>
      <w:r>
        <w:t xml:space="preserve">, contados da citação. É nesse prazo que a pessoa jurídica deve apresentar sua </w:t>
      </w:r>
      <w:r>
        <w:rPr>
          <w:i/>
        </w:rPr>
        <w:t>Defesa Escrita</w:t>
      </w:r>
      <w:r>
        <w:t xml:space="preserve"> — peça técnico-jurídica em que pode: (i) impugnar os fatos imputados, contestando a materialidade do ato lesivo ou o nexo causal com o benefício auferido; (ii) apresentar provas documentais, periciais ou testemunhais; (iii) arguir preliminares processuais (incompetência da autoridade, nulidades procedimentais, decadência, litispendência); e (iv) oferecer todos os elementos de atenuação da multa, incluindo a admissão voluntária de responsabilidade.</w:t>
      </w:r>
    </w:p>
    <w:p>
      <w:r>
        <w:t xml:space="preserve">⚠ </w:t>
      </w:r>
      <w:r>
        <w:rPr>
          <w:b/>
        </w:rPr>
        <w:t>O prazo de defesa como marco dosimétrico crítico:</w:t>
      </w:r>
      <w:r>
        <w:t xml:space="preserve"> O art. 23, IV, do Decreto nº 11.129/2022 escalone o percentual atenuante da admissão voluntária de responsabilidade conforme a </w:t>
      </w:r>
      <w:r>
        <w:rPr>
          <w:i/>
        </w:rPr>
        <w:t>tempestividade</w:t>
      </w:r>
      <w:r>
        <w:t xml:space="preserve"> da admissão em relação a quatro marcos processuais. A admissão realizada </w:t>
      </w:r>
      <w:r>
        <w:rPr>
          <w:i/>
        </w:rPr>
        <w:t>no prazo de defesa de 30 dias</w:t>
      </w:r>
      <w:r>
        <w:t xml:space="preserve"> produz o segundo maior benefício (−1,0% para admissão parcial; −1,5% para admissão total). A admissão </w:t>
      </w:r>
      <w:r>
        <w:rPr>
          <w:i/>
        </w:rPr>
        <w:t>antes da instauração do PAR</w:t>
      </w:r>
      <w:r>
        <w:t xml:space="preserve"> produz o maior benefício (−1,5% e −2,0%, respectivamente). A comissão deve documentar com rigor a data de citação e de protocolo da defesa, pois qualquer ambiguidade nesses marcos compromete a precisão dosimétrica.</w:t>
      </w:r>
    </w:p>
    <w:p>
      <w:pPr>
        <w:pStyle w:val="Heading3"/>
      </w:pPr>
      <w:r>
        <w:t>5.3.5 Revelia e seus Efeitos</w:t>
      </w:r>
    </w:p>
    <w:p>
      <w:r>
        <w:t xml:space="preserve">Se a pessoa jurídica, regularmente citada, não apresenta sua defesa escrita no prazo legal, declara-se a </w:t>
      </w:r>
      <w:r>
        <w:rPr>
          <w:i/>
        </w:rPr>
        <w:t>revelia</w:t>
      </w:r>
      <w:r>
        <w:t xml:space="preserve">, prosseguindo o processo normalmente. A revelia no PAR não produz o efeito de </w:t>
      </w:r>
      <w:r>
        <w:rPr>
          <w:i/>
        </w:rPr>
        <w:t>presunção de veracidade</w:t>
      </w:r>
      <w:r>
        <w:t xml:space="preserve"> dos fatos imputados — diferentemente do que ocorre no processo civil clássico. A comissão permanece obrigada a demonstrar, com base nas provas colhidas, a materialidade do ato lesivo e o nexo causal com o benefício auferido pela pessoa jurídica.</w:t>
      </w:r>
    </w:p>
    <w:p>
      <w:r>
        <w:t>O que a revelia efetivamente impede é que a empresa apresente provas e alegações em seu favor, e que a admissão voluntária de responsabilidade produza os efeitos atenuantes previstos no art. 23, IV — pois esses dependem de manifestação expressa, tempestiva e voluntária. A revelia, ao silenciar a empresa, priva-a de todos os benefícios processuais cuja fruição depende de iniciativa ativa da defesa.</w:t>
      </w:r>
    </w:p>
    <w:p>
      <w:r>
        <w:t>Nos casos em que a pessoa jurídica não se defende, a comissão deve recorrer exaustivamente às fontes secundárias de informação — sistemas da Receita Federal (ECF, SPED, PGDAS, NF-e) e demais bases de dados governamentais — para apurar o faturamento bruto, antes de recorrer à estimativa técnica prevista no art. 20, §1º, III, do Decreto nº 11.129/2022.</w:t>
      </w:r>
    </w:p>
    <w:p>
      <w:pPr>
        <w:pStyle w:val="Heading3"/>
      </w:pPr>
      <w:r>
        <w:t>5.3.6 Instrução Probatória</w:t>
      </w:r>
    </w:p>
    <w:p>
      <w:r>
        <w:t>A instrução probatória do PAR é ampla e se desenvolve dentro do prazo total de 180 dias. A comissão pode produzir e requisitar: provas documentais (contratos, notas fiscais, registros contábeis, e-mails, relatórios de auditoria); provas testemunhais (oitiva de servidores, colaboradores, fornecedores e demais envolvidos); provas periciais (laudos contábeis, análises forenses de sistemas de informação, avaliações de danos materiais); e informações obtidas por requisição a órgãos externos (BACEN, Receita Federal, Tribunais de Contas, Ministério Público, agências reguladoras).</w:t>
      </w:r>
    </w:p>
    <w:p>
      <w:r>
        <w:t>Quando produzidas novas provas após a Nota de Indiciação, a comissão dispõe de dois caminhos processuais distintos, conforme previsto no art. 6º, §1º, do Decreto nº 11.129/2022:</w:t>
      </w:r>
    </w:p>
    <w:p>
      <w:r>
        <w:t xml:space="preserve">(i) Se as novas provas </w:t>
      </w:r>
      <w:r>
        <w:rPr>
          <w:i/>
        </w:rPr>
        <w:t>não justificam alteração da imputação</w:t>
      </w:r>
      <w:r>
        <w:t>, a comissão intima a pessoa jurídica para manifestação no prazo de dez dias — garantindo o contraditório sem necessidade de reiniciar o prazo pleno de defesa;</w:t>
      </w:r>
    </w:p>
    <w:p>
      <w:r>
        <w:t xml:space="preserve">(ii) Se as novas provas </w:t>
      </w:r>
      <w:r>
        <w:rPr>
          <w:i/>
        </w:rPr>
        <w:t>justificam alteração ou ampliação da imputação</w:t>
      </w:r>
      <w:r>
        <w:t xml:space="preserve"> — por exemplo, se revelam ato lesivo em inciso do art. 5º que não constava da Nota de Indiciação original —, a comissão deve lavrar nova Nota de Indiciação ou nota complementar, reabrindo o prazo de defesa de trinta dias para os novos fatos imputados. A comissão poderá lavrar nova indiciação ou indiciação complementar, caso as novas provas juntadas aos autos justifiquem alterações na nota de indiciação inicial, devendo ser observado o disposto no caput do art. 6º.</w:t>
      </w:r>
    </w:p>
    <w:p>
      <w:r>
        <w:t>Essa regra tem consequência dosimétrica direta: a ampliação da Nota de Indiciação para incluir novos incisos do art. 5º altera o número de espécies na tabela do art. 22, I, e potencialmente eleva o percentual de concurso. A comissão deve documentar com precisão as razões que justificam cada nova indiciação complementar.</w:t>
      </w:r>
    </w:p>
    <w:p>
      <w:pPr>
        <w:pStyle w:val="Heading4"/>
        <w:spacing w:after="150" w:before="300"/>
      </w:pPr>
      <w:r>
        <w:t xml:space="preserve">5.3.6.1 Limites ao Indeferimento de Provas Requeridas pela Defesa</w:t>
      </w:r>
    </w:p>
    <w:p>
      <w:pPr>
        <w:spacing w:after="160" w:line="276"/>
      </w:pPr>
      <w:r>
        <w:rPr>
          <w:rFonts w:ascii="Calibri" w:cs="Calibri" w:eastAsia="Calibri" w:hAnsi="Calibri"/>
          <w:b w:val="false"/>
          <w:bCs w:val="false"/>
          <w:i w:val="false"/>
          <w:iCs w:val="false"/>
          <w:sz w:val="22"/>
          <w:szCs w:val="22"/>
        </w:rPr>
        <w:t xml:space="preserve">A jurisprudência já referida no corpo deste Manual (STJ, RHC nº 86.706 e MS nº 22.692/DF) autoriza a comissão a indeferir pedidos de produção de prova ilícitos, impertinentes, desnecessários, protelatórios ou intempestivos — mas essa prerrogativa não é ilimitada. A doutrina do processo administrativo sancionador exige que o indeferimento seja sempre motivado de forma específica, com indicação concreta de qual dos cinco vícios (ilicitude, impertinência, desnecessidade, caráter protelatório ou intempestividade) justifica a recusa — não bastando fórmula genérica do tipo "indefiro por desnecessária". A diferença entre um pedido de prova genérico (que a jurisprudência já referida no Manual autoriza indeferir sem maior detalhamento) e um pedido específico e fundamentado (que exige exame individualizado) é o critério distintivo mais relevante extraído da própria jurisprudência citada: a especificidade do requerimento da defesa impõe especificidade correspondente na motivação do indeferimento.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Em sua defesa escrita, a pessoa jurídica requer, de forma específica, a oitiva de três funcionários nominalmente indicados, com indicação do fato que cada um esclareceria e da razão pela qual esse esclarecimento seria relevante para afastar o nexo causal imputado. A comissão, ao indeferir o pedido, deve enfrentar cada um dos três requerimentos individualmente — por exemplo, explicando por que o depoimento de determinado funcionário seria impertinente ao fato específico em disputa —, sob pena de a motivação genérica do indeferimento ("provas desnecessárias ao deslinde do feito") expor a decisão a alegação de cerceamento de defesa, à diferença do que ocorreria diante de um pedido genérico de "produção de todas as provas admitidas em direito".</w:t>
            </w:r>
          </w:p>
        </w:tc>
      </w:tr>
    </w:tbl>
    <w:p/>
    <w:p>
      <w:pPr>
        <w:pStyle w:val="Heading3"/>
      </w:pPr>
      <w:r>
        <w:t>5.3.7 Sigilo Processual: Regra, Exceção e Limites</w:t>
      </w:r>
    </w:p>
    <w:p>
      <w:r>
        <w:t xml:space="preserve">A regra geral no processo administrativo brasileiro é a </w:t>
      </w:r>
      <w:r>
        <w:rPr>
          <w:i/>
        </w:rPr>
        <w:t>publicidade</w:t>
      </w:r>
      <w:r>
        <w:t xml:space="preserve">, consagrada no art. 37, </w:t>
      </w:r>
      <w:r>
        <w:rPr>
          <w:i/>
        </w:rPr>
        <w:t>caput</w:t>
      </w:r>
      <w:r>
        <w:t xml:space="preserve">, da Constituição Federal e no art. 2º da Lei nº 9.784/1999. O PAR, contudo, admite exceção fundamentada: nos termos do art. 6º, §3º, do Decreto nº 11.129/2022, </w:t>
      </w:r>
      <w:r>
        <w:rPr>
          <w:i/>
        </w:rPr>
        <w:t>"será assegurado o sigilo do PAR, sempre que necessário à elucidação do fato ou quando exigido pelo interesse da administração pública, garantido à pessoa jurídica processada o direito à ampla defesa e ao contraditório."</w:t>
      </w:r>
    </w:p>
    <w:p>
      <w:r>
        <w:t xml:space="preserve">A redação do dispositivo deixa clara a natureza </w:t>
      </w:r>
      <w:r>
        <w:rPr>
          <w:i/>
        </w:rPr>
        <w:t>excepcional e instrumental</w:t>
      </w:r>
      <w:r>
        <w:t xml:space="preserve"> do sigilo no PAR. Dois são os fundamentos que o autorizam: (i) a necessidade de elucidação dos fatos — quando a publicidade prévia poderia comprometer a colheita de provas, permitir destruição de documentos ou viabilizar a fuga de investigados e colaboradores; e (ii) o interesse da administração pública — hipótese mais ampla, que pode abranger razões de segurança institucional, proteção de investigações paralelas em curso ou preservação de operações de inteligência.</w:t>
      </w:r>
    </w:p>
    <w:p>
      <w:r>
        <w:t xml:space="preserve">O sigilo no PAR, porém, é oponível apenas a </w:t>
      </w:r>
      <w:r>
        <w:rPr>
          <w:i/>
        </w:rPr>
        <w:t>terceiros</w:t>
      </w:r>
      <w:r>
        <w:t xml:space="preserve"> — não à pessoa jurídica processada. Essa distinção é absolutamente fundamental do ponto de vista das garantias constitucionais: a empresa indiciada tem o direito irrestrito de acesso integral aos autos, de vista e de extração de cópias de todos os documentos que instruem o processo, inclusive aqueles obtidos em operações policiais, quebras de sigilo bancário e telemático e fiscalizações da Receita Federal. Vedar esse acesso à empresa investigada configuraria violação direta do art. 5º, LV, da CF/88 e tornaria nula a decisão condenatória.</w:t>
      </w:r>
    </w:p>
    <w:p>
      <w:r>
        <w:t>De acordo com o Enunciado CGU nº 14/2016, os procedimentos disciplinares têm acesso restrito para terceiros até o julgamento, nos termos do art. 7º, §3º, da Lei nº 12.527/2011. Assim que concluídos, tornam-se acessíveis a terceiros, com exceção dos dados que sempre serão protegidos por cláusulas específicas de sigilo — fiscal, bancário, de imagem e honra.</w:t>
      </w:r>
    </w:p>
    <w:p>
      <w:r>
        <w:t>O mesmo princípio aplica-se ao PAR: após a publicação da decisão condenatória no Diário Oficial, o processo torna-se, em regra, acessível ao público. Os documentos que integram o processo, mas que estavam protegidos por sigilo legal específico — como extratos bancários obtidos mediante quebra de sigilo judicial, dados fiscais e informações telemáticas — mantêm sua proteção mesmo após a publicidade da decisão, e seu tratamento deve observar as normas específicas de cada modalidade de sigilo.</w:t>
      </w:r>
    </w:p>
    <w:p>
      <w:r>
        <w:t xml:space="preserve">⚠ </w:t>
      </w:r>
      <w:r>
        <w:rPr>
          <w:b/>
        </w:rPr>
        <w:t>Sigilo versus acesso da defesa:</w:t>
      </w:r>
      <w:r>
        <w:t xml:space="preserve"> O operador do PAR deve ter clareza sobre essa distinção para evitar nulidades. O sigilo processual nunca é oponível à pessoa jurídica processada nem a seu representante legal ou advogado constituído. Qualquer restrição de acesso aos autos imposta à empresa investigada — ainda que motivada por razões de sigilo em relação a terceiros — configura cerceamento de defesa e nulidade do processo.</w:t>
      </w:r>
    </w:p>
    <w:p>
      <w:pPr>
        <w:pStyle w:val="Heading1"/>
        <w:pageBreakBefore/>
      </w:pPr>
      <w:r>
        <w:t>6. JULGAMENTO, SANÇÕES E FASE RECURSAL</w:t>
      </w:r>
    </w:p>
    <w:p>
      <w:r>
        <w:rPr>
          <w:b/>
        </w:rPr>
        <w:t>Introdução</w:t>
      </w:r>
    </w:p>
    <w:p>
      <w:r>
        <w:t>A conclusão da instrução probatória pelo órgão processante inaugura a fase decisória do PAR — o momento em que os elementos de prova colhidos, a análise jurídica das condutas e a proposta de dosimetria convergem para a decisão sancionadora da autoridade competente. Esta fase compreende quatro etapas sequenciais: (i) o Relatório Final da comissão, com a proposta de sanções; (ii) o parecer jurídico obrigatório de controle de legalidade; (iii) o julgamento pela autoridade competente; e (iv) a fase recursal, com o Pedido de Reconsideração. Cada uma dessas etapas tem relevância própria — não apenas processual, mas também dosimétrica — e impõe exigências técnicas específicas ao operador do PAR.</w:t>
      </w:r>
    </w:p>
    <w:p>
      <w:pPr>
        <w:pStyle w:val="Heading2"/>
      </w:pPr>
      <w:r>
        <w:t>6.1 O Relatório Final da Comissão Processante</w:t>
      </w:r>
    </w:p>
    <w:p>
      <w:pPr>
        <w:pStyle w:val="Heading3"/>
      </w:pPr>
      <w:r>
        <w:t>6.1.1 Natureza Jurídica: Peça Propositiva, Não Decisória</w:t>
      </w:r>
    </w:p>
    <w:p>
      <w:r>
        <w:t xml:space="preserve">O Relatório Final é a peça conclusiva elaborada pela comissão processante ao término da instrução. Sua natureza jurídica é essencialmente </w:t>
      </w:r>
      <w:r>
        <w:rPr>
          <w:i/>
        </w:rPr>
        <w:t>propositiva</w:t>
      </w:r>
      <w:r>
        <w:t xml:space="preserve">: a comissão </w:t>
      </w:r>
      <w:r>
        <w:rPr>
          <w:i/>
        </w:rPr>
        <w:t>sugere</w:t>
      </w:r>
      <w:r>
        <w:t xml:space="preserve"> a responsabilização ou a absolvição da pessoa jurídica, e </w:t>
      </w:r>
      <w:r>
        <w:rPr>
          <w:i/>
        </w:rPr>
        <w:t>propõe</w:t>
      </w:r>
      <w:r>
        <w:t xml:space="preserve"> a dosimetria da multa — mas não </w:t>
      </w:r>
      <w:r>
        <w:rPr>
          <w:i/>
        </w:rPr>
        <w:t>decide</w:t>
      </w:r>
      <w:r>
        <w:t>. A decisão compete exclusivamente à autoridade julgadora competente, que pode divergir fundamentadamente das conclusões da comissão tanto quanto à materialidade dos fatos quanto aos percentuais dosimétricos aplicados.</w:t>
      </w:r>
    </w:p>
    <w:p>
      <w:r>
        <w:t>Essa distinção entre proposta da comissão e decisão da autoridade tem consequência prática relevante: o Relatório Final instrui os autos e vincula o julgador quanto aos fatos apurados e às provas produzidas, mas não o vincula quanto à valoração jurídica nem quanto à sanção. A autoridade pode agir em dois sentidos: absolver quando a comissão propõe condenar; condenar com multa diferente da proposta; ou adotar a proposta na íntegra. Em qualquer caso, a divergência deve ser fundamentada.</w:t>
      </w:r>
    </w:p>
    <w:p>
      <w:pPr>
        <w:pStyle w:val="Heading3"/>
      </w:pPr>
      <w:r>
        <w:t>6.1.2 Conteúdo Mínimo do Relatório Final</w:t>
      </w:r>
    </w:p>
    <w:p>
      <w:r>
        <w:t>O Relatório Final deve ser conclusivo quanto a cinco elementos essenciais, conforme a prática consolidada da CGU e o espírito do Decreto nº 11.129/2022:</w:t>
      </w:r>
    </w:p>
    <w:p>
      <w:r>
        <w:rPr>
          <w:b/>
        </w:rPr>
        <w:t>a) Síntese dos fatos apurados e das provas produzidas:</w:t>
      </w:r>
      <w:r>
        <w:t xml:space="preserve"> Narrativa objetiva da instrução, com referência às provas documentais, periciais e testemunhais colhidas, e com indicação precisa das páginas dos autos em que cada prova se encontra. O relatório não reproduz as provas — referencia-as.</w:t>
      </w:r>
    </w:p>
    <w:p>
      <w:r>
        <w:rPr>
          <w:b/>
        </w:rPr>
        <w:t>b) Análise da configuração do ato lesivo:</w:t>
      </w:r>
      <w:r>
        <w:t xml:space="preserve"> Exame técnico-jurídico de cada conduta imputada na Nota de Indiciação, verificando se os elementos fáticos apurados se subsomem ao tipo do art. 5º da LAC e se o nexo causal com o benefício auferido pela pessoa jurídica está demonstrado. A comissão deve manifestar-se expressamente sobre cada inciso imputado — não basta uma conclusão genérica de "responsabilidade comprovada".</w:t>
      </w:r>
    </w:p>
    <w:p>
      <w:r>
        <w:rPr>
          <w:b/>
        </w:rPr>
        <w:t>c) Análise das razões de defesa:</w:t>
      </w:r>
      <w:r>
        <w:t xml:space="preserve"> O contraditório exercido pela pessoa jurídica na Defesa Escrita — e, eventualmente, nas Alegações Finais — deve ser examinado ponto a ponto. A omissão no exame de teses defensivas relevantes configura cerceamento de defesa e pode comprometer a validade do ato decisório.</w:t>
      </w:r>
    </w:p>
    <w:p>
      <w:r>
        <w:rPr>
          <w:b/>
        </w:rPr>
        <w:t>d) Proposta de dosimetria:</w:t>
      </w:r>
      <w:r>
        <w:t xml:space="preserve"> A comissão deve apresentar a proposta de dosimetria da multa com a memória de cálculo completa — é aqui que a Calculadora de Multa PAR desempenha sua função instrumental. A proposta deve indicar: o faturamento bruto adotado como base de cálculo (com fundamento no art. 20 ou 21 do Decreto); as vantagens auferida e pretendida (art. 26); cada agravante e atenuante aplicado (arts. 22 e 23), com percentual e fundamentação; o índice de dosimetria resultante; a multa bruta; e a verificação dos limites legais do art. 25.</w:t>
      </w:r>
    </w:p>
    <w:p>
      <w:r>
        <w:rPr>
          <w:b/>
        </w:rPr>
        <w:t>e) Proposta de publicação extraordinária:</w:t>
      </w:r>
      <w:r>
        <w:t xml:space="preserve"> A comissão deve calcular a Alíquota de Referência (art. 24 do Decreto), identificar o cenário aplicável (A ou B) e propor o prazo da publicação extraordinária nos termos da tabela de escalonamento.</w:t>
      </w:r>
    </w:p>
    <w:p>
      <w:r>
        <w:t xml:space="preserve">⚠ </w:t>
      </w:r>
      <w:r>
        <w:rPr>
          <w:b/>
        </w:rPr>
        <w:t>A Calculadora no Relatório Final:</w:t>
      </w:r>
      <w:r>
        <w:t xml:space="preserve"> O relatório final deve conter a memória de cálculo completa gerada pela Calculadora de Multa PAR como anexo ou incorporada ao corpo do texto. O relatório gerado pela ferramenta documenta todos os parâmetros utilizados e serve como instrumento de instrução processual. Sua ausência ou incompletude enfraquece a fundamentação da dosimetria e expõe a decisão a questionamentos de proporcionalidade na via judicial.</w:t>
      </w:r>
    </w:p>
    <w:p>
      <w:pPr>
        <w:pStyle w:val="Heading3"/>
      </w:pPr>
      <w:r>
        <w:t>6.1.3 As Alegações Finais como Marco Dosimétrico</w:t>
      </w:r>
    </w:p>
    <w:p>
      <w:r>
        <w:t xml:space="preserve">Antes de elaborar o Relatório Final, a comissão deve intimar a pessoa jurídica para apresentar </w:t>
      </w:r>
      <w:r>
        <w:rPr>
          <w:i/>
        </w:rPr>
        <w:t>Alegações Finais</w:t>
      </w:r>
      <w:r>
        <w:t xml:space="preserve"> — prazo de dez dias para manifestação sobre as provas produzidas durante a instrução. A pessoa jurídica será intimada do relatório final para apresentar alegações finais no prazo de 10 dias.</w:t>
      </w:r>
    </w:p>
    <w:p>
      <w:r>
        <w:t xml:space="preserve">As Alegações Finais têm relevância dosimétrica autônoma: a admissão voluntária de responsabilidade realizada </w:t>
      </w:r>
      <w:r>
        <w:rPr>
          <w:i/>
        </w:rPr>
        <w:t>no prazo das alegações finais</w:t>
      </w:r>
      <w:r>
        <w:t xml:space="preserve"> produz atenuante menor do que a admissão realizada no prazo de defesa escrita — mas maior do que a admissão após as alegações finais (art. 23, IV, do Decreto nº 11.129/2022). A comissão deve documentar com precisão o prazo de intimação e a data de protocolo das Alegações Finais para que a tempestividade da admissão seja corretamente aferida na dosimetria.</w:t>
      </w:r>
    </w:p>
    <w:p>
      <w:pPr>
        <w:pStyle w:val="Heading2"/>
      </w:pPr>
      <w:r>
        <w:t>6.2 O Parecer Jurídico Obrigatório</w:t>
      </w:r>
    </w:p>
    <w:p>
      <w:pPr>
        <w:pStyle w:val="Heading3"/>
      </w:pPr>
      <w:r>
        <w:t>6.2.1 Natureza e Exigência Legal</w:t>
      </w:r>
    </w:p>
    <w:p>
      <w:r>
        <w:t xml:space="preserve">O art. 6º, §2º, da Lei nº 12.846/2013 é categórico: </w:t>
      </w:r>
      <w:r>
        <w:rPr>
          <w:i/>
        </w:rPr>
        <w:t>"A aplicação das sanções previstas neste artigo será precedida da manifestação jurídica elaborada pela Advocacia Pública ou pelo órgão de assistência jurídica, ou equivalente, do ente público."</w:t>
      </w:r>
    </w:p>
    <w:p>
      <w:r>
        <w:t xml:space="preserve">Trata-se de parecer </w:t>
      </w:r>
      <w:r>
        <w:rPr>
          <w:i/>
        </w:rPr>
        <w:t>obrigatório</w:t>
      </w:r>
      <w:r>
        <w:t xml:space="preserve"> — condição de validade do ato decisório, não mera formalidade consultiva. A aplicação das sanções previstas no art. 6º será precedida da manifestação jurídica elaborada pela Advocacia Pública ou pelo órgão de assistência jurídica, ou equivalente, do ente público. A ausência de parecer jurídico antes da decisão condenatória configura vício formal de legalidade, com potencial de nulidade do ato sancionador.</w:t>
      </w:r>
    </w:p>
    <w:p>
      <w:pPr>
        <w:pStyle w:val="Heading4"/>
        <w:spacing w:after="150" w:before="300"/>
      </w:pPr>
      <w:r>
        <w:t xml:space="preserve">6.2.1.1 Estado da Controvérsia: Regime de Nulidade pela Ausência ou Deficiência do Parecer Jurídico Obrigatório</w:t>
      </w:r>
    </w:p>
    <w:p>
      <w:pPr>
        <w:spacing w:after="80" w:before="120"/>
      </w:pPr>
      <w:r>
        <w:rPr>
          <w:rFonts w:ascii="Calibri" w:cs="Calibri" w:eastAsia="Calibri" w:hAnsi="Calibri"/>
          <w:b/>
          <w:bCs/>
          <w:sz w:val="22"/>
          <w:szCs w:val="22"/>
        </w:rPr>
        <w:t xml:space="preserve">(i) Posição da CGU / regime legal</w:t>
      </w:r>
    </w:p>
    <w:p>
      <w:pPr>
        <w:spacing w:after="160" w:line="276"/>
      </w:pPr>
      <w:r>
        <w:rPr>
          <w:rFonts w:ascii="Calibri" w:cs="Calibri" w:eastAsia="Calibri" w:hAnsi="Calibri"/>
          <w:b w:val="false"/>
          <w:bCs w:val="false"/>
          <w:i w:val="false"/>
          <w:iCs w:val="false"/>
          <w:sz w:val="22"/>
          <w:szCs w:val="22"/>
        </w:rPr>
        <w:t xml:space="preserve">O art. 6º, §2º, da LAC qualifica a manifestação jurídica da Advocacia Pública como etapa obrigatória, prévia à aplicação de qualquer sanção. A CGU trata essa exigência como condição de validade do ato decisório, mas nem a Lei nem o Decreto nº 11.129/2022 especificam qual o regime de nulidade decorrente de sua ausência total, de sua intempestividade ou de eventual superficialidade de conteúdo — questão que, na prática, é resolvida caso a caso pela via do controle judicial ou pela autotutela administrativa.</w:t>
      </w:r>
    </w:p>
    <w:p>
      <w:pPr>
        <w:spacing w:after="80" w:before="120"/>
      </w:pPr>
      <w:r>
        <w:rPr>
          <w:rFonts w:ascii="Calibri" w:cs="Calibri" w:eastAsia="Calibri" w:hAnsi="Calibri"/>
          <w:b/>
          <w:bCs/>
          <w:sz w:val="22"/>
          <w:szCs w:val="22"/>
        </w:rPr>
        <w:t xml:space="preserve">(ii) Posição doutrinária divergente</w:t>
      </w:r>
    </w:p>
    <w:p>
      <w:pPr>
        <w:spacing w:after="160" w:line="276"/>
      </w:pPr>
      <w:r>
        <w:rPr>
          <w:rFonts w:ascii="Calibri" w:cs="Calibri" w:eastAsia="Calibri" w:hAnsi="Calibri"/>
          <w:b w:val="false"/>
          <w:bCs w:val="false"/>
          <w:i w:val="false"/>
          <w:iCs w:val="false"/>
          <w:sz w:val="22"/>
          <w:szCs w:val="22"/>
        </w:rPr>
        <w:t xml:space="preserve">Uma corrente sustenta que a exigência do parecer jurídico, por decorrer de comando legal expresso e formal, configura formalidade essencial cuja ausência gera nulidade absoluta do ato decisório, insanável e cognoscível a qualquer tempo, dado o interesse público subjacente ao controle prévio de legalidade em processos sancionadores com efeitos patrimoniais e reputacionais relevantes. Corrente oposta, apoiada no princípio da instrumentalidade das formas e no brocardo pas de nullité sans grief — hoje positivado de forma ampla no processo civil (art. 277 do CPC/2015) e de aplicação corrente no processo administrativo sancionador —, sustenta que a nulidade não decorre automaticamente do vício formal isolado, exigindo-se a demonstração de prejuízo concreto e efetivo ao exercício da defesa; um parecer jurídico ausente ou sucinto que, ainda assim, não tenha impedido a pessoa jurídica de conhecer e contestar as razões fáticas e jurídicas da condenação não geraria, por si só, nulidade declarável.</w:t>
      </w:r>
    </w:p>
    <w:p>
      <w:pPr>
        <w:spacing w:after="80" w:before="120"/>
      </w:pPr>
      <w:r>
        <w:rPr>
          <w:rFonts w:ascii="Calibri" w:cs="Calibri" w:eastAsia="Calibri" w:hAnsi="Calibri"/>
          <w:b/>
          <w:bCs/>
          <w:sz w:val="22"/>
          <w:szCs w:val="22"/>
        </w:rPr>
        <w:t xml:space="preserve">(iii) Precedentes relevantes</w:t>
      </w:r>
    </w:p>
    <w:p>
      <w:pPr>
        <w:spacing w:after="160" w:line="276"/>
      </w:pPr>
      <w:r>
        <w:rPr>
          <w:rFonts w:ascii="Calibri" w:cs="Calibri" w:eastAsia="Calibri" w:hAnsi="Calibri"/>
          <w:b w:val="false"/>
          <w:bCs w:val="false"/>
          <w:i w:val="false"/>
          <w:iCs w:val="false"/>
          <w:sz w:val="22"/>
          <w:szCs w:val="22"/>
        </w:rPr>
        <w:t xml:space="preserve">Em julgamento de apelação envolvendo PAR estadual fundado na Lei nº 12.846/2013, tribunal de justiça afastou alegação de nulidade por deficiência de motivação do ato administrativo, exatamente com fundamento no princípio pas de nullité sans grief, por ausência de demonstração de prejuízo concreto à defesa — na mesma decisão, o tribunal rejeitou também a arguição de inconstitucionalidade dos arts. 1º e 2º da LAC quanto à responsabilidade objetiva, tema já tratado no bloco de controvérsia sobre responsabilidade objetiva no Lote 1 deste Manual. O precedente, embora não trate exatamente da ausência do parecer jurídico do art. 6º, §2º, mas de deficiência de motivação em sentido mais amplo, é o indicador mais direto disponível de que o Judiciário, ao examinar vícios formais no PAR, tende a exigir a demonstração de prejuízo concreto antes de decretar nulidade — alinhando-se à segunda corrente doutrinária, sem que se possa, com apenas um precedente de tribunal estadual, afirmar tratar-se de entendimento pacificado em todas as instâncias.</w:t>
      </w:r>
    </w:p>
    <w:p>
      <w:pPr>
        <w:spacing w:after="80" w:before="120"/>
      </w:pPr>
      <w:r>
        <w:rPr>
          <w:rFonts w:ascii="Calibri" w:cs="Calibri" w:eastAsia="Calibri" w:hAnsi="Calibri"/>
          <w:b/>
          <w:bCs/>
          <w:sz w:val="22"/>
          <w:szCs w:val="22"/>
        </w:rPr>
        <w:t xml:space="preserve">(iv) Impacto prático na dosimetria</w:t>
      </w:r>
    </w:p>
    <w:p>
      <w:pPr>
        <w:spacing w:after="160" w:line="276"/>
      </w:pPr>
      <w:r>
        <w:rPr>
          <w:rFonts w:ascii="Calibri" w:cs="Calibri" w:eastAsia="Calibri" w:hAnsi="Calibri"/>
          <w:b w:val="false"/>
          <w:bCs w:val="false"/>
          <w:i w:val="false"/>
          <w:iCs w:val="false"/>
          <w:sz w:val="22"/>
          <w:szCs w:val="22"/>
        </w:rPr>
        <w:t xml:space="preserve">A controvérsia não afeta os percentuais de dosimetria, mas orienta a prática processual: a comissão e a autoridade julgadora devem assegurar não apenas a existência formal do parecer jurídico, mas seu conteúdo material mínimo (regularidade formal, adequação da tipificação, conformidade da dosimetria e proporcionalidade da sanção, conforme já tratado no item 6.2.2 deste Manual), de modo a esvaziar, na prática, qualquer arguição de nulidade — seja pela corrente que exige apenas a existência do parecer, seja pela que exige também a demonstração de ausência de prejuízo.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Em um PAR, o parecer jurídico que precede a decisão condenatória é sucinto, limitando-se a atestar a regularidade formal do processo, sem examinar expressamente a proporcionalidade da multa proposta. Em eventual impugnação judicial, a pessoa jurídica condenada alega nulidade por deficiência do parecer. Se a decisão condenatória, por si só, contiver fundamentação robusta sobre a proporcionalidade da sanção — com remissão expressa aos critérios do art. 22 e 23 do Decreto —, a tendência jurisprudencial identificada é de que a superficialidade do parecer, isoladamente, não seja suficiente para a decretação de nulidade, por ausência de prejuízo demonstrável à defesa.</w:t>
            </w:r>
          </w:p>
        </w:tc>
      </w:tr>
    </w:tbl>
    <w:p/>
    <w:p>
      <w:pPr>
        <w:pStyle w:val="Heading3"/>
      </w:pPr>
      <w:r>
        <w:t>6.2.2 Conteúdo e Função do Parecer</w:t>
      </w:r>
    </w:p>
    <w:p>
      <w:r>
        <w:t>O parecer jurídico obrigatório exerce controle interno de legalidade e deve examinar, no mínimo:</w:t>
      </w:r>
    </w:p>
    <w:p>
      <w:r>
        <w:rPr>
          <w:b/>
        </w:rPr>
        <w:t>a) Regularidade formal do processo:</w:t>
      </w:r>
      <w:r>
        <w:t xml:space="preserve"> Observância do prazo de 180 dias (ou das prorrogações), publicação da portaria de instauração, adequação da citação, concessão efetiva do prazo de defesa, intimação para Alegações Finais e ausência de nulidades procedimentais.</w:t>
      </w:r>
    </w:p>
    <w:p>
      <w:r>
        <w:rPr>
          <w:b/>
        </w:rPr>
        <w:t>b) Adequação da tipificação:</w:t>
      </w:r>
      <w:r>
        <w:t xml:space="preserve"> Verificação se as condutas descritas na Nota de Indiciação e confirmadas no Relatório Final se subsomem efetivamente aos incisos do art. 5º da LAC imputados. O parecer deve sinalizar eventuais tipificações equivocadas ou insuficientemente demonstradas.</w:t>
      </w:r>
    </w:p>
    <w:p>
      <w:r>
        <w:rPr>
          <w:b/>
        </w:rPr>
        <w:t>c) Conformidade da dosimetria:</w:t>
      </w:r>
      <w:r>
        <w:t xml:space="preserve"> Exame da aplicação dos parâmetros dos arts. 20 a 26 do Decreto nº 11.129/2022 — base de cálculo, agravantes, atenuantes e limites legais. O parecer não precisa — e normalmente não deve — refazer o cálculo, mas deve apontar eventuais inconsistências metodológicas.</w:t>
      </w:r>
    </w:p>
    <w:p>
      <w:r>
        <w:rPr>
          <w:b/>
        </w:rPr>
        <w:t>d) Proporcionalidade e razoabilidade da sanção proposta:</w:t>
      </w:r>
      <w:r>
        <w:t xml:space="preserve"> Verificação de que a multa proposta é proporcional à gravidade da conduta e ao dano causado, nos termos dos princípios constitucionais que regem o poder sancionador do Estado.</w:t>
      </w:r>
    </w:p>
    <w:p>
      <w:pPr>
        <w:pStyle w:val="Heading3"/>
      </w:pPr>
      <w:r>
        <w:t>6.2.3 Vinculação da Autoridade ao Parecer</w:t>
      </w:r>
    </w:p>
    <w:p>
      <w:r>
        <w:t xml:space="preserve">O parecer jurídico não é vinculante quanto ao mérito sancionador: a autoridade julgadora pode divergir das conclusões do parecerista em relação à dosimetria e à sanção proposta, desde que fundamente adequadamente a divergência. O que o parecer garante é o controle mínimo de legalidade — e a autoridade julgadora não pode agir </w:t>
      </w:r>
      <w:r>
        <w:rPr>
          <w:i/>
        </w:rPr>
        <w:t>contra</w:t>
      </w:r>
      <w:r>
        <w:t xml:space="preserve"> as conclusões jurídicas do parecerista sem motivação explícita, sob pena de vício de motivação do ato administrativo.</w:t>
      </w:r>
    </w:p>
    <w:p>
      <w:pPr>
        <w:pStyle w:val="Heading2"/>
      </w:pPr>
      <w:r>
        <w:t>6.3 Competência para Julgamento</w:t>
      </w:r>
    </w:p>
    <w:p>
      <w:pPr>
        <w:pStyle w:val="Heading3"/>
      </w:pPr>
      <w:r>
        <w:t>6.3.1 Regra Geral: Autoridade Máxima da Entidade Lesada</w:t>
      </w:r>
    </w:p>
    <w:p>
      <w:r>
        <w:t xml:space="preserve">Nos termos do art. 4º do Decreto nº 11.129/2022, a competência para instaurar e julgar o PAR é da </w:t>
      </w:r>
      <w:r>
        <w:rPr>
          <w:i/>
        </w:rPr>
        <w:t>autoridade máxima da entidade</w:t>
      </w:r>
      <w:r>
        <w:t xml:space="preserve"> em face da qual foi praticado o ato lesivo. No âmbito da administração pública federal direta, essa competência é do </w:t>
      </w:r>
      <w:r>
        <w:rPr>
          <w:i/>
        </w:rPr>
        <w:t>Ministro de Estado</w:t>
      </w:r>
      <w:r>
        <w:t xml:space="preserve"> do órgão lesado.</w:t>
      </w:r>
    </w:p>
    <w:p>
      <w:r>
        <w:t>A CGU tem competência concorrente e subsidiária no âmbito do Poder Executivo Federal: pode avocar e julgar processos instaurados em outros órgãos quando houver omissão da autoridade originária, quando os fatos apresentarem relevância, complexidade ou repercussão que justifiquem a centralização, ou quando houver irregularidade no andamento do processo.</w:t>
      </w:r>
    </w:p>
    <w:p>
      <w:pPr>
        <w:pStyle w:val="Heading3"/>
      </w:pPr>
      <w:r>
        <w:t>6.3.2 Delegação de Competência: O Caso da Receita Federal do Brasil</w:t>
      </w:r>
    </w:p>
    <w:p>
      <w:r>
        <w:t xml:space="preserve">No âmbito específico da Receita Federal do Brasil, a competência para julgamento dos PARs é </w:t>
      </w:r>
      <w:r>
        <w:rPr>
          <w:i/>
        </w:rPr>
        <w:t>delegada ao Corregedor da RFB</w:t>
      </w:r>
      <w:r>
        <w:t>, nos termos das normas regimentais internas do órgão. Essa delegação é compatível com o art. 4º, parágrafo único, do Decreto nº 11.129/2022, que autoriza a delegação de competências de instauração e julgamento do PAR.</w:t>
      </w:r>
    </w:p>
    <w:p>
      <w:r>
        <w:t>A delegação ao Corregedor é tecnicamente adequada por razões de especialização e independência funcional: o Corregedor reúne a expertise correcional necessária para condução dos PARs e mantém a distância hierárquica suficiente em relação às unidades operacionais potencialmente envolvidas nos atos lesivos investigados. No âmbito federal geral, quando o PAR tramita na CGU, o julgamento compete ao Ministro de Estado da CGU.</w:t>
      </w:r>
    </w:p>
    <w:p>
      <w:pPr>
        <w:pStyle w:val="Heading3"/>
      </w:pPr>
      <w:r>
        <w:t>6.3.3 Decisão Condenatória: Requisitos Formais</w:t>
      </w:r>
    </w:p>
    <w:p>
      <w:r>
        <w:t>A decisão condenatória é o ato administrativo que, ao acolher a proposta da comissão ou ao dela divergir fundamentadamente, aplica as sanções previstas no art. 6º da LAC. Deve conter, no mínimo:</w:t>
      </w:r>
    </w:p>
    <w:p>
      <w:r>
        <w:t>— Identificação completa da pessoa jurídica condenada (razão social, CNPJ, endereço);</w:t>
      </w:r>
    </w:p>
    <w:p>
      <w:r>
        <w:t>— Síntese dos fatos e das provas que fundamentam a condenação;</w:t>
      </w:r>
    </w:p>
    <w:p>
      <w:r>
        <w:t>— Tipificação dos atos lesivos reconhecidos, com indicação dos incisos do art. 5º;</w:t>
      </w:r>
    </w:p>
    <w:p>
      <w:r>
        <w:t>— Memória de cálculo da dosimetria, com referência a cada agravante e atenuante aplicado;</w:t>
      </w:r>
    </w:p>
    <w:p>
      <w:r>
        <w:t>— Valor da multa final e respectiva fundamentação dos limites do art. 25;</w:t>
      </w:r>
    </w:p>
    <w:p>
      <w:r>
        <w:t>— Determinação da publicação extraordinária com indicação do cenário (A ou B), da Alíquota de Referência, do prazo em dias corridos e por extenso, e dos meios de veiculação obrigatórios;</w:t>
      </w:r>
    </w:p>
    <w:p>
      <w:r>
        <w:t>— Prazo para cumprimento das obrigações (pagamento da multa e realização da publicação).</w:t>
      </w:r>
    </w:p>
    <w:p>
      <w:r>
        <w:t>A decisão deve ser publicada no Diário Oficial — providência que simultaneamente formaliza a condenação, inicia o prazo recursal e constitui o marco a partir do qual correm os efeitos da sanção.</w:t>
      </w:r>
    </w:p>
    <w:p>
      <w:pPr>
        <w:pStyle w:val="Heading2"/>
      </w:pPr>
      <w:r>
        <w:t>6.4 As Sanções Aplicáveis e sua Cumulatividade</w:t>
      </w:r>
    </w:p>
    <w:p>
      <w:pPr>
        <w:pStyle w:val="Heading3"/>
      </w:pPr>
      <w:r>
        <w:t>6.4.1 As Sanções do Art. 6º da LAC</w:t>
      </w:r>
    </w:p>
    <w:p>
      <w:r>
        <w:t>Na esfera administrativa do PAR, a Lei nº 12.846/2013 prevê duas sanções aplicáveis à pessoa jurídica condenada, nos termos do art. 6º:</w:t>
      </w:r>
    </w:p>
    <w:p>
      <w:r>
        <w:rPr>
          <w:i/>
        </w:rPr>
        <w:t xml:space="preserve">"I — </w:t>
      </w:r>
      <w:r>
        <w:rPr>
          <w:i/>
        </w:rPr>
        <w:t>multa</w:t>
      </w:r>
      <w:r>
        <w:rPr>
          <w:i/>
        </w:rPr>
        <w:t>, no valor de 0,1% (um décimo por cento) a 20% (vinte por cento) do faturamento bruto do último exercício anterior ao da instauração do processo administrativo, excluídos os tributos, a qual nunca será inferior à vantagem auferida, quando for possível sua estimação; e</w:t>
      </w:r>
    </w:p>
    <w:p>
      <w:r>
        <w:rPr>
          <w:i/>
        </w:rPr>
        <w:t xml:space="preserve">II — </w:t>
      </w:r>
      <w:r>
        <w:rPr>
          <w:i/>
        </w:rPr>
        <w:t>publicação</w:t>
      </w:r>
      <w:r>
        <w:rPr>
          <w:i/>
        </w:rPr>
        <w:t xml:space="preserve"> extraordinária da decisão condenatória."</w:t>
      </w:r>
    </w:p>
    <w:p>
      <w:r>
        <w:t>As sanções serão aplicadas fundamentadamente, isolada ou cumulativamente, de acordo com as peculiaridades do caso concreto e com a gravidade e natureza das infrações. A aplicação das sanções não exclui, em qualquer hipótese, a obrigação de reparação integral do dano causado.</w:t>
      </w:r>
    </w:p>
    <w:p>
      <w:r>
        <w:t xml:space="preserve">A palavra </w:t>
      </w:r>
      <w:r>
        <w:rPr>
          <w:i/>
        </w:rPr>
        <w:t>"e"</w:t>
      </w:r>
      <w:r>
        <w:t xml:space="preserve"> que conjuga os dois incisos tem relevância técnica: a leitura sistêmica da lei indica que, em regra, as duas sanções são </w:t>
      </w:r>
      <w:r>
        <w:rPr>
          <w:i/>
        </w:rPr>
        <w:t>cumulativas</w:t>
      </w:r>
      <w:r>
        <w:t xml:space="preserve"> — multa e publicação extraordinária aplicam-se conjuntamente. A possibilidade de aplicação </w:t>
      </w:r>
      <w:r>
        <w:rPr>
          <w:i/>
        </w:rPr>
        <w:t>isolada</w:t>
      </w:r>
      <w:r>
        <w:t xml:space="preserve"> (prevista no §1º) destina-se a hipóteses excepcionais, devidamente fundamentadas, em que as circunstâncias do caso concreto justifiquem a aplicação de apenas uma das sanções — o que a prática demonstra ser raro.</w:t>
      </w:r>
    </w:p>
    <w:p>
      <w:pPr>
        <w:pStyle w:val="Heading3"/>
      </w:pPr>
      <w:r>
        <w:t>6.4.2 A Multa Pecuniária</w:t>
      </w:r>
    </w:p>
    <w:p>
      <w:r>
        <w:t>A multa é a sanção patrimonial principal do PAR. Sua dosimetria — objeto central da Parte II deste Manual e da Calculadora de Multa PAR — obedece ao regime dos arts. 20 a 26 do Decreto nº 11.129/2022, já detalhados nas etapas 0 a 13 da calculadora.</w:t>
      </w:r>
    </w:p>
    <w:p>
      <w:r>
        <w:t>Três limites absolutos enquadram o resultado dosimétrico:</w:t>
      </w:r>
    </w:p>
    <w:p>
      <w:r>
        <w:rPr>
          <w:b/>
        </w:rPr>
        <w:t>Piso percentual:</w:t>
      </w:r>
      <w:r>
        <w:t xml:space="preserve"> A multa não pode ser inferior a 0,1% do faturamento bruto (art. 6º, I, da LAC).</w:t>
      </w:r>
    </w:p>
    <w:p>
      <w:r>
        <w:rPr>
          <w:b/>
        </w:rPr>
        <w:t>Teto percentual:</w:t>
      </w:r>
      <w:r>
        <w:t xml:space="preserve"> A multa não pode exceder 20% do faturamento bruto (art. 6º, I, da LAC).</w:t>
      </w:r>
    </w:p>
    <w:p>
      <w:r>
        <w:rPr>
          <w:b/>
        </w:rPr>
        <w:t>Piso absoluto da vantagem auferida:</w:t>
      </w:r>
      <w:r>
        <w:t xml:space="preserve"> A multa jamais pode ser inferior à vantagem auferida, quando for possível sua estimação (art. 6º, I, </w:t>
      </w:r>
      <w:r>
        <w:rPr>
          <w:i/>
        </w:rPr>
        <w:t>in fine</w:t>
      </w:r>
      <w:r>
        <w:t>, da LAC e art. 25, I, do Decreto).</w:t>
      </w:r>
    </w:p>
    <w:p>
      <w:r>
        <w:t>Quando não for possível utilizar o critério do faturamento bruto — hipótese de empresa sem histórico de receita rastreável —, a multa é fixada entre R$ 6.000,00 e R$ 60.000.000,00, nos termos do §4º do art. 6º da LAC.</w:t>
      </w:r>
    </w:p>
    <w:p>
      <w:pPr>
        <w:pStyle w:val="Heading3"/>
      </w:pPr>
      <w:r>
        <w:t>6.4.3 A Publicação Extraordinária como Sanção Autônoma</w:t>
      </w:r>
    </w:p>
    <w:p>
      <w:r>
        <w:t xml:space="preserve">A publicação extraordinária da decisão condenatória — disciplinada com detalhe na Etapa 13 da Calculadora e no item 9 da Parte II deste Manual — é sanção </w:t>
      </w:r>
      <w:r>
        <w:rPr>
          <w:i/>
        </w:rPr>
        <w:t>autônoma</w:t>
      </w:r>
      <w:r>
        <w:t xml:space="preserve"> de caráter pedagógico e dissuasório. Não se confunde com a mera publicação da decisão no Diário Oficial (que é ato processual ordinário): a publicação extraordinária é uma </w:t>
      </w:r>
      <w:r>
        <w:rPr>
          <w:i/>
        </w:rPr>
        <w:t>penalidade</w:t>
      </w:r>
      <w:r>
        <w:t>, cujo custo recai integralmente sobre a pessoa jurídica condenada, e cujo prazo — de 30 a 135 dias corridos — é dosimetrado em função da Alíquota de Referência apurada.</w:t>
      </w:r>
    </w:p>
    <w:p>
      <w:r>
        <w:t xml:space="preserve">A aplicação das sanções previstas no art. 6º não exclui, em qualquer hipótese, a obrigação de reparação integral do dano causado. Esse dispositivo é de suma importância: as sanções do PAR têm natureza </w:t>
      </w:r>
      <w:r>
        <w:rPr>
          <w:i/>
        </w:rPr>
        <w:t>punitiva</w:t>
      </w:r>
      <w:r>
        <w:t xml:space="preserve"> — destinadas a reprovar e desincentivar —, mas não substituem a obrigação de </w:t>
      </w:r>
      <w:r>
        <w:rPr>
          <w:i/>
        </w:rPr>
        <w:t>reparação integral dos danos</w:t>
      </w:r>
      <w:r>
        <w:t>, que deve ser buscada em ação judicial cível, de forma autônoma e simultânea às sanções administrativas.</w:t>
      </w:r>
    </w:p>
    <w:p>
      <w:pPr>
        <w:pStyle w:val="Heading3"/>
      </w:pPr>
      <w:r>
        <w:t>6.4.4 Independência entre Esferas Sancionadoras</w:t>
      </w:r>
    </w:p>
    <w:p>
      <w:r>
        <w:t xml:space="preserve">As sanções do PAR não esgotam o arsenal punitivo do Estado em relação à pessoa jurídica infratora. As sanções administrativas do art. 6º são aplicadas </w:t>
      </w:r>
      <w:r>
        <w:rPr>
          <w:i/>
        </w:rPr>
        <w:t>de forma independente</w:t>
      </w:r>
      <w:r>
        <w:t xml:space="preserve"> das sanções cíveis do art. 19 (perdimento de bens, dissolução compulsória, proibição de receber benefícios públicos) — que dependem de ação judicial — e das sanções penais eventualmente aplicáveis às pessoas físicas responsáveis. O princípio da independência das instâncias, consagrado no art. 3º da LAC, impede que a condenação ou absolvição em uma esfera interfira nas demais, ressalvadas as hipóteses legalmente previstas de efeito reflexo obrigatório.</w:t>
      </w:r>
    </w:p>
    <w:p>
      <w:pPr>
        <w:pStyle w:val="Heading2"/>
      </w:pPr>
      <w:r>
        <w:t>6.5 A Fase Recursal</w:t>
      </w:r>
    </w:p>
    <w:p>
      <w:pPr>
        <w:pStyle w:val="Heading3"/>
      </w:pPr>
      <w:r>
        <w:t>6.5.1 O Pedido de Reconsideração: Único Recurso Administrativo</w:t>
      </w:r>
    </w:p>
    <w:p>
      <w:r>
        <w:t xml:space="preserve">Proferida e publicada a decisão condenatória no Diário Oficial, abre-se o prazo de </w:t>
      </w:r>
      <w:r>
        <w:rPr>
          <w:i/>
        </w:rPr>
        <w:t>dez dias corridos</w:t>
      </w:r>
      <w:r>
        <w:t xml:space="preserve"> para a pessoa jurídica interpor </w:t>
      </w:r>
      <w:r>
        <w:rPr>
          <w:i/>
        </w:rPr>
        <w:t>Pedido de Reconsideração</w:t>
      </w:r>
      <w:r>
        <w:t xml:space="preserve"> dirigido à mesma autoridade julgadora. Da decisão administrativa sancionadora cabe pedido de reconsideração com efeito suspensivo, no prazo de dez dias, contado da data de publicação da decisão.</w:t>
      </w:r>
    </w:p>
    <w:p>
      <w:r>
        <w:t>O Pedido de Reconsideração é o único instrumento recursal previsto expressamente na LAC na esfera administrativa. Não há, no sistema da lei, recurso hierárquico para autoridade superior quando a decisão é proferida pela autoridade máxima competente — pois não existe instância administrativa superior a ela. Contra decisão de Ministro de Estado, no exercício de competência delegada, não cabe a interposição de recurso hierárquico, mas apenas pedido de reconsideração. O Ministro de Estado, no exercício da delegação, atua como autoridade máxima no âmbito da Administração Pública. Ocorrendo a interposição, em homenagem ao princípio da fungibilidade e instrumentalidade das formas, o recurso hierárquico deverá ser recebido como pedido de reconsideração e decidido pela mesma autoridade.</w:t>
      </w:r>
    </w:p>
    <w:p>
      <w:pPr>
        <w:pStyle w:val="Heading3"/>
      </w:pPr>
      <w:r>
        <w:t>6.5.2 Efeito Suspensivo Automático</w:t>
      </w:r>
    </w:p>
    <w:p>
      <w:r>
        <w:t xml:space="preserve">O Pedido de Reconsideração tem </w:t>
      </w:r>
      <w:r>
        <w:rPr>
          <w:i/>
        </w:rPr>
        <w:t>efeito suspensivo automático</w:t>
      </w:r>
      <w:r>
        <w:t>: a simples interposição tempestiva suspende todos os efeitos da decisão condenatória até o seu julgamento. Isso significa que:</w:t>
      </w:r>
    </w:p>
    <w:p>
      <w:r>
        <w:t>— A obrigação de pagar a multa fica suspensa;</w:t>
      </w:r>
    </w:p>
    <w:p>
      <w:r>
        <w:t>— A obrigação de promover a publicação extraordinária fica suspensa;</w:t>
      </w:r>
    </w:p>
    <w:p>
      <w:r>
        <w:t>— O prazo de publicação extraordinária (30 a 135 dias) não começa a correr durante o período de análise do recurso;</w:t>
      </w:r>
    </w:p>
    <w:p>
      <w:r>
        <w:t>— Os registros nos cadastros de sanções (CEIS e CNEP) não são realizados enquanto a decisão não se tornar definitiva.</w:t>
      </w:r>
    </w:p>
    <w:p>
      <w:r>
        <w:t>O efeito suspensivo é uma garantia processual fundamental — assegura que a sanção não produza consequências irreversíveis (como a publicação com caráter reputacional definitivo) antes do esgotamento das vias impugnativas internas.</w:t>
      </w:r>
    </w:p>
    <w:p>
      <w:pPr>
        <w:pStyle w:val="Heading4"/>
        <w:spacing w:after="150" w:before="300"/>
      </w:pPr>
      <w:r>
        <w:t xml:space="preserve">6.5.2.1 Comparação com Regimes Sancionadores sem Efeito Suspensivo Automático</w:t>
      </w:r>
    </w:p>
    <w:p>
      <w:pPr>
        <w:spacing w:after="160" w:line="276"/>
      </w:pPr>
      <w:r>
        <w:rPr>
          <w:rFonts w:ascii="Calibri" w:cs="Calibri" w:eastAsia="Calibri" w:hAnsi="Calibri"/>
          <w:b w:val="false"/>
          <w:bCs w:val="false"/>
          <w:i w:val="false"/>
          <w:iCs w:val="false"/>
          <w:sz w:val="22"/>
          <w:szCs w:val="22"/>
        </w:rPr>
        <w:t xml:space="preserve">O efeito suspensivo automático do Pedido de Reconsideração no PAR (art. 15 do Decreto nº 11.129/2022) não é a regra universal em regimes sancionadores administrativos brasileiros. Em outros microssistemas de direito administrativo sancionador — notadamente no processo administrativo do CADE em matéria concorrencial — o recurso administrativo cabível não suspende automaticamente os efeitos da decisão condenatória, exigindo-se, quando cabível, pedido específico de efeito suspensivo a ser deferido ou não pela autoridade competente. A opção legislativa do Decreto nº 11.129/2022 pela suspensão automática no PAR é, portanto, uma escolha regulatória específica desse regime — e não uma decorrência necessária ou universal do direito administrativo sancionador —, o que reforça a leitura doutrinária já registrada no corpo deste Manual de que essa suspensão automática se justifica pela magnitude potencial da sanção pecuniária e pela complexidade da matéria.</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empresa condenada em PAR interpõe Pedido de Reconsideração tempestivo. Diferentemente do que ocorreria em um processo sancionador conduzido pelo CADE — em que a interposição do recurso cabível não suspenderia automaticamente a exigibilidade da sanção, sendo necessário requerimento específico de efeito suspensivo —, no PAR a simples interposição tempestiva já basta para suspender a obrigação de pagamento da multa, a publicação extraordinária e os registros em cadastros de sanções, até a decisão final sobre o pedido.</w:t>
            </w:r>
          </w:p>
        </w:tc>
      </w:tr>
    </w:tbl>
    <w:p/>
    <w:p>
      <w:pPr>
        <w:pStyle w:val="Heading3"/>
      </w:pPr>
      <w:r>
        <w:t>6.5.3 Fundamentos do Pedido de Reconsideração</w:t>
      </w:r>
    </w:p>
    <w:p>
      <w:r>
        <w:t>O Pedido de Reconsideração pode ser fundamentado em: (i) erros de fato — inexistência do ato lesivo, ausência de nexo causal ou incorreta identificação das condutas; (ii) erros de direito — tipificação inadequada, aplicação equivocada de agravantes ou atenuantes, violação dos limites do art. 25; (iii) nulidades processuais — cerceamento de defesa, ausência de parecer jurídico, incompetência da autoridade; ou (iv) superveniência de fatos novos — documentos ou provas obtidos após o julgamento que, se conhecidos, alterariam o resultado.</w:t>
      </w:r>
    </w:p>
    <w:p>
      <w:r>
        <w:t>No plano estritamente dosimétrico, o Pedido de Reconsideração é a última oportunidade de influenciar o valor da multa dentro da esfera administrativa — por exemplo, apresentando documentos que comprovem devolução espontânea da vantagem auferida (art. 23, II), ou que demonstrem de forma mais robusta a extensão do programa de integridade (art. 23, V).</w:t>
      </w:r>
    </w:p>
    <w:p>
      <w:pPr>
        <w:pStyle w:val="Heading2"/>
      </w:pPr>
      <w:r>
        <w:t>6.6 Cumprimento da Decisão Definitiva</w:t>
      </w:r>
    </w:p>
    <w:p>
      <w:pPr>
        <w:pStyle w:val="Heading3"/>
      </w:pPr>
      <w:r>
        <w:t>6.6.1 Prazo de Cumprimento</w:t>
      </w:r>
    </w:p>
    <w:p>
      <w:r>
        <w:t xml:space="preserve">Confirmada a condenação — seja pela rejeição do Pedido de Reconsideração, seja pelo decurso do prazo sem interposição —, a pessoa jurídica tem o prazo de </w:t>
      </w:r>
      <w:r>
        <w:rPr>
          <w:i/>
        </w:rPr>
        <w:t>trinta dias</w:t>
      </w:r>
      <w:r>
        <w:t xml:space="preserve"> para:</w:t>
      </w:r>
    </w:p>
    <w:p>
      <w:r>
        <w:t xml:space="preserve">(i) Efetuar o </w:t>
      </w:r>
      <w:r>
        <w:rPr>
          <w:i/>
        </w:rPr>
        <w:t>pagamento integral da multa</w:t>
      </w:r>
      <w:r>
        <w:t>; e</w:t>
      </w:r>
    </w:p>
    <w:p>
      <w:r>
        <w:t xml:space="preserve">(ii) </w:t>
      </w:r>
      <w:r>
        <w:rPr>
          <w:i/>
        </w:rPr>
        <w:t>Comprovar a realização da publicação extraordinária</w:t>
      </w:r>
      <w:r>
        <w:t xml:space="preserve"> nos meios, formatos e pelo prazo determinados na decisão condenatória (arts. 24 e 6º, §5º, da LAC).</w:t>
      </w:r>
    </w:p>
    <w:p>
      <w:r>
        <w:t>As duas obrigações são autônomas e concomitantes — o cumprimento de uma não desobriga da outra.</w:t>
      </w:r>
    </w:p>
    <w:p>
      <w:pPr>
        <w:pStyle w:val="Heading3"/>
      </w:pPr>
      <w:r>
        <w:t>6.6.2 Consequências do Inadimplemento</w:t>
      </w:r>
    </w:p>
    <w:p>
      <w:r>
        <w:t xml:space="preserve">O não pagamento da multa no prazo legal enseja a </w:t>
      </w:r>
      <w:r>
        <w:rPr>
          <w:i/>
        </w:rPr>
        <w:t>inscrição em dívida ativa</w:t>
      </w:r>
      <w:r>
        <w:t xml:space="preserve"> e a subsequente </w:t>
      </w:r>
      <w:r>
        <w:rPr>
          <w:i/>
        </w:rPr>
        <w:t>execução fiscal</w:t>
      </w:r>
      <w:r>
        <w:t xml:space="preserve">, nos termos da Lei nº 6.830/1980 (Lei de Execução Fiscal). Adicionalmente, o inadimplemento gera o registro obrigatório nos </w:t>
      </w:r>
      <w:r>
        <w:rPr>
          <w:i/>
        </w:rPr>
        <w:t>cadastros nacionais de sanções</w:t>
      </w:r>
      <w:r>
        <w:t xml:space="preserve"> — CEIS (Cadastro de Empresas Inidôneas e Suspensas) e CNEP (Cadastro Nacional de Empresas Punidas) —, com as consequentes restrições ao direito de licitar, contratar e receber benefícios públicos.</w:t>
      </w:r>
    </w:p>
    <w:p>
      <w:r>
        <w:t>O não cumprimento da obrigação de publicação extraordinária configura, por si só, inadimplemento sancionável — a multa paga não substitui a publicação; são obrigações de natureza distinta, com finalidades próprias.</w:t>
      </w:r>
    </w:p>
    <w:p>
      <w:pPr>
        <w:pStyle w:val="Heading2"/>
      </w:pPr>
      <w:r>
        <w:t>6.7 Controle Judicial da Legalidade</w:t>
      </w:r>
    </w:p>
    <w:p>
      <w:pPr>
        <w:pStyle w:val="Heading3"/>
      </w:pPr>
      <w:r>
        <w:t>6.7.1 Abertura e Limites do Controle</w:t>
      </w:r>
    </w:p>
    <w:p>
      <w:r>
        <w:t>O PAR não exaure o controle da legalidade dos atos sancionadores. A pessoa jurídica condenada pode, a qualquer tempo — inclusive antes do esgotamento da via administrativa —, submeter a questão ao Poder Judiciário. O controle judicial, contudo, tem limites doutrinariamente reconhecidos e jurisprudencialmente delimitados.</w:t>
      </w:r>
    </w:p>
    <w:p>
      <w:r>
        <w:t>A regra geral foi precisamente enunciada na Súmula 665 do STJ: o controle jurisdicional do processo administrativo disciplinar restringe-se ao exame da regularidade do procedimento e da legalidade do ato, à luz dos princípios do contraditório, da ampla defesa e do devido processo legal, não sendo possível incursão no mérito administrativo, ressalvadas as hipóteses de flagrante ilegalidade, teratologia ou manifesta desproporcionalidade da sanção aplicada.</w:t>
      </w:r>
    </w:p>
    <w:p>
      <w:r>
        <w:t>Embora a Súmula 665 se refira a processo administrativo disciplinar, seu núcleo é aplicável ao PAR por analogia sistemática — ambos integram o gênero "processo administrativo sancionador" e estão submetidos às mesmas garantias constitucionais.</w:t>
      </w:r>
    </w:p>
    <w:p>
      <w:pPr>
        <w:pStyle w:val="Heading3"/>
      </w:pPr>
      <w:r>
        <w:t>6.7.2 Hipóteses de Revisão Judicial</w:t>
      </w:r>
    </w:p>
    <w:p>
      <w:r>
        <w:t>O Judiciário pode, portanto, revisar a decisão do PAR nas seguintes hipóteses:</w:t>
      </w:r>
    </w:p>
    <w:p>
      <w:r>
        <w:rPr>
          <w:b/>
        </w:rPr>
        <w:t>a) Vícios formais:</w:t>
      </w:r>
      <w:r>
        <w:t xml:space="preserve"> Cerceamento de defesa (citação inválida, recusa de acesso a provas, omissão no exame de teses defensivas), ausência de parecer jurídico obrigatório, incompetência da autoridade julgadora, violação do prazo de 180 dias sem prorrogação motivada.</w:t>
      </w:r>
    </w:p>
    <w:p>
      <w:r>
        <w:rPr>
          <w:b/>
        </w:rPr>
        <w:t>b) Erro de tipificação:</w:t>
      </w:r>
      <w:r>
        <w:t xml:space="preserve"> Condenação por conduta que não se enquadra em nenhum inciso do art. 5º da LAC — vício de legalidade estrita que o Judiciário pode e deve corrigir.</w:t>
      </w:r>
    </w:p>
    <w:p>
      <w:r>
        <w:rPr>
          <w:b/>
        </w:rPr>
        <w:t>c) Desproporcionalidade manifesta:</w:t>
      </w:r>
      <w:r>
        <w:t xml:space="preserve"> O Judiciário não substitui o gestor público na análise da conveniência, mas tem o dever de anular o ato quando a punição é desproporcional, irracional ou viola o devido processo legal substantivo, pois neste momento a questão deixa de ser de mérito e passa a ser de legalidade.</w:t>
      </w:r>
    </w:p>
    <w:p>
      <w:r>
        <w:rPr>
          <w:b/>
        </w:rPr>
        <w:t>d) Erro de cálculo ou violação dos limites legais:</w:t>
      </w:r>
      <w:r>
        <w:t xml:space="preserve"> Multa inferior à vantagem auferida (violação do art. 25, I), superior ao teto legal do art. 25, II, ou calculada sobre base de cálculo incorreta (exercício errado, exclusões indevidas ou ausentes).</w:t>
      </w:r>
    </w:p>
    <w:p>
      <w:r>
        <w:t>O controle de legalidade realizado pelo Poder Judiciário sobre as penalidades administrativas não está adstrito aos procedimentos adotados, sendo aceito pela jurisprudência que a aplicação de pena administrativa desproporcional e sem o devido respaldo no contexto fático produzido evidencia ilegalidade passível de revisão judicial, sem que isso revele indevida interferência no mérito administrativo do ato.</w:t>
      </w:r>
    </w:p>
    <w:p>
      <w:pPr>
        <w:pStyle w:val="Heading3"/>
      </w:pPr>
      <w:r>
        <w:t>6.7.3 O Que o Judiciário Não Pode Fazer</w:t>
      </w:r>
    </w:p>
    <w:p>
      <w:r>
        <w:t xml:space="preserve">O Judiciário não pode: (i) substituir o juízo administrativo de valoração das provas pela sua própria apreciação do mérito, quando esse juízo foi regularmente exercido pela comissão e pela autoridade competente; (ii) reduzir a multa a patamar que entenda "mais justo" se a dosimetria foi corretamente aplicada dentro dos parâmetros legais; ou (iii) absolver a pessoa jurídica com base em avaliação diferente sobre a gravidade da conduta, quando os fatos estão demonstrados e a tipificação é adequada. Essas hipóteses pertencem ao </w:t>
      </w:r>
      <w:r>
        <w:rPr>
          <w:i/>
        </w:rPr>
        <w:t>mérito administrativo</w:t>
      </w:r>
      <w:r>
        <w:t>, espaço decisório reservado à autoridade competente.</w:t>
      </w:r>
    </w:p>
    <w:p>
      <w:r>
        <w:t>A Calculadora de Multa PAR, ao documentar com transparência cada parâmetro e percentual utilizado na dosimetria, com fundamento legal expresso para cada elemento, reduz significativamente a vulnerabilidade da decisão ao controle judicial por desproporcionalidade, pois torna rastreável e auditável cada escolha metodológica feita pela comissão.</w:t>
      </w:r>
    </w:p>
    <w:p>
      <w:pPr>
        <w:pStyle w:val="Heading3"/>
        <w:spacing w:after="150" w:before="300"/>
      </w:pPr>
      <w:r>
        <w:t xml:space="preserve">6.7.4 Estado da Controvérsia: Extensão da Súmula 665/STJ ao PAR de Pessoas Jurídicas</w:t>
      </w:r>
    </w:p>
    <w:p>
      <w:pPr>
        <w:spacing w:after="80" w:before="120"/>
      </w:pPr>
      <w:r>
        <w:rPr>
          <w:rFonts w:ascii="Calibri" w:cs="Calibri" w:eastAsia="Calibri" w:hAnsi="Calibri"/>
          <w:b/>
          <w:bCs/>
          <w:sz w:val="22"/>
          <w:szCs w:val="22"/>
        </w:rPr>
        <w:t xml:space="preserve">(i) Posição consolidada no Manual</w:t>
      </w:r>
    </w:p>
    <w:p>
      <w:pPr>
        <w:spacing w:after="160" w:line="276"/>
      </w:pPr>
      <w:r>
        <w:rPr>
          <w:rFonts w:ascii="Calibri" w:cs="Calibri" w:eastAsia="Calibri" w:hAnsi="Calibri"/>
          <w:b w:val="false"/>
          <w:bCs w:val="false"/>
          <w:i w:val="false"/>
          <w:iCs w:val="false"/>
          <w:sz w:val="22"/>
          <w:szCs w:val="22"/>
        </w:rPr>
        <w:t xml:space="preserve">Como exposto no item 6.7.1, a Súmula 665 do STJ — originalmente editada no contexto do processo administrativo disciplinar (PAD) de servidores públicos — é aplicada ao PAR por analogia sistemática, sob o fundamento de que ambos integram o gênero “processo administrativo sancionador” e estão submetidos às mesmas garantias constitucionais de contraditório, ampla defesa e devido processo legal, limitando o controle judicial aos vícios de legalidade e às hipóteses de flagrante ilegalidade, teratologia ou desproporcionalidade manifesta.</w:t>
      </w:r>
    </w:p>
    <w:p>
      <w:pPr>
        <w:spacing w:after="80" w:before="120"/>
      </w:pPr>
      <w:r>
        <w:rPr>
          <w:rFonts w:ascii="Calibri" w:cs="Calibri" w:eastAsia="Calibri" w:hAnsi="Calibri"/>
          <w:b/>
          <w:bCs/>
          <w:sz w:val="22"/>
          <w:szCs w:val="22"/>
        </w:rPr>
        <w:t xml:space="preserve">(ii) Posição doutrinária divergente</w:t>
      </w:r>
    </w:p>
    <w:p>
      <w:pPr>
        <w:spacing w:after="160" w:line="276"/>
      </w:pPr>
      <w:r>
        <w:rPr>
          <w:rFonts w:ascii="Calibri" w:cs="Calibri" w:eastAsia="Calibri" w:hAnsi="Calibri"/>
          <w:b w:val="false"/>
          <w:bCs w:val="false"/>
          <w:i w:val="false"/>
          <w:iCs w:val="false"/>
          <w:sz w:val="22"/>
          <w:szCs w:val="22"/>
        </w:rPr>
        <w:t xml:space="preserve">Setores da doutrina de direito administrativo sancionador econômico questionam a perfeição dessa analogia. O PAD de servidores tutela uma relação estatutária entre o Estado e seu agente, com bem jurídico e consequências (advertência, suspensão, demissão) de natureza essencialmente funcional; o PAR, por sua vez, sanciona agentes econômicos privados, com multas que podem atingir dezenas de milhões de reais e efeitos reputacionais e concorrenciais que ultrapassam a esfera da pessoa jurídica processada, aproximando-o, em intensidade de impacto, de regimes sancionadores regulatórios e concorrenciais — como o do CADE — nos quais parte da doutrina defende um padrão de escrutínio judicial mais próximo de um controle de proporcionalidade em sentido estrito (adequação, necessidade e proporcionalidade em sentido estrito da medida), e não apenas do exame de legalidade estrita e de desproporcionalidade manifesta que a Súmula 665 consagra. Em sentido oposto, a doutrina majoritária mantém a deferência ao mérito administrativo como regra estrutural do controle judicial de atos sancionadores em geral, por reserva de competência técnica do órgão especializado e pelo risco de o Judiciário substituir-se ao juízo do administrador especializado em matéria eminentemente técnica.</w:t>
      </w:r>
    </w:p>
    <w:p>
      <w:pPr>
        <w:spacing w:after="80" w:before="120"/>
      </w:pPr>
      <w:r>
        <w:rPr>
          <w:rFonts w:ascii="Calibri" w:cs="Calibri" w:eastAsia="Calibri" w:hAnsi="Calibri"/>
          <w:b/>
          <w:bCs/>
          <w:sz w:val="22"/>
          <w:szCs w:val="22"/>
        </w:rPr>
        <w:t xml:space="preserve">(iii) Precedentes relevantes</w:t>
      </w:r>
    </w:p>
    <w:p>
      <w:pPr>
        <w:spacing w:after="160" w:line="276"/>
      </w:pPr>
      <w:r>
        <w:rPr>
          <w:rFonts w:ascii="Calibri" w:cs="Calibri" w:eastAsia="Calibri" w:hAnsi="Calibri"/>
          <w:b w:val="false"/>
          <w:bCs w:val="false"/>
          <w:i w:val="false"/>
          <w:iCs w:val="false"/>
          <w:sz w:val="22"/>
          <w:szCs w:val="22"/>
        </w:rPr>
        <w:t xml:space="preserve">Não há, até o momento, precedente do STJ que reconheça expressamente um padrão de escrutínio mais intenso para o controle judicial do PAR em comparação com o aplicável ao PAD de servidores — a aplicação por analogia da Súmula 665, tal como descrita no item 6.7.1, permanece a prática predominante identificada na pesquisa jurisprudencial. Mesmo em áreas correlatas de direito sancionador econômico, como o controle judicial das decisões do CADE, a jurisprudência dos tribunais superiores tende a manter postura deferente ao mérito técnico do órgão regulador, o que sugere que a tese doutrinária de escrutínio mais intenso ainda não encontrou tração jurisprudencial consolidada, permanecendo, por ora, uma proposta de lege ferenda ou de interpretação doutrinária avançada, não uma linha jurisprudencial estabelecida.</w:t>
      </w:r>
    </w:p>
    <w:p>
      <w:pPr>
        <w:spacing w:after="80" w:before="120"/>
      </w:pPr>
      <w:r>
        <w:rPr>
          <w:rFonts w:ascii="Calibri" w:cs="Calibri" w:eastAsia="Calibri" w:hAnsi="Calibri"/>
          <w:b/>
          <w:bCs/>
          <w:sz w:val="22"/>
          <w:szCs w:val="22"/>
        </w:rPr>
        <w:t xml:space="preserve">(iv) Impacto prático na dosimetria</w:t>
      </w:r>
    </w:p>
    <w:p>
      <w:pPr>
        <w:spacing w:after="160" w:line="276"/>
      </w:pPr>
      <w:r>
        <w:rPr>
          <w:rFonts w:ascii="Calibri" w:cs="Calibri" w:eastAsia="Calibri" w:hAnsi="Calibri"/>
          <w:b w:val="false"/>
          <w:bCs w:val="false"/>
          <w:i w:val="false"/>
          <w:iCs w:val="false"/>
          <w:sz w:val="22"/>
          <w:szCs w:val="22"/>
        </w:rPr>
        <w:t xml:space="preserve">Independentemente de qual corrente prevaleça no debate doutrinário, a implicação prática para o operador do PAR é convergente: quanto mais explícita, técnica e individualizada for a motivação de cada percentual de agravante e atenuante aplicado — o padrão que a Calculadora de Multa PAR já induz, ao exigir fundamento legal expresso para cada parâmetro —, menor a vulnerabilidade da decisão tanto ao controle judicial deferente da Súmula 665 quanto a um eventual controle mais intenso de proporcionalidade em sentido estrito, caso essa tese doutrinária venha a ganhar acolhida jurisprudencial no futuro.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Duas pessoas jurídicas de porte semelhante praticam atos lesivos de gravidade comparável, mas recebem multas com índices de dosimetria diferentes, sem que a decisão condenatória explicite, de forma individualizada, a razão da diferença de tratamento entre os dois casos. Sob a leitura deferente da Súmula 665, essa diferença dificilmente seria revista judicialmente, salvo demonstração de flagrante desproporcionalidade. Sob a leitura doutrinária mais rigorosa, a ausência de motivação comparativa explícita poderia, por si só, ser apontada como falha de proporcionalidade em sentido estrito. Em ambos os cenários, a prática recomendável para a comissão processante é a mesma: documentar explicitamente, em cada PAR, os elementos fáticos que justificam cada percentual aplicado, independentemente de casos supostamente similares.</w:t>
            </w:r>
          </w:p>
        </w:tc>
      </w:tr>
    </w:tbl>
    <w:p/>
    <w:p>
      <w:pPr>
        <w:pStyle w:val="Heading3"/>
        <w:spacing w:after="150" w:before="300"/>
      </w:pPr>
      <w:r>
        <w:t xml:space="preserve">6.7.5 A Teoria dos Motivos Determinantes como Ferramenta de Controle</w:t>
      </w:r>
    </w:p>
    <w:p>
      <w:pPr>
        <w:spacing w:after="160" w:line="276"/>
      </w:pPr>
      <w:r>
        <w:rPr>
          <w:rFonts w:ascii="Calibri" w:cs="Calibri" w:eastAsia="Calibri" w:hAnsi="Calibri"/>
          <w:b w:val="false"/>
          <w:bCs w:val="false"/>
          <w:i w:val="false"/>
          <w:iCs w:val="false"/>
          <w:sz w:val="22"/>
          <w:szCs w:val="22"/>
        </w:rPr>
        <w:t xml:space="preserve">Complementarmente às hipóteses de revisão judicial já tratadas no item 6.7.2 deste Manual, a doutrina de direito administrativo destaca a teoria dos motivos determinantes como ferramenta relevante de controle da decisão condenatória: uma vez que a autoridade julgadora tenha expressamente fundamentado sua decisão em motivos fáticos específicos — por exemplo, a alegada existência de determinado documento como prova de dolo organizacional, ainda que a responsabilidade seja objetiva e a menção sirva apenas de contexto —, esses motivos passam a vincular a validade do ato: se o motivo indicado se revelar falso, inexistente ou incorretamente interpretado, o ato é anulável por vício de motivação, independentemente de existirem outros fundamentos jurídicos abstratamente suficientes para sustentar a mesma conclusão. A teoria funciona, portanto, como incentivo a que a comissão e a autoridade julgadora fundamentem a decisão apenas nos motivos efetivamente comprovados nos autos, evitando a inclusão de fundamentos ilustrativos ou não essenciais cuja eventual fragilidade probatória possa, por si só, contaminar a validade do ato.</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A decisão condenatória de um PAR menciona, entre os fundamentos da gravidade da conduta, que a pessoa jurídica teria descumprido determinada cláusula contratual específica — fato que, posteriormente, em sede de embargos ou de ação judicial, se comprova inexistente ou equivocadamente interpretado pela comissão. Ainda que outros fundamentos autônomos (a prática do ato lesivo em si, devidamente comprovada) bastassem para sustentar a condenação, a inclusão do motivo equivocado entre os fundamentos expressos da decisão pode, pela teoria dos motivos determinantes, comprometer a validade do ato nesse ponto específico — recomendando-se à comissão que evite incluir, na fundamentação, fatos não plenamente comprovados nos autos, mesmo quando meramente ilustrativos.</w:t>
            </w:r>
          </w:p>
        </w:tc>
      </w:tr>
    </w:tbl>
    <w:p/>
    <w:p>
      <w:pPr>
        <w:pStyle w:val="Heading2"/>
      </w:pPr>
      <w:r>
        <w:t>6.8 Síntese do Fluxo da Fase Decisória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b/>
              </w:rPr>
              <w:t>Etapa</w:t>
            </w:r>
          </w:p>
        </w:tc>
        <w:tc>
          <w:tcPr>
            <w:tcW w:type="dxa" w:w="2160"/>
            <w:shd w:val="clear" w:color="auto" w:fill="D9E2F3"/>
          </w:tcPr>
          <w:p>
            <w:r/>
            <w:r>
              <w:rPr>
                <w:b/>
              </w:rPr>
              <w:t>Ato</w:t>
            </w:r>
          </w:p>
        </w:tc>
        <w:tc>
          <w:tcPr>
            <w:tcW w:type="dxa" w:w="2160"/>
            <w:shd w:val="clear" w:color="auto" w:fill="D9E2F3"/>
          </w:tcPr>
          <w:p>
            <w:r/>
            <w:r>
              <w:rPr>
                <w:b/>
              </w:rPr>
              <w:t>Prazo</w:t>
            </w:r>
          </w:p>
        </w:tc>
        <w:tc>
          <w:tcPr>
            <w:tcW w:type="dxa" w:w="2160"/>
            <w:shd w:val="clear" w:color="auto" w:fill="D9E2F3"/>
          </w:tcPr>
          <w:p>
            <w:r/>
            <w:r>
              <w:rPr>
                <w:b/>
              </w:rPr>
              <w:t>Efeito</w:t>
            </w:r>
          </w:p>
        </w:tc>
      </w:tr>
      <w:tr>
        <w:tc>
          <w:tcPr>
            <w:tcW w:type="dxa" w:w="2160"/>
          </w:tcPr>
          <w:p>
            <w:r/>
            <w:r>
              <w:t>Alegações Finais</w:t>
            </w:r>
          </w:p>
        </w:tc>
        <w:tc>
          <w:tcPr>
            <w:tcW w:type="dxa" w:w="2160"/>
          </w:tcPr>
          <w:p>
            <w:r/>
            <w:r>
              <w:t>Manifestação da PJ sobre provas produzidas</w:t>
            </w:r>
          </w:p>
        </w:tc>
        <w:tc>
          <w:tcPr>
            <w:tcW w:type="dxa" w:w="2160"/>
          </w:tcPr>
          <w:p>
            <w:r/>
            <w:r>
              <w:t>10 dias da intimação</w:t>
            </w:r>
          </w:p>
        </w:tc>
        <w:tc>
          <w:tcPr>
            <w:tcW w:type="dxa" w:w="2160"/>
          </w:tcPr>
          <w:p>
            <w:r/>
            <w:r>
              <w:t>Marco dosimétrico da admissão voluntária</w:t>
            </w:r>
          </w:p>
        </w:tc>
      </w:tr>
      <w:tr>
        <w:tc>
          <w:tcPr>
            <w:tcW w:type="dxa" w:w="2160"/>
          </w:tcPr>
          <w:p>
            <w:r/>
            <w:r>
              <w:t>Relatório Final</w:t>
            </w:r>
          </w:p>
        </w:tc>
        <w:tc>
          <w:tcPr>
            <w:tcW w:type="dxa" w:w="2160"/>
          </w:tcPr>
          <w:p>
            <w:r/>
            <w:r>
              <w:t>Proposta da comissão: fatos + dosimetria + publicação</w:t>
            </w:r>
          </w:p>
        </w:tc>
        <w:tc>
          <w:tcPr>
            <w:tcW w:type="dxa" w:w="2160"/>
          </w:tcPr>
          <w:p>
            <w:r/>
            <w:r>
              <w:t>Dentro dos 180 dias totais</w:t>
            </w:r>
          </w:p>
        </w:tc>
        <w:tc>
          <w:tcPr>
            <w:tcW w:type="dxa" w:w="2160"/>
          </w:tcPr>
          <w:p>
            <w:r/>
            <w:r>
              <w:t>Propositivo — não vincula o julgador</w:t>
            </w:r>
          </w:p>
        </w:tc>
      </w:tr>
      <w:tr>
        <w:tc>
          <w:tcPr>
            <w:tcW w:type="dxa" w:w="2160"/>
          </w:tcPr>
          <w:p>
            <w:r/>
            <w:r>
              <w:t>Parecer Jurídico</w:t>
            </w:r>
          </w:p>
        </w:tc>
        <w:tc>
          <w:tcPr>
            <w:tcW w:type="dxa" w:w="2160"/>
          </w:tcPr>
          <w:p>
            <w:r/>
            <w:r>
              <w:t>Controle de legalidade pela Advocacia Pública</w:t>
            </w:r>
          </w:p>
        </w:tc>
        <w:tc>
          <w:tcPr>
            <w:tcW w:type="dxa" w:w="2160"/>
          </w:tcPr>
          <w:p>
            <w:r/>
            <w:r>
              <w:t>—</w:t>
            </w:r>
          </w:p>
        </w:tc>
        <w:tc>
          <w:tcPr>
            <w:tcW w:type="dxa" w:w="2160"/>
          </w:tcPr>
          <w:p>
            <w:r/>
            <w:r>
              <w:t>Condição de validade do ato decisório</w:t>
            </w:r>
          </w:p>
        </w:tc>
      </w:tr>
      <w:tr>
        <w:tc>
          <w:tcPr>
            <w:tcW w:type="dxa" w:w="2160"/>
          </w:tcPr>
          <w:p>
            <w:r/>
            <w:r>
              <w:t>Decisão Condenatória</w:t>
            </w:r>
          </w:p>
        </w:tc>
        <w:tc>
          <w:tcPr>
            <w:tcW w:type="dxa" w:w="2160"/>
          </w:tcPr>
          <w:p>
            <w:r/>
            <w:r>
              <w:t>Ato da autoridade competente</w:t>
            </w:r>
          </w:p>
        </w:tc>
        <w:tc>
          <w:tcPr>
            <w:tcW w:type="dxa" w:w="2160"/>
          </w:tcPr>
          <w:p>
            <w:r/>
            <w:r>
              <w:t>—</w:t>
            </w:r>
          </w:p>
        </w:tc>
        <w:tc>
          <w:tcPr>
            <w:tcW w:type="dxa" w:w="2160"/>
          </w:tcPr>
          <w:p>
            <w:r/>
            <w:r>
              <w:t>Sanção administrativa definitiva (até o recurso)</w:t>
            </w:r>
          </w:p>
        </w:tc>
      </w:tr>
      <w:tr>
        <w:tc>
          <w:tcPr>
            <w:tcW w:type="dxa" w:w="2160"/>
          </w:tcPr>
          <w:p>
            <w:r/>
            <w:r>
              <w:t>Publicação no DOU</w:t>
            </w:r>
          </w:p>
        </w:tc>
        <w:tc>
          <w:tcPr>
            <w:tcW w:type="dxa" w:w="2160"/>
          </w:tcPr>
          <w:p>
            <w:r/>
            <w:r>
              <w:t>Publicação da decisão</w:t>
            </w:r>
          </w:p>
        </w:tc>
        <w:tc>
          <w:tcPr>
            <w:tcW w:type="dxa" w:w="2160"/>
          </w:tcPr>
          <w:p>
            <w:r/>
            <w:r>
              <w:t>—</w:t>
            </w:r>
          </w:p>
        </w:tc>
        <w:tc>
          <w:tcPr>
            <w:tcW w:type="dxa" w:w="2160"/>
          </w:tcPr>
          <w:p>
            <w:r/>
            <w:r>
              <w:t>Inicia o prazo recursal de 10 dias</w:t>
            </w:r>
          </w:p>
        </w:tc>
      </w:tr>
      <w:tr>
        <w:tc>
          <w:tcPr>
            <w:tcW w:type="dxa" w:w="2160"/>
          </w:tcPr>
          <w:p>
            <w:r/>
            <w:r>
              <w:t>Pedido de Reconsideração</w:t>
            </w:r>
          </w:p>
        </w:tc>
        <w:tc>
          <w:tcPr>
            <w:tcW w:type="dxa" w:w="2160"/>
          </w:tcPr>
          <w:p>
            <w:r/>
            <w:r>
              <w:t>Recurso à mesma autoridade</w:t>
            </w:r>
          </w:p>
        </w:tc>
        <w:tc>
          <w:tcPr>
            <w:tcW w:type="dxa" w:w="2160"/>
          </w:tcPr>
          <w:p>
            <w:r/>
            <w:r>
              <w:t>10 dias da publicação</w:t>
            </w:r>
          </w:p>
        </w:tc>
        <w:tc>
          <w:tcPr>
            <w:tcW w:type="dxa" w:w="2160"/>
          </w:tcPr>
          <w:p>
            <w:r/>
            <w:r>
              <w:t>Efeito suspensivo automático</w:t>
            </w:r>
          </w:p>
        </w:tc>
      </w:tr>
      <w:tr>
        <w:tc>
          <w:tcPr>
            <w:tcW w:type="dxa" w:w="2160"/>
          </w:tcPr>
          <w:p>
            <w:r/>
            <w:r>
              <w:t>Decisão do Recurso</w:t>
            </w:r>
          </w:p>
        </w:tc>
        <w:tc>
          <w:tcPr>
            <w:tcW w:type="dxa" w:w="2160"/>
          </w:tcPr>
          <w:p>
            <w:r/>
            <w:r>
              <w:t>Julgamento do pedido de reconsideração</w:t>
            </w:r>
          </w:p>
        </w:tc>
        <w:tc>
          <w:tcPr>
            <w:tcW w:type="dxa" w:w="2160"/>
          </w:tcPr>
          <w:p>
            <w:r/>
            <w:r>
              <w:t>—</w:t>
            </w:r>
          </w:p>
        </w:tc>
        <w:tc>
          <w:tcPr>
            <w:tcW w:type="dxa" w:w="2160"/>
          </w:tcPr>
          <w:p>
            <w:r/>
            <w:r>
              <w:t>Decisão definitiva na esfera administrativa</w:t>
            </w:r>
          </w:p>
        </w:tc>
      </w:tr>
      <w:tr>
        <w:tc>
          <w:tcPr>
            <w:tcW w:type="dxa" w:w="2160"/>
          </w:tcPr>
          <w:p>
            <w:r/>
            <w:r>
              <w:t>Cumprimento</w:t>
            </w:r>
          </w:p>
        </w:tc>
        <w:tc>
          <w:tcPr>
            <w:tcW w:type="dxa" w:w="2160"/>
          </w:tcPr>
          <w:p>
            <w:r/>
            <w:r>
              <w:t>Pagamento da multa + publicação extraordinária</w:t>
            </w:r>
          </w:p>
        </w:tc>
        <w:tc>
          <w:tcPr>
            <w:tcW w:type="dxa" w:w="2160"/>
          </w:tcPr>
          <w:p>
            <w:r/>
            <w:r>
              <w:t>30 dias da decisão definitiva</w:t>
            </w:r>
          </w:p>
        </w:tc>
        <w:tc>
          <w:tcPr>
            <w:tcW w:type="dxa" w:w="2160"/>
          </w:tcPr>
          <w:p>
            <w:r/>
            <w:r>
              <w:t>Extinção da obrigação; registro nos cadastros</w:t>
            </w:r>
          </w:p>
        </w:tc>
      </w:tr>
      <w:tr>
        <w:tc>
          <w:tcPr>
            <w:tcW w:type="dxa" w:w="2160"/>
          </w:tcPr>
          <w:p>
            <w:r/>
            <w:r>
              <w:t>Inadimplemento</w:t>
            </w:r>
          </w:p>
        </w:tc>
        <w:tc>
          <w:tcPr>
            <w:tcW w:type="dxa" w:w="2160"/>
          </w:tcPr>
          <w:p>
            <w:r/>
            <w:r>
              <w:t>Execução fiscal + cadastros de sanções</w:t>
            </w:r>
          </w:p>
        </w:tc>
        <w:tc>
          <w:tcPr>
            <w:tcW w:type="dxa" w:w="2160"/>
          </w:tcPr>
          <w:p>
            <w:r/>
            <w:r>
              <w:t>—</w:t>
            </w:r>
          </w:p>
        </w:tc>
        <w:tc>
          <w:tcPr>
            <w:tcW w:type="dxa" w:w="2160"/>
          </w:tcPr>
          <w:p>
            <w:r/>
            <w:r>
              <w:t>CEIS, CNEP, DAU</w:t>
            </w:r>
          </w:p>
        </w:tc>
      </w:tr>
    </w:tbl>
    <w:p/>
    <w:p>
      <w:pPr>
        <w:pStyle w:val="Heading1"/>
        <w:pageBreakBefore/>
      </w:pPr>
      <w:r>
        <w:t>7. PRESCRIÇÃO</w:t>
      </w:r>
    </w:p>
    <w:p>
      <w:r>
        <w:t>A prescrição administrativa sancionatória é a resposta do ordenamento a uma tensão inerente ao poder punitivo do Estado: o interesse público em responsabilizar condutas lesivas não pode conviver, indefinidamente, com a insegurança jurídica de uma pessoa jurídica que permanece exposta a sanção por tempo ilimitado. Trata-se de manifestação, no plano do direito administrativo sancionador, do mesmo princípio que rege a prescrição em outros ramos do direito: a inércia do titular da pretensão, mantida além de um prazo razoável, extingue o próprio direito de exercê-la.</w:t>
      </w:r>
    </w:p>
    <w:p>
      <w:r>
        <w:t>Para o operador do PAR, a prescrição não é uma cláusula de estilo a ser verificada apenas no juízo de admissibilidade. É um requisito de validade que pode se consumar em qualquer momento da tramitação — inclusive depois de instaurado o processo, se sobrevier paralisação indevida — e cuja aferição incorreta compromete a legalidade de toda a sanção aplicada.</w:t>
      </w:r>
    </w:p>
    <w:p>
      <w:pPr>
        <w:pStyle w:val="Heading2"/>
      </w:pPr>
      <w:r>
        <w:t>7.1 Prazo e Termo Inicial</w:t>
      </w:r>
    </w:p>
    <w:p>
      <w:r>
        <w:t>O art. 25 da Lei nº 12.846/2013 fixa o prazo prescricional em 5 (cinco) anos, contados "da data da ciência da infração ou, no caso de infração permanente ou continuada, do dia em que tiver cessado". A norma, portanto, distingue três situações possíveis quanto à natureza da conduta:</w:t>
      </w:r>
    </w:p>
    <w:p>
      <w:r>
        <w:t>- Infração instantânea — o ato lesivo se esgota num único momento (ex.: pagamento de propina isolado). O prazo corre da data em que a Administração toma ciência do fato. - Infração permanente — a consumação se prolonga no tempo por vontade do agente, que pode cessá-la a qualquer momento (ex.: manutenção de estrutura fraudulenta permanentemente ativa). O prazo só começa a correr quando a conduta cessa. - Infração continuada — uma sucessão de atos da mesma espécie, unidos por identidade de desígnio, tratados como infração única para fins prescricionais. O prazo também corre da cessação do último ato do conjunto.</w:t>
      </w:r>
    </w:p>
    <w:p>
      <w:r>
        <w:t>Um ponto merece destaque prático: quando a Administração toma ciência do fato antes de a infração permanente ou continuada ter cessado, o termo inicial não retrocede para a data da ciência — desloca-se para a data da efetiva cessação da conduta. A razão é teleológica: se a infração ainda está em curso, não há sentido em iniciar a contagem de um prazo extintivo enquanto o dano ao interesse público continua a se produzir.</w:t>
      </w:r>
    </w:p>
    <w:p>
      <w:r>
        <w:t>Exemplo: uma empresa mantém, desde março de 2020, um esquema de pagamentos irregulares a agente público para garantir renovações contratuais sucessivas. A CGU tem ciência do esquema em outubro de 2023, mas a conduta só é interrompida pela própria empresa em janeiro de 2024. O termo inicial da prescrição não é outubro de 2023 (ciência) — é janeiro de 2024 (cessação), porque a infração ainda estava em curso quando a Administração dela tomou conhecimento.</w:t>
      </w:r>
    </w:p>
    <w:p>
      <w:pPr>
        <w:pStyle w:val="Heading2"/>
      </w:pPr>
      <w:r>
        <w:t>7.2 A Configuração da Ciência da Infração</w:t>
      </w:r>
    </w:p>
    <w:p>
      <w:r>
        <w:t>A lei não define o que conta como "ciência" para fins de deflagração do prazo. A doutrina majoritária e a prática consolidada apontam que ciência, aqui, não se confunde com mera suspeita ou notícia genérica — exige-se um grau mínimo de conhecimento dos elementos de autoria e materialidade suficiente para viabilizar a instauração de apuração. Notícia vaga veiculada pela imprensa, denúncia anônima sem qualquer lastro probatório, ou boato interno sem verificação não configuram, por si só, o marco de ciência apto a iniciar a contagem prescricional — o prazo só começa quando a autoridade competente reúne elementos mínimos que permitam reconhecer, com razoável segurança, a ocorrência do ilícito.</w:t>
      </w:r>
    </w:p>
    <w:p>
      <w:pPr>
        <w:pStyle w:val="Heading2"/>
      </w:pPr>
      <w:r>
        <w:t>7.3 Interrupção e Suspensão</w:t>
      </w:r>
    </w:p>
    <w:p>
      <w:r>
        <w:t>Interrupção e suspensão produzem efeitos distintos sobre a contagem do prazo, e a distinção é relevante o suficiente para justificar tratamento separado:</w:t>
      </w:r>
    </w:p>
    <w:p>
      <w:r>
        <w:t>- Interrupção zera o prazo já decorrido e reinicia a contagem integral de 5 anos a partir do marco interruptivo. - Suspensão paralisa a contagem no ponto em que se encontra, sem descartar o tempo já transcorrido — quando cessa a causa suspensiva, o prazo retoma de onde parou.</w:t>
      </w:r>
    </w:p>
    <w:p>
      <w:r>
        <w:t>A legislação de regência (Lei nº 12.846/2013, Decreto nº 11.129/2022 e, subsidiariamente, Lei nº 13.140/2015) prevê os seguintes marcos: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Efeito</w:t>
            </w:r>
          </w:p>
        </w:tc>
        <w:tc>
          <w:tcPr>
            <w:tcW w:type="dxa" w:w="2880"/>
            <w:shd w:val="clear" w:color="auto" w:fill="D9E2F3"/>
          </w:tcPr>
          <w:p>
            <w:r/>
            <w:r>
              <w:rPr>
                <w:b/>
              </w:rPr>
              <w:t>Marco</w:t>
            </w:r>
          </w:p>
        </w:tc>
        <w:tc>
          <w:tcPr>
            <w:tcW w:type="dxa" w:w="2880"/>
            <w:shd w:val="clear" w:color="auto" w:fill="D9E2F3"/>
          </w:tcPr>
          <w:p>
            <w:r/>
            <w:r>
              <w:rPr>
                <w:b/>
              </w:rPr>
              <w:t>Fundamento</w:t>
            </w:r>
          </w:p>
        </w:tc>
      </w:tr>
      <w:tr>
        <w:tc>
          <w:tcPr>
            <w:tcW w:type="dxa" w:w="2880"/>
          </w:tcPr>
          <w:p>
            <w:r/>
            <w:r>
              <w:t>Interrupção</w:t>
            </w:r>
          </w:p>
        </w:tc>
        <w:tc>
          <w:tcPr>
            <w:tcW w:type="dxa" w:w="2880"/>
          </w:tcPr>
          <w:p>
            <w:r/>
            <w:r>
              <w:t>Instauração do PAR (publicação da portaria)</w:t>
            </w:r>
          </w:p>
        </w:tc>
        <w:tc>
          <w:tcPr>
            <w:tcW w:type="dxa" w:w="2880"/>
          </w:tcPr>
          <w:p>
            <w:r/>
            <w:r>
              <w:t>Art. 25, parágrafo único, LAC</w:t>
            </w:r>
          </w:p>
        </w:tc>
      </w:tr>
      <w:tr>
        <w:tc>
          <w:tcPr>
            <w:tcW w:type="dxa" w:w="2880"/>
          </w:tcPr>
          <w:p>
            <w:r/>
            <w:r>
              <w:t>Interrupção</w:t>
            </w:r>
          </w:p>
        </w:tc>
        <w:tc>
          <w:tcPr>
            <w:tcW w:type="dxa" w:w="2880"/>
          </w:tcPr>
          <w:p>
            <w:r/>
            <w:r>
              <w:t>Propositura de ação judicial com base na LAC</w:t>
            </w:r>
          </w:p>
        </w:tc>
        <w:tc>
          <w:tcPr>
            <w:tcW w:type="dxa" w:w="2880"/>
          </w:tcPr>
          <w:p>
            <w:r/>
            <w:r>
              <w:t>Art. 25, parágrafo único, LAC</w:t>
            </w:r>
          </w:p>
        </w:tc>
      </w:tr>
      <w:tr>
        <w:tc>
          <w:tcPr>
            <w:tcW w:type="dxa" w:w="2880"/>
          </w:tcPr>
          <w:p>
            <w:r/>
            <w:r>
              <w:t>Interrupção</w:t>
            </w:r>
          </w:p>
        </w:tc>
        <w:tc>
          <w:tcPr>
            <w:tcW w:type="dxa" w:w="2880"/>
          </w:tcPr>
          <w:p>
            <w:r/>
            <w:r>
              <w:t>Assinatura do Memorando de Entendimentos (leniência)</w:t>
            </w:r>
          </w:p>
        </w:tc>
        <w:tc>
          <w:tcPr>
            <w:tcW w:type="dxa" w:w="2880"/>
          </w:tcPr>
          <w:p>
            <w:r/>
            <w:r>
              <w:t>Art. 38, §3º, I, Decreto nº 11.129/2022</w:t>
            </w:r>
          </w:p>
        </w:tc>
      </w:tr>
      <w:tr>
        <w:tc>
          <w:tcPr>
            <w:tcW w:type="dxa" w:w="2880"/>
          </w:tcPr>
          <w:p>
            <w:r/>
            <w:r>
              <w:t>Interrupção</w:t>
            </w:r>
          </w:p>
        </w:tc>
        <w:tc>
          <w:tcPr>
            <w:tcW w:type="dxa" w:w="2880"/>
          </w:tcPr>
          <w:p>
            <w:r/>
            <w:r>
              <w:t>Celebração do Acordo de Leniência</w:t>
            </w:r>
          </w:p>
        </w:tc>
        <w:tc>
          <w:tcPr>
            <w:tcW w:type="dxa" w:w="2880"/>
          </w:tcPr>
          <w:p>
            <w:r/>
            <w:r>
              <w:t>Art. 16, §9º, LAC</w:t>
            </w:r>
          </w:p>
        </w:tc>
      </w:tr>
      <w:tr>
        <w:tc>
          <w:tcPr>
            <w:tcW w:type="dxa" w:w="2880"/>
          </w:tcPr>
          <w:p>
            <w:r/>
            <w:r>
              <w:t>Suspensão</w:t>
            </w:r>
          </w:p>
        </w:tc>
        <w:tc>
          <w:tcPr>
            <w:tcW w:type="dxa" w:w="2880"/>
          </w:tcPr>
          <w:p>
            <w:r/>
            <w:r>
              <w:t>Negociação do Memorando de Entendimentos, limitada a 360 dias</w:t>
            </w:r>
          </w:p>
        </w:tc>
        <w:tc>
          <w:tcPr>
            <w:tcW w:type="dxa" w:w="2880"/>
          </w:tcPr>
          <w:p>
            <w:r/>
            <w:r>
              <w:t>Art. 38, §3º, Decreto nº 11.129/2022</w:t>
            </w:r>
          </w:p>
        </w:tc>
      </w:tr>
      <w:tr>
        <w:tc>
          <w:tcPr>
            <w:tcW w:type="dxa" w:w="2880"/>
          </w:tcPr>
          <w:p>
            <w:r/>
            <w:r>
              <w:t>Suspensão</w:t>
            </w:r>
          </w:p>
        </w:tc>
        <w:tc>
          <w:tcPr>
            <w:tcW w:type="dxa" w:w="2880"/>
          </w:tcPr>
          <w:p>
            <w:r/>
            <w:r>
              <w:t>Vigência do Acordo de Leniência, até cumprimento ou rescisão</w:t>
            </w:r>
          </w:p>
        </w:tc>
        <w:tc>
          <w:tcPr>
            <w:tcW w:type="dxa" w:w="2880"/>
          </w:tcPr>
          <w:p>
            <w:r/>
            <w:r>
              <w:t>Art. 34, Lei nº 13.140/2015 c/c art. 49, Decreto nº 11.129/2022</w:t>
            </w:r>
          </w:p>
        </w:tc>
      </w:tr>
      <w:tr>
        <w:tc>
          <w:tcPr>
            <w:tcW w:type="dxa" w:w="2880"/>
          </w:tcPr>
          <w:p>
            <w:r/>
            <w:r>
              <w:t>Suspensão</w:t>
            </w:r>
          </w:p>
        </w:tc>
        <w:tc>
          <w:tcPr>
            <w:tcW w:type="dxa" w:w="2880"/>
          </w:tcPr>
          <w:p>
            <w:r/>
            <w:r>
              <w:t>Negociação de Termo de Compromisso, limitada a 360 dias</w:t>
            </w:r>
          </w:p>
        </w:tc>
        <w:tc>
          <w:tcPr>
            <w:tcW w:type="dxa" w:w="2880"/>
          </w:tcPr>
          <w:p>
            <w:r/>
            <w:r>
              <w:t>Portaria Normativa CGU nº 155/2024</w:t>
            </w:r>
          </w:p>
        </w:tc>
      </w:tr>
    </w:tbl>
    <w:p/>
    <w:p>
      <w:r>
        <w:t>Um detalhe operacional importante: a mera instauração de investigação preliminar ou investigação preliminar sumária — fases anteriores à instauração formal do PAR — não interrompe a prescrição, por ausência de previsão legal nesse sentido. Só a portaria de instauração do processo produz esse efeito. Isso significa que a fase de apuração preliminar consome o prazo prescricional sem suspendê-lo, o que reforça a importância de célere condução dessa etapa.</w:t>
      </w:r>
    </w:p>
    <w:p>
      <w:r>
        <w:t>Exemplo de aplicação combinada: o Memorando de Entendimentos de uma negociação de leniência é assinado em 10/06/2024 (interrompe e suspende). Se a negociação durar 90 dias e não resultar em acordo, a prescrição volta a correr em 08/09/2024, com novo prazo de 5 anos a contar da interrupção original (10/06/2024) — ou seja, prescreverá, em princípio, em 10/06/2029, ressalvada nova causa interruptiva. Já se a negociação se estender por mais de 360 dias, a suspensão se esgota nesse limite, independentemente de as tratativas continuarem.</w:t>
      </w:r>
    </w:p>
    <w:p>
      <w:pPr>
        <w:pStyle w:val="Heading2"/>
      </w:pPr>
      <w:r>
        <w:t>7.4 Prescrição Intercorrente — Estado da Controvérsia</w:t>
      </w:r>
    </w:p>
    <w:p>
      <w:pPr>
        <w:pStyle w:val="IntenseQuote"/>
      </w:pPr>
      <w:r>
        <w:t>Ponto de divergência doutrinária. A Lei nº 12.846/2013 não prevê expressamente a prescrição intercorrente — isto é, a extinção da pretensão punitiva pela paralisação do processo já instaurado, por inércia da Administração, durante prazo determinado. A posição institucional da CGU defende a aplicação analógica da Lei nº 9.873/1999 (que rege a prescrição da ação punitiva da Administração Pública Federal no exercício do poder de polícia), cujo art. 1º, §1º, prevê prescrição intercorrente quando o processo permanece paralisado por mais de três anos, pendente de julgamento ou despacho. O fundamento é principiológico: segurança jurídica, eficiência administrativa e vedação à eternização de processos sancionadores. Essa aplicação analógica, contudo, não é unânime. Argumenta-se, em sentido contrário, que (i) a analogia em matéria de prescrição — instituto que extingue pretensão punitiva estatal — deveria ser interpretada restritivamente, por afetar diretamente o interesse público primário; e que (ii) o silêncio do legislador da LAC quanto à prescrição intercorrente pode ser lido como opção deliberada, e não como lacuna a ser suprida. Para o operador do PAR, a implicação prática é dupla: de um lado, convém adotar a posição da CGU como parâmetro de gestão processual — nenhum PAR deveria ficar paralisado por mais de três anos sem impulso; de outro, em eventual contencioso, a tese de inexistência de prescrição intercorrente na LAC pode ser sustentada pela Administração, já que não há vinculação jurisprudencial pacificada em sentido contrário.</w:t>
      </w:r>
    </w:p>
    <w:p>
      <w:pPr>
        <w:pStyle w:val="Heading2"/>
      </w:pPr>
      <w:r>
        <w:t>7.5 Síntese para o Operador</w:t>
      </w:r>
    </w:p>
    <w:p>
      <w:r>
        <w:t>Antes de qualquer ato decisório no PAR, três verificações são obrigatórias: (i) identificar a natureza da infração (instantânea, permanente ou continuada) para fixar corretamente o termo inicial; (ii) mapear, na linha do tempo do processo, todos os marcos interruptivos e suspensivos incidentes, somando ou descontando os respectivos períodos; (iii) monitorar a movimentação processual para evitar paralisação superior a três anos, adotando-se a cautela da tese majoritária sobre prescrição intercorrente.</w:t>
      </w:r>
    </w:p>
    <w:p>
      <w:pPr>
        <w:pStyle w:val="Heading1"/>
        <w:pageBreakBefore/>
      </w:pPr>
      <w:r>
        <w:t>8. EXECUÇÃO DA MULTA</w:t>
      </w:r>
    </w:p>
    <w:p>
      <w:r>
        <w:t>A decisão condenatória proferida no PAR não é, por si só, título capaz de constranger o patrimônio da pessoa jurídica sancionada. Entre a sanção administrativa definitiva e a satisfação efetiva do crédito público existe um percurso jurídico próprio — que se inicia no direito administrativo e, em caso de inadimplemento, migra para o direito processual da execução fiscal. Compreender esse percurso é indispensável para o operador do PAR, porque decisões tecnicamente corretas na dosimetria podem se tornar inúteis se a fase de cumprimento for mal conduzida.</w:t>
      </w:r>
    </w:p>
    <w:p>
      <w:pPr>
        <w:pStyle w:val="Heading2"/>
      </w:pPr>
      <w:r>
        <w:t>8.1 Da Decisão Definitiva ao Vencimento da Obrigação</w:t>
      </w:r>
    </w:p>
    <w:p>
      <w:r>
        <w:t>Publicada a decisão administrativa sancionadora no Diário Oficial da União, abre-se prazo de 10 dias para pedido de reconsideração, dotado de efeito suspensivo automático (art. 15, Decreto nº 11.129/2022). Não havendo recurso, ou definitivamente julgado este, a pessoa jurídica dispõe de 30 dias, contados do término do prazo recursal ou da publicação da decisão do recurso, para recolher integralmente o valor da multa (art. 29, caput, Decreto nº 11.129/2022). Trata-se de prazo de natureza decadencial para o exercício da faculdade de pagamento espontâneo — seu decurso sem quitação transforma o crédito, até então uma obrigação em aberto, em débito sujeito aos mecanismos de cobrança coercitiva do Estado.</w:t>
      </w:r>
    </w:p>
    <w:p>
      <w:pPr>
        <w:pStyle w:val="Heading2"/>
      </w:pPr>
      <w:r>
        <w:t>8.2 Inscrição em Dívida Ativa: Natureza e Requisitos</w:t>
      </w:r>
    </w:p>
    <w:p>
      <w:r>
        <w:t>Vencido o prazo sem pagamento integral, o órgão sancionador está obrigado a encaminhar o débito para inscrição em Dívida Ativa da União — ato vinculado, não discricionário (art. 29, §2º, Decreto nº 11.129/2022). A inscrição em dívida ativa não é mera formalidade contábil: é o ato que confere ao crédito público as presunções de certeza e liquidez (art. 3º, Lei nº 6.830/1980), transformando-o em título executivo extrajudicial apto a fundamentar execução fiscal.</w:t>
      </w:r>
    </w:p>
    <w:p>
      <w:r>
        <w:t>Cinco requisitos devem estar presentes para que a inscrição seja válida, decorrentes da disciplina geral da Lei nº 6.830/1980 e da regulamentação da Procuradoria-Geral da Fazenda Nacional sobre encaminhamento de débitos por órgãos públicos:</w:t>
      </w:r>
    </w:p>
    <w:p>
      <w:r>
        <w:t>1. Prazo de encaminhamento — o débito deve ser remetido à PGFN em até 90 dias contados do término do prazo de recolhimento, sob pena de responsabilização funcional do dirigente omisso (art. 22, caput, Decreto-lei nº 147/1967);</w:t>
      </w:r>
    </w:p>
    <w:p>
      <w:pPr>
        <w:pStyle w:val="Heading1"/>
      </w:pPr>
      <w:r>
        <w:t>2. Certeza — identificação precisa dos sujeitos, do vínculo jurídico e da prestação devida;</w:t>
      </w:r>
    </w:p>
    <w:p>
      <w:pPr>
        <w:pStyle w:val="Heading1"/>
      </w:pPr>
      <w:r>
        <w:t>3. Liquidez — apresentação do valor consolidado, já incluída a atualização monetária e os acréscimos moratórios (tratados no item 8.3, adiante);</w:t>
      </w:r>
    </w:p>
    <w:p>
      <w:r>
        <w:t>4. Notificação prévia — no caso do PAR, esse requisito já se considera satisfeito pela própria publicação da decisão condenatória no DOU e pela ciência conferida à pessoa jurídica ao longo do rito recursal;</w:t>
      </w:r>
    </w:p>
    <w:p>
      <w:pPr>
        <w:pStyle w:val="Heading1"/>
      </w:pPr>
      <w:r>
        <w:t>5. Valor mínimo — atualmente fixado em R$ 1.000,00 para fins de inscrição.</w:t>
      </w:r>
    </w:p>
    <w:p>
      <w:pPr>
        <w:pStyle w:val="Heading2"/>
      </w:pPr>
      <w:r>
        <w:t>8.3 Atualização do Débito: Selic e Multa de Mora</w:t>
      </w:r>
    </w:p>
    <w:p>
      <w:r>
        <w:t>O valor original da multa não é o valor efetivamente cobrado após o vencimento. Incidem, cumulativamente, dois acréscimos:</w:t>
      </w:r>
    </w:p>
    <w:p>
      <w:r>
        <w:t>- Correção pela taxa Selic, a partir do primeiro dia do mês subsequente ao vencimento, com base no regime do art. 84, I, §8º, da Lei nº 8.981/1995 c/c art. 13 da Lei nº 9.065/1995. A Selic, nesse regime, incorpora tanto correção monetária quanto juros de mora — por isso não se aplica cumulativamente com outro índice de correção. - Multa de mora, escalonada conforme o tempo decorrido até o pagamento (art. 84, II, §8º, Lei nº 8.981/1995): 10% se pago no mês do vencimento, 20% se pago no mês seguinte, 30% a partir do segundo mês subsequente.</w:t>
      </w:r>
    </w:p>
    <w:p>
      <w:pPr>
        <w:pStyle w:val="Heading2"/>
      </w:pPr>
      <w:r>
        <w:t>8.4 A Execução Fiscal</w:t>
      </w:r>
    </w:p>
    <w:p>
      <w:r>
        <w:t>Inscrito o débito, a cobrança judicial segue o rito da Lei nº 6.830/1980. A Certidão de Dívida Ativa (CDA) — extraída a partir do termo de inscrição — é o título executivo que instrui a petição inicial da execução fiscal, ajuizada pela PGFN perante a Justiça Federal. A pessoa jurídica executada dispõe de dois instrumentos principais de defesa: os embargos à execução, cabíveis após garantia do juízo, com cognição ampla sobre a legalidade e o mérito da cobrança; e a exceção de pré-executividade, admitida pela jurisprudência para questões de ordem pública cognoscíveis de ofício (ex.: prescrição consumada, nulidade da CDA por vício formal), sem necessidade de garantia prévia.</w:t>
      </w:r>
    </w:p>
    <w:p>
      <w:r>
        <w:t>Importa reforçar que a defesa cabível na execução fiscal não reabre a discussão sobre o mérito da dosimetria já decidido no PAR — isso porque a Súmula 665 do STJ (já tratada no capítulo sobre controle judicial) restringe a revisão judicial aos vícios de legalidade e às hipóteses de desproporcionalidade manifesta. A execução fiscal discute o crédito enquanto título, não a justiça da sanção que o originou.</w:t>
      </w:r>
    </w:p>
    <w:p>
      <w:pPr>
        <w:pStyle w:val="Heading2"/>
      </w:pPr>
      <w:r>
        <w:t>8.5 Parcelamento</w:t>
      </w:r>
    </w:p>
    <w:p>
      <w:r>
        <w:t>A LAC e o Decreto nº 11.129/2022 não disciplinam regime específico de parcelamento para a multa do PAR. Aplica-se, portanto, o regime geral de parcelamento de débitos inscritos em dívida ativa da União, disciplinado pela Lei nº 10.522/2002 e por normas infralegais da PGFN — o que significa que a pessoa jurídica pode requerer parcelamento administrativo do débito já inscrito, segundo as condições, prazos e percentuais de entrada vigentes para débitos não tributários em geral, sem que a LAC crie regramento próprio mais favorável ou mais restritivo.</w:t>
      </w:r>
    </w:p>
    <w:p>
      <w:pPr>
        <w:pStyle w:val="Heading2"/>
      </w:pPr>
      <w:r>
        <w:t>8.6 Efeitos sobre os Cadastros de Sanções</w:t>
      </w:r>
    </w:p>
    <w:p>
      <w:r>
        <w:t>O inadimplemento, total ou parcial, mantém o registro da pessoa jurídica no CNEP (Cadastro Nacional de Empresas Punidas) até quitação integral e atualizada do débito. A exclusão do registro de multa no CNEP só ocorre com o pagamento integral — pagamento parcial ou adesão a parcelamento não geram baixa do cadastro, apenas atualização do valor pendente. Esse é um ponto de atenção prática relevante: a pessoa jurídica que parcela a dívida permanece publicamente listada como punida até a quitação final, o que tem efeito reputacional e prático (restrições a licitar e contratar) independente da regularidade do parcelamento perante a Fazenda.</w:t>
      </w:r>
    </w:p>
    <w:p>
      <w:pPr>
        <w:pStyle w:val="Heading2"/>
      </w:pPr>
      <w:r>
        <w:t>8.7 Prescrição da Pretensão Executória</w:t>
      </w:r>
    </w:p>
    <w:p>
      <w:r>
        <w:t>Vale distinguir esse instituto da prescrição tratada no capítulo anterior. Aquela — a prescrição administrativa do art. 25 da LAC — extingue o poder-dever de a Administração apurar e sancionar. Esta, a prescrição da pretensão executória, incide sobre o poder de cobrar judicialmente um crédito já definitivamente constituído, e segue o regime geral aplicável à cobrança de créditos não tributários da Fazenda Pública — em regra, prazo quinquenal, contado da constituição definitiva do crédito (isto é, do esgotamento da via administrativa, quando a decisão condenatória se torna inatacável). Tratam-se de institutos sucessivos e autônomos: a prescrição do art. 25 pode nunca ter se consumado, e ainda assim sobrevir prescrição executória, se a Administração constituir o crédito e depois se mantiver inerte quanto à cobrança judicial.</w:t>
      </w:r>
    </w:p>
    <w:p>
      <w:pPr>
        <w:pStyle w:val="Heading2"/>
      </w:pPr>
      <w:r>
        <w:t>8.8 Síntese para o Operador</w:t>
      </w:r>
    </w:p>
    <w:p>
      <w:r>
        <w:t>O ciclo de execução da multa tem três marcos de atenção operacional: (i) o prazo de 30 dias para pagamento espontâneo, cujo decurso é o gatilho para todo o fluxo subsequente; (ii) o prazo de 90 dias para encaminhamento à PGFN, cujo descumprimento gera responsabilidade funcional; e (iii) a manutenção do registro no CNEP como consequência autônoma do inadimplemento, que não se resolve pela mera adesão a parcelamento, apenas pela quitação integral.</w:t>
      </w:r>
    </w:p>
    <w:p>
      <w:pPr>
        <w:pStyle w:val="Heading2"/>
        <w:spacing w:after="150" w:before="300"/>
      </w:pPr>
      <w:r>
        <w:t xml:space="preserve">8.9 A Execução da Multa como Etapa Autônoma de Gestão de Risco</w:t>
      </w:r>
    </w:p>
    <w:p>
      <w:pPr>
        <w:spacing w:after="160" w:line="276"/>
      </w:pPr>
      <w:r>
        <w:rPr>
          <w:rFonts w:ascii="Calibri" w:cs="Calibri" w:eastAsia="Calibri" w:hAnsi="Calibri"/>
          <w:b w:val="false"/>
          <w:bCs w:val="false"/>
          <w:i w:val="false"/>
          <w:iCs w:val="false"/>
          <w:sz w:val="22"/>
          <w:szCs w:val="22"/>
        </w:rPr>
        <w:t xml:space="preserve">A doutrina de direito tributário e de execução fiscal aplicada ao PAR destaca que a fase de execução da multa, tratada neste Manual como decorrência quase automática do trânsito em julgado administrativo, é, na prática das Procuradorias, uma etapa autônoma de gestão de risco de recuperação de crédito — sujeita a critérios próprios de priorização, que nem sempre acompanham a gravidade da conduta original. A Lei nº 13.606/2018 e as normas infralegais da PGFN autorizam a classificação dos créditos inscritos em dívida ativa por grau de recuperabilidade (A, B, C ou D), com base em critérios como o tempo de inscrição, a existência de garantias, o histórico de pagamento e a situação patrimonial do devedor — classificação que pode direcionar créditos de baixa recuperabilidade a rito de cobrança simplificado, em vez do ajuizamento imediato de execução fiscal plena.</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multa do PAR de valor elevado é inscrita em dívida ativa contra pessoa jurídica que, entre a condenação e a inscrição, já havia encerrado suas atividades operacionais e não possui bens penhoráveis identificados. A PGFN pode classificar esse crédito como de baixa recuperabilidade, adotando rito de cobrança simplificado em vez do ajuizamento imediato de execução fiscal plena — o que não afeta a validade da sanção administrativa, mas explica, na prática, por que o tempo entre a condenação definitiva e a efetiva satisfação do crédito pode variar significativamente entre processos de dosimetria semelhante.</w:t>
            </w:r>
          </w:p>
        </w:tc>
      </w:tr>
    </w:tbl>
    <w:p/>
    <w:p>
      <w:pPr>
        <w:pStyle w:val="Heading1"/>
        <w:pageBreakBefore/>
      </w:pPr>
      <w:r>
        <w:t>9. ACORDO DE LENIÊNCIA E CADASTROS DE SANÇÕES</w:t>
      </w:r>
    </w:p>
    <w:p>
      <w:r>
        <w:rPr>
          <w:b/>
        </w:rPr>
        <w:t>Introdução</w:t>
      </w:r>
    </w:p>
    <w:p>
      <w:r>
        <w:t xml:space="preserve">O acordo de leniência é o segundo instrumento central da Lei nº 12.846/2013, ao lado do PAR. Enquanto o PAR é o instrumento de persecução — o Estado investiga, acusa e sanciona a pessoa jurídica —, o acordo de leniência é o instrumento de </w:t>
      </w:r>
      <w:r>
        <w:rPr>
          <w:i/>
        </w:rPr>
        <w:t>justiça consensual</w:t>
      </w:r>
      <w:r>
        <w:t>: a pessoa jurídica colabora ativamente com a apuração do ilícito em troca da redução ou isenção de sanções. Os dois mecanismos são funcionalmente complementares e, na prática dos grandes esquemas de corrupção, frequentemente coexistem ou se sucedem no tempo.</w:t>
      </w:r>
    </w:p>
    <w:p>
      <w:r>
        <w:t>A compreensão do acordo de leniência é indispensável ao operador da Calculadora de Multa PAR por razões diretas: (i) a celebração do acordo influencia o agravante de reincidência do art. 22, V, cujo prazo de contagem é distinto nos casos de leniência; e (ii) o acordo, quando em curso ou já celebrado, pode suspender ou substituir o PAR instaurado para os mesmos fatos, alterando o fluxo processual previsto no item 5 deste Manual.</w:t>
      </w:r>
    </w:p>
    <w:p>
      <w:pPr>
        <w:pStyle w:val="Heading2"/>
      </w:pPr>
      <w:r>
        <w:t>9.1 Conceito e Natureza Jurídica</w:t>
      </w:r>
    </w:p>
    <w:p>
      <w:r>
        <w:t xml:space="preserve">O acordo de leniência é um </w:t>
      </w:r>
      <w:r>
        <w:rPr>
          <w:i/>
        </w:rPr>
        <w:t>negócio jurídico de natureza administrativa</w:t>
      </w:r>
      <w:r>
        <w:t>, celebrado entre a autoridade pública competente e a pessoa jurídica responsável por atos lesivos à administração pública, pelo qual a empresa se compromete a colaborar efetivamente com as investigações e o processo administrativo em troca de benefícios sancionatórios expressamente previstos em lei.</w:t>
      </w:r>
    </w:p>
    <w:p>
      <w:r>
        <w:t xml:space="preserve">Sua natureza jurídica distingue-o de outros instrumentos consensuais do direito brasileiro. Não é uma transação civil — porque as sanções administrativas não são, em princípio, disponíveis pela administração fora dos limites legais. Não é uma delação premiada — porque esta é instituto do direito penal, dirigido a pessoas físicas, e pressupõe reconhecimento de culpabilidade individual. O acordo de leniência da LAC é um instrumento </w:t>
      </w:r>
      <w:r>
        <w:rPr>
          <w:i/>
        </w:rPr>
        <w:t>sui generis</w:t>
      </w:r>
      <w:r>
        <w:t xml:space="preserve"> do direito administrativo sancionador, que preserva a responsabilidade objetiva da pessoa jurídica (a empresa admite a infração) enquanto permite à autoridade negociar as sanções dentro dos limites estabelecidos pela lei.</w:t>
      </w:r>
    </w:p>
    <w:p>
      <w:r>
        <w:t xml:space="preserve">O Decreto nº 11.129/2022 estabelece que o acordo de leniência constitui </w:t>
      </w:r>
      <w:r>
        <w:rPr>
          <w:i/>
        </w:rPr>
        <w:t>título executivo extrajudicial</w:t>
      </w:r>
      <w:r>
        <w:t>, o que garante segurança jurídica às obrigações nele pactuadas e facilita a execução de eventuais inadimplementos sem necessidade de ação de conhecimento prévia.</w:t>
      </w:r>
    </w:p>
    <w:p>
      <w:pPr>
        <w:pStyle w:val="Heading2"/>
      </w:pPr>
      <w:r>
        <w:t>9.2 Competência para Celebração</w:t>
      </w:r>
    </w:p>
    <w:p>
      <w:pPr>
        <w:pStyle w:val="Heading3"/>
      </w:pPr>
      <w:r>
        <w:t>9.2.1 Regra Geral</w:t>
      </w:r>
    </w:p>
    <w:p>
      <w:r>
        <w:t xml:space="preserve">O </w:t>
      </w:r>
      <w:r>
        <w:rPr>
          <w:i/>
        </w:rPr>
        <w:t>caput</w:t>
      </w:r>
      <w:r>
        <w:t xml:space="preserve"> do art. 16 da Lei nº 12.846/2013 atribui a competência para celebrar o acordo de leniência à </w:t>
      </w:r>
      <w:r>
        <w:rPr>
          <w:i/>
        </w:rPr>
        <w:t>autoridade máxima</w:t>
      </w:r>
      <w:r>
        <w:t xml:space="preserve"> de cada órgão ou entidade pública. Essa é a regra geral — aplicável aos órgãos estaduais e municipais que instaurem seus próprios PARs com base na LAC.</w:t>
      </w:r>
    </w:p>
    <w:p>
      <w:pPr>
        <w:pStyle w:val="Heading3"/>
      </w:pPr>
      <w:r>
        <w:t>9.2.2 Competência Exclusiva da CGU no Âmbito Federal</w:t>
      </w:r>
    </w:p>
    <w:p>
      <w:r>
        <w:t xml:space="preserve">No âmbito do Poder Executivo Federal, a competência é </w:t>
      </w:r>
      <w:r>
        <w:rPr>
          <w:i/>
        </w:rPr>
        <w:t>exclusiva da Controladoria-Geral da União (CGU)</w:t>
      </w:r>
      <w:r>
        <w:t>, nos termos do art. 16, §10, da LAC: a Controladoria-Geral da União é o órgão competente para celebrar os acordos de leniência no âmbito do Poder Executivo federal, bem como no caso de atos lesivos praticados contra a administração pública estrangeira.</w:t>
      </w:r>
    </w:p>
    <w:p>
      <w:r>
        <w:t>Essa exclusividade tem consequência processual relevante para os PARs instaurados por outros órgãos do Executivo Federal: quando uma empresa investigada por PAR em outro órgão (como a Receita Federal) manifesta interesse em celebrar acordo de leniência pelos mesmos fatos, o processo deve ser coordenado com a CGU — que detém a competência exclusiva para negociar e celebrar o acordo, podendo avocar o PAR.</w:t>
      </w:r>
    </w:p>
    <w:p>
      <w:r>
        <w:t>Conforme previsto na Lei Anticorrupção, a Controladoria-Geral da União detém competência exclusiva para celebrar acordos de leniência com empresas investigadas pela prática de atos lesivos no âmbito do Poder Executivo Federal e contra a administração pública estrangeira.</w:t>
      </w:r>
    </w:p>
    <w:p>
      <w:pPr>
        <w:pStyle w:val="Heading3"/>
      </w:pPr>
      <w:r>
        <w:t>9.2.3 A Coordenação Institucional: CGU, AGU e MPF</w:t>
      </w:r>
    </w:p>
    <w:p>
      <w:r>
        <w:t>A prática dos acordos de leniência nos grandes esquemas de corrupção envolveu, historicamente, tensões de competência entre a CGU, a Advocacia-Geral da União (AGU) e o Ministério Público Federal (MPF) — este último com competência para celebrar acordos de leniência no âmbito penal (delações premiadas) que frequentemente se sobrepunham factualmente aos acordos administrativos. Em 25 de abril de 2025, a CGU, a AGU e o MPF assinaram um Acordo de Cooperação Técnica voltado a formalizar a atuação coordenada dos três órgãos na negociação e celebração de acordos de leniência previstos na Lei Anticorrupção, encerrando um ciclo de mais de uma década marcado por conflitos de competência, duplicidade de negociações e instabilidade jurídica que comprometeram a efetividade do principal mecanismo consensual de responsabilização de pessoas jurídicas por atos de corrupção no Brasil.</w:t>
      </w:r>
    </w:p>
    <w:p>
      <w:pPr>
        <w:pStyle w:val="Heading2"/>
      </w:pPr>
      <w:r>
        <w:t>9.3 Requisitos Cumulativos para Celebração (Art. 16, §1º)</w:t>
      </w:r>
    </w:p>
    <w:p>
      <w:r>
        <w:t xml:space="preserve">O acordo de leniência é um benefício — não um direito subjetivo da pessoa jurídica. Sua celebração pressupõe o preenchimento </w:t>
      </w:r>
      <w:r>
        <w:rPr>
          <w:i/>
        </w:rPr>
        <w:t>cumulativo</w:t>
      </w:r>
      <w:r>
        <w:t xml:space="preserve"> de todos os requisitos previstos no art. 16, §1º, da LAC. A ausência de qualquer um deles impede a celebração do acordo.</w:t>
      </w:r>
    </w:p>
    <w:p>
      <w:pPr>
        <w:pStyle w:val="Heading3"/>
      </w:pPr>
      <w:r>
        <w:t>9.3.1 Precedência: Ser a Primeira a Manifestar Interesse (Inciso I)</w:t>
      </w:r>
    </w:p>
    <w:p>
      <w:r>
        <w:t xml:space="preserve">A pessoa jurídica deve ser a </w:t>
      </w:r>
      <w:r>
        <w:rPr>
          <w:i/>
        </w:rPr>
        <w:t>primeira</w:t>
      </w:r>
      <w:r>
        <w:t xml:space="preserve"> a manifestar interesse em cooperar para a apuração do ato ilícito. Esse requisito tem natureza concorrencial: se duas empresas investigadas pelo mesmo esquema manifestam interesse simultâneo, apenas a que se antecipou preenche o critério. Empresas que chegam depois perdem a preferência — e, consequentemente, o acesso ao acordo de leniência na sua forma plena, podendo eventualmente ser contempladas apenas com reduções parciais baseadas em colaboração posterior.</w:t>
      </w:r>
    </w:p>
    <w:p>
      <w:r>
        <w:t>A expressão "quando couber" constante do caput do art. 16 flexibiliza o requisito de precedência em situações específicas: quando a infração investigada envolver apenas uma pessoa jurídica (não há concorrência), ou quando o ilícito decorrer de decisão de natureza unilateral. Nesses casos, a manifestação de interesse primeiro deixa de ser critério eliminatório e passa a ser elemento de aferição da voluntariedade da colaboração.</w:t>
      </w:r>
    </w:p>
    <w:p>
      <w:pPr>
        <w:pStyle w:val="Heading3"/>
      </w:pPr>
      <w:r>
        <w:t>9.3.2 Cessação Completa do Envolvimento (Inciso II)</w:t>
      </w:r>
    </w:p>
    <w:p>
      <w:r>
        <w:t xml:space="preserve">A empresa deve </w:t>
      </w:r>
      <w:r>
        <w:rPr>
          <w:i/>
        </w:rPr>
        <w:t>cessar completamente</w:t>
      </w:r>
      <w:r>
        <w:t xml:space="preserve"> seu envolvimento na infração investigada a partir da data de propositura do acordo. Não se admite colaboração parcial com manutenção de qualquer forma de participação no esquema ilícito. O descumprimento superveniente desse requisito — descoberta de que a empresa continuou praticando os atos lesivos durante a negociação — é causa de resolução do acordo e de vedação à celebração de novo acordo pelo prazo de três anos.</w:t>
      </w:r>
    </w:p>
    <w:p>
      <w:pPr>
        <w:pStyle w:val="Heading3"/>
      </w:pPr>
      <w:r>
        <w:t>9.3.3 Admissão Integral da Responsabilidade e Cooperação Plena (Inciso III)</w:t>
      </w:r>
    </w:p>
    <w:p>
      <w:r>
        <w:t xml:space="preserve">A empresa deve </w:t>
      </w:r>
      <w:r>
        <w:rPr>
          <w:i/>
        </w:rPr>
        <w:t>admitir sua participação no ilícito</w:t>
      </w:r>
      <w:r>
        <w:t xml:space="preserve"> e cooperar </w:t>
      </w:r>
      <w:r>
        <w:rPr>
          <w:i/>
        </w:rPr>
        <w:t>plena e permanentemente</w:t>
      </w:r>
      <w:r>
        <w:t xml:space="preserve"> com as investigações e o processo administrativo. A admissão exigida pela LAC é a admissão da </w:t>
      </w:r>
      <w:r>
        <w:rPr>
          <w:i/>
        </w:rPr>
        <w:t>responsabilidade objetiva</w:t>
      </w:r>
      <w:r>
        <w:t xml:space="preserve"> — não o reconhecimento de elementos subjetivos (dolo ou culpa), que a lei não requer. A cooperação plena inclui: comparecimento às convocações da autoridade; entrega integral de documentos, dados e informações; abstenção de omitir, alterar ou destruir provas; e manutenção da boa-fé durante toda a negociação e execução do acordo.</w:t>
      </w:r>
    </w:p>
    <w:p>
      <w:r>
        <w:t xml:space="preserve">⚠ </w:t>
      </w:r>
      <w:r>
        <w:rPr>
          <w:b/>
        </w:rPr>
        <w:t>Tensão processual entre leniência e PAR:</w:t>
      </w:r>
      <w:r>
        <w:t xml:space="preserve"> A CGU reconheceu em seus documentos internos a dificuldade de uma empresa que, simultaneamente, negocia um acordo de leniência — no qual admite o ilícito e colabora — e responde a um PAR — no qual exerce contraditório e nega os fatos. A CGU não vê justificativa para que uma empresa, ao mesmo tempo, no âmbito da negociação de um acordo de leniência, reconheça o ilícito e colabore com a investigação, e, no âmbito do PAR, preste depoimento no qual negue o ilícito e atue em contraditório para evitar uma punição. Quando o acordo de leniência é admitido à negociação, o PAR relativo aos mesmos fatos pode ser suspenso pelo Corregedor-Geral da União, até a conclusão ou insucesso das tratativas.</w:t>
      </w:r>
    </w:p>
    <w:p>
      <w:pPr>
        <w:pStyle w:val="Heading2"/>
      </w:pPr>
      <w:r>
        <w:t>9.4 O Procedimento de Negociação</w:t>
      </w:r>
    </w:p>
    <w:p>
      <w:r>
        <w:t>A proposta de acordo de leniência deve ser dirigida por escrito à Diretoria de Acordos de Leniência da CGU, quando envolver atos lesivos ao Poder Executivo Federal ou à administração pública estrangeira. O procedimento estabelecido pelo Decreto nº 11.129/2022 contempla as seguintes fases:</w:t>
      </w:r>
    </w:p>
    <w:p>
      <w:r>
        <w:rPr>
          <w:b/>
        </w:rPr>
        <w:t>a) Juízo de admissibilidade:</w:t>
      </w:r>
      <w:r>
        <w:t xml:space="preserve"> A CGU verifica, preliminarmente, se os requisitos cumulativos estão presentes e se a proposta tem potencial de gerar benefício investigativo real.</w:t>
      </w:r>
    </w:p>
    <w:p>
      <w:r>
        <w:rPr>
          <w:b/>
        </w:rPr>
        <w:t>b) Memorando de Entendimentos (</w:t>
      </w:r>
      <w:r>
        <w:rPr>
          <w:b/>
        </w:rPr>
        <w:t>MoU</w:t>
      </w:r>
      <w:r>
        <w:rPr>
          <w:b/>
        </w:rPr>
        <w:t>):</w:t>
      </w:r>
      <w:r>
        <w:t xml:space="preserve"> Admitida a proposta, celebra-se um Memorando de Entendimentos entre a pessoa jurídica, a CGU e a AGU. A assinatura do memorando de entendimentos interrompe a prescrição e mantém seu prazo suspenso durante a negociação, pelo prazo máximo de 360 dias.</w:t>
      </w:r>
    </w:p>
    <w:p>
      <w:r>
        <w:rPr>
          <w:b/>
        </w:rPr>
        <w:t xml:space="preserve">c) Negociação e </w:t>
      </w:r>
      <w:r>
        <w:rPr>
          <w:b/>
        </w:rPr>
        <w:t>due</w:t>
      </w:r>
      <w:r>
        <w:rPr>
          <w:b/>
        </w:rPr>
        <w:t xml:space="preserve"> </w:t>
      </w:r>
      <w:r>
        <w:rPr>
          <w:b/>
        </w:rPr>
        <w:t>diligence</w:t>
      </w:r>
      <w:r>
        <w:rPr>
          <w:b/>
        </w:rPr>
        <w:t>:</w:t>
      </w:r>
      <w:r>
        <w:t xml:space="preserve"> Durante a negociação, a empresa entrega documentos, presta declarações e apresenta as informações prometidas. Os documentos e informações comercialmente sensíveis são mantidos sob sigilo durante a negociação e após a celebração do acordo, para proteger a atividade empresarial da leniente.</w:t>
      </w:r>
    </w:p>
    <w:p>
      <w:r>
        <w:rPr>
          <w:b/>
        </w:rPr>
        <w:t>d) Celebração formal:</w:t>
      </w:r>
      <w:r>
        <w:t xml:space="preserve"> Concluída a negociação, celebra-se o acordo de leniência — instrumento escrito, assinado pelas autoridades competentes e pela empresa —, que é título executivo extrajudicial.</w:t>
      </w:r>
    </w:p>
    <w:p>
      <w:r>
        <w:rPr>
          <w:b/>
        </w:rPr>
        <w:t>e) Publicidade:</w:t>
      </w:r>
      <w:r>
        <w:t xml:space="preserve"> A proposta de acordo de leniência somente se tornará pública após a efetivação do respectivo acordo, salvo no interesse das investigações e do processo administrativo. A proposta de acordo rejeitada não importará em reconhecimento da prática do ato ilícito investigado.</w:t>
      </w:r>
    </w:p>
    <w:p>
      <w:pPr>
        <w:pStyle w:val="Heading2"/>
      </w:pPr>
      <w:r>
        <w:t>9.5 Benefícios do Acordo de Leniência</w:t>
      </w:r>
    </w:p>
    <w:p>
      <w:r>
        <w:t>O art. 16, §2º, da LAC e o Decreto nº 11.129/2022 estabelecem os benefícios que podem ser concedidos à empresa leniente, em função do grau de colaboração efetiva:</w:t>
      </w:r>
    </w:p>
    <w:p>
      <w:r>
        <w:rPr>
          <w:b/>
        </w:rPr>
        <w:t>a) Redução de até 2/3 do valor da multa aplicável:</w:t>
      </w:r>
      <w:r>
        <w:t xml:space="preserve"> O percentual de redução é dosado em função de três critérios: (i) a tempestividade da autodenúncia, a relevância e o ineditismo dos elementos probatórios apresentados; (ii) a efetividade da colaboração da pessoa jurídica; e (iii) o compromisso de assumir condições relevantes para o cumprimento do acordo. Não há um percentual mínimo fixo — a redução pode ser de qualquer valor entre zero e 2/3, conforme a avaliação da autoridade negociadora.</w:t>
      </w:r>
    </w:p>
    <w:p>
      <w:r>
        <w:rPr>
          <w:b/>
        </w:rPr>
        <w:t>b) Isenção da publicação extraordinária da decisão condenatória:</w:t>
      </w:r>
      <w:r>
        <w:t xml:space="preserve"> A empresa leniente que cumpre integralmente o acordo fica isenta da sanção de publicação extraordinária — a penalidade de natureza reputacional prevista no art. 6º, II, da LAC.</w:t>
      </w:r>
    </w:p>
    <w:p>
      <w:r>
        <w:rPr>
          <w:b/>
        </w:rPr>
        <w:t>c) Isenção das sanções restritivas de direito:</w:t>
      </w:r>
      <w:r>
        <w:t xml:space="preserve"> A empresa fica isenta da proibição de receber incentivos, subsídios, subvenções, doações ou empréstimos de órgãos ou entidades públicas e de instituições financeiras públicas ou controladas pelo poder público (art. 19, IV, da LAC).</w:t>
      </w:r>
    </w:p>
    <w:p>
      <w:r>
        <w:rPr>
          <w:b/>
        </w:rPr>
        <w:t>d) Isenção da inidoneidade:</w:t>
      </w:r>
      <w:r>
        <w:t xml:space="preserve"> A empresa não fica sujeita à declaração de inidoneidade prevista em outras legislações de controle, desde que cumprido integralmente o acordo.</w:t>
      </w:r>
    </w:p>
    <w:p>
      <w:r>
        <w:t xml:space="preserve">⚠ </w:t>
      </w:r>
      <w:r>
        <w:rPr>
          <w:b/>
        </w:rPr>
        <w:t>O acordo não exime da reparação integral:</w:t>
      </w:r>
      <w:r>
        <w:t xml:space="preserve"> O art. 16, §3º, da LAC é expresso: </w:t>
      </w:r>
      <w:r>
        <w:rPr>
          <w:i/>
        </w:rPr>
        <w:t>"O acordo de leniência não exime a pessoa jurídica da obrigação de reparar integralmente o dano causado."</w:t>
      </w:r>
      <w:r>
        <w:t xml:space="preserve"> Os benefícios do acordo são exclusivamente sancionatórios — reduzem ou isentam as </w:t>
      </w:r>
      <w:r>
        <w:rPr>
          <w:i/>
        </w:rPr>
        <w:t>penas</w:t>
      </w:r>
      <w:r>
        <w:t xml:space="preserve"> da lei, mas não substituem a obrigação civil de ressarcir integralmente o erário pelos prejuízos causados.</w:t>
      </w:r>
    </w:p>
    <w:p>
      <w:pPr>
        <w:pStyle w:val="Heading3"/>
        <w:spacing w:after="150" w:before="300"/>
      </w:pPr>
      <w:r>
        <w:t xml:space="preserve">9.5.3 Estado da Controvérsia: Tensão entre o Incentivo à Autodenúncia e a Proporcionalidade da Sanção Residual</w:t>
      </w:r>
    </w:p>
    <w:p>
      <w:pPr>
        <w:spacing w:after="80" w:before="120"/>
      </w:pPr>
      <w:r>
        <w:rPr>
          <w:rFonts w:ascii="Calibri" w:cs="Calibri" w:eastAsia="Calibri" w:hAnsi="Calibri"/>
          <w:b/>
          <w:bCs/>
          <w:sz w:val="22"/>
          <w:szCs w:val="22"/>
        </w:rPr>
        <w:t xml:space="preserve">(i) Posição da CGU / regime legal</w:t>
      </w:r>
    </w:p>
    <w:p>
      <w:pPr>
        <w:spacing w:after="160" w:line="276"/>
      </w:pPr>
      <w:r>
        <w:rPr>
          <w:rFonts w:ascii="Calibri" w:cs="Calibri" w:eastAsia="Calibri" w:hAnsi="Calibri"/>
          <w:b w:val="false"/>
          <w:bCs w:val="false"/>
          <w:i w:val="false"/>
          <w:iCs w:val="false"/>
          <w:sz w:val="22"/>
          <w:szCs w:val="22"/>
        </w:rPr>
        <w:t xml:space="preserve">O regime de leniência da LAC oferece, no limite, redução de até 2/3 do valor da multa, isenção da publicação extraordinária e de sanções restritivas de direito específicas — mas não prevê, em nenhuma hipótese, isenção total da multa administrativa, nem imunidade às sanções civis do art. 19 da LAC (perdimento de bens, suspensão de atividades, dissolução compulsória), que permanecem, ao menos em tese, exigíveis mesmo da empresa leniente que cumpriu integralmente o acordo administrativo. A Portaria Normativa Interministerial CGU/AGU nº 1/2025 fortaleceu os incentivos à autodenúncia ao introduzir o mecanismo do marker — reserva de prioridade e de benefícios enquanto a empresa conclui sua investigação interna —, mas manteve o teto de 2/3 como limite máximo de redução da multa administrativa.</w:t>
      </w:r>
    </w:p>
    <w:p>
      <w:pPr>
        <w:spacing w:after="80" w:before="120"/>
      </w:pPr>
      <w:r>
        <w:rPr>
          <w:rFonts w:ascii="Calibri" w:cs="Calibri" w:eastAsia="Calibri" w:hAnsi="Calibri"/>
          <w:b/>
          <w:bCs/>
          <w:sz w:val="22"/>
          <w:szCs w:val="22"/>
        </w:rPr>
        <w:t xml:space="preserve">(ii) Posição doutrinária divergente</w:t>
      </w:r>
    </w:p>
    <w:p>
      <w:pPr>
        <w:spacing w:after="160" w:line="276"/>
      </w:pPr>
      <w:r>
        <w:rPr>
          <w:rFonts w:ascii="Calibri" w:cs="Calibri" w:eastAsia="Calibri" w:hAnsi="Calibri"/>
          <w:b w:val="false"/>
          <w:bCs w:val="false"/>
          <w:i w:val="false"/>
          <w:iCs w:val="false"/>
          <w:sz w:val="22"/>
          <w:szCs w:val="22"/>
        </w:rPr>
        <w:t xml:space="preserve">Setores da doutrina de direito administrativo sancionador e de direito concorrencial apontam uma assimetria estrutural entre o regime de leniência da LAC e o da Lei de Defesa da Concorrência (Lei nº 12.529/2011): esta última prevê, para o primeiro proponente que se apresente antes de a autoridade dispor de indícios suficientes da infração, isenção integral da sanção administrativa — não apenas redução —, além de assegurar expressamente, em texto legal, que a pena do colaborador não será superior à menor pena aplicada aos demais coautores da infração. A LAC não contempla nenhuma dessas duas garantias: nunca isenta integralmente a multa, não distingue expressamente entre leniência prévia (antes de qualquer investigação) e leniência tardia (quando a investigação já está em curso) para fins de generosidade do benefício, e é silente quanto à garantia de que o leniente receberá o tratamento mais favorável entre todos os envolvidos no mesmo fato. Essa lacuna, argumenta a doutrina crítica, enfraquece estruturalmente o incentivo à autodenúncia: a racionalidade econômica da colaboração premiada pressupõe que o benefício ofertado ao primeiro colaborador seja significativamente superior ao risco de permanecer em silêncio e apostar na não detecção — e um teto de 2/3 sobre uma multa que, por si só, pode não refletir a real dimensão econômica da vantagem obtida, combinado com a manutenção de exposição a sanções civis potencialmente mais gravosas que a própria multa (como a dissolução compulsória), pode não ser suficiente para superar esse cálculo de risco na perspectiva da pessoa jurídica. Em sentido oposto, argumenta-se que a proporcionalidade da sanção residual — a garantia de que mesmo o colaborador mais efetivo continue a sofrer alguma consequência pecuniária relevante — é o que preserva a função dissuasória geral da lei e evita que o instituto da leniência se converta em salvo-conduto antecipado para a prática de atos lesivos, o que reforça a legitimidade social do sistema de responsabilização perante terceiros não colaboradores.</w:t>
      </w:r>
    </w:p>
    <w:p>
      <w:pPr>
        <w:spacing w:after="80" w:before="120"/>
      </w:pPr>
      <w:r>
        <w:rPr>
          <w:rFonts w:ascii="Calibri" w:cs="Calibri" w:eastAsia="Calibri" w:hAnsi="Calibri"/>
          <w:b/>
          <w:bCs/>
          <w:sz w:val="22"/>
          <w:szCs w:val="22"/>
        </w:rPr>
        <w:t xml:space="preserve">(iii) Precedentes relevantes</w:t>
      </w:r>
    </w:p>
    <w:p>
      <w:pPr>
        <w:spacing w:after="160" w:line="276"/>
      </w:pPr>
      <w:r>
        <w:rPr>
          <w:rFonts w:ascii="Calibri" w:cs="Calibri" w:eastAsia="Calibri" w:hAnsi="Calibri"/>
          <w:b w:val="false"/>
          <w:bCs w:val="false"/>
          <w:i w:val="false"/>
          <w:iCs w:val="false"/>
          <w:sz w:val="22"/>
          <w:szCs w:val="22"/>
        </w:rPr>
        <w:t xml:space="preserve">Não foram identificados precedentes judiciais que tenham examinado diretamente a proporcionalidade do teto de 2/3 de redução previsto na LAC, nem decisões que tenham reconhecido, por construção pretoriana, um direito a isenção total análogo ao do regime concorrencial. A crítica permanece, até o momento, doutrinária e comparativa, apoiada primordialmente na diferença de tratamento entre os dois microssistemas — antitruste e anticorrupção —, sem que se possa afirmar a existência de posição jurisprudencial consolidada em qualquer sentido.</w:t>
      </w:r>
    </w:p>
    <w:p>
      <w:pPr>
        <w:spacing w:after="80" w:before="120"/>
      </w:pPr>
      <w:r>
        <w:rPr>
          <w:rFonts w:ascii="Calibri" w:cs="Calibri" w:eastAsia="Calibri" w:hAnsi="Calibri"/>
          <w:b/>
          <w:bCs/>
          <w:sz w:val="22"/>
          <w:szCs w:val="22"/>
        </w:rPr>
        <w:t xml:space="preserve">(iv) Impacto prático na dosimetria</w:t>
      </w:r>
    </w:p>
    <w:p>
      <w:pPr>
        <w:spacing w:after="160" w:line="276"/>
      </w:pPr>
      <w:r>
        <w:rPr>
          <w:rFonts w:ascii="Calibri" w:cs="Calibri" w:eastAsia="Calibri" w:hAnsi="Calibri"/>
          <w:b w:val="false"/>
          <w:bCs w:val="false"/>
          <w:i w:val="false"/>
          <w:iCs w:val="false"/>
          <w:sz w:val="22"/>
          <w:szCs w:val="22"/>
        </w:rPr>
        <w:t xml:space="preserve">Para o operador do PAR, a controvérsia não altera o cálculo do desconto de leniência, que permanece limitado a 2/3 nos termos da Portaria Normativa Interministerial CGU/AGU nº 1/2025 — mas é relevante para a análise estratégica da própria negociação: a pessoa jurídica que avalia propor um acordo de leniência deve ser orientada de que o instituto, no regime brasileiro atual, não oferece imunidade total, diferentemente do que ocorre em outras jurisdições e no próprio direito concorrencial brasileiro — informação relevante para a tomada de decisão sobre autodenúncia, e que a comissão e a CGU devem comunicar com transparência durante a fase de negociação, evitando expectativas desalinhadas com o texto legal.</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empresa identifica, em auditoria interna, indícios de pagamento de propina praticado por antigo diretor, já desligado. Ao avaliar se propõe acordo de leniência, a área jurídica pondera que o desconto máximo de multa é de 2/3, e que a empresa permanecerá tecnicamente exposta a eventual pedido de sanções civis mais gravosas em ação judicial autônoma, ainda que colabore integralmente com a CGU. Comparativamente, se o mesmo fato envolvesse também infração à ordem econômica sob a Lei nº 12.529/2011, e a empresa fosse a primeira a se apresentar antes de qualquer investigação em curso, poderia obter isenção total da sanção administrativa concorrencial — assimetria que integra o cálculo de custo-benefício da decisão de autodenunciar-se, e que a empresa e seus assessores devem considerar de forma informada.</w:t>
            </w:r>
          </w:p>
        </w:tc>
      </w:tr>
    </w:tbl>
    <w:p/>
    <w:p>
      <w:pPr>
        <w:pStyle w:val="Heading2"/>
      </w:pPr>
      <w:r>
        <w:t>9.6 Interação entre o Acordo de Leniência e a Dosimetria do PAR</w:t>
      </w:r>
    </w:p>
    <w:p>
      <w:r>
        <w:t>O acordo de leniência interfere na dosimetria do PAR em dois pontos específicos, que o operador da Calculadora deve conhecer:</w:t>
      </w:r>
    </w:p>
    <w:p>
      <w:pPr>
        <w:pStyle w:val="Heading3"/>
      </w:pPr>
      <w:r>
        <w:t>9.6.1 Reincidência e o Prazo Especial (Art. 22, V — Agravante)</w:t>
      </w:r>
    </w:p>
    <w:p>
      <w:r>
        <w:t xml:space="preserve">O agravante de reincidência do art. 22, V, do Decreto nº 11.129/2022 aplica-se quando a pessoa jurídica comete nova infração tipificada como ato lesivo em menos de cinco anos contados da publicação do julgamento anterior. No caso de </w:t>
      </w:r>
      <w:r>
        <w:rPr>
          <w:i/>
        </w:rPr>
        <w:t>acordo de leniência</w:t>
      </w:r>
      <w:r>
        <w:t xml:space="preserve">, o prazo é diferente: conta-se da data de </w:t>
      </w:r>
      <w:r>
        <w:rPr>
          <w:i/>
        </w:rPr>
        <w:t>celebração</w:t>
      </w:r>
      <w:r>
        <w:t xml:space="preserve"> do acordo até cinco anos após a </w:t>
      </w:r>
      <w:r>
        <w:rPr>
          <w:i/>
        </w:rPr>
        <w:t>declaração de cumprimento integral</w:t>
      </w:r>
      <w:r>
        <w:t>.</w:t>
      </w:r>
    </w:p>
    <w:p>
      <w:r>
        <w:t>Essa distinção é significativa. Uma empresa que celebrou acordo de leniência em 2018 e cuja declaração de cumprimento foi emitida em 2022 terá o prazo de reincidência contado até 2027 — portanto, eventual novo ato lesivo praticado até 2027 configurará reincidência. O operador da Calculadora deve verificar esses marcos temporais com precisão antes de aplicar ou afastar o agravante do art. 22, V.</w:t>
      </w:r>
    </w:p>
    <w:p>
      <w:pPr>
        <w:pStyle w:val="Heading3"/>
      </w:pPr>
      <w:r>
        <w:t>9.6.2 Atenuante de Colaboração (Art. 23, III)</w:t>
      </w:r>
    </w:p>
    <w:p>
      <w:r>
        <w:t>Quando a empresa leniente — antes de firmar o acordo formal — fornece elementos inéditos para a apuração, admite a prática do ato ou renuncia a prazos processuais no âmbito do PAR ainda em curso, esses comportamentos podem ser valorados como atenuante de colaboração (art. 23, III) na dosimetria do PAR. Essa valoração é relevante nos casos em que o acordo de leniência não é celebrado — por insucesso das negociações, por exemplo — mas a empresa já havia iniciado a cooperação.</w:t>
      </w:r>
    </w:p>
    <w:p>
      <w:pPr>
        <w:pStyle w:val="Heading2"/>
      </w:pPr>
      <w:r>
        <w:t>9.7 Descumprimento do Acordo e Sanções Específicas</w:t>
      </w:r>
    </w:p>
    <w:p>
      <w:r>
        <w:t>O descumprimento do acordo de leniência gera duas consequências automáticas:</w:t>
      </w:r>
    </w:p>
    <w:p>
      <w:r>
        <w:rPr>
          <w:b/>
        </w:rPr>
        <w:t>a) Perda dos benefícios:</w:t>
      </w:r>
      <w:r>
        <w:t xml:space="preserve"> A empresa perde todos os benefícios negociados (redução de multa, isenção de publicação e isenção de sanções restritivas), ficando sujeita à aplicação das sanções integrais que o acordo havia reduzido ou isentado.</w:t>
      </w:r>
    </w:p>
    <w:p>
      <w:r>
        <w:rPr>
          <w:b/>
        </w:rPr>
        <w:t>b) Impedimento de celebrar novo acordo:</w:t>
      </w:r>
      <w:r>
        <w:t xml:space="preserve"> A empresa fica </w:t>
      </w:r>
      <w:r>
        <w:rPr>
          <w:i/>
        </w:rPr>
        <w:t>impedida de celebrar novo acordo de leniência</w:t>
      </w:r>
      <w:r>
        <w:t xml:space="preserve"> pelo prazo de </w:t>
      </w:r>
      <w:r>
        <w:rPr>
          <w:i/>
        </w:rPr>
        <w:t>três anos</w:t>
      </w:r>
      <w:r>
        <w:t>, contados da data em que a administração pública tomar conhecimento do descumprimento. Esse impedimento tem caráter pessoal e objetivo — aplica-se independentemente da natureza do descumprimento e independentemente de mudança no controle societário da empresa.</w:t>
      </w:r>
    </w:p>
    <w:p>
      <w:pPr>
        <w:pStyle w:val="Heading2"/>
      </w:pPr>
      <w:r>
        <w:t>9.8 Cadastros Nacionais de Sanções</w:t>
      </w:r>
    </w:p>
    <w:p>
      <w:r>
        <w:t xml:space="preserve">A Lei nº 12.846/2013 instituiu dois cadastros nacionais que integram o sistema de transparência e controle das sanções aplicadas com base na LAC: o CEIS e o CNEP. Esses cadastros são instrumentos de </w:t>
      </w:r>
      <w:r>
        <w:rPr>
          <w:i/>
        </w:rPr>
        <w:t>publicidade ativa</w:t>
      </w:r>
      <w:r>
        <w:t xml:space="preserve"> — informação disponível ao público independentemente de requerimento —, com funções preventivas e dissuasórias complementares às sanções pecuniárias do PAR.</w:t>
      </w:r>
    </w:p>
    <w:p>
      <w:pPr>
        <w:pStyle w:val="Heading3"/>
      </w:pPr>
      <w:r>
        <w:t>9.8.1 CEIS — Cadastro Nacional de Empresas Inidôneas e Suspensas</w:t>
      </w:r>
    </w:p>
    <w:p>
      <w:r>
        <w:t>O Cadastro Nacional de Empresas Inidôneas e Suspensas (CEIS) é um banco de informações mantido pelo Ministério da Transparência e Controladoria-Geral da União que consolida a relação das empresas e pessoas físicas que sofreram sanções das quais decorra como efeito restrição ao direito de participar em licitações ou de celebrar contratos com a Administração Pública.</w:t>
      </w:r>
    </w:p>
    <w:p>
      <w:r>
        <w:t xml:space="preserve">O CEIS registra sanções de </w:t>
      </w:r>
      <w:r>
        <w:rPr>
          <w:i/>
        </w:rPr>
        <w:t>restrição contratual</w:t>
      </w:r>
      <w:r>
        <w:t xml:space="preserve"> — suspensões temporárias e declarações de inidoneidade aplicadas com fundamento na Lei de Licitações, na Lei Anticorrupção e em outras normas que impliquem impedimento de participação em certames licitatórios. Destina-se a ser consultado obrigatoriamente pelos gestores públicos em todos os processos de compras governamentais, em qualquer esfera — federal, estadual ou municipal — e em qualquer dos Poderes.</w:t>
      </w:r>
    </w:p>
    <w:p>
      <w:r>
        <w:t>As informações do CEIS são de alimentação obrigatória por todos os órgãos e entidades de todos os Poderes e esferas de governo que apliquem sanções de caráter restritivo. A omissão no registro configura infração administrativa pelo responsável.</w:t>
      </w:r>
    </w:p>
    <w:p>
      <w:pPr>
        <w:pStyle w:val="Heading3"/>
      </w:pPr>
      <w:r>
        <w:t>9.8.2 CNEP — Cadastro Nacional de Empresas Punidas</w:t>
      </w:r>
    </w:p>
    <w:p>
      <w:r>
        <w:t>O Cadastro Nacional de Empresas Punidas (CNEP) tem como objetivo apresentar as empresas que sofreram quaisquer das punições previstas na Lei nº 12.846/2013. Funciona como um instrumento de controle social, e qualquer usuário pode acompanhar os acordos de leniência celebrados, inclusive os que eventualmente tenham sido descumpridos.</w:t>
      </w:r>
    </w:p>
    <w:p>
      <w:r>
        <w:t xml:space="preserve">O CNEP é específico da Lei Anticorrupção: registra exclusivamente as sanções aplicadas com fundamento na LAC e os acordos de leniência celebrados com base nela. A diferença em relação ao CEIS é de escopo: o CEIS registra sanções restritivas de qualquer diploma legal; o CNEP registra </w:t>
      </w:r>
      <w:r>
        <w:rPr>
          <w:i/>
        </w:rPr>
        <w:t>qualquer</w:t>
      </w:r>
      <w:r>
        <w:t xml:space="preserve"> sanção da LAC — inclusive a multa pecuniária (art. 6º, I), que não implica restrição contratual, mas representa condenação formal por ato de corrupção.</w:t>
      </w:r>
    </w:p>
    <w:p>
      <w:pPr>
        <w:pStyle w:val="Heading3"/>
      </w:pPr>
      <w:r>
        <w:t>9.8.3 CGU-PJ: Sistema de Controle Interno dos PAR</w:t>
      </w:r>
    </w:p>
    <w:p>
      <w:r>
        <w:t xml:space="preserve">Além do CEIS e do CNEP, a CGU mantém o </w:t>
      </w:r>
      <w:r>
        <w:rPr>
          <w:i/>
        </w:rPr>
        <w:t>CGU-PJ</w:t>
      </w:r>
      <w:r>
        <w:t xml:space="preserve"> — sistema de controle interno dos processos de responsabilização de entes privados instaurados com base na LAC em todo o Poder Executivo Federal. O CGU-PJ não é um cadastro público de sanções: é um sistema de gestão processual que permite à CGU acompanhar, supervisionar e avocar os PARs em curso nos órgãos do Executivo Federal, exercendo sua competência de controle e correição prevista no art. 8º, §2º, da LAC.</w:t>
      </w:r>
    </w:p>
    <w:p>
      <w:pPr>
        <w:pStyle w:val="Heading3"/>
      </w:pPr>
      <w:r>
        <w:t>9.8.4 Registro, Exclusão e Efeitos</w:t>
      </w:r>
    </w:p>
    <w:p>
      <w:r>
        <w:t>O registro nos cadastros ocorre após o esgotamento do prazo recursal — isto é, após a decisão condenatória tornar-se definitiva na esfera administrativa (decurso do prazo de reconsideração sem interposição, ou julgamento do pedido de reconsideração). Enquanto a decisão estiver suspensa pelo efeito do Pedido de Reconsideração, o registro não é realizado.</w:t>
      </w:r>
    </w:p>
    <w:p>
      <w:r>
        <w:t>A exclusão dos registros ocorre em duas hipóteses: os registros das sanções e acordos de leniência serão excluídos depois de decorrido o prazo previamente estabelecido no ato sancionador, ou do cumprimento integral do acordo de leniência e da reparação do eventual dano causado, mediante solicitação do órgão ou entidade sancionadora.</w:t>
      </w:r>
    </w:p>
    <w:p>
      <w:r>
        <w:t>Para a multa pecuniária do PAR especificamente, a vigência da sanção no CNEP encerra-se com o pagamento integral do valor da multa — o que deve ser comprovado documentalmente pelo órgão sancionador para que proceda à exclusão do registro. A empresa quitada tem o direito de requerer a exclusão e o órgão sancionador tem o dever de processá-la tempestivamente.</w:t>
      </w:r>
    </w:p>
    <w:p>
      <w:r>
        <w:t>Os efeitos práticos da inscrição nos cadastros são severos: empresa registrada no CEIS não pode participar de licitações nem contratar com a administração pública em qualquer esfera; empresa registrada no CNEP sofre restrições adicionais ao acesso a benefícios públicos e tem sua situação de condenada por ato de corrupção exposta publicamente no Portal da Transparência, com acesso irrestrito a qualquer interessado — o que, na prática, equivale a uma publicação extraordinária permanente até a exclusão do registro.</w:t>
      </w:r>
    </w:p>
    <w:p>
      <w:pPr>
        <w:pStyle w:val="Heading2"/>
      </w:pPr>
      <w:r>
        <w:t>9.9 Interação entre Leniência, Cadastros e Reincidência: Síntese Operacional para a Calculadora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Situação</w:t>
            </w:r>
          </w:p>
        </w:tc>
        <w:tc>
          <w:tcPr>
            <w:tcW w:type="dxa" w:w="2880"/>
            <w:shd w:val="clear" w:color="auto" w:fill="D9E2F3"/>
          </w:tcPr>
          <w:p>
            <w:r/>
            <w:r>
              <w:rPr>
                <w:b/>
              </w:rPr>
              <w:t>Efeito na Dosimetria</w:t>
            </w:r>
          </w:p>
        </w:tc>
        <w:tc>
          <w:tcPr>
            <w:tcW w:type="dxa" w:w="2880"/>
            <w:shd w:val="clear" w:color="auto" w:fill="D9E2F3"/>
          </w:tcPr>
          <w:p>
            <w:r/>
            <w:r>
              <w:rPr>
                <w:b/>
              </w:rPr>
              <w:t>Fundamento</w:t>
            </w:r>
          </w:p>
        </w:tc>
      </w:tr>
      <w:tr>
        <w:tc>
          <w:tcPr>
            <w:tcW w:type="dxa" w:w="2880"/>
          </w:tcPr>
          <w:p>
            <w:r/>
            <w:r>
              <w:t>Empresa com acordo de leniência celebrado e cumprido</w:t>
            </w:r>
          </w:p>
        </w:tc>
        <w:tc>
          <w:tcPr>
            <w:tcW w:type="dxa" w:w="2880"/>
          </w:tcPr>
          <w:p>
            <w:r/>
            <w:r>
              <w:t>Sem registro de condenação no CNEP</w:t>
            </w:r>
          </w:p>
        </w:tc>
        <w:tc>
          <w:tcPr>
            <w:tcW w:type="dxa" w:w="2880"/>
          </w:tcPr>
          <w:p>
            <w:r/>
            <w:r>
              <w:t>Art. 16, §2º, da LAC</w:t>
            </w:r>
          </w:p>
        </w:tc>
      </w:tr>
      <w:tr>
        <w:tc>
          <w:tcPr>
            <w:tcW w:type="dxa" w:w="2880"/>
          </w:tcPr>
          <w:p>
            <w:r/>
            <w:r>
              <w:t>Empresa com acordo de leniência descumprido</w:t>
            </w:r>
          </w:p>
        </w:tc>
        <w:tc>
          <w:tcPr>
            <w:tcW w:type="dxa" w:w="2880"/>
          </w:tcPr>
          <w:p>
            <w:r/>
            <w:r>
              <w:t>Aplica-se sanção integral + impedimento por 3 anos</w:t>
            </w:r>
          </w:p>
        </w:tc>
        <w:tc>
          <w:tcPr>
            <w:tcW w:type="dxa" w:w="2880"/>
          </w:tcPr>
          <w:p>
            <w:r/>
            <w:r>
              <w:t>Art. 16, §8º, da LAC</w:t>
            </w:r>
          </w:p>
        </w:tc>
      </w:tr>
      <w:tr>
        <w:tc>
          <w:tcPr>
            <w:tcW w:type="dxa" w:w="2880"/>
          </w:tcPr>
          <w:p>
            <w:r/>
            <w:r>
              <w:t>Prazo de reincidência pós-leniência</w:t>
            </w:r>
          </w:p>
        </w:tc>
        <w:tc>
          <w:tcPr>
            <w:tcW w:type="dxa" w:w="2880"/>
          </w:tcPr>
          <w:p>
            <w:r/>
            <w:r>
              <w:t>Conta da celebração até 5 anos após a declaração de cumprimento</w:t>
            </w:r>
          </w:p>
        </w:tc>
        <w:tc>
          <w:tcPr>
            <w:tcW w:type="dxa" w:w="2880"/>
          </w:tcPr>
          <w:p>
            <w:r/>
            <w:r>
              <w:t>Art. 22, V, do Decreto nº 11.129/2022</w:t>
            </w:r>
          </w:p>
        </w:tc>
      </w:tr>
      <w:tr>
        <w:tc>
          <w:tcPr>
            <w:tcW w:type="dxa" w:w="2880"/>
          </w:tcPr>
          <w:p>
            <w:r/>
            <w:r>
              <w:t>Prazo de reincidência pós-PAR (sem leniência)</w:t>
            </w:r>
          </w:p>
        </w:tc>
        <w:tc>
          <w:tcPr>
            <w:tcW w:type="dxa" w:w="2880"/>
          </w:tcPr>
          <w:p>
            <w:r/>
            <w:r>
              <w:t>Conta da publicação do julgamento anterior</w:t>
            </w:r>
          </w:p>
        </w:tc>
        <w:tc>
          <w:tcPr>
            <w:tcW w:type="dxa" w:w="2880"/>
          </w:tcPr>
          <w:p>
            <w:r/>
            <w:r>
              <w:t>Art. 22, V, do Decreto nº 11.129/2022</w:t>
            </w:r>
          </w:p>
        </w:tc>
      </w:tr>
      <w:tr>
        <w:tc>
          <w:tcPr>
            <w:tcW w:type="dxa" w:w="2880"/>
          </w:tcPr>
          <w:p>
            <w:r/>
            <w:r>
              <w:t>Empresa com acordo em negociação</w:t>
            </w:r>
          </w:p>
        </w:tc>
        <w:tc>
          <w:tcPr>
            <w:tcW w:type="dxa" w:w="2880"/>
          </w:tcPr>
          <w:p>
            <w:r/>
            <w:r>
              <w:t>PAR pode ser suspenso pelo Corregedor-Geral da União</w:t>
            </w:r>
          </w:p>
        </w:tc>
        <w:tc>
          <w:tcPr>
            <w:tcW w:type="dxa" w:w="2880"/>
          </w:tcPr>
          <w:p>
            <w:r/>
            <w:r>
              <w:t>Art. 30 do Decreto nº 11.129/2022</w:t>
            </w:r>
          </w:p>
        </w:tc>
      </w:tr>
      <w:tr>
        <w:tc>
          <w:tcPr>
            <w:tcW w:type="dxa" w:w="2880"/>
          </w:tcPr>
          <w:p>
            <w:r/>
            <w:r>
              <w:t>Acordo não celebrado — documentos entregues</w:t>
            </w:r>
          </w:p>
        </w:tc>
        <w:tc>
          <w:tcPr>
            <w:tcW w:type="dxa" w:w="2880"/>
          </w:tcPr>
          <w:p>
            <w:r/>
            <w:r>
              <w:t>Não podem ser usados contra a empresa no PAR</w:t>
            </w:r>
          </w:p>
        </w:tc>
        <w:tc>
          <w:tcPr>
            <w:tcW w:type="dxa" w:w="2880"/>
          </w:tcPr>
          <w:p>
            <w:r/>
            <w:r>
              <w:t>Art. 16, §7º, da LAC</w:t>
            </w:r>
          </w:p>
        </w:tc>
      </w:tr>
    </w:tbl>
    <w:p/>
    <w:p>
      <w:pPr>
        <w:pStyle w:val="Heading2"/>
      </w:pPr>
      <w:r>
        <w:t>9.10 Cadastros Nacionais de Sanções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Cadastro</w:t>
            </w:r>
          </w:p>
        </w:tc>
        <w:tc>
          <w:tcPr>
            <w:tcW w:type="dxa" w:w="4320"/>
            <w:shd w:val="clear" w:color="auto" w:fill="D9E2F3"/>
          </w:tcPr>
          <w:p>
            <w:r/>
            <w:r>
              <w:rPr>
                <w:b/>
              </w:rPr>
              <w:t>Finalidade</w:t>
            </w:r>
          </w:p>
        </w:tc>
      </w:tr>
      <w:tr>
        <w:tc>
          <w:tcPr>
            <w:tcW w:type="dxa" w:w="4320"/>
          </w:tcPr>
          <w:p>
            <w:r/>
            <w:r>
              <w:t>CGU-PJ / Siasg</w:t>
            </w:r>
          </w:p>
        </w:tc>
        <w:tc>
          <w:tcPr>
            <w:tcW w:type="dxa" w:w="4320"/>
          </w:tcPr>
          <w:p>
            <w:r/>
            <w:r>
              <w:t>Controle interno dos processos de responsabilização de entes privados</w:t>
            </w:r>
          </w:p>
        </w:tc>
      </w:tr>
      <w:tr>
        <w:tc>
          <w:tcPr>
            <w:tcW w:type="dxa" w:w="4320"/>
          </w:tcPr>
          <w:p>
            <w:r/>
            <w:r>
              <w:t>CEIS — Empresas Inidôneas e Suspensas</w:t>
            </w:r>
          </w:p>
        </w:tc>
        <w:tc>
          <w:tcPr>
            <w:tcW w:type="dxa" w:w="4320"/>
          </w:tcPr>
          <w:p>
            <w:r/>
            <w:r>
              <w:t>Consolida sanções de restrição ao direito de licitar e contratar de todos os entes federativos</w:t>
            </w:r>
          </w:p>
        </w:tc>
      </w:tr>
      <w:tr>
        <w:tc>
          <w:tcPr>
            <w:tcW w:type="dxa" w:w="4320"/>
          </w:tcPr>
          <w:p>
            <w:r/>
            <w:r>
              <w:t>CNEP — Empresas Punidas</w:t>
            </w:r>
          </w:p>
        </w:tc>
        <w:tc>
          <w:tcPr>
            <w:tcW w:type="dxa" w:w="4320"/>
          </w:tcPr>
          <w:p>
            <w:r/>
            <w:r>
              <w:t>Dá publicidade às sanções aplicadas com base na Lei nº 12.846/2013</w:t>
            </w:r>
          </w:p>
        </w:tc>
      </w:tr>
    </w:tbl>
    <w:p/>
    <w:p>
      <w:pPr>
        <w:pStyle w:val="Heading1"/>
        <w:pageBreakBefore/>
      </w:pPr>
      <w:r>
        <w:t>10. INTERFACES COM A LEI Nº 14.133/2021 E COM A LEI DE IMPROBIDADE ADMINISTRATIVA</w:t>
      </w:r>
    </w:p>
    <w:p>
      <w:r>
        <w:t>A Lei nº 12.846/2013 não opera em compartimento estanque. Um mesmo conjunto de fatos — uma fraude em licitação, um pagamento indevido a agente público — pode, simultaneamente, configurar ato lesivo da LAC, infração administrativa da Lei de Licitações e ato de improbidade administrativa. Compreender como esses três regimes se relacionam é indispensável para o operador do PAR, tanto para evitar nulidades por inobservância de rito quanto para avaliar corretamente o risco sancionador total a que a pessoa jurídica está exposta.</w:t>
      </w:r>
    </w:p>
    <w:p>
      <w:pPr>
        <w:pStyle w:val="Heading2"/>
      </w:pPr>
      <w:r>
        <w:t>10.1 O Princípio da Independência de Instâncias (Art. 30, LAC)</w:t>
      </w:r>
    </w:p>
    <w:p>
      <w:r>
        <w:t>O art. 30 da Lei nº 12.846/2013 estabelece expressamente que a apuração e o julgamento de atos lesivos nos termos da LAC não afastam a possibilidade de apuração dos mesmos fatos como ato de improbidade administrativa (Lei nº 8.429/1992) ou como infração sujeita a sanções previstas na legislação de licitações e contratos. As três esferas — PAR, ação de improbidade e processo administrativo licitatório — são autônomas quanto ao rito, à autoridade competente e ao regime de sanções, ainda que possam incidir sobre o mesmo fato histórico.</w:t>
      </w:r>
    </w:p>
    <w:p>
      <w:r>
        <w:t>Essa independência não é peculiaridade da LAC: reproduz, no plano da responsabilização de pessoas jurídicas, a mesma lógica já consagrada para pessoas físicas no art. 3º da própria LAC (independência entre responsabilização administrativa da PJ e responsabilização — cível ou penal — da pessoa natural), tratada no capítulo de fundamentos teóricos deste Manual.</w:t>
      </w:r>
    </w:p>
    <w:p>
      <w:pPr>
        <w:pStyle w:val="Heading2"/>
      </w:pPr>
      <w:r>
        <w:t>10.2 Interface com a Lei nº 14.133/2021</w:t>
      </w:r>
    </w:p>
    <w:p>
      <w:r>
        <w:t>A Nova Lei de Licitações e Contratos Administrativos tipifica infrações administrativas próprias (arts. 155 e 156), com sanções que incluem advertência, multa, impedimento de licitar e declaração de inidoneidade. Há sobreposição relevante com o art. 5º, IV, da LAC, que tipifica como ato lesivo as fraudes em procedimentos licitatórios e na execução de contratos administrativos.</w:t>
      </w:r>
    </w:p>
    <w:p>
      <w:r>
        <w:t>Para evitar duplicidade de apuração sobre o mesmo fato — com o risco de decisões conflitantes ou de dupla imposição de sanções de mesma natureza —, o art. 159 da Lei nº 14.133/2021 determina que, quando a conduta configurar simultaneamente infração administrativa da própria lei de licitações e ato lesivo da LAC, a apuração deve ser conduzida de forma conjunta, nos mesmos autos, observando-se o rito e a autoridade competente da Lei nº 12.846/2013. Na prática, isso significa que o operador do PAR que identificar, no curso da instrução, indícios de infração tipicamente licitatória sobreposta ao ato lesivo do art. 5º, IV, não deve promover apuração paralela e independente — a absorção procedimental pela LAC é regra legal expressa, não faculdade discricionária da comissão processante.</w:t>
      </w:r>
    </w:p>
    <w:p>
      <w:r>
        <w:t>Duas sanções, no entanto, merecem atenção quanto à cumulação: a multa administrativa (que tem regime de cálculo próprio na LAC, tratado na Parte II deste Manual) e a declaração de inidoneidade — sanção prevista tanto no art. 6º, II, da LAC quanto no art. 156, IV, da Lei nº 14.133/2021. Por se tratar da mesma sanção, prevista em dois diplomas para a mesma conduta, sua aplicação deve ser única — efeito direto da regra de apuração conjunta do art. 159, que evita a imposição da mesma penalidade duas vezes sob fundamentos jurídicos distintos.</w:t>
      </w:r>
    </w:p>
    <w:p>
      <w:r>
        <w:t>Vale ainda registrar que os regimes de prescrição das duas leis, embora estruturalmente semelhantes (ambos preveem prazo quinquenal e disciplina própria de interrupção e suspensão), não são idênticos — a Lei nº 14.133/2021 não contempla, por exemplo, regra expressa equivalente à do art. 25 da LAC para infrações permanentes e continuadas, o que exige atenção redobrada quando a apuração conjunta reunir, no mesmo processo, fundamentos jurídicos de ambas as leis.</w:t>
      </w:r>
    </w:p>
    <w:p>
      <w:pPr>
        <w:pStyle w:val="Heading3"/>
        <w:spacing w:after="150" w:before="300"/>
      </w:pPr>
      <w:r>
        <w:t xml:space="preserve">10.2.1 O Duplo Regime de Impedimento de Licitar: LAC e Nova Lei de Licitações</w:t>
      </w:r>
    </w:p>
    <w:p>
      <w:pPr>
        <w:spacing w:after="160" w:line="276"/>
      </w:pPr>
      <w:r>
        <w:rPr>
          <w:rFonts w:ascii="Calibri" w:cs="Calibri" w:eastAsia="Calibri" w:hAnsi="Calibri"/>
          <w:b w:val="false"/>
          <w:bCs w:val="false"/>
          <w:i w:val="false"/>
          <w:iCs w:val="false"/>
          <w:sz w:val="22"/>
          <w:szCs w:val="22"/>
        </w:rPr>
        <w:t xml:space="preserve">Além da regra de apuração conjunta já tratada no corpo deste Manual, merece registro doutrinário o fato de que a declaração de inidoneidade da LAC (art. 6º, II) e o impedimento de licitar da Lei nº 14.133/2021 (art. 156, III e IV) têm alcance territorial distinto: a inidoneidade declarada com base na LAC produz efeitos perante toda a Administração Pública, em qualquer ente federativo, enquanto o impedimento de licitar aplicado com base exclusivamente na Lei nº 14.133/2021, quando não fundado também em ato lesivo da LAC, pode, a depender da sanção especificamente aplicada, ficar circunscrito ao ente federativo sancionador. Essa diferença de alcance é outro fator, além da vedação ao bis in idem procedimental, que reforça a importância prática da regra de apuração conjunta do art. 159 da Lei nº 14.133/2021: processar o fato pela via da LAC, quando cabível, tende a produzir efeito sancionador de alcance mais amplo e uniforme em todo o território nacional.</w:t>
      </w:r>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60"/>
              <w:left w:type="dxa" w:w="200"/>
              <w:bottom w:type="dxa" w:w="160"/>
              <w:right w:type="dxa" w:w="200"/>
            </w:tcMar>
          </w:tcPr>
          <w:p>
            <w:pPr>
              <w:spacing w:after="100"/>
            </w:pPr>
            <w:r>
              <w:rPr>
                <w:rFonts w:ascii="Calibri" w:cs="Calibri" w:eastAsia="Calibri" w:hAnsi="Calibri"/>
                <w:b/>
                <w:bCs/>
                <w:sz w:val="22"/>
                <w:szCs w:val="22"/>
              </w:rPr>
              <w:t xml:space="preserve">Enriquecimento — exemplo prático</w:t>
            </w:r>
          </w:p>
          <w:p>
            <w:pPr>
              <w:spacing w:after="80"/>
            </w:pPr>
            <w:r>
              <w:rPr>
                <w:rFonts w:ascii="Calibri" w:cs="Calibri" w:eastAsia="Calibri" w:hAnsi="Calibri"/>
                <w:sz w:val="22"/>
                <w:szCs w:val="22"/>
              </w:rPr>
              <w:t xml:space="preserve">Uma empresa frauda o caráter competitivo de uma licitação municipal, conduta que se enquadra simultaneamente no art. 5º, IV, "a", da LAC e no art. 155, VIII, da Lei nº 14.133/2021. Processado o fato sob o rito unificado da LAC, conforme determina o art. 159 da Nova Lei de Licitações, a eventual declaração de inidoneidade produzirá efeitos perante toda a Administração Pública nacional, e não apenas perante o Município lesado — reforçando, na prática, por que a apuração conjunta pela via da LAC não é apenas uma exigência procedimental, mas também a via que confere à sanção seu alcance mais amplo e dissuasório.</w:t>
            </w:r>
          </w:p>
        </w:tc>
      </w:tr>
    </w:tbl>
    <w:p/>
    <w:p>
      <w:pPr>
        <w:pStyle w:val="Heading2"/>
      </w:pPr>
      <w:r>
        <w:t>10.3 Interface com a Lei de Improbidade Administrativa (Lei nº 8.429/1992, com a Redação da Lei nº 14.230/2021)</w:t>
      </w:r>
    </w:p>
    <w:p>
      <w:r>
        <w:t>A relação entre PAR e ação de improbidade é estruturalmente distinta da relação com a Lei nº 14.133/2021, porque aqui não há regra de apuração conjunta — os dois processos correm em searas diferentes (administrativa e judicial), com legitimados, procedimentos e órgãos julgadores próprios.</w:t>
      </w:r>
    </w:p>
    <w:p>
      <w:r>
        <w:t>A diferença mais relevante entre os dois regimes, para fins de estratégia processual e de avaliação de risco, está no elemento subjetivo exigido. A responsabilização da pessoa jurídica na LAC é objetiva — dispensa a demonstração de dolo ou culpa, bastando a prática do ato lesivo e o nexo com a vantagem obtida ou pretendida. Já a Lei de Improbidade Administrativa, após a reforma promovida pela Lei nº 14.230/2021, passou a exigir dolo específico como elemento indispensável de todas as suas hipóteses de improbidade (art. 1º, §4º), tendo eliminado a modalidade culposa antes prevista para os atos que causam prejuízo ao erário. A pessoa jurídica pode figurar no polo passivo de ação de improbidade na condição de terceira que induziu, concorreu ou se beneficiou do ato ímprobo (art. 3º, Lei nº 8.429/1992), mas essa responsabilização depende de prova de dolo — padrão probatório mais exigente do que o da LAC.</w:t>
      </w:r>
    </w:p>
    <w:p>
      <w:r>
        <w:t>Essa assimetria tem consequência prática direta: é juridicamente possível que uma pessoa jurídica seja condenada no PAR (responsabilidade objetiva) e, pelos mesmos fatos, tenha a ação de improbidade contra si julgada improcedente por ausência de prova do dolo — sem que isso configure contradição, porque os padrões de imputação são distintos por desenho legislativo, não por incoerência do sistema.</w:t>
      </w:r>
    </w:p>
    <w:p>
      <w:pPr>
        <w:pStyle w:val="IntenseQuote"/>
      </w:pPr>
      <w:r>
        <w:t>Ponto de divergência doutrinária — cumulação de multas de natureza sancionadora. A LAC prevê multa administrativa (art. 6º, I) e a Lei de Improbidade prevê multa civil (art. 12) como sanções possíveis para os mesmos fatos, em processos autônomos. Parte da doutrina sustenta que a cumulação integral dessas duas multas, sem qualquer compensação ou dedução recíproca, pode violar o princípio da proporcionalidade e configurar bis in idem material — ainda que formalmente as sanções decorram de fundamentos jurídicos distintos (responsabilidade objetiva administrativa vs. improbidade dolosa), o efeito prático sobre o patrimônio da pessoa jurídica é o de dupla punição pecuniária pelo mesmo fato. Em sentido oposto, argumenta-se que a independência de instâncias — expressamente prevista no art. 30 da LAC — é opção legislativa deliberada, e que cada multa tutela bem jurídico e finalidade distintos (a multa da LAC repara o desvio de conduta empresarial específico; a multa civil da LIA tutela a moralidade administrativa e o patrimônio público de forma mais ampla). Não há, até o momento, posição jurisprudencial pacificada sobre o tema no âmbito dos tribunais superiores. Para o operador do PAR, a implicação prática é que a existência de ação de improbidade paralela sobre os mesmos fatos não é, por si só, argumento de defesa apto a afastar ou reduzir a multa do PAR — mas é elemento a ser registrado no processo, para eventual ponderação em fase recursal ou judicial.</w:t>
      </w:r>
    </w:p>
    <w:p>
      <w:pPr>
        <w:pStyle w:val="Heading2"/>
      </w:pPr>
      <w:r>
        <w:t>10.4 Síntese para o Operador</w:t>
      </w:r>
    </w:p>
    <w:p>
      <w:r>
        <w:t>Diante de fatos que envolvam licitação ou contrato administrativo, o operador deve verificar, já na fase de admissibilidade, se há sobreposição com infrações da Lei nº 14.133/2021 — hipótese em que a apuração conjunta é obrigatória, não facultativa. Diante de indícios de improbidade administrativa, a existência ou ausência de ação civil paralela não interfere no processamento do PAR, dada a independência de instâncias — mas deve ser objeto de registro, especialmente quando o risco de cumulação de multas de natureza sancionadora for relevante para a defesa da pessoa jurídica.</w:t>
      </w:r>
    </w:p>
    <w:p>
      <w:pPr>
        <w:pStyle w:val="Heading1"/>
        <w:pageBreakBefore/>
        <w:jc w:val="center"/>
      </w:pPr>
      <w:r>
        <w:rPr>
          <w:sz w:val="48"/>
        </w:rPr>
        <w:t>PARTE II</w:t>
      </w:r>
    </w:p>
    <w:p>
      <w:pPr>
        <w:pStyle w:val="Heading1"/>
        <w:pageBreakBefore/>
      </w:pPr>
    </w:p>
    <w:p>
      <w:r>
        <w:rPr>
          <w:i/>
        </w:rPr>
        <w:t>Dosimetria</w:t>
      </w:r>
      <w:r>
        <w:rPr>
          <w:i/>
        </w:rPr>
        <w:t xml:space="preserve"> e Uso da </w:t>
      </w:r>
      <w:r>
        <w:rPr>
          <w:i/>
        </w:rPr>
        <w:t>Calculadora</w:t>
      </w:r>
    </w:p>
    <w:p>
      <w:pPr>
        <w:pStyle w:val="Heading1"/>
        <w:pageBreakBefore/>
      </w:pPr>
      <w:r>
        <w:t>1. INTRODUÇÃO E FINALIDADE</w:t>
      </w:r>
    </w:p>
    <w:p>
      <w:r>
        <w:t>A Calculadora de Multa PAR é uma ferramenta de apoio à decisão desenvolvida pela Corregedoria da Receita Federal do Brasil para uso nos Processos Administrativos de Responsabilização (PAR) instaurados com base na Lei Anticorrupção (Lei nº 12.846/2013) e seu decreto regulamentador (Decreto nº 11.129/2022).</w:t>
      </w:r>
    </w:p>
    <w:p>
      <w:r>
        <w:t>A ferramenta tem como objetivos:</w:t>
      </w:r>
    </w:p>
    <w:p>
      <w:r>
        <w:t>Padronizar a dosimetria das sanções pecuniárias aplicadas às pessoas jurídicas;</w:t>
      </w:r>
    </w:p>
    <w:p>
      <w:r>
        <w:t>Transparência: cada percentual aplicado está vinculado a um dispositivo legal específico;</w:t>
      </w:r>
    </w:p>
    <w:p>
      <w:r>
        <w:t>Rastreabilidade: o relatório final gerado documenta todos os parâmetros utilizados, servindo como instrumento de instrução processual;</w:t>
      </w:r>
    </w:p>
    <w:p>
      <w:r>
        <w:t>Reduzir erros de cálculo, especialmente nas interações entre os limites mínimo, máximo, vantagem auferida e alíquota preliminar.</w:t>
      </w:r>
    </w:p>
    <w:p>
      <w:r>
        <w:t>A calculadora funciona integralmente offline (sem dependência de servidores externos), sendo adequada para uso em ambientes com restrições de conectividade e com necessidade de garantia do sigilo.</w:t>
      </w:r>
    </w:p>
    <w:p>
      <w:pPr>
        <w:pStyle w:val="Heading1"/>
        <w:pageBreakBefore/>
      </w:pPr>
      <w:r>
        <w:t>2. FUNDAMENTO LEGAL</w:t>
      </w:r>
    </w:p>
    <w:p>
      <w:pPr>
        <w:pStyle w:val="Heading2"/>
      </w:pPr>
      <w:r>
        <w:t>2.1 Lei nº 12.846/2013 — Lei Anticorrupção (LAC)</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Dispositivo</w:t>
            </w:r>
          </w:p>
        </w:tc>
        <w:tc>
          <w:tcPr>
            <w:tcW w:type="dxa" w:w="4320"/>
            <w:shd w:val="clear" w:color="auto" w:fill="D9E2F3"/>
          </w:tcPr>
          <w:p>
            <w:r/>
            <w:r>
              <w:rPr>
                <w:b/>
              </w:rPr>
              <w:t>Conteúdo</w:t>
            </w:r>
          </w:p>
        </w:tc>
      </w:tr>
      <w:tr>
        <w:tc>
          <w:tcPr>
            <w:tcW w:type="dxa" w:w="4320"/>
          </w:tcPr>
          <w:p>
            <w:r/>
            <w:r>
              <w:t>Art. 5º</w:t>
            </w:r>
          </w:p>
        </w:tc>
        <w:tc>
          <w:tcPr>
            <w:tcW w:type="dxa" w:w="4320"/>
          </w:tcPr>
          <w:p>
            <w:r/>
            <w:r>
              <w:t>Tipificação dos atos lesivos à administração pública</w:t>
            </w:r>
          </w:p>
        </w:tc>
      </w:tr>
      <w:tr>
        <w:tc>
          <w:tcPr>
            <w:tcW w:type="dxa" w:w="4320"/>
          </w:tcPr>
          <w:p>
            <w:r/>
            <w:r>
              <w:t>Art. 6º, I</w:t>
            </w:r>
          </w:p>
        </w:tc>
        <w:tc>
          <w:tcPr>
            <w:tcW w:type="dxa" w:w="4320"/>
          </w:tcPr>
          <w:p>
            <w:r/>
            <w:r>
              <w:t>Multa de 0,1% a 20% do faturamento bruto da pessoa jurídica</w:t>
            </w:r>
          </w:p>
        </w:tc>
      </w:tr>
      <w:tr>
        <w:tc>
          <w:tcPr>
            <w:tcW w:type="dxa" w:w="4320"/>
          </w:tcPr>
          <w:p>
            <w:r/>
            <w:r>
              <w:t>Art. 6º, II</w:t>
            </w:r>
          </w:p>
        </w:tc>
        <w:tc>
          <w:tcPr>
            <w:tcW w:type="dxa" w:w="4320"/>
          </w:tcPr>
          <w:p>
            <w:r/>
            <w:r>
              <w:t>Publicação extraordinária da decisão condenatória</w:t>
            </w:r>
          </w:p>
        </w:tc>
      </w:tr>
    </w:tbl>
    <w:p/>
    <w:p>
      <w:pPr>
        <w:pStyle w:val="Heading2"/>
      </w:pPr>
      <w:r>
        <w:t>2.2 Decreto nº 11.129/2022</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Dispositivo</w:t>
            </w:r>
          </w:p>
        </w:tc>
        <w:tc>
          <w:tcPr>
            <w:tcW w:type="dxa" w:w="4320"/>
            <w:shd w:val="clear" w:color="auto" w:fill="D9E2F3"/>
          </w:tcPr>
          <w:p>
            <w:r/>
            <w:r>
              <w:rPr>
                <w:b/>
              </w:rPr>
              <w:t>Conteúdo</w:t>
            </w:r>
          </w:p>
        </w:tc>
      </w:tr>
      <w:tr>
        <w:tc>
          <w:tcPr>
            <w:tcW w:type="dxa" w:w="4320"/>
          </w:tcPr>
          <w:p>
            <w:r/>
            <w:r>
              <w:t>Art. 20</w:t>
            </w:r>
          </w:p>
        </w:tc>
        <w:tc>
          <w:tcPr>
            <w:tcW w:type="dxa" w:w="4320"/>
          </w:tcPr>
          <w:p>
            <w:r/>
            <w:r>
              <w:t>Base de cálculo: faturamento bruto do último exercício anterior ao PAR</w:t>
            </w:r>
          </w:p>
        </w:tc>
      </w:tr>
      <w:tr>
        <w:tc>
          <w:tcPr>
            <w:tcW w:type="dxa" w:w="4320"/>
          </w:tcPr>
          <w:p>
            <w:r/>
            <w:r>
              <w:t>Art. 21</w:t>
            </w:r>
          </w:p>
        </w:tc>
        <w:tc>
          <w:tcPr>
            <w:tcW w:type="dxa" w:w="4320"/>
          </w:tcPr>
          <w:p>
            <w:r/>
            <w:r>
              <w:t>Hipótese subsidiária: ausência de faturamento no exercício anterior</w:t>
            </w:r>
          </w:p>
        </w:tc>
      </w:tr>
      <w:tr>
        <w:tc>
          <w:tcPr>
            <w:tcW w:type="dxa" w:w="4320"/>
          </w:tcPr>
          <w:p>
            <w:r/>
            <w:r>
              <w:t>Art. 22</w:t>
            </w:r>
          </w:p>
        </w:tc>
        <w:tc>
          <w:tcPr>
            <w:tcW w:type="dxa" w:w="4320"/>
          </w:tcPr>
          <w:p>
            <w:r/>
            <w:r>
              <w:t>Fatores agravantes (I a VI)</w:t>
            </w:r>
          </w:p>
        </w:tc>
      </w:tr>
      <w:tr>
        <w:tc>
          <w:tcPr>
            <w:tcW w:type="dxa" w:w="4320"/>
          </w:tcPr>
          <w:p>
            <w:r/>
            <w:r>
              <w:t>Art. 23</w:t>
            </w:r>
          </w:p>
        </w:tc>
        <w:tc>
          <w:tcPr>
            <w:tcW w:type="dxa" w:w="4320"/>
          </w:tcPr>
          <w:p>
            <w:r/>
            <w:r>
              <w:t>Fatores atenuantes (I a V)</w:t>
            </w:r>
          </w:p>
        </w:tc>
      </w:tr>
      <w:tr>
        <w:tc>
          <w:tcPr>
            <w:tcW w:type="dxa" w:w="4320"/>
          </w:tcPr>
          <w:p>
            <w:r/>
            <w:r>
              <w:t>Art. 24</w:t>
            </w:r>
          </w:p>
        </w:tc>
        <w:tc>
          <w:tcPr>
            <w:tcW w:type="dxa" w:w="4320"/>
          </w:tcPr>
          <w:p>
            <w:r/>
            <w:r>
              <w:t>Publicação extraordinária e critérios de prazo</w:t>
            </w:r>
          </w:p>
        </w:tc>
      </w:tr>
      <w:tr>
        <w:tc>
          <w:tcPr>
            <w:tcW w:type="dxa" w:w="4320"/>
          </w:tcPr>
          <w:p>
            <w:r/>
            <w:r>
              <w:t>Art. 25</w:t>
            </w:r>
          </w:p>
        </w:tc>
        <w:tc>
          <w:tcPr>
            <w:tcW w:type="dxa" w:w="4320"/>
          </w:tcPr>
          <w:p>
            <w:r/>
            <w:r>
              <w:t>Limites mínimo e máximo da multa</w:t>
            </w:r>
          </w:p>
        </w:tc>
      </w:tr>
      <w:tr>
        <w:tc>
          <w:tcPr>
            <w:tcW w:type="dxa" w:w="4320"/>
          </w:tcPr>
          <w:p>
            <w:r/>
            <w:r>
              <w:t>Art. 26</w:t>
            </w:r>
          </w:p>
        </w:tc>
        <w:tc>
          <w:tcPr>
            <w:tcW w:type="dxa" w:w="4320"/>
          </w:tcPr>
          <w:p>
            <w:r/>
            <w:r>
              <w:t>Métodos de apuração da vantagem auferida (I a III)</w:t>
            </w:r>
          </w:p>
        </w:tc>
      </w:tr>
    </w:tbl>
    <w:p/>
    <w:p>
      <w:pPr>
        <w:pStyle w:val="Heading2"/>
      </w:pPr>
      <w:r>
        <w:t>2.3 Orientações complementares</w:t>
      </w:r>
    </w:p>
    <w:p>
      <w:r>
        <w:t>IN CGU nº 1/2015 — metodologia de avaliação do programa de integridade;</w:t>
      </w:r>
    </w:p>
    <w:p>
      <w:r>
        <w:t>Guia CGU de Responsabilização de Pessoas Jurídicas — parâmetros interpretativos e tabelas de referência;</w:t>
      </w:r>
    </w:p>
    <w:p>
      <w:r>
        <w:t>Tabela 5 do Guia CGU — escalonamento dos percentuais de ressarcimento (Art. 23, II).</w:t>
      </w:r>
    </w:p>
    <w:p>
      <w:pPr>
        <w:pStyle w:val="Heading1"/>
        <w:pageBreakBefore/>
      </w:pPr>
      <w:r>
        <w:t>3. ESTRUTURA GERAL DA CALCULADORA</w:t>
      </w:r>
    </w:p>
    <w:p>
      <w:r>
        <w:t>A calculadora é organizada em 14 etapas sequenciais (Steps 0 a 13), agrupadas em três blocos funcionais: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Bloco</w:t>
            </w:r>
          </w:p>
        </w:tc>
        <w:tc>
          <w:tcPr>
            <w:tcW w:type="dxa" w:w="2880"/>
            <w:shd w:val="clear" w:color="auto" w:fill="D9E2F3"/>
          </w:tcPr>
          <w:p>
            <w:r/>
            <w:r>
              <w:rPr>
                <w:b/>
              </w:rPr>
              <w:t>Etapas</w:t>
            </w:r>
          </w:p>
        </w:tc>
        <w:tc>
          <w:tcPr>
            <w:tcW w:type="dxa" w:w="2880"/>
            <w:shd w:val="clear" w:color="auto" w:fill="D9E2F3"/>
          </w:tcPr>
          <w:p>
            <w:r/>
            <w:r>
              <w:rPr>
                <w:b/>
              </w:rPr>
              <w:t>Conteúdo</w:t>
            </w:r>
          </w:p>
        </w:tc>
      </w:tr>
      <w:tr>
        <w:tc>
          <w:tcPr>
            <w:tcW w:type="dxa" w:w="2880"/>
          </w:tcPr>
          <w:p>
            <w:r/>
            <w:r>
              <w:t>A — Base de Cálculo</w:t>
            </w:r>
          </w:p>
        </w:tc>
        <w:tc>
          <w:tcPr>
            <w:tcW w:type="dxa" w:w="2880"/>
          </w:tcPr>
          <w:p>
            <w:r/>
            <w:r>
              <w:t>Etapas 0 e 1</w:t>
            </w:r>
          </w:p>
        </w:tc>
        <w:tc>
          <w:tcPr>
            <w:tcW w:type="dxa" w:w="2880"/>
          </w:tcPr>
          <w:p>
            <w:r/>
            <w:r>
              <w:t>Faturamento Bruto e Vantagens Auferida/Pretendida</w:t>
            </w:r>
          </w:p>
        </w:tc>
      </w:tr>
      <w:tr>
        <w:tc>
          <w:tcPr>
            <w:tcW w:type="dxa" w:w="2880"/>
          </w:tcPr>
          <w:p>
            <w:r/>
            <w:r>
              <w:t>B — Dosimetria</w:t>
            </w:r>
          </w:p>
        </w:tc>
        <w:tc>
          <w:tcPr>
            <w:tcW w:type="dxa" w:w="2880"/>
          </w:tcPr>
          <w:p>
            <w:r/>
            <w:r>
              <w:t>Etapas 2 a 12</w:t>
            </w:r>
          </w:p>
        </w:tc>
        <w:tc>
          <w:tcPr>
            <w:tcW w:type="dxa" w:w="2880"/>
          </w:tcPr>
          <w:p>
            <w:r/>
            <w:r>
              <w:t>Agravantes (Art. 22) e Atenuantes (Art. 23)</w:t>
            </w:r>
          </w:p>
        </w:tc>
      </w:tr>
      <w:tr>
        <w:tc>
          <w:tcPr>
            <w:tcW w:type="dxa" w:w="2880"/>
          </w:tcPr>
          <w:p>
            <w:r/>
            <w:r>
              <w:t>C — Resultado</w:t>
            </w:r>
          </w:p>
        </w:tc>
        <w:tc>
          <w:tcPr>
            <w:tcW w:type="dxa" w:w="2880"/>
          </w:tcPr>
          <w:p>
            <w:r/>
            <w:r>
              <w:t>Etapa 13</w:t>
            </w:r>
          </w:p>
        </w:tc>
        <w:tc>
          <w:tcPr>
            <w:tcW w:type="dxa" w:w="2880"/>
          </w:tcPr>
          <w:p>
            <w:r/>
            <w:r>
              <w:t>Publicação Extraordinária e Resultado Final (Art. 25)</w:t>
            </w:r>
          </w:p>
        </w:tc>
      </w:tr>
    </w:tbl>
    <w:p/>
    <w:p>
      <w:pPr>
        <w:pStyle w:val="Heading1"/>
        <w:pageBreakBefore/>
      </w:pPr>
      <w:r>
        <w:t>4. ETAPA 0 — BASE DE CÁLCULO: FATURAMENTO BRUTO</w:t>
      </w:r>
    </w:p>
    <w:p>
      <w:pPr>
        <w:pStyle w:val="Heading2"/>
      </w:pPr>
      <w:r>
        <w:t>4.1 Fundamento Legal</w:t>
      </w:r>
    </w:p>
    <w:p>
      <w:r>
        <w:rPr>
          <w:i/>
        </w:rPr>
        <w:t>Art. 20 do Decreto nº 11.129/2022. A multa prevista no inciso I do caput do art. 6º da Lei nº 12.846/2013 terá como base de cálculo o faturamento bruto da pessoa jurídica no último exercício anterior ao da instauração do PAR, excluídos os tributos.</w:t>
      </w:r>
    </w:p>
    <w:p>
      <w:r>
        <w:rPr>
          <w:i/>
        </w:rPr>
        <w:t>Art. 21. Caso a pessoa jurídica comprovadamente não tenha tido faturamento no último exercício anterior ao da instauração do PAR, deve-se considerar como base de cálculo da multa o valor do último faturamento bruto apurado pela pessoa jurídica, excluídos os tributos incidentes sobre vendas, que terá seu valor atualizado pelo IPCA até o último dia do exercício anterior ao da instauração do PAR.</w:t>
      </w:r>
    </w:p>
    <w:p>
      <w:pPr>
        <w:pStyle w:val="Heading2"/>
      </w:pPr>
      <w:r>
        <w:t>4.2 Fluxo de Decisão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Situação</w:t>
            </w:r>
          </w:p>
        </w:tc>
        <w:tc>
          <w:tcPr>
            <w:tcW w:type="dxa" w:w="2880"/>
            <w:shd w:val="clear" w:color="auto" w:fill="D9E2F3"/>
          </w:tcPr>
          <w:p>
            <w:r/>
            <w:r>
              <w:rPr>
                <w:b/>
              </w:rPr>
              <w:t>Regra Aplicável</w:t>
            </w:r>
          </w:p>
        </w:tc>
        <w:tc>
          <w:tcPr>
            <w:tcW w:type="dxa" w:w="2880"/>
            <w:shd w:val="clear" w:color="auto" w:fill="D9E2F3"/>
          </w:tcPr>
          <w:p>
            <w:r/>
            <w:r>
              <w:rPr>
                <w:b/>
              </w:rPr>
              <w:t>Fundamento</w:t>
            </w:r>
          </w:p>
        </w:tc>
      </w:tr>
      <w:tr>
        <w:tc>
          <w:tcPr>
            <w:tcW w:type="dxa" w:w="2880"/>
          </w:tcPr>
          <w:p>
            <w:r/>
            <w:r>
              <w:t>PJ teve faturamento no exercício anterior ao PAR</w:t>
            </w:r>
          </w:p>
        </w:tc>
        <w:tc>
          <w:tcPr>
            <w:tcW w:type="dxa" w:w="2880"/>
          </w:tcPr>
          <w:p>
            <w:r/>
            <w:r>
              <w:t>Usar faturamento do exercício de referência (Ano PAR − 1)</w:t>
            </w:r>
          </w:p>
        </w:tc>
        <w:tc>
          <w:tcPr>
            <w:tcW w:type="dxa" w:w="2880"/>
          </w:tcPr>
          <w:p>
            <w:r/>
            <w:r>
              <w:t>Art. 20</w:t>
            </w:r>
          </w:p>
        </w:tc>
      </w:tr>
      <w:tr>
        <w:tc>
          <w:tcPr>
            <w:tcW w:type="dxa" w:w="2880"/>
          </w:tcPr>
          <w:p>
            <w:r/>
            <w:r>
              <w:t>PJ não teve faturamento no exercício anterior</w:t>
            </w:r>
          </w:p>
        </w:tc>
        <w:tc>
          <w:tcPr>
            <w:tcW w:type="dxa" w:w="2880"/>
          </w:tcPr>
          <w:p>
            <w:r/>
            <w:r>
              <w:t>Usar o último faturamento bruto apurado, atualizado pelo IPCA</w:t>
            </w:r>
          </w:p>
        </w:tc>
        <w:tc>
          <w:tcPr>
            <w:tcW w:type="dxa" w:w="2880"/>
          </w:tcPr>
          <w:p>
            <w:r/>
            <w:r>
              <w:t>Art. 21</w:t>
            </w:r>
          </w:p>
        </w:tc>
      </w:tr>
    </w:tbl>
    <w:p/>
    <w:p>
      <w:pPr>
        <w:pStyle w:val="Heading2"/>
      </w:pPr>
      <w:r>
        <w:t>4.3 Modos de Apuração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Modo</w:t>
            </w:r>
          </w:p>
        </w:tc>
        <w:tc>
          <w:tcPr>
            <w:tcW w:type="dxa" w:w="2880"/>
            <w:shd w:val="clear" w:color="auto" w:fill="D9E2F3"/>
          </w:tcPr>
          <w:p>
            <w:r/>
            <w:r>
              <w:rPr>
                <w:b/>
              </w:rPr>
              <w:t>Descrição</w:t>
            </w:r>
          </w:p>
        </w:tc>
        <w:tc>
          <w:tcPr>
            <w:tcW w:type="dxa" w:w="2880"/>
            <w:shd w:val="clear" w:color="auto" w:fill="D9E2F3"/>
          </w:tcPr>
          <w:p>
            <w:r/>
            <w:r>
              <w:rPr>
                <w:b/>
              </w:rPr>
              <w:t>Fundamento</w:t>
            </w:r>
          </w:p>
        </w:tc>
      </w:tr>
      <w:tr>
        <w:tc>
          <w:tcPr>
            <w:tcW w:type="dxa" w:w="2880"/>
          </w:tcPr>
          <w:p>
            <w:r/>
            <w:r>
              <w:t>DRE (Regime Geral)</w:t>
            </w:r>
          </w:p>
        </w:tc>
        <w:tc>
          <w:tcPr>
            <w:tcW w:type="dxa" w:w="2880"/>
          </w:tcPr>
          <w:p>
            <w:r/>
            <w:r>
              <w:t>Receita Bruta − Tributos sobre Vendas</w:t>
            </w:r>
          </w:p>
        </w:tc>
        <w:tc>
          <w:tcPr>
            <w:tcW w:type="dxa" w:w="2880"/>
          </w:tcPr>
          <w:p>
            <w:r/>
            <w:r>
              <w:t>Art. 20, caput</w:t>
            </w:r>
          </w:p>
        </w:tc>
      </w:tr>
      <w:tr>
        <w:tc>
          <w:tcPr>
            <w:tcW w:type="dxa" w:w="2880"/>
          </w:tcPr>
          <w:p>
            <w:r/>
            <w:r>
              <w:t>Simples Nacional (ME/EPP)</w:t>
            </w:r>
          </w:p>
        </w:tc>
        <w:tc>
          <w:tcPr>
            <w:tcW w:type="dxa" w:w="2880"/>
          </w:tcPr>
          <w:p>
            <w:r/>
            <w:r>
              <w:t>Receita bruta total apurada nas declarações do Simples</w:t>
            </w:r>
          </w:p>
        </w:tc>
        <w:tc>
          <w:tcPr>
            <w:tcW w:type="dxa" w:w="2880"/>
          </w:tcPr>
          <w:p>
            <w:r/>
            <w:r>
              <w:t>LC nº 123/2006, art. 3º, §1º</w:t>
            </w:r>
          </w:p>
        </w:tc>
      </w:tr>
      <w:tr>
        <w:tc>
          <w:tcPr>
            <w:tcW w:type="dxa" w:w="2880"/>
          </w:tcPr>
          <w:p>
            <w:r/>
            <w:r>
              <w:t>Estimativa pela autoridade</w:t>
            </w:r>
          </w:p>
        </w:tc>
        <w:tc>
          <w:tcPr>
            <w:tcW w:type="dxa" w:w="2880"/>
          </w:tcPr>
          <w:p>
            <w:r/>
            <w:r>
              <w:t>Hipótese residual — outros elementos quando não há dados contábeis</w:t>
            </w:r>
          </w:p>
        </w:tc>
        <w:tc>
          <w:tcPr>
            <w:tcW w:type="dxa" w:w="2880"/>
          </w:tcPr>
          <w:p>
            <w:r/>
            <w:r>
              <w:t>Art. 20, §1º, III</w:t>
            </w:r>
          </w:p>
        </w:tc>
      </w:tr>
    </w:tbl>
    <w:p/>
    <w:p>
      <w:pPr>
        <w:pStyle w:val="Heading2"/>
      </w:pPr>
      <w:r>
        <w:t>4.4 Deduções: Atenção à DRE</w:t>
      </w:r>
    </w:p>
    <w:p>
      <w:r>
        <w:t>São dedutíveis apenas os tributos incidentes sobre as vendas: PIS, COFINS, IPI, ICMS e ISS.</w:t>
      </w:r>
    </w:p>
    <w:p>
      <w:pPr>
        <w:pStyle w:val="Heading1"/>
        <w:pageBreakBefore/>
      </w:pPr>
      <w:r>
        <w:t>⚠  Ponto crítico: na DRE contábil, a receita bruta é deduzida também de abatimentos, devoluções e vendas canceladas. Para fins de PAR, contudo, APENAS os tributos têm previsão legal de exclusão. Devoluções e vendas canceladas NÃO reduzem a base de cálculo da multa. Atenção redobrada ao importar números diretamente da DRE.</w:t>
      </w:r>
    </w:p>
    <w:p>
      <w:pPr>
        <w:pStyle w:val="Heading2"/>
      </w:pPr>
      <w:r>
        <w:t>4.5 Critérios de Exceção (faturamento não apurável)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Ordem</w:t>
            </w:r>
          </w:p>
        </w:tc>
        <w:tc>
          <w:tcPr>
            <w:tcW w:type="dxa" w:w="2880"/>
            <w:shd w:val="clear" w:color="auto" w:fill="D9E2F3"/>
          </w:tcPr>
          <w:p>
            <w:r/>
            <w:r>
              <w:rPr>
                <w:b/>
              </w:rPr>
              <w:t>Critério</w:t>
            </w:r>
          </w:p>
        </w:tc>
        <w:tc>
          <w:tcPr>
            <w:tcW w:type="dxa" w:w="2880"/>
            <w:shd w:val="clear" w:color="auto" w:fill="D9E2F3"/>
          </w:tcPr>
          <w:p>
            <w:r/>
            <w:r>
              <w:rPr>
                <w:b/>
              </w:rPr>
              <w:t>Fundamento</w:t>
            </w:r>
          </w:p>
        </w:tc>
      </w:tr>
      <w:tr>
        <w:tc>
          <w:tcPr>
            <w:tcW w:type="dxa" w:w="2880"/>
          </w:tcPr>
          <w:p>
            <w:r/>
            <w:r>
              <w:t>1º</w:t>
            </w:r>
          </w:p>
        </w:tc>
        <w:tc>
          <w:tcPr>
            <w:tcW w:type="dxa" w:w="2880"/>
          </w:tcPr>
          <w:p>
            <w:r/>
            <w:r>
              <w:t>Faturamento bruto do último ano com receita, atualizado pelo IPCA</w:t>
            </w:r>
          </w:p>
        </w:tc>
        <w:tc>
          <w:tcPr>
            <w:tcW w:type="dxa" w:w="2880"/>
          </w:tcPr>
          <w:p>
            <w:r/>
            <w:r>
              <w:t>Art. 21</w:t>
            </w:r>
          </w:p>
        </w:tc>
      </w:tr>
      <w:tr>
        <w:tc>
          <w:tcPr>
            <w:tcW w:type="dxa" w:w="2880"/>
          </w:tcPr>
          <w:p>
            <w:r/>
            <w:r>
              <w:t>2º</w:t>
            </w:r>
          </w:p>
        </w:tc>
        <w:tc>
          <w:tcPr>
            <w:tcW w:type="dxa" w:w="2880"/>
          </w:tcPr>
          <w:p>
            <w:r/>
            <w:r>
              <w:t>Faturamento estimado: mercado, capital social, dados setoriais fundamentados</w:t>
            </w:r>
          </w:p>
        </w:tc>
        <w:tc>
          <w:tcPr>
            <w:tcW w:type="dxa" w:w="2880"/>
          </w:tcPr>
          <w:p>
            <w:r/>
            <w:r>
              <w:t>Art. 20, §1º, III</w:t>
            </w:r>
          </w:p>
        </w:tc>
      </w:tr>
      <w:tr>
        <w:tc>
          <w:tcPr>
            <w:tcW w:type="dxa" w:w="2880"/>
          </w:tcPr>
          <w:p>
            <w:r/>
            <w:r>
              <w:t>3º</w:t>
            </w:r>
          </w:p>
        </w:tc>
        <w:tc>
          <w:tcPr>
            <w:tcW w:type="dxa" w:w="2880"/>
          </w:tcPr>
          <w:p>
            <w:r/>
            <w:r>
              <w:t>Valor absoluto fixo legal: multa de R$ 6 mil a R$ 60 milhões</w:t>
            </w:r>
          </w:p>
        </w:tc>
        <w:tc>
          <w:tcPr>
            <w:tcW w:type="dxa" w:w="2880"/>
          </w:tcPr>
          <w:p>
            <w:r/>
            <w:r>
              <w:t>Art. 6º, I, da Lei</w:t>
            </w:r>
          </w:p>
        </w:tc>
      </w:tr>
    </w:tbl>
    <w:p/>
    <w:p>
      <w:pPr>
        <w:pStyle w:val="Heading1"/>
        <w:pageBreakBefore/>
      </w:pPr>
      <w:r>
        <w:t>⚠  Como a calculadora funciona offline, a atualização pelo IPCA (Art. 21) deve ser realizada previamente na Calculadora do Cidadão (BCB/IPCA) ou na Calculadora de Multa da CGU. Informe o valor já corrigido no campo correspondente.</w:t>
      </w:r>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Fixe primeiro, com precisão documentada, a data de publicação da portaria de instauração — é esse marco, e não a data do ato lesivo, que determina o exercício de referência (ano da instauração menos 1).</w:t>
            </w:r>
          </w:p>
          <w:p>
            <w:pPr>
              <w:spacing w:after="60"/>
            </w:pPr>
            <w:r>
              <w:rPr>
                <w:rFonts w:ascii="Calibri" w:cs="Calibri" w:eastAsia="Calibri" w:hAnsi="Calibri"/>
                <w:sz w:val="21"/>
                <w:szCs w:val="21"/>
              </w:rPr>
              <w:t xml:space="preserve">Prefira sempre fonte primária de faturamento (ECF, SPED, DRE auditada) a estimativas. Registre na Nota de Indiciação qual documento fundamentou o valor adotado e sua data de obtenção.</w:t>
            </w:r>
          </w:p>
          <w:p>
            <w:pPr>
              <w:spacing w:after="60"/>
            </w:pPr>
            <w:r>
              <w:rPr>
                <w:rFonts w:ascii="Calibri" w:cs="Calibri" w:eastAsia="Calibri" w:hAnsi="Calibri"/>
                <w:sz w:val="21"/>
                <w:szCs w:val="21"/>
              </w:rPr>
              <w:t xml:space="preserve">Se a pessoa jurídica integra grupo econômico e não possui faturamento próprio relevante (ex.: SPE de projeto), verifique desde já se será necessário consolidar faturamentos nos termos do art. 20, §2º — isso evita retrabalho nas etapas finais.</w:t>
            </w:r>
          </w:p>
          <w:p>
            <w:pPr>
              <w:spacing w:after="60"/>
            </w:pPr>
            <w:r>
              <w:rPr>
                <w:rFonts w:ascii="Calibri" w:cs="Calibri" w:eastAsia="Calibri" w:hAnsi="Calibri"/>
                <w:sz w:val="21"/>
                <w:szCs w:val="21"/>
              </w:rPr>
              <w:t xml:space="preserve">Erro comum: usar o faturamento do ano em que o ato lesivo foi praticado, em vez do exercício anterior à instauração — que pode ser vários anos depois, a depender da duração da investigação preliminar.</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O PAR é instaurado por portaria publicada em 14/03/2025. A empresa apresenta DRE auditada de 2024 com receita bruta de R$ 42.000.000,00 e tributos sobre vendas de R$ 3.800.000,00. A base de cálculo será R$ 38.200.000,00 (exercício de referência: 2024), independentemente de o ato lesivo apurado ter ocorrido em 2021.</w:t>
            </w:r>
          </w:p>
        </w:tc>
      </w:tr>
    </w:tbl>
    <w:p/>
    <w:p>
      <w:pPr>
        <w:pStyle w:val="Heading1"/>
        <w:pageBreakBefore/>
      </w:pPr>
      <w:r>
        <w:t>5. ETAPA 1 — VANTAGENS AUFERIDA E PRETENDIDA (Art. 26)</w:t>
      </w:r>
    </w:p>
    <w:p>
      <w:pPr>
        <w:pStyle w:val="Heading2"/>
      </w:pPr>
      <w:r>
        <w:t>5.1 Distinção Legal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b/>
              </w:rPr>
              <w:t>Conceito</w:t>
            </w:r>
          </w:p>
        </w:tc>
        <w:tc>
          <w:tcPr>
            <w:tcW w:type="dxa" w:w="2160"/>
            <w:shd w:val="clear" w:color="auto" w:fill="D9E2F3"/>
          </w:tcPr>
          <w:p>
            <w:r/>
            <w:r>
              <w:rPr>
                <w:b/>
              </w:rPr>
              <w:t>Definição</w:t>
            </w:r>
          </w:p>
        </w:tc>
        <w:tc>
          <w:tcPr>
            <w:tcW w:type="dxa" w:w="2160"/>
            <w:shd w:val="clear" w:color="auto" w:fill="D9E2F3"/>
          </w:tcPr>
          <w:p>
            <w:r/>
            <w:r>
              <w:rPr>
                <w:b/>
              </w:rPr>
              <w:t>Função na Multa</w:t>
            </w:r>
          </w:p>
        </w:tc>
        <w:tc>
          <w:tcPr>
            <w:tcW w:type="dxa" w:w="2160"/>
            <w:shd w:val="clear" w:color="auto" w:fill="D9E2F3"/>
          </w:tcPr>
          <w:p>
            <w:r/>
            <w:r>
              <w:rPr>
                <w:b/>
              </w:rPr>
              <w:t>Fundamento</w:t>
            </w:r>
          </w:p>
        </w:tc>
      </w:tr>
      <w:tr>
        <w:tc>
          <w:tcPr>
            <w:tcW w:type="dxa" w:w="2160"/>
          </w:tcPr>
          <w:p>
            <w:r/>
            <w:r>
              <w:t>Vantagem Auferida</w:t>
            </w:r>
          </w:p>
        </w:tc>
        <w:tc>
          <w:tcPr>
            <w:tcW w:type="dxa" w:w="2160"/>
          </w:tcPr>
          <w:p>
            <w:r/>
            <w:r>
              <w:t>Ganho real e efetivamente obtido com o ato lesivo</w:t>
            </w:r>
          </w:p>
        </w:tc>
        <w:tc>
          <w:tcPr>
            <w:tcW w:type="dxa" w:w="2160"/>
          </w:tcPr>
          <w:p>
            <w:r/>
            <w:r>
              <w:t>Piso mínimo inafastável da multa</w:t>
            </w:r>
          </w:p>
        </w:tc>
        <w:tc>
          <w:tcPr>
            <w:tcW w:type="dxa" w:w="2160"/>
          </w:tcPr>
          <w:p>
            <w:r/>
            <w:r>
              <w:t>Art. 25, I</w:t>
            </w:r>
          </w:p>
        </w:tc>
      </w:tr>
      <w:tr>
        <w:tc>
          <w:tcPr>
            <w:tcW w:type="dxa" w:w="2160"/>
          </w:tcPr>
          <w:p>
            <w:r/>
            <w:r>
              <w:t>Vantagem Pretendida</w:t>
            </w:r>
          </w:p>
        </w:tc>
        <w:tc>
          <w:tcPr>
            <w:tcW w:type="dxa" w:w="2160"/>
          </w:tcPr>
          <w:p>
            <w:r/>
            <w:r>
              <w:t>Ganho planejado/visado, ainda que não concretizado</w:t>
            </w:r>
          </w:p>
        </w:tc>
        <w:tc>
          <w:tcPr>
            <w:tcW w:type="dxa" w:w="2160"/>
          </w:tcPr>
          <w:p>
            <w:r/>
            <w:r>
              <w:t>Referência para o teto máximo (maior entre as duas)</w:t>
            </w:r>
          </w:p>
        </w:tc>
        <w:tc>
          <w:tcPr>
            <w:tcW w:type="dxa" w:w="2160"/>
          </w:tcPr>
          <w:p>
            <w:r/>
            <w:r>
              <w:t>Art. 25, II</w:t>
            </w:r>
          </w:p>
        </w:tc>
      </w:tr>
    </w:tbl>
    <w:p/>
    <w:p>
      <w:pPr>
        <w:pStyle w:val="Heading2"/>
      </w:pPr>
      <w:r>
        <w:t>5.2 Métodos de Apuração da Vantagem Auferida</w:t>
      </w:r>
    </w:p>
    <w:p>
      <w:r>
        <w:rPr>
          <w:b/>
        </w:rPr>
        <w:t>Modo Direto</w:t>
      </w:r>
    </w:p>
    <w:p>
      <w:r>
        <w:t>Informar o valor já apurado externamente. Utilizar zero quando a vantagem não é estimável.</w:t>
      </w:r>
    </w:p>
    <w:p>
      <w:r>
        <w:rPr>
          <w:b/>
        </w:rPr>
        <w:t>Art. 26, I — Diferença entre receita auferida e custos lícitos</w:t>
      </w:r>
    </w:p>
    <w:p>
      <w:r>
        <w:t>Aplicável quando há receita auferida indevidamente (ex.: contratos obtidos por ato ilícito).</w:t>
      </w:r>
    </w:p>
    <w:p>
      <w:r>
        <w:rPr>
          <w:i/>
        </w:rPr>
        <w:t>Vantagem = Receita Auferida − CMV/CSP − Despesas Lícitas − IRPJ/CSLL</w:t>
      </w:r>
    </w:p>
    <w:p>
      <w:r>
        <w:t>Suporta múltiplos exercícios com tratamento de prejuízos acumulados.</w:t>
      </w:r>
    </w:p>
    <w:p>
      <w:r>
        <w:rPr>
          <w:b/>
        </w:rPr>
        <w:t>Art. 26, II — Custos e despesas não suportados</w:t>
      </w:r>
    </w:p>
    <w:p>
      <w:r>
        <w:t>Valor correspondente aos custos e despesas que a PJ deixou de suportar. Exemplos: tributos não recolhidos, multas regulatórias evitadas, encargos não pagos.</w:t>
      </w:r>
    </w:p>
    <w:p>
      <w:r>
        <w:rPr>
          <w:b/>
        </w:rPr>
        <w:t>Art. 26, III — Acréscimo patrimonial por ação/omissão do Poder Público</w:t>
      </w:r>
    </w:p>
    <w:p>
      <w:r>
        <w:t>Acréscimo patrimonial que não teria ocorrido sem o ato lesivo. Exemplos: juros subsidiados obtidos indevidamente, uso de informação privilegiada.</w:t>
      </w:r>
    </w:p>
    <w:p>
      <w:pPr>
        <w:pStyle w:val="Heading1"/>
        <w:pageBreakBefore/>
      </w:pPr>
      <w:r>
        <w:t>⚠  Não confundir vantagem auferida com pretendida. Inflar o piso mínimo com a vantagem pretendida é erro metodológico. A calculadora trata cada valor na função legal correta.</w:t>
      </w:r>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Escolha o método do art. 26 pela natureza do ato lesivo, não pela conveniência do valor: fraude em contrato aponta para o método I; sonegação de custos regulatórios evitados aponta para o método II; uso de informação privilegiada aponta para o método III.</w:t>
            </w:r>
          </w:p>
          <w:p>
            <w:pPr>
              <w:spacing w:after="60"/>
            </w:pPr>
            <w:r>
              <w:rPr>
                <w:rFonts w:ascii="Calibri" w:cs="Calibri" w:eastAsia="Calibri" w:hAnsi="Calibri"/>
                <w:sz w:val="21"/>
                <w:szCs w:val="21"/>
              </w:rPr>
              <w:t xml:space="preserve">Documente sempre a memória de cálculo em planilha anexa ao Relatório Final — o método escolhido, as premissas (CMV, despesas deduzidas) e a fonte de cada número.</w:t>
            </w:r>
          </w:p>
          <w:p>
            <w:pPr>
              <w:spacing w:after="60"/>
            </w:pPr>
            <w:r>
              <w:rPr>
                <w:rFonts w:ascii="Calibri" w:cs="Calibri" w:eastAsia="Calibri" w:hAnsi="Calibri"/>
                <w:sz w:val="21"/>
                <w:szCs w:val="21"/>
              </w:rPr>
              <w:t xml:space="preserve">Nunca use a vantagem pretendida para compor o piso da multa (art. 25, I) — o piso é sempre a vantagem auferida (ou o percentual mínimo do faturamento, o que for maior). Confundir as duas funções é o erro metodológico mais comum nesta etapa.</w:t>
            </w:r>
          </w:p>
          <w:p>
            <w:pPr>
              <w:spacing w:after="60"/>
            </w:pPr>
            <w:r>
              <w:rPr>
                <w:rFonts w:ascii="Calibri" w:cs="Calibri" w:eastAsia="Calibri" w:hAnsi="Calibri"/>
                <w:sz w:val="21"/>
                <w:szCs w:val="21"/>
              </w:rPr>
              <w:t xml:space="preserve">Se não houver elementos para estimar nenhuma vantagem, registre expressamente essa impossibilidade — isso tem efeito direto na etapa de atenuantes (art. 23, II) e nos limites do art. 25.</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Uma empresa obtém contrato de R$ 10.000.000,00 mediante fraude em licitação (art. 5º, IV, LAC). Os custos lícitos comprovadamente atribuíveis ao objeto somam R$ 6.500.000,00, e o IRPJ/CSLL sobre o lucro do contrato totaliza R$ 400.000,00. Vantagem auferida pelo método I: R$ 10.000.000,00 − R$ 6.500.000,00 − R$ 400.000,00 = R$ 3.100.000,00.</w:t>
            </w:r>
          </w:p>
        </w:tc>
      </w:tr>
    </w:tbl>
    <w:p/>
    <w:p>
      <w:pPr>
        <w:pStyle w:val="Heading1"/>
        <w:pageBreakBefore/>
      </w:pPr>
      <w:r>
        <w:t>6. AGRAVANTES — ART. 22, I A VI</w:t>
      </w:r>
    </w:p>
    <w:p>
      <w:pPr>
        <w:pStyle w:val="Heading2"/>
      </w:pPr>
      <w:r>
        <w:t>6.1 Art. 22, I — Concurso de Atos Lesivos</w:t>
      </w:r>
    </w:p>
    <w:p>
      <w:r>
        <w:t>Cruzamento entre quantidade de condutas ilícitas (linhas) e número de espécies distintas de atos lesivos do art. 5º da LAC (colunas). Aplica-se o percentual da célula correspondente ao caso concreto.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rPr>
              <w:t>Condutas ↓ / Espécies →</w:t>
            </w:r>
          </w:p>
        </w:tc>
        <w:tc>
          <w:tcPr>
            <w:tcW w:type="dxa" w:w="1728"/>
            <w:shd w:val="clear" w:color="auto" w:fill="D9E2F3"/>
          </w:tcPr>
          <w:p>
            <w:r/>
            <w:r>
              <w:rPr>
                <w:b/>
              </w:rPr>
              <w:t>1 espécie</w:t>
            </w:r>
          </w:p>
        </w:tc>
        <w:tc>
          <w:tcPr>
            <w:tcW w:type="dxa" w:w="1728"/>
            <w:shd w:val="clear" w:color="auto" w:fill="D9E2F3"/>
          </w:tcPr>
          <w:p>
            <w:r/>
            <w:r>
              <w:rPr>
                <w:b/>
              </w:rPr>
              <w:t>2 espécies</w:t>
            </w:r>
          </w:p>
        </w:tc>
        <w:tc>
          <w:tcPr>
            <w:tcW w:type="dxa" w:w="1728"/>
            <w:shd w:val="clear" w:color="auto" w:fill="D9E2F3"/>
          </w:tcPr>
          <w:p>
            <w:r/>
            <w:r>
              <w:rPr>
                <w:b/>
              </w:rPr>
              <w:t>3 espécies</w:t>
            </w:r>
          </w:p>
        </w:tc>
        <w:tc>
          <w:tcPr>
            <w:tcW w:type="dxa" w:w="1728"/>
            <w:shd w:val="clear" w:color="auto" w:fill="D9E2F3"/>
          </w:tcPr>
          <w:p>
            <w:r/>
            <w:r>
              <w:rPr>
                <w:b/>
              </w:rPr>
              <w:t>4 ou mais</w:t>
            </w:r>
          </w:p>
        </w:tc>
      </w:tr>
      <w:tr>
        <w:tc>
          <w:tcPr>
            <w:tcW w:type="dxa" w:w="1728"/>
          </w:tcPr>
          <w:p>
            <w:r/>
            <w:r>
              <w:t>1 conduta (ato isolado)</w:t>
            </w:r>
          </w:p>
        </w:tc>
        <w:tc>
          <w:tcPr>
            <w:tcW w:type="dxa" w:w="1728"/>
          </w:tcPr>
          <w:p>
            <w:r/>
            <w:r>
              <w:t>—</w:t>
            </w:r>
          </w:p>
        </w:tc>
        <w:tc>
          <w:tcPr>
            <w:tcW w:type="dxa" w:w="1728"/>
          </w:tcPr>
          <w:p>
            <w:r/>
            <w:r>
              <w:t>0,5%</w:t>
            </w:r>
          </w:p>
        </w:tc>
        <w:tc>
          <w:tcPr>
            <w:tcW w:type="dxa" w:w="1728"/>
          </w:tcPr>
          <w:p>
            <w:r/>
            <w:r>
              <w:t>1,0%</w:t>
            </w:r>
          </w:p>
        </w:tc>
        <w:tc>
          <w:tcPr>
            <w:tcW w:type="dxa" w:w="1728"/>
          </w:tcPr>
          <w:p>
            <w:r/>
            <w:r>
              <w:t>1,5%</w:t>
            </w:r>
          </w:p>
        </w:tc>
      </w:tr>
      <w:tr>
        <w:tc>
          <w:tcPr>
            <w:tcW w:type="dxa" w:w="1728"/>
          </w:tcPr>
          <w:p>
            <w:r/>
            <w:r>
              <w:t>2 condutas</w:t>
            </w:r>
          </w:p>
        </w:tc>
        <w:tc>
          <w:tcPr>
            <w:tcW w:type="dxa" w:w="1728"/>
          </w:tcPr>
          <w:p>
            <w:r/>
            <w:r>
              <w:t>0,5%</w:t>
            </w:r>
          </w:p>
        </w:tc>
        <w:tc>
          <w:tcPr>
            <w:tcW w:type="dxa" w:w="1728"/>
          </w:tcPr>
          <w:p>
            <w:r/>
            <w:r>
              <w:t>1,0%</w:t>
            </w:r>
          </w:p>
        </w:tc>
        <w:tc>
          <w:tcPr>
            <w:tcW w:type="dxa" w:w="1728"/>
          </w:tcPr>
          <w:p>
            <w:r/>
            <w:r>
              <w:t>1,5%</w:t>
            </w:r>
          </w:p>
        </w:tc>
        <w:tc>
          <w:tcPr>
            <w:tcW w:type="dxa" w:w="1728"/>
          </w:tcPr>
          <w:p>
            <w:r/>
            <w:r>
              <w:t>2,0%</w:t>
            </w:r>
          </w:p>
        </w:tc>
      </w:tr>
      <w:tr>
        <w:tc>
          <w:tcPr>
            <w:tcW w:type="dxa" w:w="1728"/>
          </w:tcPr>
          <w:p>
            <w:r/>
            <w:r>
              <w:t>3 condutas</w:t>
            </w:r>
          </w:p>
        </w:tc>
        <w:tc>
          <w:tcPr>
            <w:tcW w:type="dxa" w:w="1728"/>
          </w:tcPr>
          <w:p>
            <w:r/>
            <w:r>
              <w:t>1,0%</w:t>
            </w:r>
          </w:p>
        </w:tc>
        <w:tc>
          <w:tcPr>
            <w:tcW w:type="dxa" w:w="1728"/>
          </w:tcPr>
          <w:p>
            <w:r/>
            <w:r>
              <w:t>1,5%</w:t>
            </w:r>
          </w:p>
        </w:tc>
        <w:tc>
          <w:tcPr>
            <w:tcW w:type="dxa" w:w="1728"/>
          </w:tcPr>
          <w:p>
            <w:r/>
            <w:r>
              <w:t>2,0%</w:t>
            </w:r>
          </w:p>
        </w:tc>
        <w:tc>
          <w:tcPr>
            <w:tcW w:type="dxa" w:w="1728"/>
          </w:tcPr>
          <w:p>
            <w:r/>
            <w:r>
              <w:t>2,5%</w:t>
            </w:r>
          </w:p>
        </w:tc>
      </w:tr>
      <w:tr>
        <w:tc>
          <w:tcPr>
            <w:tcW w:type="dxa" w:w="1728"/>
          </w:tcPr>
          <w:p>
            <w:r/>
            <w:r>
              <w:t>4 condutas</w:t>
            </w:r>
          </w:p>
        </w:tc>
        <w:tc>
          <w:tcPr>
            <w:tcW w:type="dxa" w:w="1728"/>
          </w:tcPr>
          <w:p>
            <w:r/>
            <w:r>
              <w:t>1,5%</w:t>
            </w:r>
          </w:p>
        </w:tc>
        <w:tc>
          <w:tcPr>
            <w:tcW w:type="dxa" w:w="1728"/>
          </w:tcPr>
          <w:p>
            <w:r/>
            <w:r>
              <w:t>2,0%</w:t>
            </w:r>
          </w:p>
        </w:tc>
        <w:tc>
          <w:tcPr>
            <w:tcW w:type="dxa" w:w="1728"/>
          </w:tcPr>
          <w:p>
            <w:r/>
            <w:r>
              <w:t>2,5%</w:t>
            </w:r>
          </w:p>
        </w:tc>
        <w:tc>
          <w:tcPr>
            <w:tcW w:type="dxa" w:w="1728"/>
          </w:tcPr>
          <w:p>
            <w:r/>
            <w:r>
              <w:t>3,0%</w:t>
            </w:r>
          </w:p>
        </w:tc>
      </w:tr>
      <w:tr>
        <w:tc>
          <w:tcPr>
            <w:tcW w:type="dxa" w:w="1728"/>
          </w:tcPr>
          <w:p>
            <w:r/>
            <w:r>
              <w:t>5 condutas</w:t>
            </w:r>
          </w:p>
        </w:tc>
        <w:tc>
          <w:tcPr>
            <w:tcW w:type="dxa" w:w="1728"/>
          </w:tcPr>
          <w:p>
            <w:r/>
            <w:r>
              <w:t>2,0%</w:t>
            </w:r>
          </w:p>
        </w:tc>
        <w:tc>
          <w:tcPr>
            <w:tcW w:type="dxa" w:w="1728"/>
          </w:tcPr>
          <w:p>
            <w:r/>
            <w:r>
              <w:t>2,5%</w:t>
            </w:r>
          </w:p>
        </w:tc>
        <w:tc>
          <w:tcPr>
            <w:tcW w:type="dxa" w:w="1728"/>
          </w:tcPr>
          <w:p>
            <w:r/>
            <w:r>
              <w:t>3,0%</w:t>
            </w:r>
          </w:p>
        </w:tc>
        <w:tc>
          <w:tcPr>
            <w:tcW w:type="dxa" w:w="1728"/>
          </w:tcPr>
          <w:p>
            <w:r/>
            <w:r>
              <w:t>3,5%</w:t>
            </w:r>
          </w:p>
        </w:tc>
      </w:tr>
      <w:tr>
        <w:tc>
          <w:tcPr>
            <w:tcW w:type="dxa" w:w="1728"/>
          </w:tcPr>
          <w:p>
            <w:r/>
            <w:r>
              <w:t>6 condutas</w:t>
            </w:r>
          </w:p>
        </w:tc>
        <w:tc>
          <w:tcPr>
            <w:tcW w:type="dxa" w:w="1728"/>
          </w:tcPr>
          <w:p>
            <w:r/>
            <w:r>
              <w:t>2,5%</w:t>
            </w:r>
          </w:p>
        </w:tc>
        <w:tc>
          <w:tcPr>
            <w:tcW w:type="dxa" w:w="1728"/>
          </w:tcPr>
          <w:p>
            <w:r/>
            <w:r>
              <w:t>3,0%</w:t>
            </w:r>
          </w:p>
        </w:tc>
        <w:tc>
          <w:tcPr>
            <w:tcW w:type="dxa" w:w="1728"/>
          </w:tcPr>
          <w:p>
            <w:r/>
            <w:r>
              <w:t>3,5%</w:t>
            </w:r>
          </w:p>
        </w:tc>
        <w:tc>
          <w:tcPr>
            <w:tcW w:type="dxa" w:w="1728"/>
          </w:tcPr>
          <w:p>
            <w:r/>
            <w:r>
              <w:t>4,0%</w:t>
            </w:r>
          </w:p>
        </w:tc>
      </w:tr>
      <w:tr>
        <w:tc>
          <w:tcPr>
            <w:tcW w:type="dxa" w:w="1728"/>
          </w:tcPr>
          <w:p>
            <w:r/>
            <w:r>
              <w:t>7 ou mais</w:t>
            </w:r>
          </w:p>
        </w:tc>
        <w:tc>
          <w:tcPr>
            <w:tcW w:type="dxa" w:w="1728"/>
          </w:tcPr>
          <w:p>
            <w:r/>
            <w:r>
              <w:t>3,0%</w:t>
            </w:r>
          </w:p>
        </w:tc>
        <w:tc>
          <w:tcPr>
            <w:tcW w:type="dxa" w:w="1728"/>
          </w:tcPr>
          <w:p>
            <w:r/>
            <w:r>
              <w:t>3,5%</w:t>
            </w:r>
          </w:p>
        </w:tc>
        <w:tc>
          <w:tcPr>
            <w:tcW w:type="dxa" w:w="1728"/>
          </w:tcPr>
          <w:p>
            <w:r/>
            <w:r>
              <w:t>4,0%</w:t>
            </w:r>
          </w:p>
        </w:tc>
        <w:tc>
          <w:tcPr>
            <w:tcW w:type="dxa" w:w="1728"/>
          </w:tcPr>
          <w:p>
            <w:r/>
            <w:r>
              <w:t>4,0%</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Construa uma tabela de condutas na própria Nota de Indiciação: cada linha um ato concreto, com data, agente envolvido, e o inciso do art. 5º correspondente. Essa tabela é o dado de entrada direto desta etapa.</w:t>
            </w:r>
          </w:p>
          <w:p>
            <w:pPr>
              <w:spacing w:after="60"/>
            </w:pPr>
            <w:r>
              <w:rPr>
                <w:rFonts w:ascii="Calibri" w:cs="Calibri" w:eastAsia="Calibri" w:hAnsi="Calibri"/>
                <w:sz w:val="21"/>
                <w:szCs w:val="21"/>
              </w:rPr>
              <w:t xml:space="preserve">Cuidado especial com o art. 5º, IV: cada alínea (a a g) pode configurar espécie distinta quando os fatos subjacentes são materialmente diferentes — não trate o inciso IV como uma única espécie automaticamente.</w:t>
            </w:r>
          </w:p>
          <w:p>
            <w:pPr>
              <w:spacing w:after="60"/>
            </w:pPr>
            <w:r>
              <w:rPr>
                <w:rFonts w:ascii="Calibri" w:cs="Calibri" w:eastAsia="Calibri" w:hAnsi="Calibri"/>
                <w:sz w:val="21"/>
                <w:szCs w:val="21"/>
              </w:rPr>
              <w:t xml:space="preserve">Registre explicitamente, para cada conduta, se há elementos de unidade de desígnio (mesmo ajuste, mesmo agente, período contínuo) — ainda que a metodologia vigente não haja um filtro de continuidade, essa informação protege a decisão em eventual debate sobre proporcionalidade (ver bloco de controvérsia correspondente na Fase 2 deste Manual).</w:t>
            </w:r>
          </w:p>
          <w:p>
            <w:pPr>
              <w:spacing w:after="60"/>
            </w:pPr>
            <w:r>
              <w:rPr>
                <w:rFonts w:ascii="Calibri" w:cs="Calibri" w:eastAsia="Calibri" w:hAnsi="Calibri"/>
                <w:sz w:val="21"/>
                <w:szCs w:val="21"/>
              </w:rPr>
              <w:t xml:space="preserve">Erro comum: contar como uma só conduta uma série de pagamentos que, examinados com cuidado, correspondem a transações distintas e identificáveis (nesse caso, cada uma deve ser contada separadamente).</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A comissão identifica três pagamentos de propina em datas distintas (inciso I) e uma fraude documental para dissimular os pagamentos (inciso V). São 4 condutas em 2 espécies distintas. Na tabela, isso corresponde à célula "4 condutas / 2 espécies": percentual de 2,0%.</w:t>
            </w:r>
          </w:p>
        </w:tc>
      </w:tr>
    </w:tbl>
    <w:p/>
    <w:p>
      <w:pPr>
        <w:pStyle w:val="Heading2"/>
      </w:pPr>
      <w:r>
        <w:t>6.2 Art. 22, II — Ciência/Tolerância Hierárquica</w:t>
      </w:r>
    </w:p>
    <w:p>
      <w:r>
        <w:t>O percentual varia conforme a posição hierárquica do agente com conhecimento ou tolerância, medida a partir do topo da estrutura.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Nível hierárquico</w:t>
            </w:r>
          </w:p>
        </w:tc>
        <w:tc>
          <w:tcPr>
            <w:tcW w:type="dxa" w:w="4320"/>
            <w:shd w:val="clear" w:color="auto" w:fill="D9E2F3"/>
          </w:tcPr>
          <w:p>
            <w:r/>
            <w:r>
              <w:rPr>
                <w:b/>
              </w:rPr>
              <w:t>%</w:t>
            </w:r>
          </w:p>
        </w:tc>
      </w:tr>
      <w:tr>
        <w:tc>
          <w:tcPr>
            <w:tcW w:type="dxa" w:w="4320"/>
          </w:tcPr>
          <w:p>
            <w:r/>
            <w:r>
              <w:t>Ausência de conhecimento pelo corpo diretivo e gerencial</w:t>
            </w:r>
          </w:p>
        </w:tc>
        <w:tc>
          <w:tcPr>
            <w:tcW w:type="dxa" w:w="4320"/>
          </w:tcPr>
          <w:p>
            <w:r/>
            <w:r>
              <w:t>0%</w:t>
            </w:r>
          </w:p>
        </w:tc>
      </w:tr>
      <w:tr>
        <w:tc>
          <w:tcPr>
            <w:tcW w:type="dxa" w:w="4320"/>
          </w:tcPr>
          <w:p>
            <w:r/>
            <w:r>
              <w:t>Tolerância/ciência do 5º nível abaixo dos administradores</w:t>
            </w:r>
          </w:p>
        </w:tc>
        <w:tc>
          <w:tcPr>
            <w:tcW w:type="dxa" w:w="4320"/>
          </w:tcPr>
          <w:p>
            <w:r/>
            <w:r>
              <w:t>1,0%</w:t>
            </w:r>
          </w:p>
        </w:tc>
      </w:tr>
      <w:tr>
        <w:tc>
          <w:tcPr>
            <w:tcW w:type="dxa" w:w="4320"/>
          </w:tcPr>
          <w:p>
            <w:r/>
            <w:r>
              <w:t>Tolerância/ciência do 4º nível abaixo dos administradores</w:t>
            </w:r>
          </w:p>
        </w:tc>
        <w:tc>
          <w:tcPr>
            <w:tcW w:type="dxa" w:w="4320"/>
          </w:tcPr>
          <w:p>
            <w:r/>
            <w:r>
              <w:t>1,5%</w:t>
            </w:r>
          </w:p>
        </w:tc>
      </w:tr>
      <w:tr>
        <w:tc>
          <w:tcPr>
            <w:tcW w:type="dxa" w:w="4320"/>
          </w:tcPr>
          <w:p>
            <w:r/>
            <w:r>
              <w:t>Tolerância/ciência do 3º nível abaixo dos administradores</w:t>
            </w:r>
          </w:p>
        </w:tc>
        <w:tc>
          <w:tcPr>
            <w:tcW w:type="dxa" w:w="4320"/>
          </w:tcPr>
          <w:p>
            <w:r/>
            <w:r>
              <w:t>2,0%</w:t>
            </w:r>
          </w:p>
        </w:tc>
      </w:tr>
      <w:tr>
        <w:tc>
          <w:tcPr>
            <w:tcW w:type="dxa" w:w="4320"/>
          </w:tcPr>
          <w:p>
            <w:r/>
            <w:r>
              <w:t>Tolerância/ciência do 2º nível (imediatamente abaixo)</w:t>
            </w:r>
          </w:p>
        </w:tc>
        <w:tc>
          <w:tcPr>
            <w:tcW w:type="dxa" w:w="4320"/>
          </w:tcPr>
          <w:p>
            <w:r/>
            <w:r>
              <w:t>2,5%</w:t>
            </w:r>
          </w:p>
        </w:tc>
      </w:tr>
      <w:tr>
        <w:tc>
          <w:tcPr>
            <w:tcW w:type="dxa" w:w="4320"/>
          </w:tcPr>
          <w:p>
            <w:r/>
            <w:r>
              <w:t>Tolerância/ciência dos sócios, acionistas ou administradores</w:t>
            </w:r>
          </w:p>
        </w:tc>
        <w:tc>
          <w:tcPr>
            <w:tcW w:type="dxa" w:w="4320"/>
          </w:tcPr>
          <w:p>
            <w:r/>
            <w:r>
              <w:t>3,0%</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Reconstrua o organograma vigente à época do ato lesivo — não o atual —, com base em atas societárias, contratos sociais e registros de RH contemporâneos aos fatos, evitando inferir hierarquia a partir da estrutura presente.</w:t>
            </w:r>
          </w:p>
          <w:p>
            <w:pPr>
              <w:spacing w:after="60"/>
            </w:pPr>
            <w:r>
              <w:rPr>
                <w:rFonts w:ascii="Calibri" w:cs="Calibri" w:eastAsia="Calibri" w:hAnsi="Calibri"/>
                <w:sz w:val="21"/>
                <w:szCs w:val="21"/>
              </w:rPr>
              <w:t xml:space="preserve">Distinga conhecimento de tolerância: basta a comprovação de que o nível hierárquico tinha ciência e nada fez, não sendo necessária prova de que autorizou expressamente o ato.</w:t>
            </w:r>
          </w:p>
          <w:p>
            <w:pPr>
              <w:spacing w:after="60"/>
            </w:pPr>
            <w:r>
              <w:rPr>
                <w:rFonts w:ascii="Calibri" w:cs="Calibri" w:eastAsia="Calibri" w:hAnsi="Calibri"/>
                <w:sz w:val="21"/>
                <w:szCs w:val="21"/>
              </w:rPr>
              <w:t xml:space="preserve">Evidências típicas: e-mails, atas de reunião, aprovações formais de pagamentos ou contratos, relatórios de auditoria interna que tenham circulado internamente sem gerar resposta.</w:t>
            </w:r>
          </w:p>
          <w:p>
            <w:pPr>
              <w:spacing w:after="60"/>
            </w:pPr>
            <w:r>
              <w:rPr>
                <w:rFonts w:ascii="Calibri" w:cs="Calibri" w:eastAsia="Calibri" w:hAnsi="Calibri"/>
                <w:sz w:val="21"/>
                <w:szCs w:val="21"/>
              </w:rPr>
              <w:t xml:space="preserve">Na ausência de prova de ciência em qualquer nível, o percentual é 0% — não presuma ciência hierárquica apenas pelo porte ou pela gravidade do ato lesivo.</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E-mails trocados entre o gerente comercial (2º nível abaixo do diretor-presidente) e o executor do pagamento indevido demonstram que o gerente aprovou a operação sabendo de sua natureza irregular. Percentual aplicável: 2,5% (2º nível, imediatamente abaixo dos administradores).</w:t>
            </w:r>
          </w:p>
        </w:tc>
      </w:tr>
    </w:tbl>
    <w:p/>
    <w:p>
      <w:pPr>
        <w:pStyle w:val="Heading2"/>
      </w:pPr>
      <w:r>
        <w:t>6.3 Art. 22, III — Interrupção/Descumprimento (três hipóteses)</w:t>
      </w:r>
    </w:p>
    <w:p>
      <w:r>
        <w:t>Avalie cada uma das três hipóteses abaixo. Aplica-se automaticamente o maior percentual entre elas.</w:t>
      </w:r>
    </w:p>
    <w:p>
      <w:r>
        <w:rPr>
          <w:b/>
        </w:rPr>
        <w:t>a) Interrupção no Fornecimento de Serviço Público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Situação</w:t>
            </w:r>
          </w:p>
        </w:tc>
        <w:tc>
          <w:tcPr>
            <w:tcW w:type="dxa" w:w="4320"/>
            <w:shd w:val="clear" w:color="auto" w:fill="D9E2F3"/>
          </w:tcPr>
          <w:p>
            <w:r/>
            <w:r>
              <w:rPr>
                <w:b/>
              </w:rPr>
              <w:t>%</w:t>
            </w:r>
          </w:p>
        </w:tc>
      </w:tr>
      <w:tr>
        <w:tc>
          <w:tcPr>
            <w:tcW w:type="dxa" w:w="4320"/>
            <w:shd w:val="clear" w:color="auto" w:fill="F2F2F2"/>
          </w:tcPr>
          <w:p>
            <w:r>
              <w:rPr>
                <w:rFonts w:ascii="Arial" w:hAnsi="Arial"/>
                <w:b w:val="0"/>
                <w:sz w:val="20"/>
              </w:rPr>
              <w:t>Ausência de interrupção no fornecimento de serviço público</w:t>
            </w:r>
          </w:p>
        </w:tc>
        <w:tc>
          <w:tcPr>
            <w:tcW w:type="dxa" w:w="4320"/>
          </w:tcPr>
          <w:p>
            <w:r/>
            <w:r>
              <w:t>0%</w:t>
            </w:r>
          </w:p>
        </w:tc>
      </w:tr>
      <w:tr>
        <w:tc>
          <w:tcPr>
            <w:tcW w:type="dxa" w:w="4320"/>
            <w:shd w:val="clear" w:color="auto" w:fill="FFFFFF"/>
          </w:tcPr>
          <w:p>
            <w:r>
              <w:rPr>
                <w:rFonts w:ascii="Arial" w:hAnsi="Arial"/>
                <w:b w:val="0"/>
                <w:sz w:val="20"/>
              </w:rPr>
              <w:t>Até 1 semana, ou impacto em município com até 100 mil habitantes</w:t>
            </w:r>
          </w:p>
        </w:tc>
        <w:tc>
          <w:tcPr>
            <w:tcW w:type="dxa" w:w="4320"/>
          </w:tcPr>
          <w:p>
            <w:r/>
            <w:r>
              <w:t>1,0%</w:t>
            </w:r>
          </w:p>
        </w:tc>
      </w:tr>
      <w:tr>
        <w:tc>
          <w:tcPr>
            <w:tcW w:type="dxa" w:w="4320"/>
            <w:shd w:val="clear" w:color="auto" w:fill="F2F2F2"/>
          </w:tcPr>
          <w:p>
            <w:r>
              <w:rPr>
                <w:rFonts w:ascii="Arial" w:hAnsi="Arial"/>
                <w:b w:val="0"/>
                <w:sz w:val="20"/>
              </w:rPr>
              <w:t>Até 2 semanas, ou impacto em município com até 400 mil habitantes</w:t>
            </w:r>
          </w:p>
        </w:tc>
        <w:tc>
          <w:tcPr>
            <w:tcW w:type="dxa" w:w="4320"/>
          </w:tcPr>
          <w:p>
            <w:r/>
            <w:r>
              <w:t>2,0%</w:t>
            </w:r>
          </w:p>
        </w:tc>
      </w:tr>
      <w:tr>
        <w:tc>
          <w:tcPr>
            <w:tcW w:type="dxa" w:w="4320"/>
            <w:shd w:val="clear" w:color="auto" w:fill="FFFFFF"/>
          </w:tcPr>
          <w:p>
            <w:r>
              <w:rPr>
                <w:rFonts w:ascii="Arial" w:hAnsi="Arial"/>
                <w:b w:val="0"/>
                <w:sz w:val="20"/>
              </w:rPr>
              <w:t>Até 3 semanas, ou município com mais de 400 mil hab., ou mais de um município do mesmo Estado</w:t>
            </w:r>
          </w:p>
        </w:tc>
        <w:tc>
          <w:tcPr>
            <w:tcW w:type="dxa" w:w="4320"/>
          </w:tcPr>
          <w:p>
            <w:r/>
            <w:r>
              <w:t>3,0%</w:t>
            </w:r>
          </w:p>
        </w:tc>
      </w:tr>
      <w:tr>
        <w:tc>
          <w:tcPr>
            <w:tcW w:type="dxa" w:w="4320"/>
            <w:shd w:val="clear" w:color="auto" w:fill="F2F2F2"/>
          </w:tcPr>
          <w:p>
            <w:r>
              <w:rPr>
                <w:rFonts w:ascii="Arial" w:hAnsi="Arial"/>
                <w:b w:val="0"/>
                <w:sz w:val="20"/>
              </w:rPr>
              <w:t>Superior a 4 semanas, ou dois ou mais Estados, ou dois ou mais municípios com +400 mil hab.</w:t>
            </w:r>
          </w:p>
        </w:tc>
        <w:tc>
          <w:tcPr>
            <w:tcW w:type="dxa" w:w="4320"/>
          </w:tcPr>
          <w:p>
            <w:r/>
            <w:r>
              <w:t>4,0%</w:t>
            </w:r>
          </w:p>
        </w:tc>
      </w:tr>
    </w:tbl>
    <w:p/>
    <w:tbl>
      <w:tblPr>
        <w:tblStyle w:val="TableGrid"/>
        <w:tblW w:type="auto" w:w="0"/>
        <w:tblLook w:firstColumn="1" w:firstRow="1" w:lastColumn="0" w:lastRow="0" w:noHBand="0" w:noVBand="1" w:val="04A0"/>
      </w:tblPr>
      <w:tblGrid>
        <w:gridCol w:w="8640"/>
      </w:tblGrid>
      <w:tr>
        <w:tc>
          <w:tcPr>
            <w:tcW w:type="dxa" w:w="8640"/>
            <w:shd w:val="clear" w:color="auto" w:fill="F2F2F2"/>
            <w:tcBorders>
              <w:bottom w:val="single" w:sz="6" w:space="0" w:color="64A70B"/>
            </w:tcBorders>
          </w:tcPr>
          <w:p>
            <w:r>
              <w:rPr>
                <w:rFonts w:ascii="Arial" w:hAnsi="Arial"/>
                <w:b w:val="0"/>
                <w:color w:val="444400"/>
                <w:sz w:val="20"/>
              </w:rPr>
              <w:t>⚠  Atualização (CGU, 3ª ed., jun/2026, Tabela 3.1): os limiares de porte de município passam a 100 mil e 400 mil habitantes, substituindo os antigos critérios "vila/povoado" e de 500 mil.</w:t>
            </w:r>
          </w:p>
        </w:tc>
      </w:tr>
    </w:tbl>
    <w:p/>
    <w:p>
      <w:r>
        <w:rPr>
          <w:b/>
        </w:rPr>
        <w:t>b) Interrupção na Execução de Obra Contratada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
              <w:rPr>
                <w:b/>
              </w:rPr>
              <w:t>Período ↓ / Residual →</w:t>
            </w:r>
          </w:p>
        </w:tc>
        <w:tc>
          <w:tcPr>
            <w:tcW w:type="dxa" w:w="1440"/>
            <w:shd w:val="clear" w:color="auto" w:fill="D9E2F3"/>
          </w:tcPr>
          <w:p>
            <w:r/>
            <w:r>
              <w:rPr>
                <w:b/>
              </w:rPr>
              <w:t>&lt; 10%</w:t>
            </w:r>
          </w:p>
        </w:tc>
        <w:tc>
          <w:tcPr>
            <w:tcW w:type="dxa" w:w="1440"/>
            <w:shd w:val="clear" w:color="auto" w:fill="D9E2F3"/>
          </w:tcPr>
          <w:p>
            <w:r/>
            <w:r>
              <w:rPr>
                <w:b/>
              </w:rPr>
              <w:t>Até 30%</w:t>
            </w:r>
          </w:p>
        </w:tc>
        <w:tc>
          <w:tcPr>
            <w:tcW w:type="dxa" w:w="1440"/>
            <w:shd w:val="clear" w:color="auto" w:fill="D9E2F3"/>
          </w:tcPr>
          <w:p>
            <w:r/>
            <w:r>
              <w:rPr>
                <w:b/>
              </w:rPr>
              <w:t>Até 50%</w:t>
            </w:r>
          </w:p>
        </w:tc>
        <w:tc>
          <w:tcPr>
            <w:tcW w:type="dxa" w:w="1440"/>
            <w:shd w:val="clear" w:color="auto" w:fill="D9E2F3"/>
          </w:tcPr>
          <w:p>
            <w:r/>
            <w:r>
              <w:rPr>
                <w:b/>
              </w:rPr>
              <w:t>Até 70%</w:t>
            </w:r>
          </w:p>
        </w:tc>
        <w:tc>
          <w:tcPr>
            <w:tcW w:type="dxa" w:w="1440"/>
            <w:shd w:val="clear" w:color="auto" w:fill="D9E2F3"/>
          </w:tcPr>
          <w:p>
            <w:r/>
            <w:r>
              <w:rPr>
                <w:b/>
              </w:rPr>
              <w:t>&gt; 70%</w:t>
            </w:r>
          </w:p>
        </w:tc>
      </w:tr>
      <w:tr>
        <w:tc>
          <w:tcPr>
            <w:tcW w:type="dxa" w:w="1440"/>
          </w:tcPr>
          <w:p>
            <w:r/>
            <w:r>
              <w:t>Até 6 meses</w:t>
            </w:r>
          </w:p>
        </w:tc>
        <w:tc>
          <w:tcPr>
            <w:tcW w:type="dxa" w:w="1440"/>
          </w:tcPr>
          <w:p>
            <w:r/>
            <w:r>
              <w:t>0,5%</w:t>
            </w:r>
          </w:p>
        </w:tc>
        <w:tc>
          <w:tcPr>
            <w:tcW w:type="dxa" w:w="1440"/>
          </w:tcPr>
          <w:p>
            <w:r/>
            <w:r>
              <w:t>1,0%</w:t>
            </w:r>
          </w:p>
        </w:tc>
        <w:tc>
          <w:tcPr>
            <w:tcW w:type="dxa" w:w="1440"/>
          </w:tcPr>
          <w:p>
            <w:r/>
            <w:r>
              <w:t>1,5%</w:t>
            </w:r>
          </w:p>
        </w:tc>
        <w:tc>
          <w:tcPr>
            <w:tcW w:type="dxa" w:w="1440"/>
          </w:tcPr>
          <w:p>
            <w:r/>
            <w:r>
              <w:t>2,0%</w:t>
            </w:r>
          </w:p>
        </w:tc>
        <w:tc>
          <w:tcPr>
            <w:tcW w:type="dxa" w:w="1440"/>
          </w:tcPr>
          <w:p>
            <w:r/>
            <w:r>
              <w:t>2,5%</w:t>
            </w:r>
          </w:p>
        </w:tc>
      </w:tr>
      <w:tr>
        <w:tc>
          <w:tcPr>
            <w:tcW w:type="dxa" w:w="1440"/>
          </w:tcPr>
          <w:p>
            <w:r/>
            <w:r>
              <w:t>Até 1 ano</w:t>
            </w:r>
          </w:p>
        </w:tc>
        <w:tc>
          <w:tcPr>
            <w:tcW w:type="dxa" w:w="1440"/>
          </w:tcPr>
          <w:p>
            <w:r/>
            <w:r>
              <w:t>1,0%</w:t>
            </w:r>
          </w:p>
        </w:tc>
        <w:tc>
          <w:tcPr>
            <w:tcW w:type="dxa" w:w="1440"/>
          </w:tcPr>
          <w:p>
            <w:r/>
            <w:r>
              <w:t>1,5%</w:t>
            </w:r>
          </w:p>
        </w:tc>
        <w:tc>
          <w:tcPr>
            <w:tcW w:type="dxa" w:w="1440"/>
          </w:tcPr>
          <w:p>
            <w:r/>
            <w:r>
              <w:t>2,0%</w:t>
            </w:r>
          </w:p>
        </w:tc>
        <w:tc>
          <w:tcPr>
            <w:tcW w:type="dxa" w:w="1440"/>
          </w:tcPr>
          <w:p>
            <w:r/>
            <w:r>
              <w:t>2,5%</w:t>
            </w:r>
          </w:p>
        </w:tc>
        <w:tc>
          <w:tcPr>
            <w:tcW w:type="dxa" w:w="1440"/>
          </w:tcPr>
          <w:p>
            <w:r/>
            <w:r>
              <w:t>3,0%</w:t>
            </w:r>
          </w:p>
        </w:tc>
      </w:tr>
      <w:tr>
        <w:tc>
          <w:tcPr>
            <w:tcW w:type="dxa" w:w="1440"/>
          </w:tcPr>
          <w:p>
            <w:r/>
            <w:r>
              <w:t>Até 2 anos</w:t>
            </w:r>
          </w:p>
        </w:tc>
        <w:tc>
          <w:tcPr>
            <w:tcW w:type="dxa" w:w="1440"/>
          </w:tcPr>
          <w:p>
            <w:r/>
            <w:r>
              <w:t>1,5%</w:t>
            </w:r>
          </w:p>
        </w:tc>
        <w:tc>
          <w:tcPr>
            <w:tcW w:type="dxa" w:w="1440"/>
          </w:tcPr>
          <w:p>
            <w:r/>
            <w:r>
              <w:t>2,0%</w:t>
            </w:r>
          </w:p>
        </w:tc>
        <w:tc>
          <w:tcPr>
            <w:tcW w:type="dxa" w:w="1440"/>
          </w:tcPr>
          <w:p>
            <w:r/>
            <w:r>
              <w:t>2,5%</w:t>
            </w:r>
          </w:p>
        </w:tc>
        <w:tc>
          <w:tcPr>
            <w:tcW w:type="dxa" w:w="1440"/>
          </w:tcPr>
          <w:p>
            <w:r/>
            <w:r>
              <w:t>3,0%</w:t>
            </w:r>
          </w:p>
        </w:tc>
        <w:tc>
          <w:tcPr>
            <w:tcW w:type="dxa" w:w="1440"/>
          </w:tcPr>
          <w:p>
            <w:r/>
            <w:r>
              <w:t>3,5%</w:t>
            </w:r>
          </w:p>
        </w:tc>
      </w:tr>
      <w:tr>
        <w:tc>
          <w:tcPr>
            <w:tcW w:type="dxa" w:w="1440"/>
          </w:tcPr>
          <w:p>
            <w:r/>
            <w:r>
              <w:t>+ 2 anos</w:t>
            </w:r>
          </w:p>
        </w:tc>
        <w:tc>
          <w:tcPr>
            <w:tcW w:type="dxa" w:w="1440"/>
          </w:tcPr>
          <w:p>
            <w:r/>
            <w:r>
              <w:t>2,0%</w:t>
            </w:r>
          </w:p>
        </w:tc>
        <w:tc>
          <w:tcPr>
            <w:tcW w:type="dxa" w:w="1440"/>
          </w:tcPr>
          <w:p>
            <w:r/>
            <w:r>
              <w:t>2,5%</w:t>
            </w:r>
          </w:p>
        </w:tc>
        <w:tc>
          <w:tcPr>
            <w:tcW w:type="dxa" w:w="1440"/>
          </w:tcPr>
          <w:p>
            <w:r/>
            <w:r>
              <w:t>3,0%</w:t>
            </w:r>
          </w:p>
        </w:tc>
        <w:tc>
          <w:tcPr>
            <w:tcW w:type="dxa" w:w="1440"/>
          </w:tcPr>
          <w:p>
            <w:r/>
            <w:r>
              <w:t>3,5%</w:t>
            </w:r>
          </w:p>
        </w:tc>
        <w:tc>
          <w:tcPr>
            <w:tcW w:type="dxa" w:w="1440"/>
          </w:tcPr>
          <w:p>
            <w:r/>
            <w:r>
              <w:t>4,0%</w:t>
            </w:r>
          </w:p>
        </w:tc>
      </w:tr>
    </w:tbl>
    <w:p/>
    <w:p>
      <w:r>
        <w:rPr>
          <w:b/>
        </w:rPr>
        <w:t xml:space="preserve">c) </w:t>
      </w:r>
      <w:r>
        <w:rPr>
          <w:b/>
        </w:rPr>
        <w:t>Descumprimento</w:t>
      </w:r>
      <w:r>
        <w:rPr>
          <w:b/>
        </w:rPr>
        <w:t xml:space="preserve"> de </w:t>
      </w:r>
      <w:r>
        <w:rPr>
          <w:b/>
        </w:rPr>
        <w:t>Requisitos</w:t>
      </w:r>
      <w:r>
        <w:rPr>
          <w:b/>
        </w:rPr>
        <w:t xml:space="preserve"> </w:t>
      </w:r>
      <w:r>
        <w:rPr>
          <w:b/>
        </w:rPr>
        <w:t>Regulatórios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Situação</w:t>
            </w:r>
          </w:p>
        </w:tc>
        <w:tc>
          <w:tcPr>
            <w:tcW w:type="dxa" w:w="4320"/>
            <w:shd w:val="clear" w:color="auto" w:fill="D9E2F3"/>
          </w:tcPr>
          <w:p>
            <w:r/>
            <w:r>
              <w:rPr>
                <w:b/>
              </w:rPr>
              <w:t>%</w:t>
            </w:r>
          </w:p>
        </w:tc>
      </w:tr>
      <w:tr>
        <w:tc>
          <w:tcPr>
            <w:tcW w:type="dxa" w:w="4320"/>
          </w:tcPr>
          <w:p>
            <w:r/>
            <w:r>
              <w:t>Ausência de descumprimento</w:t>
            </w:r>
          </w:p>
        </w:tc>
        <w:tc>
          <w:tcPr>
            <w:tcW w:type="dxa" w:w="4320"/>
          </w:tcPr>
          <w:p>
            <w:r/>
            <w:r>
              <w:t>0%</w:t>
            </w:r>
          </w:p>
        </w:tc>
      </w:tr>
      <w:tr>
        <w:tc>
          <w:tcPr>
            <w:tcW w:type="dxa" w:w="4320"/>
          </w:tcPr>
          <w:p>
            <w:r/>
            <w:r>
              <w:t>Parcial, com prestação do serviço</w:t>
            </w:r>
          </w:p>
        </w:tc>
        <w:tc>
          <w:tcPr>
            <w:tcW w:type="dxa" w:w="4320"/>
          </w:tcPr>
          <w:p>
            <w:r/>
            <w:r>
              <w:t>1,0%</w:t>
            </w:r>
          </w:p>
        </w:tc>
      </w:tr>
      <w:tr>
        <w:tc>
          <w:tcPr>
            <w:tcW w:type="dxa" w:w="4320"/>
          </w:tcPr>
          <w:p>
            <w:r/>
            <w:r>
              <w:t>Total, com prestação do serviço</w:t>
            </w:r>
          </w:p>
        </w:tc>
        <w:tc>
          <w:tcPr>
            <w:tcW w:type="dxa" w:w="4320"/>
          </w:tcPr>
          <w:p>
            <w:r/>
            <w:r>
              <w:t>2,0%</w:t>
            </w:r>
          </w:p>
        </w:tc>
      </w:tr>
      <w:tr>
        <w:tc>
          <w:tcPr>
            <w:tcW w:type="dxa" w:w="4320"/>
          </w:tcPr>
          <w:p>
            <w:r/>
            <w:r>
              <w:t>Parcial, sem prestação do serviço</w:t>
            </w:r>
          </w:p>
        </w:tc>
        <w:tc>
          <w:tcPr>
            <w:tcW w:type="dxa" w:w="4320"/>
          </w:tcPr>
          <w:p>
            <w:r/>
            <w:r>
              <w:t>3,0%</w:t>
            </w:r>
          </w:p>
        </w:tc>
      </w:tr>
      <w:tr>
        <w:tc>
          <w:tcPr>
            <w:tcW w:type="dxa" w:w="4320"/>
          </w:tcPr>
          <w:p>
            <w:r/>
            <w:r>
              <w:t>Total, sem prestação do serviço</w:t>
            </w:r>
          </w:p>
        </w:tc>
        <w:tc>
          <w:tcPr>
            <w:tcW w:type="dxa" w:w="4320"/>
          </w:tcPr>
          <w:p>
            <w:r/>
            <w:r>
              <w:t>4,0%</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Avalie as três sub-hipóteses sempre que aplicáveis ao caso, mesmo que uma pareça claramente a mais grave — o percentual final é o maior entre elas, e um erro de triagem pode subestimar o agravante.</w:t>
            </w:r>
          </w:p>
          <w:p>
            <w:pPr>
              <w:spacing w:after="60"/>
            </w:pPr>
            <w:r>
              <w:rPr>
                <w:rFonts w:ascii="Calibri" w:cs="Calibri" w:eastAsia="Calibri" w:hAnsi="Calibri"/>
                <w:sz w:val="21"/>
                <w:szCs w:val="21"/>
              </w:rPr>
              <w:t xml:space="preserve">Para a hipótese (b), reúna cronograma físico-financeiro da obra para calcular com precisão o percentual de execução residual na data da interrupção — esse dado é insumo direto da tabela bidimensional (período × percentual residual).</w:t>
            </w:r>
          </w:p>
          <w:p>
            <w:pPr>
              <w:spacing w:after="60"/>
            </w:pPr>
            <w:r>
              <w:rPr>
                <w:rFonts w:ascii="Calibri" w:cs="Calibri" w:eastAsia="Calibri" w:hAnsi="Calibri"/>
                <w:sz w:val="21"/>
                <w:szCs w:val="21"/>
              </w:rPr>
              <w:t xml:space="preserve">Para a hipótese (c), diferencie descumprimento parcial de total e verifique se, apesar do descumprimento, o serviço continuou sendo prestado — a combinação desses dois eixos determina a célula aplicável.</w:t>
            </w:r>
          </w:p>
          <w:p>
            <w:pPr>
              <w:spacing w:after="60"/>
            </w:pPr>
            <w:r>
              <w:rPr>
                <w:rFonts w:ascii="Calibri" w:cs="Calibri" w:eastAsia="Calibri" w:hAnsi="Calibri"/>
                <w:sz w:val="21"/>
                <w:szCs w:val="21"/>
              </w:rPr>
              <w:t xml:space="preserve">Documente elementos objetivos e verificáveis (laudos técnicos, relatórios de fiscalização contratual, notificações formais de órgãos reguladores) — esta é uma das agravantes mais sensíveis a questionamento por falta de lastro probatório robusto.</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Uma obra pública com prazo de execução de 18 meses é interrompida aos 14 meses, com 60% do objeto ainda não executado. Na tabela da hipótese (b), "até 2 anos" cruzado com "residual até 70%" resulta em 3,0%. Se, simultaneamente, a mesma empresa descumpriu parcialmente requisito regulatório sem interromper a prestação do serviço (hipótese c: 1,0%), prevalece o maior valor entre as hipóteses aplicáveis — 3,0%.</w:t>
            </w:r>
          </w:p>
        </w:tc>
      </w:tr>
    </w:tbl>
    <w:p/>
    <w:p>
      <w:pPr>
        <w:pStyle w:val="Heading2"/>
      </w:pPr>
      <w:r>
        <w:t>6.4 Art. 22, IV — Situação Econômica do Infrator</w:t>
      </w:r>
    </w:p>
    <w:p>
      <w:r>
        <w:t>Aplica-se 1% fixo quando a PJ apresenta, cumulativamente, os três indicadores: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Indicador</w:t>
            </w:r>
          </w:p>
        </w:tc>
        <w:tc>
          <w:tcPr>
            <w:tcW w:type="dxa" w:w="4320"/>
            <w:shd w:val="clear" w:color="auto" w:fill="D9E2F3"/>
          </w:tcPr>
          <w:p>
            <w:r/>
            <w:r>
              <w:rPr>
                <w:b/>
              </w:rPr>
              <w:t>Fórmula</w:t>
            </w:r>
          </w:p>
        </w:tc>
      </w:tr>
      <w:tr>
        <w:tc>
          <w:tcPr>
            <w:tcW w:type="dxa" w:w="4320"/>
          </w:tcPr>
          <w:p>
            <w:r/>
            <w:r>
              <w:t>Solvência geral &gt; 1</w:t>
            </w:r>
          </w:p>
        </w:tc>
        <w:tc>
          <w:tcPr>
            <w:tcW w:type="dxa" w:w="4320"/>
          </w:tcPr>
          <w:p>
            <w:r/>
            <w:r>
              <w:t>(Ativo Circulante + Ativo Não Circulante) ÷ (Passivo Circulante + Passivo Não Circulante)</w:t>
            </w:r>
          </w:p>
        </w:tc>
      </w:tr>
      <w:tr>
        <w:tc>
          <w:tcPr>
            <w:tcW w:type="dxa" w:w="4320"/>
          </w:tcPr>
          <w:p>
            <w:r/>
            <w:r>
              <w:t>Liquidez geral &gt; 1</w:t>
            </w:r>
          </w:p>
        </w:tc>
        <w:tc>
          <w:tcPr>
            <w:tcW w:type="dxa" w:w="4320"/>
          </w:tcPr>
          <w:p>
            <w:r/>
            <w:r>
              <w:t>(Ativo Circulante + Ativo Realizável a LP) ÷ (Passivo Circulante + Passivo Não Circulante)</w:t>
            </w:r>
          </w:p>
        </w:tc>
      </w:tr>
      <w:tr>
        <w:tc>
          <w:tcPr>
            <w:tcW w:type="dxa" w:w="4320"/>
          </w:tcPr>
          <w:p>
            <w:r/>
            <w:r>
              <w:t>Lucro líquido positivo</w:t>
            </w:r>
          </w:p>
        </w:tc>
        <w:tc>
          <w:tcPr>
            <w:tcW w:type="dxa" w:w="4320"/>
          </w:tcPr>
          <w:p>
            <w:r/>
            <w:r>
              <w:t>Último exercício anterior ao PAR</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Situação</w:t>
            </w:r>
          </w:p>
        </w:tc>
        <w:tc>
          <w:tcPr>
            <w:tcW w:type="dxa" w:w="4320"/>
            <w:shd w:val="clear" w:color="auto" w:fill="D9E2F3"/>
          </w:tcPr>
          <w:p>
            <w:r/>
            <w:r>
              <w:rPr>
                <w:b/>
              </w:rPr>
              <w:t>%</w:t>
            </w:r>
          </w:p>
        </w:tc>
      </w:tr>
      <w:tr>
        <w:tc>
          <w:tcPr>
            <w:tcW w:type="dxa" w:w="4320"/>
          </w:tcPr>
          <w:p>
            <w:r/>
            <w:r>
              <w:t>Algum indicador não atendido</w:t>
            </w:r>
          </w:p>
        </w:tc>
        <w:tc>
          <w:tcPr>
            <w:tcW w:type="dxa" w:w="4320"/>
          </w:tcPr>
          <w:p>
            <w:r/>
            <w:r>
              <w:t>0%</w:t>
            </w:r>
          </w:p>
        </w:tc>
      </w:tr>
      <w:tr>
        <w:tc>
          <w:tcPr>
            <w:tcW w:type="dxa" w:w="4320"/>
          </w:tcPr>
          <w:p>
            <w:r/>
            <w:r>
              <w:t>Todos os três atendidos cumulativamente</w:t>
            </w:r>
          </w:p>
        </w:tc>
        <w:tc>
          <w:tcPr>
            <w:tcW w:type="dxa" w:w="4320"/>
          </w:tcPr>
          <w:p>
            <w:r/>
            <w:r>
              <w:t>1,0%</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Calcule os três indicadores a partir do mesmo balanço patrimonial e DRE usados na Etapa 0 — evita inconsistência entre exercícios de referência distintos.</w:t>
            </w:r>
          </w:p>
          <w:p>
            <w:pPr>
              <w:spacing w:after="60"/>
            </w:pPr>
            <w:r>
              <w:rPr>
                <w:rFonts w:ascii="Calibri" w:cs="Calibri" w:eastAsia="Calibri" w:hAnsi="Calibri"/>
                <w:sz w:val="21"/>
                <w:szCs w:val="21"/>
              </w:rPr>
              <w:t xml:space="preserve">Os três indicadores são cumulativos: basta um deles não ser atendido para que o percentual seja 0%. Não há gradação parcial nesta agravante.</w:t>
            </w:r>
          </w:p>
          <w:p>
            <w:pPr>
              <w:spacing w:after="60"/>
            </w:pPr>
            <w:r>
              <w:rPr>
                <w:rFonts w:ascii="Calibri" w:cs="Calibri" w:eastAsia="Calibri" w:hAnsi="Calibri"/>
                <w:sz w:val="21"/>
                <w:szCs w:val="21"/>
              </w:rPr>
              <w:t xml:space="preserve">Se a pessoa jurídica não disponibilizar demonstrações financeiras auditadas, considere requisitar informações à Receita Federal (ECF) antes de presumir o não atendimento dos indicadores.</w:t>
            </w:r>
          </w:p>
          <w:p>
            <w:pPr>
              <w:spacing w:after="60"/>
            </w:pPr>
            <w:r>
              <w:rPr>
                <w:rFonts w:ascii="Calibri" w:cs="Calibri" w:eastAsia="Calibri" w:hAnsi="Calibri"/>
                <w:sz w:val="21"/>
                <w:szCs w:val="21"/>
              </w:rPr>
              <w:t xml:space="preserve">Registre o cálculo dos três índices, com as fórmulas aplicadas, na memória de cálculo — essa é uma das agravantes mais suscetíveis a erro aritmético simples.</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Balanço patrimonial: ativo total R$ 50 milhões, passivo total R$ 30 milhões (solvência geral = 1,67 &gt; 1); ativo circulante + realizável a LP R$ 28 milhões sobre passivo total de R$ 30 milhões (liquidez geral = 0,93, não superior a 1). Como um dos três indicadores não é atendido, a agravante do art. 22, IV não se aplica: 0%.</w:t>
            </w:r>
          </w:p>
        </w:tc>
      </w:tr>
    </w:tbl>
    <w:p/>
    <w:p>
      <w:pPr>
        <w:pStyle w:val="Heading2"/>
      </w:pPr>
      <w:r>
        <w:t>6.5 Art. 22, V — Reincidência</w:t>
      </w:r>
    </w:p>
    <w:p>
      <w:r>
        <w:t>Ocorrência de nova infração tipificada como ato lesivo (art. 5º da LAC), idêntica ou não, em menos de cinco anos contados da publicação do julgamento anterior. No caso de acordo de leniência, o prazo conta da data da celebração até cinco anos após a declaração de cumprimento.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Situação</w:t>
            </w:r>
          </w:p>
        </w:tc>
        <w:tc>
          <w:tcPr>
            <w:tcW w:type="dxa" w:w="4320"/>
            <w:shd w:val="clear" w:color="auto" w:fill="D9E2F3"/>
          </w:tcPr>
          <w:p>
            <w:r/>
            <w:r>
              <w:rPr>
                <w:b/>
              </w:rPr>
              <w:t>%</w:t>
            </w:r>
          </w:p>
        </w:tc>
      </w:tr>
      <w:tr>
        <w:tc>
          <w:tcPr>
            <w:tcW w:type="dxa" w:w="4320"/>
          </w:tcPr>
          <w:p>
            <w:r/>
            <w:r>
              <w:t>Não reincidente</w:t>
            </w:r>
          </w:p>
        </w:tc>
        <w:tc>
          <w:tcPr>
            <w:tcW w:type="dxa" w:w="4320"/>
          </w:tcPr>
          <w:p>
            <w:r/>
            <w:r>
              <w:t>0%</w:t>
            </w:r>
          </w:p>
        </w:tc>
      </w:tr>
      <w:tr>
        <w:tc>
          <w:tcPr>
            <w:tcW w:type="dxa" w:w="4320"/>
          </w:tcPr>
          <w:p>
            <w:r/>
            <w:r>
              <w:t>Sim — nova infração em menos de 5 anos</w:t>
            </w:r>
          </w:p>
        </w:tc>
        <w:tc>
          <w:tcPr>
            <w:tcW w:type="dxa" w:w="4320"/>
          </w:tcPr>
          <w:p>
            <w:r/>
            <w:r>
              <w:t>3,0%</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Consulte sempre o Banco de Sanções da CGU — não apenas o CEIS e o CNEP ou o Portal da Transparência — pois sanções que já cumpriram o prazo de publicidade podem ter sido excluídas desses cadastros, gerando falso negativo.</w:t>
            </w:r>
          </w:p>
          <w:p>
            <w:pPr>
              <w:spacing w:after="60"/>
            </w:pPr>
            <w:r>
              <w:rPr>
                <w:rFonts w:ascii="Calibri" w:cs="Calibri" w:eastAsia="Calibri" w:hAnsi="Calibri"/>
                <w:sz w:val="21"/>
                <w:szCs w:val="21"/>
              </w:rPr>
              <w:t xml:space="preserve">O termo inicial da contagem é a data de publicação do julgamento anterior, não a data da prática do ato lesivo anterior — erro comum de contagem que pode levar à aplicação indevida (ou ao afastamento indevido) da agravante.</w:t>
            </w:r>
          </w:p>
          <w:p>
            <w:pPr>
              <w:spacing w:after="60"/>
            </w:pPr>
            <w:r>
              <w:rPr>
                <w:rFonts w:ascii="Calibri" w:cs="Calibri" w:eastAsia="Calibri" w:hAnsi="Calibri"/>
                <w:sz w:val="21"/>
                <w:szCs w:val="21"/>
              </w:rPr>
              <w:t xml:space="preserve">A reincidência se configura ainda que a condenação anterior tenha sido proferida por outro órgão ou entidade, de qualquer Poder ou ente federativo — a pesquisa não deve se limitar ao próprio órgão condutor do PAR.</w:t>
            </w:r>
          </w:p>
          <w:p>
            <w:pPr>
              <w:spacing w:after="60"/>
            </w:pPr>
            <w:r>
              <w:rPr>
                <w:rFonts w:ascii="Calibri" w:cs="Calibri" w:eastAsia="Calibri" w:hAnsi="Calibri"/>
                <w:sz w:val="21"/>
                <w:szCs w:val="21"/>
              </w:rPr>
              <w:t xml:space="preserve">Não é necessário que a infração anterior seja idêntica à atual — qualquer ato lesivo tipificado no art. 5º da LAC serve de base para a reincidência.</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Uma empresa foi condenada em PAR anterior, com decisão publicada em 10/03/2021. Em 15/01/2025, é instaurado novo PAR pela prática de ato lesivo ocorrido em dezembro de 2024. Como 15/01/2025 está dentro do período de 5 anos contados de 10/03/2021, aplica-se a agravante de reincidência: 3,0%.</w:t>
            </w:r>
          </w:p>
        </w:tc>
      </w:tr>
    </w:tbl>
    <w:p/>
    <w:p>
      <w:pPr>
        <w:pStyle w:val="Heading2"/>
      </w:pPr>
      <w:r>
        <w:t>6.6 Art. 22, VI — Valor dos Contratos com o Ente Lesado</w:t>
      </w:r>
    </w:p>
    <w:p>
      <w:r>
        <w:t>Somatório dos contratos, convênios, acordos e demais instrumentos mantidos ou pretendidos com o órgão/entidade lesado nos anos da prática do ato lesivo.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Somatório dos instrumentos</w:t>
            </w:r>
          </w:p>
        </w:tc>
        <w:tc>
          <w:tcPr>
            <w:tcW w:type="dxa" w:w="4320"/>
            <w:shd w:val="clear" w:color="auto" w:fill="D9E2F3"/>
          </w:tcPr>
          <w:p>
            <w:r/>
            <w:r>
              <w:rPr>
                <w:b/>
              </w:rPr>
              <w:t>%</w:t>
            </w:r>
          </w:p>
        </w:tc>
      </w:tr>
      <w:tr>
        <w:tc>
          <w:tcPr>
            <w:tcW w:type="dxa" w:w="4320"/>
          </w:tcPr>
          <w:p>
            <w:r/>
            <w:r>
              <w:t>Até R$ 500 mil</w:t>
            </w:r>
          </w:p>
        </w:tc>
        <w:tc>
          <w:tcPr>
            <w:tcW w:type="dxa" w:w="4320"/>
          </w:tcPr>
          <w:p>
            <w:r/>
            <w:r>
              <w:t>0%</w:t>
            </w:r>
          </w:p>
        </w:tc>
      </w:tr>
      <w:tr>
        <w:tc>
          <w:tcPr>
            <w:tcW w:type="dxa" w:w="4320"/>
          </w:tcPr>
          <w:p>
            <w:r/>
            <w:r>
              <w:t>Superior a R$ 500 mil até R$ 1,5 milhão</w:t>
            </w:r>
          </w:p>
        </w:tc>
        <w:tc>
          <w:tcPr>
            <w:tcW w:type="dxa" w:w="4320"/>
          </w:tcPr>
          <w:p>
            <w:r/>
            <w:r>
              <w:t>1,0%</w:t>
            </w:r>
          </w:p>
        </w:tc>
      </w:tr>
      <w:tr>
        <w:tc>
          <w:tcPr>
            <w:tcW w:type="dxa" w:w="4320"/>
          </w:tcPr>
          <w:p>
            <w:r/>
            <w:r>
              <w:t>Superior a R$ 1,5 milhão até R$ 10 milhões</w:t>
            </w:r>
          </w:p>
        </w:tc>
        <w:tc>
          <w:tcPr>
            <w:tcW w:type="dxa" w:w="4320"/>
          </w:tcPr>
          <w:p>
            <w:r/>
            <w:r>
              <w:t>2,0%</w:t>
            </w:r>
          </w:p>
        </w:tc>
      </w:tr>
      <w:tr>
        <w:tc>
          <w:tcPr>
            <w:tcW w:type="dxa" w:w="4320"/>
          </w:tcPr>
          <w:p>
            <w:r/>
            <w:r>
              <w:t>Superior a R$ 10 milhões até R$ 50 milhões</w:t>
            </w:r>
          </w:p>
        </w:tc>
        <w:tc>
          <w:tcPr>
            <w:tcW w:type="dxa" w:w="4320"/>
          </w:tcPr>
          <w:p>
            <w:r/>
            <w:r>
              <w:t>3,0%</w:t>
            </w:r>
          </w:p>
        </w:tc>
      </w:tr>
      <w:tr>
        <w:tc>
          <w:tcPr>
            <w:tcW w:type="dxa" w:w="4320"/>
          </w:tcPr>
          <w:p>
            <w:r/>
            <w:r>
              <w:t>Superior a R$ 50 milhões até R$ 250 milhões</w:t>
            </w:r>
          </w:p>
        </w:tc>
        <w:tc>
          <w:tcPr>
            <w:tcW w:type="dxa" w:w="4320"/>
          </w:tcPr>
          <w:p>
            <w:r/>
            <w:r>
              <w:t>4,0%</w:t>
            </w:r>
          </w:p>
        </w:tc>
      </w:tr>
      <w:tr>
        <w:tc>
          <w:tcPr>
            <w:tcW w:type="dxa" w:w="4320"/>
          </w:tcPr>
          <w:p>
            <w:r/>
            <w:r>
              <w:t>Superior a R$ 250 milhões</w:t>
            </w:r>
          </w:p>
        </w:tc>
        <w:tc>
          <w:tcPr>
            <w:tcW w:type="dxa" w:w="4320"/>
          </w:tcPr>
          <w:p>
            <w:r/>
            <w:r>
              <w:t>5,0%</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Levante todos os contratos vigentes no(s) ano(s) da prática do ato lesivo — inclusive os que já se encerraram durante esse mesmo ano — e some seus valores, não apenas o valor do contrato vigente na data do ato.</w:t>
            </w:r>
          </w:p>
          <w:p>
            <w:pPr>
              <w:spacing w:after="60"/>
            </w:pPr>
            <w:r>
              <w:rPr>
                <w:rFonts w:ascii="Calibri" w:cs="Calibri" w:eastAsia="Calibri" w:hAnsi="Calibri"/>
                <w:sz w:val="21"/>
                <w:szCs w:val="21"/>
              </w:rPr>
              <w:t xml:space="preserve">Inclua contratos "pretendidos": propostas apresentadas em licitações cujo contrato só foi assinado após o ato lesivo também entram no somatório, pois a norma alcança tanto os mantidos quanto os pretendidos.</w:t>
            </w:r>
          </w:p>
          <w:p>
            <w:pPr>
              <w:spacing w:after="60"/>
            </w:pPr>
            <w:r>
              <w:rPr>
                <w:rFonts w:ascii="Calibri" w:cs="Calibri" w:eastAsia="Calibri" w:hAnsi="Calibri"/>
                <w:sz w:val="21"/>
                <w:szCs w:val="21"/>
              </w:rPr>
              <w:t xml:space="preserve">Inclua instrumentos decorrentes do contrato originário — aditivos, contratos de manutenção — que também representem pagamento ao ente privado pelo mesmo órgão.</w:t>
            </w:r>
          </w:p>
          <w:p>
            <w:pPr>
              <w:spacing w:after="60"/>
            </w:pPr>
            <w:r>
              <w:rPr>
                <w:rFonts w:ascii="Calibri" w:cs="Calibri" w:eastAsia="Calibri" w:hAnsi="Calibri"/>
                <w:sz w:val="21"/>
                <w:szCs w:val="21"/>
              </w:rPr>
              <w:t xml:space="preserve">Quando a CGU for a autoridade condutora e a lesão envolver múltiplos órgãos ou entidades, some os contratos de todos eles — a competência ampliada da CGU se reflete também na base de cálculo desta agravante.</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No ano da prática do ato lesivo (2019), a empresa mantinha 4 contratos com o órgão, encerrados em datas diferentes ao longo do ano, e apresentou proposta vencedora em pregão do mesmo órgão realizado em setembro de 2019 (contrato assinado apenas em janeiro de 2020). Somam-se os valores dos 4 contratos mantidos mais o valor do contrato pretendido (o de 2020, decorrente da proposta de 2019). Se o somatório totalizar R$ 10.500.000,00, o percentual aplicável é de 3,0% (acima de R$ 10 milhões).</w:t>
            </w:r>
          </w:p>
        </w:tc>
      </w:tr>
    </w:tbl>
    <w:p/>
    <w:p>
      <w:pPr>
        <w:pStyle w:val="Heading1"/>
        <w:pageBreakBefore/>
      </w:pPr>
      <w:r>
        <w:t>7. ATENUANTES — ART. 23, I A V</w:t>
      </w:r>
    </w:p>
    <w:p>
      <w:pPr>
        <w:pStyle w:val="Heading2"/>
      </w:pPr>
      <w:r>
        <w:t>7.1 Art. 23, I — Não Consumação</w:t>
      </w:r>
    </w:p>
    <w:p>
      <w:r>
        <w:t>Aplica-se quando o ato lesivo não chegou a produzir seus efeitos plenos (tentativa).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Situação</w:t>
            </w:r>
          </w:p>
        </w:tc>
        <w:tc>
          <w:tcPr>
            <w:tcW w:type="dxa" w:w="4320"/>
            <w:shd w:val="clear" w:color="auto" w:fill="D9E2F3"/>
          </w:tcPr>
          <w:p>
            <w:r/>
            <w:r>
              <w:rPr>
                <w:b/>
              </w:rPr>
              <w:t>%</w:t>
            </w:r>
          </w:p>
        </w:tc>
      </w:tr>
      <w:tr>
        <w:tc>
          <w:tcPr>
            <w:tcW w:type="dxa" w:w="4320"/>
          </w:tcPr>
          <w:p>
            <w:r/>
            <w:r>
              <w:t>Ato lesivo consumado</w:t>
            </w:r>
          </w:p>
        </w:tc>
        <w:tc>
          <w:tcPr>
            <w:tcW w:type="dxa" w:w="4320"/>
          </w:tcPr>
          <w:p>
            <w:r/>
            <w:r>
              <w:t>0%</w:t>
            </w:r>
          </w:p>
        </w:tc>
      </w:tr>
      <w:tr>
        <w:tc>
          <w:tcPr>
            <w:tcW w:type="dxa" w:w="4320"/>
          </w:tcPr>
          <w:p>
            <w:r/>
            <w:r>
              <w:t>Ato lesivo não consumado (tentativa)</w:t>
            </w:r>
          </w:p>
        </w:tc>
        <w:tc>
          <w:tcPr>
            <w:tcW w:type="dxa" w:w="4320"/>
          </w:tcPr>
          <w:p>
            <w:r/>
            <w:r>
              <w:t>−0,5%</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Distinga tentativa de consumação com efeito parcial: um ato lesivo que produziu parte, mas não a totalidade, dos efeitos pretendidos é, em regra, consumado (ainda que em menor extensão), não tentado — a atenuante exige a não produção de efeitos, não a produção de efeitos menores que os planejados.</w:t>
            </w:r>
          </w:p>
          <w:p>
            <w:pPr>
              <w:spacing w:after="60"/>
            </w:pPr>
            <w:r>
              <w:rPr>
                <w:rFonts w:ascii="Calibri" w:cs="Calibri" w:eastAsia="Calibri" w:hAnsi="Calibri"/>
                <w:sz w:val="21"/>
                <w:szCs w:val="21"/>
              </w:rPr>
              <w:t xml:space="preserve">Documente objetivamente o que impediu a consumação (interceptação da vantagem antes da entrega, cancelamento do processo licitatório antes da homologação, etc.), evitando aplicar a atenuante por presunção.</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Uma empresa oferece vantagem indevida a um servidor para fraudar um processo licitatório, mas o servidor recusa a oferta e reporta o fato antes de qualquer ato ilícito ser praticado no certame. O ato lesivo do art. 5º, I, não produziu efeitos: aplica-se a atenuante de −0,5%.</w:t>
            </w:r>
          </w:p>
        </w:tc>
      </w:tr>
    </w:tbl>
    <w:p/>
    <w:p>
      <w:pPr>
        <w:pStyle w:val="Heading2"/>
      </w:pPr>
      <w:r>
        <w:t>7.2 Art. 23, II — Ressarcimento e Devolução Espontânea</w:t>
      </w:r>
    </w:p>
    <w:p>
      <w:r>
        <w:t>Atenuante de até 1,0% pela devolução espontânea da vantagem auferida e/ou ressarcimento dos danos, conforme Tabela 5 do Guia CGU.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Situação</w:t>
            </w:r>
          </w:p>
        </w:tc>
        <w:tc>
          <w:tcPr>
            <w:tcW w:type="dxa" w:w="4320"/>
            <w:shd w:val="clear" w:color="auto" w:fill="D9E2F3"/>
          </w:tcPr>
          <w:p>
            <w:r/>
            <w:r>
              <w:rPr>
                <w:b/>
              </w:rPr>
              <w:t>%</w:t>
            </w:r>
          </w:p>
        </w:tc>
      </w:tr>
      <w:tr>
        <w:tc>
          <w:tcPr>
            <w:tcW w:type="dxa" w:w="4320"/>
          </w:tcPr>
          <w:p>
            <w:r/>
            <w:r>
              <w:t>Ausência de devolução e de ressarcimento</w:t>
            </w:r>
          </w:p>
        </w:tc>
        <w:tc>
          <w:tcPr>
            <w:tcW w:type="dxa" w:w="4320"/>
          </w:tcPr>
          <w:p>
            <w:r/>
            <w:r>
              <w:t>0%</w:t>
            </w:r>
          </w:p>
        </w:tc>
      </w:tr>
      <w:tr>
        <w:tc>
          <w:tcPr>
            <w:tcW w:type="dxa" w:w="4320"/>
          </w:tcPr>
          <w:p>
            <w:r/>
            <w:r>
              <w:t>Devolução da vantagem sem ressarcimento dos danos; ou ressarcimento sem devolução da vantagem</w:t>
            </w:r>
          </w:p>
        </w:tc>
        <w:tc>
          <w:tcPr>
            <w:tcW w:type="dxa" w:w="4320"/>
          </w:tcPr>
          <w:p>
            <w:r/>
            <w:r>
              <w:t>−0,5%</w:t>
            </w:r>
          </w:p>
        </w:tc>
      </w:tr>
      <w:tr>
        <w:tc>
          <w:tcPr>
            <w:tcW w:type="dxa" w:w="4320"/>
          </w:tcPr>
          <w:p>
            <w:r/>
            <w:r>
              <w:t>Devolução da vantagem e ressarcimento dos danos</w:t>
            </w:r>
          </w:p>
        </w:tc>
        <w:tc>
          <w:tcPr>
            <w:tcW w:type="dxa" w:w="4320"/>
          </w:tcPr>
          <w:p>
            <w:r/>
            <w:r>
              <w:t>−1,0%</w:t>
            </w:r>
          </w:p>
        </w:tc>
      </w:tr>
      <w:tr>
        <w:tc>
          <w:tcPr>
            <w:tcW w:type="dxa" w:w="4320"/>
          </w:tcPr>
          <w:p>
            <w:r/>
            <w:r>
              <w:t>Devolução e inexistência/falta de comprovação de danos; ou ressarcimento e ausência de estimativa da vantagem</w:t>
            </w:r>
          </w:p>
        </w:tc>
        <w:tc>
          <w:tcPr>
            <w:tcW w:type="dxa" w:w="4320"/>
          </w:tcPr>
          <w:p>
            <w:r/>
            <w:r>
              <w:t>−1,0%</w:t>
            </w:r>
          </w:p>
        </w:tc>
      </w:tr>
      <w:tr>
        <w:tc>
          <w:tcPr>
            <w:tcW w:type="dxa" w:w="4320"/>
          </w:tcPr>
          <w:p>
            <w:r/>
            <w:r>
              <w:t>Inexistência ou falta de comprovação de vantagem e de danos</w:t>
            </w:r>
          </w:p>
        </w:tc>
        <w:tc>
          <w:tcPr>
            <w:tcW w:type="dxa" w:w="4320"/>
          </w:tcPr>
          <w:p>
            <w:r/>
            <w:r>
              <w:t>−1,0%</w:t>
            </w:r>
          </w:p>
        </w:tc>
      </w:tr>
    </w:tbl>
    <w:p/>
    <w:p>
      <w:pPr>
        <w:pStyle w:val="Heading1"/>
        <w:pageBreakBefore/>
      </w:pPr>
      <w:r>
        <w:t>⚠  O percentual máximo de 1,0% exige confirmação expressa de devolução integral. Devolução parcial reduz o percentual para 0,5%.</w:t>
      </w:r>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O caráter espontâneo é essencial: devolução determinada por decisão judicial ou administrativa não configura a atenuante — deve ser iniciativa voluntária da pessoa jurídica, idealmente documentada antes de qualquer determinação nesse sentido.</w:t>
            </w:r>
          </w:p>
          <w:p>
            <w:pPr>
              <w:spacing w:after="60"/>
            </w:pPr>
            <w:r>
              <w:rPr>
                <w:rFonts w:ascii="Calibri" w:cs="Calibri" w:eastAsia="Calibri" w:hAnsi="Calibri"/>
                <w:sz w:val="21"/>
                <w:szCs w:val="21"/>
              </w:rPr>
              <w:t xml:space="preserve">Exija comprovante formal de depósito, restituição ou compensação — a atenuante depende de comprovação documental, não de mera alegação ou promessa de devolução futura.</w:t>
            </w:r>
          </w:p>
          <w:p>
            <w:pPr>
              <w:spacing w:after="60"/>
            </w:pPr>
            <w:r>
              <w:rPr>
                <w:rFonts w:ascii="Calibri" w:cs="Calibri" w:eastAsia="Calibri" w:hAnsi="Calibri"/>
                <w:sz w:val="21"/>
                <w:szCs w:val="21"/>
              </w:rPr>
              <w:t xml:space="preserve">O percentual máximo de 1,0% exige devolução integral; devolução parcial da vantagem reduz o percentual para 0,5%, ainda que haja ressarcimento total dos danos.</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Ao ser notificada da instauração da investigação preliminar, a empresa devolve espontaneamente, antes mesmo da citação no PAR, o valor integral da vantagem auferida estimada (R$ 3.100.000,00) e ressarce os danos comprovados ao órgão lesado. Comprovada a devolução integral e o ressarcimento, aplica-se a atenuante máxima desta etapa: −1,0%.</w:t>
            </w:r>
          </w:p>
        </w:tc>
      </w:tr>
    </w:tbl>
    <w:p/>
    <w:p>
      <w:pPr>
        <w:pStyle w:val="Heading2"/>
      </w:pPr>
      <w:r>
        <w:t>7.3 Art. 23, III — Colaboração</w:t>
      </w:r>
    </w:p>
    <w:p>
      <w:r>
        <w:t xml:space="preserve">Reconhecida ainda que não haja admissão de responsabilidade. Conforme a Tabela 6 do Manual de Responsabilização da CGU (3ª ed., jun/2026), a colaboração não é soma fixa de 0,5% por condição, mas valoração por faixa:</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27AE60"/>
          </w:tcPr>
          <w:p>
            <w:pPr>
              <w:jc w:val="center"/>
            </w:pPr>
            <w:r>
              <w:rPr>
                <w:rFonts w:ascii="Arial" w:hAnsi="Arial"/>
                <w:b/>
                <w:color w:val="FFFFFF"/>
                <w:sz w:val="20"/>
              </w:rPr>
              <w:t>Condições factualmente presentes</w:t>
            </w:r>
          </w:p>
        </w:tc>
        <w:tc>
          <w:tcPr>
            <w:tcW w:type="dxa" w:w="6236"/>
            <w:shd w:val="clear" w:color="auto" w:fill="27AE60"/>
          </w:tcPr>
          <w:p>
            <w:pPr>
              <w:jc w:val="center"/>
            </w:pPr>
            <w:r>
              <w:rPr>
                <w:rFonts w:ascii="Arial" w:hAnsi="Arial"/>
                <w:b/>
                <w:color w:val="FFFFFF"/>
                <w:sz w:val="20"/>
              </w:rPr>
              <w:t>Percentual</w:t>
            </w:r>
          </w:p>
        </w:tc>
      </w:tr>
      <w:tr>
        <w:tc>
          <w:tcPr>
            <w:tcW w:type="dxa" w:w="2835"/>
            <w:shd w:val="clear" w:color="auto" w:fill="F2F2F2"/>
          </w:tcPr>
          <w:p>
            <w:r>
              <w:rPr>
                <w:rFonts w:ascii="Arial" w:hAnsi="Arial"/>
                <w:b w:val="0"/>
                <w:sz w:val="20"/>
              </w:rPr>
              <w:t>Nenhuma condição</w:t>
            </w:r>
          </w:p>
        </w:tc>
        <w:tc>
          <w:tcPr>
            <w:tcW w:type="dxa" w:w="6236"/>
            <w:shd w:val="clear" w:color="auto" w:fill="F2F2F2"/>
          </w:tcPr>
          <w:p>
            <w:pPr>
              <w:jc w:val="center"/>
            </w:pPr>
            <w:r>
              <w:rPr>
                <w:rFonts w:ascii="Arial" w:hAnsi="Arial"/>
                <w:b w:val="0"/>
                <w:sz w:val="20"/>
              </w:rPr>
              <w:t>0%</w:t>
            </w:r>
          </w:p>
        </w:tc>
      </w:tr>
      <w:tr>
        <w:tc>
          <w:tcPr>
            <w:tcW w:type="dxa" w:w="2835"/>
            <w:shd w:val="clear" w:color="auto" w:fill="FFFFFF"/>
          </w:tcPr>
          <w:p>
            <w:r>
              <w:rPr>
                <w:rFonts w:ascii="Arial" w:hAnsi="Arial"/>
                <w:b w:val="0"/>
                <w:sz w:val="20"/>
              </w:rPr>
              <w:t>Uma ou duas condições</w:t>
            </w:r>
          </w:p>
        </w:tc>
        <w:tc>
          <w:tcPr>
            <w:tcW w:type="dxa" w:w="6236"/>
            <w:shd w:val="clear" w:color="auto" w:fill="FFFFFF"/>
          </w:tcPr>
          <w:p>
            <w:pPr>
              <w:jc w:val="center"/>
            </w:pPr>
            <w:r>
              <w:rPr>
                <w:rFonts w:ascii="Arial" w:hAnsi="Arial"/>
                <w:b w:val="0"/>
                <w:sz w:val="20"/>
              </w:rPr>
              <w:t>Faixa discricionária de 0,5% a 1,0% (fixada pela autoridade conforme a utilidade e a relevância da colaboração)</w:t>
            </w:r>
          </w:p>
        </w:tc>
      </w:tr>
      <w:tr>
        <w:tc>
          <w:tcPr>
            <w:tcW w:type="dxa" w:w="2835"/>
            <w:shd w:val="clear" w:color="auto" w:fill="F2F2F2"/>
          </w:tcPr>
          <w:p>
            <w:r>
              <w:rPr>
                <w:rFonts w:ascii="Arial" w:hAnsi="Arial"/>
                <w:b w:val="0"/>
                <w:sz w:val="20"/>
              </w:rPr>
              <w:t>As três condições, simultaneamente</w:t>
            </w:r>
          </w:p>
        </w:tc>
        <w:tc>
          <w:tcPr>
            <w:tcW w:type="dxa" w:w="6236"/>
            <w:shd w:val="clear" w:color="auto" w:fill="F2F2F2"/>
          </w:tcPr>
          <w:p>
            <w:pPr>
              <w:jc w:val="center"/>
            </w:pPr>
            <w:r>
              <w:rPr>
                <w:rFonts w:ascii="Arial" w:hAnsi="Arial"/>
                <w:b w:val="0"/>
                <w:sz w:val="20"/>
              </w:rPr>
              <w:t>1,5% fixo (sem discricionariedade)</w:t>
            </w:r>
          </w:p>
        </w:tc>
      </w:tr>
    </w:tbl>
    <w:p/>
    <w:p>
      <w:r>
        <w:rPr>
          <w:rFonts w:ascii="Arial" w:hAnsi="Arial"/>
          <w:b w:val="0"/>
          <w:sz w:val="22"/>
        </w:rPr>
        <w:t>As três condições que se registram (fato objetivo): (i) admitiu a prática do ato; (ii) forneceu elementos para a apuração; (iii) renunciou aos prazos processuais. A calculadora deixou de somar 0,5% por condição e passou a abrir um campo editável (faixa 0,5%–1,0%) quando há uma ou duas condições, travando em 1,5% quando há as três.</w:t>
      </w:r>
    </w:p>
    <w:p/>
    <w:p>
      <w:pPr>
        <w:pStyle w:val="Heading1"/>
        <w:pageBreakBefore/>
      </w:pPr>
      <w:r>
        <w:t>⚠  A mera entrega de documentos exigidos por lei NÃO configura colaboração. Conta a utilidade de informações e provas adicionais e inéditas. Admitir o ato sem assumir a responsabilidade jurídica enquadra-se neste inciso (III); o inciso IV exige reconhecimento formal da responsabilidade objetiva.</w:t>
      </w:r>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A mera entrega de documentos que a lei já exige (ex.: resposta a intimação padrão) não configura colaboração — exige-se utilidade investigativa real: informações ou provas adicionais e inéditas que a comissão não teria obtido de outra forma.</w:t>
            </w:r>
          </w:p>
          <w:p>
            <w:pPr>
              <w:spacing w:after="60"/>
            </w:pPr>
            <w:r>
              <w:rPr>
                <w:rFonts w:ascii="Calibri" w:cs="Calibri" w:eastAsia="Calibri" w:hAnsi="Calibri"/>
                <w:sz w:val="21"/>
                <w:szCs w:val="21"/>
              </w:rPr>
              <w:t xml:space="preserve">Diferencie esta atenuante da do art. 23, IV: aqui, a empresa pode admitir a ocorrência do fato sem reconhecer sua responsabilidade jurídica (por exemplo, sustentando atipicidade); no art. 23, IV, exige-se reconhecimento formal da responsabilidade objetiva.</w:t>
            </w:r>
          </w:p>
          <w:p>
            <w:pPr>
              <w:spacing w:after="60"/>
            </w:pPr>
            <w:r>
              <w:rPr>
                <w:rFonts w:ascii="Calibri" w:cs="Calibri" w:eastAsia="Calibri" w:hAnsi="Calibri"/>
                <w:sz w:val="21"/>
                <w:szCs w:val="21"/>
              </w:rPr>
              <w:t xml:space="preserve">Fique atento à cláusula de exceção: a autoridade pode reduzir ou afastar a atenuante quando a pessoa jurídica descumprir deveres processuais de boa-fé (violação ao dever de cooperação ou litigância de má-fé, por analogia aos arts. 77 e 80 do CPC), mesmo que tecnicamente tenha atendido às três condições formais.</w:t>
            </w:r>
          </w:p>
          <w:p>
            <w:pPr>
              <w:spacing w:after="60"/>
            </w:pPr>
            <w:r>
              <w:rPr>
                <w:rFonts w:ascii="Calibri" w:cs="Calibri" w:eastAsia="Calibri" w:hAnsi="Calibri"/>
                <w:sz w:val="21"/>
                <w:szCs w:val="21"/>
              </w:rPr>
              <w:t xml:space="preserve">Registre cada uma das três condições separadamente na motivação, com a evidência específica que a comprova — a soma não é automática e exige análise individualizada.</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A empresa, ao ser indiciada, (i) admite que o pagamento ocorreu, sem reconhecer que configure ato lesivo típico; (ii) entrega planilhas internas inéditas que ajudam a comissão a identificar outros agentes envolvidos; e (iii) renuncia expressamente ao prazo de alegações finais para acelerar o julgamento. As três condições estão presentes: aplica-se o teto de −1,5%.</w:t>
            </w:r>
          </w:p>
        </w:tc>
      </w:tr>
    </w:tbl>
    <w:p/>
    <w:p>
      <w:pPr>
        <w:pStyle w:val="Heading2"/>
      </w:pPr>
      <w:r>
        <w:t>7.4 Art. 23, IV — Admissão Voluntária da Responsabilidade</w:t>
      </w:r>
    </w:p>
    <w:p>
      <w:r>
        <w:t>Avaliada em dois eixos: conteúdo (parcial/total) × tempestividade (4 momentos processuais).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Condição</w:t>
            </w:r>
          </w:p>
        </w:tc>
        <w:tc>
          <w:tcPr>
            <w:tcW w:type="dxa" w:w="4320"/>
            <w:shd w:val="clear" w:color="auto" w:fill="D9E2F3"/>
          </w:tcPr>
          <w:p>
            <w:r/>
            <w:r>
              <w:rPr>
                <w:b/>
              </w:rPr>
              <w:t>%</w:t>
            </w:r>
          </w:p>
        </w:tc>
      </w:tr>
      <w:tr>
        <w:tc>
          <w:tcPr>
            <w:tcW w:type="dxa" w:w="4320"/>
          </w:tcPr>
          <w:p>
            <w:r/>
            <w:r>
              <w:t>Sem admissão</w:t>
            </w:r>
          </w:p>
        </w:tc>
        <w:tc>
          <w:tcPr>
            <w:tcW w:type="dxa" w:w="4320"/>
          </w:tcPr>
          <w:p>
            <w:r/>
            <w:r>
              <w:t>0%</w:t>
            </w:r>
          </w:p>
        </w:tc>
      </w:tr>
      <w:tr>
        <w:tc>
          <w:tcPr>
            <w:tcW w:type="dxa" w:w="4320"/>
          </w:tcPr>
          <w:p>
            <w:r/>
            <w:r>
              <w:t>Parcial — após alegações finais</w:t>
            </w:r>
          </w:p>
        </w:tc>
        <w:tc>
          <w:tcPr>
            <w:tcW w:type="dxa" w:w="4320"/>
          </w:tcPr>
          <w:p>
            <w:r/>
            <w:r>
              <w:t>−0,25%</w:t>
            </w:r>
          </w:p>
        </w:tc>
      </w:tr>
      <w:tr>
        <w:tc>
          <w:tcPr>
            <w:tcW w:type="dxa" w:w="4320"/>
          </w:tcPr>
          <w:p>
            <w:r/>
            <w:r>
              <w:t>Total — após alegações finais</w:t>
            </w:r>
          </w:p>
        </w:tc>
        <w:tc>
          <w:tcPr>
            <w:tcW w:type="dxa" w:w="4320"/>
          </w:tcPr>
          <w:p>
            <w:r/>
            <w:r>
              <w:t>−0,5%</w:t>
            </w:r>
          </w:p>
        </w:tc>
      </w:tr>
      <w:tr>
        <w:tc>
          <w:tcPr>
            <w:tcW w:type="dxa" w:w="4320"/>
          </w:tcPr>
          <w:p>
            <w:r/>
            <w:r>
              <w:t>Parcial — no prazo das alegações finais</w:t>
            </w:r>
          </w:p>
        </w:tc>
        <w:tc>
          <w:tcPr>
            <w:tcW w:type="dxa" w:w="4320"/>
          </w:tcPr>
          <w:p>
            <w:r/>
            <w:r>
              <w:t>−0,5%</w:t>
            </w:r>
          </w:p>
        </w:tc>
      </w:tr>
      <w:tr>
        <w:tc>
          <w:tcPr>
            <w:tcW w:type="dxa" w:w="4320"/>
          </w:tcPr>
          <w:p>
            <w:r/>
            <w:r>
              <w:t>Total — no prazo das alegações finais</w:t>
            </w:r>
          </w:p>
        </w:tc>
        <w:tc>
          <w:tcPr>
            <w:tcW w:type="dxa" w:w="4320"/>
          </w:tcPr>
          <w:p>
            <w:r/>
            <w:r>
              <w:t>−1,0%</w:t>
            </w:r>
          </w:p>
        </w:tc>
      </w:tr>
      <w:tr>
        <w:tc>
          <w:tcPr>
            <w:tcW w:type="dxa" w:w="4320"/>
          </w:tcPr>
          <w:p>
            <w:r/>
            <w:r>
              <w:t>Parcial — no prazo de defesa</w:t>
            </w:r>
          </w:p>
        </w:tc>
        <w:tc>
          <w:tcPr>
            <w:tcW w:type="dxa" w:w="4320"/>
          </w:tcPr>
          <w:p>
            <w:r/>
            <w:r>
              <w:t>−1,0%</w:t>
            </w:r>
          </w:p>
        </w:tc>
      </w:tr>
      <w:tr>
        <w:tc>
          <w:tcPr>
            <w:tcW w:type="dxa" w:w="4320"/>
          </w:tcPr>
          <w:p>
            <w:r/>
            <w:r>
              <w:t>Total — no prazo de defesa</w:t>
            </w:r>
          </w:p>
        </w:tc>
        <w:tc>
          <w:tcPr>
            <w:tcW w:type="dxa" w:w="4320"/>
          </w:tcPr>
          <w:p>
            <w:r/>
            <w:r>
              <w:t>−1,5%</w:t>
            </w:r>
          </w:p>
        </w:tc>
      </w:tr>
      <w:tr>
        <w:tc>
          <w:tcPr>
            <w:tcW w:type="dxa" w:w="4320"/>
          </w:tcPr>
          <w:p>
            <w:r/>
            <w:r>
              <w:t>Parcial — antes da instauração do PAR</w:t>
            </w:r>
          </w:p>
        </w:tc>
        <w:tc>
          <w:tcPr>
            <w:tcW w:type="dxa" w:w="4320"/>
          </w:tcPr>
          <w:p>
            <w:r/>
            <w:r>
              <w:t>−1,5%</w:t>
            </w:r>
          </w:p>
        </w:tc>
      </w:tr>
      <w:tr>
        <w:tc>
          <w:tcPr>
            <w:tcW w:type="dxa" w:w="4320"/>
          </w:tcPr>
          <w:p>
            <w:r/>
            <w:r>
              <w:t>Total — antes da instauração do PAR</w:t>
            </w:r>
          </w:p>
        </w:tc>
        <w:tc>
          <w:tcPr>
            <w:tcW w:type="dxa" w:w="4320"/>
          </w:tcPr>
          <w:p>
            <w:r/>
            <w:r>
              <w:t>−2,0%</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Diferencie esta atenuante da colaboração (art. 23, III): aqui é indispensável o reconhecimento formal e expresso da responsabilidade objetiva pelo ato lesivo, não apenas a admissão factual da ocorrência do ato.</w:t>
            </w:r>
          </w:p>
          <w:p>
            <w:pPr>
              <w:spacing w:after="60"/>
            </w:pPr>
            <w:r>
              <w:rPr>
                <w:rFonts w:ascii="Calibri" w:cs="Calibri" w:eastAsia="Calibri" w:hAnsi="Calibri"/>
                <w:sz w:val="21"/>
                <w:szCs w:val="21"/>
              </w:rPr>
              <w:t xml:space="preserve">Documente com precisão a data de citação (ou de instauração) e a data de protocolo da manifestação de admissão — a diferença de poucos dias entre marcos processuais pode alterar substancialmente o percentual aplicável (até 0,5 ponto percentual por marco).</w:t>
            </w:r>
          </w:p>
          <w:p>
            <w:pPr>
              <w:spacing w:after="60"/>
            </w:pPr>
            <w:r>
              <w:rPr>
                <w:rFonts w:ascii="Calibri" w:cs="Calibri" w:eastAsia="Calibri" w:hAnsi="Calibri"/>
                <w:sz w:val="21"/>
                <w:szCs w:val="21"/>
              </w:rPr>
              <w:t xml:space="preserve">A admissão "antes da instauração do PAR" — a mais valorizada — normalmente ocorre no contexto de investigação preliminar ou de proposta de leniência frustrada; confirme que a manifestação foi formalizada nos autos e não apenas verbal ou informal.</w:t>
            </w:r>
          </w:p>
          <w:p>
            <w:pPr>
              <w:spacing w:after="60"/>
            </w:pPr>
            <w:r>
              <w:rPr>
                <w:rFonts w:ascii="Calibri" w:cs="Calibri" w:eastAsia="Calibri" w:hAnsi="Calibri"/>
                <w:sz w:val="21"/>
                <w:szCs w:val="21"/>
              </w:rPr>
              <w:t xml:space="preserve">Admissão parcial (de parte dos fatos ou de parte da imputação) recebe sempre metade, aproximadamente, do benefício da admissão total no mesmo marco temporal — avalie com cuidado se a admissão cobre a integralidade da conduta imputada.</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A empresa é citada em 10/06/2025, com prazo de defesa até 10/07/2025. Em 28/06/2025, protocola manifestação reconhecendo integralmente sua responsabilidade objetiva pelo ato lesivo imputado. Por se tratar de admissão total, dentro do prazo de defesa de 30 dias, aplica-se a atenuante de −1,5%.</w:t>
            </w:r>
          </w:p>
        </w:tc>
      </w:tr>
    </w:tbl>
    <w:p/>
    <w:p>
      <w:pPr>
        <w:pStyle w:val="Heading2"/>
      </w:pPr>
      <w:r>
        <w:t>7.5 Art. 23, V — Programa de Integridade</w:t>
      </w:r>
    </w:p>
    <w:p>
      <w:pPr>
        <w:pStyle w:val="Heading3"/>
      </w:pPr>
      <w:r>
        <w:t>7.5.1 Fundamento e Evolução Normativa</w:t>
      </w:r>
    </w:p>
    <w:p>
      <w:r>
        <w:t>O art. 23, V, do Decreto nº 11.129/2022 prevê atenuante de até 5% para a pessoa jurídica que comprove a existência e a efetiva aplicação de programa de integridade adaptado às suas especificidades e riscos. O percentual não é presumido: depende de avaliação técnica conduzida segundo metodologia própria, hoje consolidada no Manual Prático de Avaliação de Programa de Integridade em Processo Administrativo de Responsabilização, publicado em 2018, e na Portaria CGU nº 909/2015, que disciplina os requisitos de comprovação. Vale registrar a evolução do teto: sob o revogado Decreto nº 8.420/2015, a faixa de redução era de 1% a 4%; o Decreto nº 11.129/2022 ampliou o intervalo para até 5%.</w:t>
      </w:r>
    </w:p>
    <w:p>
      <w:pPr>
        <w:pStyle w:val="Heading3"/>
      </w:pPr>
      <w:r>
        <w:t>7.5.2 Os Três Blocos de Avaliação</w:t>
      </w:r>
    </w:p>
    <w:p>
      <w:r>
        <w:t>A avaliação organiza-se em três dimensões, cada uma capturando um aspecto distinto da maturidade do programa de integridade:</w:t>
      </w:r>
    </w:p>
    <w:p>
      <w:r>
        <w:t>- COI — Cultura Organizacional de Integridade. Mede o comprometimento da alta direção e a disseminação de valores éticos na estrutura da pessoa jurídica: existência de código de conduta, participação de membros da alta administração em órgãos de governança de integridade, políticas de comunicação e treinamento voltadas à cultura ética. - MPI — Mecanismos, Políticas e Procedimentos de Integridade. Mede a robustez técnica dos controles: análise de riscos de corrupção e fraude, políticas específicas de prevenção (vedação a vantagens indevidas, regras sobre presentes e hospitalidades, prevenção de conflito de interesses), canais de denúncia, due diligence de terceiros e devida diligência em operações societárias. - APJ — Atuação da Pessoa Jurídica em Relação ao Ato Lesivo. Diferentemente dos dois blocos anteriores — que avaliam o programa em abstrato —, este bloco mede a resposta concreta da pessoa jurídica ao ato lesivo apurado no PAR: se o programa efetivamente operou para detectar, interromper ou remediar a conduta investigada, e não apenas se existia formalmente.</w:t>
      </w:r>
    </w:p>
    <w:p>
      <w:pPr>
        <w:pStyle w:val="Heading3"/>
      </w:pPr>
      <w:r>
        <w:t>7.5.3 A Fórmula e o Papel de Cada Bloco</w:t>
      </w:r>
    </w:p>
    <w:p>
      <w:r>
        <w:t>A pontuação obtida em cada bloco é combinada pela fórmula [COI × MPI] + APJ, com teto absoluto de 5%.</w:t>
      </w:r>
    </w:p>
    <w:p>
      <w:r>
        <w:t>A lógica da fórmula é relevante para o operador compreender, não apenas aplicar mecanicamente: COI e MPI são multiplicados entre si porque representam dimensões complementares e mutuamente dependentes — um programa com cultura organizacional forte mas sem mecanismos técnicos efetivos (ou vice-versa) tende a ser pouco eficaz na prática, e a multiplicação penaliza justamente esse desequilíbrio, pois uma nota baixa em qualquer dos dois fatores reduz desproporcionalmente o produto. Já o bloco APJ é somado, não multiplicado, porque mede algo qualitativamente distinto: a resposta ao caso concreto, que deve ser considerada independentemente da robustez estrutural do programa.</w:t>
      </w:r>
    </w:p>
    <w:p>
      <w:pPr>
        <w:pStyle w:val="Heading3"/>
      </w:pPr>
      <w:r>
        <w:t>7.5.4 O Fator Multiplicador de 1,25</w:t>
      </w:r>
    </w:p>
    <w:p>
      <w:r>
        <w:t>Um ponto de aplicação frequentemente negligenciado: a Portaria Conjunta CGU nº 6/2022, editada para adequar a metodologia de avaliação ao novo teto de 5% trazido pelo Decreto nº 11.129/2022, autorizou a aplicação de um fator multiplicador de 1,25 sobre o percentual apurado pela fórmula [COI × MPI] + APJ, sempre que esse percentual for igual ou superior a 1%. Isto é: o resultado bruto da planilha de avaliação não é, em regra, o percentual final aplicado — ele deve ser multiplicado por 1,25 (respeitado sempre o teto de 5%) antes de ser lançado na dosimetria. A omissão desse fator representa, na prática, uma subavaliação sistemática da atenuante em todos os casos com pontuação relevante, e é um dos pontos de maior impacto financeiro na fórmula final da multa — motivo pelo qual seu registro expresso neste Manual é prioritário. Esta versão do Manual, e a respectiva Calculadora, já incorporam esse fator.</w:t>
      </w:r>
    </w:p>
    <w:p>
      <w:pPr>
        <w:pStyle w:val="Heading3"/>
      </w:pPr>
      <w:r>
        <w:t>7.5.5 Programa Anterior x Programa Posterior ao Ato Lesivo</w:t>
      </w:r>
    </w:p>
    <w:p>
      <w:r>
        <w:t>O art. 23, parágrafo único, III, do Decreto nº 11.129/2022 estabelece que o percentual máximo da atenuante somente é atribuível quando o programa de integridade for anterior à prática do ato lesivo apurado. Quando o programa é implementado ou reforçado após o ato lesivo — ainda que efetivo e bem estruturado —, a avaliação segue lógica distinta (bloco APJ-Posterior), com resultado tendencialmente inferior, refletindo o entendimento de que a integridade reativa, embora positiva, não equivale à prevenção que o programa deveria ter proporcionado antes da ocorrência do fato.</w:t>
      </w:r>
    </w:p>
    <w:p>
      <w:pPr>
        <w:pStyle w:val="Heading3"/>
      </w:pPr>
      <w:r>
        <w:t>7.5.6 Momento Processual de Comprovação</w:t>
      </w:r>
    </w:p>
    <w:p>
      <w:r>
        <w:t>A comprovação do programa de integridade deve ser apresentada pela pessoa jurídica juntamente com sua defesa escrita, no prazo de 30 dias contados da intimação (art. 8º, §2º, Decreto nº 11.129/2022), mediante relatório de perfil e relatório de conformidade, acompanhados da documentação comprobatória correspondente, nos termos dos arts. 2º e seguintes da Portaria CGU nº 909/2015. A não apresentação desses relatórios dentro do prazo da defesa escrita gera preclusão — a avaliação do programa não poderá ocorrer em momento processual posterior, e a atenuante não será aplicada, independentemente da qualidade material do programa eventualmente existente. Esse é um ponto crítico de orientação ao operador: a robustez do programa é irrelevante se a comprovação documental não for tempestiva.</w:t>
      </w:r>
    </w:p>
    <w:p>
      <w:pPr>
        <w:pStyle w:val="Heading3"/>
      </w:pPr>
      <w:r>
        <w:t>7.5.7 Quadro-Síntese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Situação</w:t>
            </w:r>
          </w:p>
        </w:tc>
        <w:tc>
          <w:tcPr>
            <w:tcW w:type="dxa" w:w="4320"/>
            <w:shd w:val="clear" w:color="auto" w:fill="D9E2F3"/>
          </w:tcPr>
          <w:p>
            <w:r/>
            <w:r>
              <w:rPr>
                <w:b/>
              </w:rPr>
              <w:t>Tratamento</w:t>
            </w:r>
          </w:p>
        </w:tc>
      </w:tr>
      <w:tr>
        <w:tc>
          <w:tcPr>
            <w:tcW w:type="dxa" w:w="4320"/>
          </w:tcPr>
          <w:p>
            <w:r/>
            <w:r>
              <w:t>Sem programa, ou não comprovado tempestivamente</w:t>
            </w:r>
          </w:p>
        </w:tc>
        <w:tc>
          <w:tcPr>
            <w:tcW w:type="dxa" w:w="4320"/>
          </w:tcPr>
          <w:p>
            <w:r/>
            <w:r>
              <w:t>0%</w:t>
            </w:r>
          </w:p>
        </w:tc>
      </w:tr>
      <w:tr>
        <w:tc>
          <w:tcPr>
            <w:tcW w:type="dxa" w:w="4320"/>
          </w:tcPr>
          <w:p>
            <w:r/>
            <w:r>
              <w:t>Programa anterior ao ato lesivo, avaliado nos blocos COI/MPI/APJ</w:t>
            </w:r>
          </w:p>
        </w:tc>
        <w:tc>
          <w:tcPr>
            <w:tcW w:type="dxa" w:w="4320"/>
          </w:tcPr>
          <w:p>
            <w:r/>
            <w:r>
              <w:t>até 5%, após aplicação do fator 1,25 quando resultado bruto ≥ 1%</w:t>
            </w:r>
          </w:p>
        </w:tc>
      </w:tr>
      <w:tr>
        <w:tc>
          <w:tcPr>
            <w:tcW w:type="dxa" w:w="4320"/>
          </w:tcPr>
          <w:p>
            <w:r/>
            <w:r>
              <w:t>Programa implementado após o ato lesivo (bloco APJ-Posterior)</w:t>
            </w:r>
          </w:p>
        </w:tc>
        <w:tc>
          <w:tcPr>
            <w:tcW w:type="dxa" w:w="4320"/>
          </w:tcPr>
          <w:p>
            <w:r/>
            <w:r>
              <w:t>percentual tendencialmente inferior, sem alteração da fórmula geral</w:t>
            </w:r>
          </w:p>
        </w:tc>
      </w:tr>
      <w:tr>
        <w:tc>
          <w:tcPr>
            <w:tcW w:type="dxa" w:w="4320"/>
          </w:tcPr>
          <w:p>
            <w:r/>
            <w:r>
              <w:t>Relatórios de perfil/conformidade não apresentados com a defesa escrita</w:t>
            </w:r>
          </w:p>
        </w:tc>
        <w:tc>
          <w:tcPr>
            <w:tcW w:type="dxa" w:w="4320"/>
          </w:tcPr>
          <w:p>
            <w:r/>
            <w:r>
              <w:t>preclusão — atenuante inaplicável</w:t>
            </w:r>
          </w:p>
        </w:tc>
      </w:tr>
    </w:tbl>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O prazo é fatal: os relatórios de perfil e de conformidade do programa de integridade devem ser apresentados junto com a defesa escrita (30 dias da citação) — apresentação tardia gera preclusão, e a atenuante deixa de ser aplicável independentemente da qualidade material do programa. Oriente a pessoa jurídica sobre esse prazo desde a intimação.</w:t>
            </w:r>
          </w:p>
          <w:p>
            <w:pPr>
              <w:spacing w:after="60"/>
            </w:pPr>
            <w:r>
              <w:rPr>
                <w:rFonts w:ascii="Calibri" w:cs="Calibri" w:eastAsia="Calibri" w:hAnsi="Calibri"/>
                <w:sz w:val="21"/>
                <w:szCs w:val="21"/>
              </w:rPr>
              <w:t xml:space="preserve">Verifique a data de implementação do programa: só o programa anterior ao ato lesivo acessa o teto de 5%; programas implementados depois do fato, ainda que robustos, ficam no bloco APJ-Posterior, com percentual tendencialmente mais baixo.</w:t>
            </w:r>
          </w:p>
          <w:p>
            <w:pPr>
              <w:spacing w:after="60"/>
            </w:pPr>
            <w:r>
              <w:rPr>
                <w:rFonts w:ascii="Calibri" w:cs="Calibri" w:eastAsia="Calibri" w:hAnsi="Calibri"/>
                <w:sz w:val="21"/>
                <w:szCs w:val="21"/>
              </w:rPr>
              <w:t xml:space="preserve">A avaliação técnica (COI/MPI/APJ) exige documentação robusta de aplicação prática, não apenas a existência formal de políticas — código de conduta sem evidência de treinamento, canal de denúncias sem casos processados, ou comitê de ética sem atas de reunião tendem a pontuar mal nos blocos MPI e APJ.</w:t>
            </w:r>
          </w:p>
          <w:p>
            <w:pPr>
              <w:spacing w:after="60"/>
            </w:pPr>
            <w:r>
              <w:rPr>
                <w:rFonts w:ascii="Calibri" w:cs="Calibri" w:eastAsia="Calibri" w:hAnsi="Calibri"/>
                <w:sz w:val="21"/>
                <w:szCs w:val="21"/>
              </w:rPr>
              <w:t xml:space="preserve">Não confunda esta atenuante com a colaboração processual (art. 23, III) — são avaliações totalmente independentes, ainda que a mesma pessoa jurídica frequentemente apresente elementos para ambas.</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w:t>
            </w:r>
          </w:p>
          <w:p>
            <w:pPr>
              <w:spacing w:after="60"/>
            </w:pPr>
            <w:r>
              <w:rPr>
                <w:rFonts w:ascii="Calibri" w:cs="Calibri" w:eastAsia="Calibri" w:hAnsi="Calibri"/>
                <w:sz w:val="21"/>
                <w:szCs w:val="21"/>
              </w:rPr>
              <w:t xml:space="preserve">A empresa apresenta, junto com a defesa escrita, relatório de perfil e relatório de conformidade evidenciando programa de integridade implementado dois anos antes do ato lesivo, com comitê de ética atuante, treinamentos periódicos documentados e canal de denúncias com casos registrados e tratados. A avaliação técnica resulta em percentual bruto de 3,2% nos blocos COI/MPI/APJ; aplicado o fator multiplicador de 1,25 (por superar o piso de 1%), o percentual final é de 4,0% — atenuante aplicada: −4,0%.</w:t>
            </w:r>
          </w:p>
        </w:tc>
      </w:tr>
    </w:tbl>
    <w:p/>
    <w:p>
      <w:pPr>
        <w:pStyle w:val="Heading1"/>
        <w:pageBreakBefore/>
      </w:pPr>
      <w:r>
        <w:t>8. CÁLCULO FINAL E LIMITES LEGAIS (Art. 25)</w:t>
      </w:r>
    </w:p>
    <w:p>
      <w:pPr>
        <w:pStyle w:val="Heading2"/>
      </w:pPr>
      <w:r>
        <w:t>8.1 Fórmula da Multa</w:t>
      </w:r>
    </w:p>
    <w:p>
      <w:r>
        <w:rPr>
          <w:b/>
          <w:i/>
        </w:rPr>
        <w:t xml:space="preserve">Índice de </w:t>
      </w:r>
      <w:r>
        <w:rPr>
          <w:b/>
          <w:i/>
        </w:rPr>
        <w:t>Dosimetria  =</w:t>
      </w:r>
      <w:r>
        <w:rPr>
          <w:b/>
          <w:i/>
        </w:rPr>
        <w:t xml:space="preserve">  </w:t>
      </w:r>
      <w:r>
        <w:rPr>
          <w:b/>
          <w:i/>
        </w:rPr>
        <w:t>Σ</w:t>
      </w:r>
      <w:r>
        <w:rPr>
          <w:b/>
          <w:i/>
        </w:rPr>
        <w:t xml:space="preserve"> Agravantes (Art. 22</w:t>
      </w:r>
      <w:r>
        <w:rPr>
          <w:b/>
          <w:i/>
        </w:rPr>
        <w:t>)  −</w:t>
      </w:r>
      <w:r>
        <w:rPr>
          <w:b/>
          <w:i/>
        </w:rPr>
        <w:t xml:space="preserve">  </w:t>
      </w:r>
      <w:r>
        <w:rPr>
          <w:b/>
          <w:i/>
        </w:rPr>
        <w:t>Σ</w:t>
      </w:r>
      <w:r>
        <w:rPr>
          <w:b/>
          <w:i/>
        </w:rPr>
        <w:t xml:space="preserve"> Atenuantes</w:t>
      </w:r>
      <w:r>
        <w:rPr>
          <w:b/>
          <w:i/>
        </w:rPr>
        <w:t xml:space="preserve"> (Art. 23)</w:t>
      </w:r>
    </w:p>
    <w:p>
      <w:r>
        <w:rPr>
          <w:b/>
          <w:i/>
        </w:rPr>
        <w:t xml:space="preserve">Multa </w:t>
      </w:r>
      <w:r>
        <w:rPr>
          <w:b/>
          <w:i/>
        </w:rPr>
        <w:t>Bruta  =</w:t>
      </w:r>
      <w:r>
        <w:rPr>
          <w:b/>
          <w:i/>
        </w:rPr>
        <w:t xml:space="preserve">  Faturamento </w:t>
      </w:r>
      <w:r>
        <w:rPr>
          <w:b/>
          <w:i/>
        </w:rPr>
        <w:t>Bruto  ×</w:t>
      </w:r>
      <w:r>
        <w:rPr>
          <w:b/>
          <w:i/>
        </w:rPr>
        <w:t xml:space="preserve">  Índice de Dosimetria</w:t>
      </w:r>
    </w:p>
    <w:p>
      <w:pPr>
        <w:pStyle w:val="Heading2"/>
      </w:pPr>
      <w:r>
        <w:t>8.2 Verificação dos Limites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b/>
              </w:rPr>
              <w:t>Limite</w:t>
            </w:r>
          </w:p>
        </w:tc>
        <w:tc>
          <w:tcPr>
            <w:tcW w:type="dxa" w:w="2160"/>
            <w:shd w:val="clear" w:color="auto" w:fill="D9E2F3"/>
          </w:tcPr>
          <w:p>
            <w:r/>
            <w:r>
              <w:rPr>
                <w:b/>
              </w:rPr>
              <w:t>Regra</w:t>
            </w:r>
          </w:p>
        </w:tc>
        <w:tc>
          <w:tcPr>
            <w:tcW w:type="dxa" w:w="2160"/>
            <w:shd w:val="clear" w:color="auto" w:fill="D9E2F3"/>
          </w:tcPr>
          <w:p>
            <w:r/>
            <w:r>
              <w:rPr>
                <w:b/>
              </w:rPr>
              <w:t>Efeito</w:t>
            </w:r>
          </w:p>
        </w:tc>
        <w:tc>
          <w:tcPr>
            <w:tcW w:type="dxa" w:w="2160"/>
            <w:shd w:val="clear" w:color="auto" w:fill="D9E2F3"/>
          </w:tcPr>
          <w:p>
            <w:r/>
            <w:r>
              <w:rPr>
                <w:b/>
              </w:rPr>
              <w:t>Fundamento</w:t>
            </w:r>
          </w:p>
        </w:tc>
      </w:tr>
      <w:tr>
        <w:tc>
          <w:tcPr>
            <w:tcW w:type="dxa" w:w="2160"/>
          </w:tcPr>
          <w:p>
            <w:r/>
            <w:r>
              <w:t>Piso — Vantagem Auferida</w:t>
            </w:r>
          </w:p>
        </w:tc>
        <w:tc>
          <w:tcPr>
            <w:tcW w:type="dxa" w:w="2160"/>
          </w:tcPr>
          <w:p>
            <w:r/>
            <w:r>
              <w:t>Multa não pode ser inferior à vantagem auferida</w:t>
            </w:r>
          </w:p>
        </w:tc>
        <w:tc>
          <w:tcPr>
            <w:tcW w:type="dxa" w:w="2160"/>
          </w:tcPr>
          <w:p>
            <w:r/>
            <w:r>
              <w:t>Se Multa Bruta &lt; VA → Multa = VA</w:t>
            </w:r>
          </w:p>
        </w:tc>
        <w:tc>
          <w:tcPr>
            <w:tcW w:type="dxa" w:w="2160"/>
          </w:tcPr>
          <w:p>
            <w:r/>
            <w:r>
              <w:t>Art. 25, I</w:t>
            </w:r>
          </w:p>
        </w:tc>
      </w:tr>
      <w:tr>
        <w:tc>
          <w:tcPr>
            <w:tcW w:type="dxa" w:w="2160"/>
          </w:tcPr>
          <w:p>
            <w:r/>
            <w:r>
              <w:t>Teto — Maior Vantagem</w:t>
            </w:r>
          </w:p>
        </w:tc>
        <w:tc>
          <w:tcPr>
            <w:tcW w:type="dxa" w:w="2160"/>
          </w:tcPr>
          <w:p>
            <w:r/>
            <w:r>
              <w:t>Multa não pode exceder o maior valor entre VA e VP</w:t>
            </w:r>
          </w:p>
        </w:tc>
        <w:tc>
          <w:tcPr>
            <w:tcW w:type="dxa" w:w="2160"/>
          </w:tcPr>
          <w:p>
            <w:r/>
            <w:r>
              <w:t>Se Multa Bruta &gt; max(VA,VP) → Multa = max(VA,VP)</w:t>
            </w:r>
          </w:p>
        </w:tc>
        <w:tc>
          <w:tcPr>
            <w:tcW w:type="dxa" w:w="2160"/>
          </w:tcPr>
          <w:p>
            <w:r/>
            <w:r>
              <w:t>Art. 25, II</w:t>
            </w:r>
          </w:p>
        </w:tc>
      </w:tr>
      <w:tr>
        <w:tc>
          <w:tcPr>
            <w:tcW w:type="dxa" w:w="2160"/>
          </w:tcPr>
          <w:p>
            <w:r/>
            <w:r>
              <w:t>Índice ≤ 0</w:t>
            </w:r>
          </w:p>
        </w:tc>
        <w:tc>
          <w:tcPr>
            <w:tcW w:type="dxa" w:w="2160"/>
          </w:tcPr>
          <w:p>
            <w:r/>
            <w:r>
              <w:t>Resultado negativo ou zero na dosimetria</w:t>
            </w:r>
          </w:p>
        </w:tc>
        <w:tc>
          <w:tcPr>
            <w:tcW w:type="dxa" w:w="2160"/>
          </w:tcPr>
          <w:p>
            <w:r/>
            <w:r>
              <w:t>Multa = valor mínimo (vantagem auferida)</w:t>
            </w:r>
          </w:p>
        </w:tc>
        <w:tc>
          <w:tcPr>
            <w:tcW w:type="dxa" w:w="2160"/>
          </w:tcPr>
          <w:p>
            <w:r/>
            <w:r>
              <w:t>Art. 25, §2º</w:t>
            </w:r>
          </w:p>
        </w:tc>
      </w:tr>
    </w:tbl>
    <w:p/>
    <w:p>
      <w:pPr>
        <w:pStyle w:val="Heading1"/>
        <w:pageBreakBefore/>
      </w:pPr>
      <w:r>
        <w:t>9. PUBLICAÇÃO EXTRAORDINÁRIA DA DECISÃO CONDENATÓRIA</w:t>
      </w:r>
    </w:p>
    <w:p>
      <w:pPr>
        <w:pStyle w:val="Heading2"/>
      </w:pPr>
      <w:r>
        <w:t>9.1 Natureza Jurídica e Fundamento</w:t>
      </w:r>
    </w:p>
    <w:p>
      <w:r>
        <w:t>A publicação extraordinária da decisão condenatória é uma sanção autônoma prevista no art. 6º, inciso II, da Lei nº 12.846/2013, aplicada conjuntamente com a multa pecuniária. Não se trata de mera divulgação de ato processual — constitui penalidade independente, com caráter pedagógico e dissuasório, voltada a expor publicamente a conduta ilícita da pessoa jurídica e sua responsabilização formal pelo Estado.</w:t>
      </w:r>
    </w:p>
    <w:p>
      <w:r>
        <w:rPr>
          <w:i/>
        </w:rPr>
        <w:t xml:space="preserve">Art. 6º, II, Lei nº 12.846/2013. A publicação extraordinária da decisão condenatória ocorrerá na forma de extrato de sentença, a expensas da pessoa jurídica, em meios de comunicação de grande circulação na área da prática da infração e de atuação da pessoa jurídica ou, na sua falta, em publicação de circulação nacional, bem como por meio de afixação de edital </w:t>
      </w:r>
      <w:r>
        <w:rPr>
          <w:i/>
        </w:rPr>
        <w:t>no próprio estabelecimento ou no local de exercício da atividade, de modo visível ao público, e no sítio eletrônico na rede mundial de computadores, respeitando o prazo determinado nesta dosimetria.</w:t>
      </w:r>
    </w:p>
    <w:p>
      <w:r>
        <w:rPr>
          <w:i/>
        </w:rPr>
        <w:t>Art. 24, Decreto nº 11.129/2022. A publicação extraordinária da decisão condenatória observará o prazo fixado a partir da Alíquota de Referência apurada na dosimetria.</w:t>
      </w:r>
    </w:p>
    <w:p>
      <w:pPr>
        <w:pStyle w:val="Heading2"/>
      </w:pPr>
      <w:r>
        <w:t>9.2 Modalidades e Meios de Veiculação</w:t>
      </w:r>
    </w:p>
    <w:p>
      <w:r>
        <w:t>A publicação extraordinária deve ser realizada, cumulativamente, nas seguintes formas: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Modalidade</w:t>
            </w:r>
          </w:p>
        </w:tc>
        <w:tc>
          <w:tcPr>
            <w:tcW w:type="dxa" w:w="4320"/>
            <w:shd w:val="clear" w:color="auto" w:fill="D9E2F3"/>
          </w:tcPr>
          <w:p>
            <w:r/>
            <w:r>
              <w:rPr>
                <w:b/>
              </w:rPr>
              <w:t>Descrição</w:t>
            </w:r>
          </w:p>
        </w:tc>
      </w:tr>
      <w:tr>
        <w:tc>
          <w:tcPr>
            <w:tcW w:type="dxa" w:w="4320"/>
          </w:tcPr>
          <w:p>
            <w:r/>
            <w:r>
              <w:t>Extrato de sentença em mídia</w:t>
            </w:r>
          </w:p>
        </w:tc>
        <w:tc>
          <w:tcPr>
            <w:tcW w:type="dxa" w:w="4320"/>
          </w:tcPr>
          <w:p>
            <w:r/>
            <w:r>
              <w:t>Meios de comunicação de grande circulação na área da prática da infração e de atuação da PJ. Na ausência, publicação de circulação nacional</w:t>
            </w:r>
          </w:p>
        </w:tc>
      </w:tr>
      <w:tr>
        <w:tc>
          <w:tcPr>
            <w:tcW w:type="dxa" w:w="4320"/>
          </w:tcPr>
          <w:p>
            <w:r/>
            <w:r>
              <w:t>Edital no estabelecimento</w:t>
            </w:r>
          </w:p>
        </w:tc>
        <w:tc>
          <w:tcPr>
            <w:tcW w:type="dxa" w:w="4320"/>
          </w:tcPr>
          <w:p>
            <w:r/>
            <w:r>
              <w:t>Afixação em local visível ao público no próprio estabelecimento ou no local de exercício da atividade</w:t>
            </w:r>
          </w:p>
        </w:tc>
      </w:tr>
      <w:tr>
        <w:tc>
          <w:tcPr>
            <w:tcW w:type="dxa" w:w="4320"/>
          </w:tcPr>
          <w:p>
            <w:r/>
            <w:r>
              <w:t>Sítio eletrônico</w:t>
            </w:r>
          </w:p>
        </w:tc>
        <w:tc>
          <w:tcPr>
            <w:tcW w:type="dxa" w:w="4320"/>
          </w:tcPr>
          <w:p>
            <w:r/>
            <w:r>
              <w:t>Publicação no site da PJ na rede mundial de computadores (internet)</w:t>
            </w:r>
          </w:p>
        </w:tc>
      </w:tr>
    </w:tbl>
    <w:p/>
    <w:p>
      <w:r>
        <w:t>Todos os custos de publicação correm por conta da pessoa jurídica condenada ("a expensas da PJ"), não gerando ônus ao erário.</w:t>
      </w:r>
    </w:p>
    <w:p>
      <w:pPr>
        <w:pStyle w:val="Heading2"/>
      </w:pPr>
      <w:r>
        <w:t>9.3 A Alíquota de Referência</w:t>
      </w:r>
    </w:p>
    <w:p>
      <w:r>
        <w:t>O prazo da publicação extraordinária é dosimetrado a partir de uma grandeza denominada Alíquota de Referência, que traduz em percentual do faturamento bruto o peso efetivo da sanção aplicada. Sua apuração segue dois cenários distintos, conforme o mecanismo que determinou o valor final da multa:</w:t>
      </w:r>
    </w:p>
    <w:p>
      <w:r>
        <w:rPr>
          <w:b/>
        </w:rPr>
        <w:t>Cenário A — Regra Geral</w:t>
      </w:r>
    </w:p>
    <w:p>
      <w:r>
        <w:t>Aplica-se quando a multa final decorreu diretamente da aplicação da alíquota preliminar resultante da dosimetria dos arts. 22 e 23, sem interferência dos limites do art. 25 (piso, teto ou vantagem auferida). Nesse caso, a Alíquota de Referência é a própria alíquota preliminar da dosimetria.</w:t>
      </w:r>
    </w:p>
    <w:p>
      <w:r>
        <w:rPr>
          <w:b/>
          <w:i/>
        </w:rPr>
        <w:t xml:space="preserve">Alíquota de </w:t>
      </w:r>
      <w:r>
        <w:rPr>
          <w:b/>
          <w:i/>
        </w:rPr>
        <w:t>Referência  =</w:t>
      </w:r>
      <w:r>
        <w:rPr>
          <w:b/>
          <w:i/>
        </w:rPr>
        <w:t xml:space="preserve">  Índice de </w:t>
      </w:r>
      <w:r>
        <w:rPr>
          <w:b/>
          <w:i/>
        </w:rPr>
        <w:t>Dosimetria  =</w:t>
      </w:r>
      <w:r>
        <w:rPr>
          <w:b/>
          <w:i/>
        </w:rPr>
        <w:t xml:space="preserve">  </w:t>
      </w:r>
      <w:r>
        <w:rPr>
          <w:b/>
          <w:i/>
        </w:rPr>
        <w:t>Σ</w:t>
      </w:r>
      <w:r>
        <w:rPr>
          <w:b/>
          <w:i/>
        </w:rPr>
        <w:t xml:space="preserve"> Agravantes − </w:t>
      </w:r>
      <w:r>
        <w:rPr>
          <w:b/>
          <w:i/>
        </w:rPr>
        <w:t>Σ</w:t>
      </w:r>
      <w:r>
        <w:rPr>
          <w:b/>
          <w:i/>
        </w:rPr>
        <w:t xml:space="preserve"> Atenuantes</w:t>
      </w:r>
    </w:p>
    <w:p>
      <w:r>
        <w:rPr>
          <w:b/>
        </w:rPr>
        <w:t>Cenário B — Regra de Exceção (Limites Legais)</w:t>
      </w:r>
    </w:p>
    <w:p>
      <w:r>
        <w:t>Aplica-se quando o valor final da multa foi alterado pelos limites legais — seja porque a dosimetria resultou em índice negativo ou zero (art. 25, §2º), seja porque incidiu o piso da vantagem auferida (art. 25, I) ou o teto da maior vantagem (art. 25, II). Como a alíquota preliminar não corresponde ao valor efetivamente aplicado, ela é substituída pela alíquota recalculada:</w:t>
      </w:r>
    </w:p>
    <w:p>
      <w:r>
        <w:rPr>
          <w:b/>
          <w:i/>
        </w:rPr>
        <w:t xml:space="preserve">Alíquota de </w:t>
      </w:r>
      <w:r>
        <w:rPr>
          <w:b/>
          <w:i/>
        </w:rPr>
        <w:t>Referência  =</w:t>
      </w:r>
      <w:r>
        <w:rPr>
          <w:b/>
          <w:i/>
        </w:rPr>
        <w:t xml:space="preserve">  (Valor Final da </w:t>
      </w:r>
      <w:r>
        <w:rPr>
          <w:b/>
          <w:i/>
        </w:rPr>
        <w:t>Multa  ÷</w:t>
      </w:r>
      <w:r>
        <w:rPr>
          <w:b/>
          <w:i/>
        </w:rPr>
        <w:t xml:space="preserve">  Faturamento </w:t>
      </w:r>
      <w:r>
        <w:rPr>
          <w:b/>
          <w:i/>
        </w:rPr>
        <w:t>Bruto)  ×</w:t>
      </w:r>
      <w:r>
        <w:rPr>
          <w:b/>
          <w:i/>
        </w:rPr>
        <w:t xml:space="preserve">  100</w:t>
      </w:r>
    </w:p>
    <w:p>
      <w:pPr>
        <w:pStyle w:val="Heading1"/>
        <w:pageBreakBefore/>
      </w:pPr>
      <w:r>
        <w:t>⚠  O sistema identifica automaticamente o cenário aplicável (A ou B) a partir dos dados inseridos nas etapas anteriores. A identificação e o cálculo são transparentes e constam do relatório gerado.</w:t>
      </w:r>
    </w:p>
    <w:p>
      <w:pPr>
        <w:pStyle w:val="Heading2"/>
      </w:pPr>
      <w:r>
        <w:t>9.4 Tabela de Escalonamento do Prazo</w:t>
      </w:r>
    </w:p>
    <w:p>
      <w:r>
        <w:t>A partir da Alíquota de Referência apurada, o prazo da publicação extraordinária é determinado pela seguinte tabela de escalonamento, conforme art. 24 do Decreto nº 11.129/2022:</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Alíquota de Referência</w:t>
            </w:r>
          </w:p>
        </w:tc>
        <w:tc>
          <w:tcPr>
            <w:tcW w:type="dxa" w:w="2880"/>
            <w:shd w:val="clear" w:color="auto" w:fill="D9E2F3"/>
          </w:tcPr>
          <w:p>
            <w:r/>
            <w:r>
              <w:rPr>
                <w:b/>
              </w:rPr>
              <w:t>Prazo (dias corridos)</w:t>
            </w:r>
          </w:p>
        </w:tc>
        <w:tc>
          <w:tcPr>
            <w:tcW w:type="dxa" w:w="2880"/>
            <w:shd w:val="clear" w:color="auto" w:fill="D9E2F3"/>
          </w:tcPr>
          <w:p>
            <w:r/>
            <w:r>
              <w:rPr>
                <w:b/>
              </w:rPr>
              <w:t>Prazo por extenso</w:t>
            </w:r>
          </w:p>
        </w:tc>
      </w:tr>
      <w:tr>
        <w:tc>
          <w:tcPr>
            <w:tcW w:type="dxa" w:w="2880"/>
          </w:tcPr>
          <w:p>
            <w:r/>
            <w:r>
              <w:t>Até 2,5%</w:t>
            </w:r>
          </w:p>
        </w:tc>
        <w:tc>
          <w:tcPr>
            <w:tcW w:type="dxa" w:w="2880"/>
          </w:tcPr>
          <w:p>
            <w:r/>
            <w:r>
              <w:t>30</w:t>
            </w:r>
          </w:p>
        </w:tc>
        <w:tc>
          <w:tcPr>
            <w:tcW w:type="dxa" w:w="2880"/>
          </w:tcPr>
          <w:p>
            <w:r/>
            <w:r>
              <w:t>trinta dias</w:t>
            </w:r>
          </w:p>
        </w:tc>
      </w:tr>
      <w:tr>
        <w:tc>
          <w:tcPr>
            <w:tcW w:type="dxa" w:w="2880"/>
          </w:tcPr>
          <w:p>
            <w:r/>
            <w:r>
              <w:t>Maior que 2,5% até 5,0%</w:t>
            </w:r>
          </w:p>
        </w:tc>
        <w:tc>
          <w:tcPr>
            <w:tcW w:type="dxa" w:w="2880"/>
          </w:tcPr>
          <w:p>
            <w:r/>
            <w:r>
              <w:t>45</w:t>
            </w:r>
          </w:p>
        </w:tc>
        <w:tc>
          <w:tcPr>
            <w:tcW w:type="dxa" w:w="2880"/>
          </w:tcPr>
          <w:p>
            <w:r/>
            <w:r>
              <w:t>quarenta e cinco dias</w:t>
            </w:r>
          </w:p>
        </w:tc>
      </w:tr>
      <w:tr>
        <w:tc>
          <w:tcPr>
            <w:tcW w:type="dxa" w:w="2880"/>
          </w:tcPr>
          <w:p>
            <w:r/>
            <w:r>
              <w:t>Maior que 5,0% até 7,5%</w:t>
            </w:r>
          </w:p>
        </w:tc>
        <w:tc>
          <w:tcPr>
            <w:tcW w:type="dxa" w:w="2880"/>
          </w:tcPr>
          <w:p>
            <w:r/>
            <w:r>
              <w:t>60</w:t>
            </w:r>
          </w:p>
        </w:tc>
        <w:tc>
          <w:tcPr>
            <w:tcW w:type="dxa" w:w="2880"/>
          </w:tcPr>
          <w:p>
            <w:r/>
            <w:r>
              <w:t>sessenta dias</w:t>
            </w:r>
          </w:p>
        </w:tc>
      </w:tr>
      <w:tr>
        <w:tc>
          <w:tcPr>
            <w:tcW w:type="dxa" w:w="2880"/>
          </w:tcPr>
          <w:p>
            <w:r/>
            <w:r>
              <w:t>Maior que 7,5% até 10,0%</w:t>
            </w:r>
          </w:p>
        </w:tc>
        <w:tc>
          <w:tcPr>
            <w:tcW w:type="dxa" w:w="2880"/>
          </w:tcPr>
          <w:p>
            <w:r/>
            <w:r>
              <w:t>75</w:t>
            </w:r>
          </w:p>
        </w:tc>
        <w:tc>
          <w:tcPr>
            <w:tcW w:type="dxa" w:w="2880"/>
          </w:tcPr>
          <w:p>
            <w:r/>
            <w:r>
              <w:t>setenta e cinco dias</w:t>
            </w:r>
          </w:p>
        </w:tc>
      </w:tr>
      <w:tr>
        <w:tc>
          <w:tcPr>
            <w:tcW w:type="dxa" w:w="2880"/>
          </w:tcPr>
          <w:p>
            <w:r/>
            <w:r>
              <w:t>Maior que 10,0% até 12,5%</w:t>
            </w:r>
          </w:p>
        </w:tc>
        <w:tc>
          <w:tcPr>
            <w:tcW w:type="dxa" w:w="2880"/>
          </w:tcPr>
          <w:p>
            <w:r/>
            <w:r>
              <w:t>90</w:t>
            </w:r>
          </w:p>
        </w:tc>
        <w:tc>
          <w:tcPr>
            <w:tcW w:type="dxa" w:w="2880"/>
          </w:tcPr>
          <w:p>
            <w:r/>
            <w:r>
              <w:t>noventa dias</w:t>
            </w:r>
          </w:p>
        </w:tc>
      </w:tr>
      <w:tr>
        <w:tc>
          <w:tcPr>
            <w:tcW w:type="dxa" w:w="2880"/>
          </w:tcPr>
          <w:p>
            <w:r/>
            <w:r>
              <w:t>Maior que 12,5% até 15,0%</w:t>
            </w:r>
          </w:p>
        </w:tc>
        <w:tc>
          <w:tcPr>
            <w:tcW w:type="dxa" w:w="2880"/>
          </w:tcPr>
          <w:p>
            <w:r/>
            <w:r>
              <w:t>105</w:t>
            </w:r>
          </w:p>
        </w:tc>
        <w:tc>
          <w:tcPr>
            <w:tcW w:type="dxa" w:w="2880"/>
          </w:tcPr>
          <w:p>
            <w:r/>
            <w:r>
              <w:t>cento e cinco dias</w:t>
            </w:r>
          </w:p>
        </w:tc>
      </w:tr>
      <w:tr>
        <w:tc>
          <w:tcPr>
            <w:tcW w:type="dxa" w:w="2880"/>
          </w:tcPr>
          <w:p>
            <w:r/>
            <w:r>
              <w:t>Maior que 15,0% até 17,5%</w:t>
            </w:r>
          </w:p>
        </w:tc>
        <w:tc>
          <w:tcPr>
            <w:tcW w:type="dxa" w:w="2880"/>
          </w:tcPr>
          <w:p>
            <w:r/>
            <w:r>
              <w:t>120</w:t>
            </w:r>
          </w:p>
        </w:tc>
        <w:tc>
          <w:tcPr>
            <w:tcW w:type="dxa" w:w="2880"/>
          </w:tcPr>
          <w:p>
            <w:r/>
            <w:r>
              <w:t>cento e vinte dias</w:t>
            </w:r>
          </w:p>
        </w:tc>
      </w:tr>
      <w:tr>
        <w:tc>
          <w:tcPr>
            <w:tcW w:type="dxa" w:w="2880"/>
          </w:tcPr>
          <w:p>
            <w:r/>
            <w:r>
              <w:t>Maior que 17,5%</w:t>
            </w:r>
          </w:p>
        </w:tc>
        <w:tc>
          <w:tcPr>
            <w:tcW w:type="dxa" w:w="2880"/>
          </w:tcPr>
          <w:p>
            <w:r/>
            <w:r>
              <w:t>135</w:t>
            </w:r>
          </w:p>
        </w:tc>
        <w:tc>
          <w:tcPr>
            <w:tcW w:type="dxa" w:w="2880"/>
          </w:tcPr>
          <w:p>
            <w:r/>
            <w:r>
              <w:t>cento e trinta e cinco dias</w:t>
            </w:r>
          </w:p>
        </w:tc>
      </w:tr>
    </w:tbl>
    <w:p/>
    <w:p>
      <w:r>
        <w:t>O prazo é contado em dias corridos a partir da publicação da decisão condenatória no órgão oficial correspondente.</w:t>
      </w:r>
    </w:p>
    <w:p>
      <w:pPr>
        <w:pStyle w:val="Heading2"/>
      </w:pPr>
      <w:r>
        <w:t>9.5 Casos Especiais na Apuração da Alíquota de Referência</w:t>
      </w:r>
    </w:p>
    <w:p>
      <w:r>
        <w:rPr>
          <w:b/>
        </w:rPr>
        <w:t>Faturamento igual a zero ou não estimável</w:t>
      </w:r>
    </w:p>
    <w:p>
      <w:r>
        <w:t>Quando a base de cálculo (faturamento bruto) for igual a zero ou não puder ser estimada, o Cenário B não pode ser aplicado pela impossibilidade aritmética da divisão. Nessa hipótese, adota-se como Alíquota de Referência o índice da dosimetria preliminar:</w:t>
      </w:r>
    </w:p>
    <w:p>
      <w:r>
        <w:rPr>
          <w:b/>
          <w:i/>
        </w:rPr>
        <w:t xml:space="preserve">Alíquota de </w:t>
      </w:r>
      <w:r>
        <w:rPr>
          <w:b/>
          <w:i/>
        </w:rPr>
        <w:t>Referência  =</w:t>
      </w:r>
      <w:r>
        <w:rPr>
          <w:b/>
          <w:i/>
        </w:rPr>
        <w:t xml:space="preserve">  </w:t>
      </w:r>
      <w:r>
        <w:rPr>
          <w:b/>
          <w:i/>
        </w:rPr>
        <w:t>max</w:t>
      </w:r>
      <w:r>
        <w:rPr>
          <w:b/>
          <w:i/>
        </w:rPr>
        <w:t>(</w:t>
      </w:r>
      <w:r>
        <w:rPr>
          <w:b/>
          <w:i/>
        </w:rPr>
        <w:t>Índice de Dosimetria, 0</w:t>
      </w:r>
      <w:r>
        <w:rPr>
          <w:b/>
          <w:i/>
        </w:rPr>
        <w:t>)  ×</w:t>
      </w:r>
      <w:r>
        <w:rPr>
          <w:b/>
          <w:i/>
        </w:rPr>
        <w:t xml:space="preserve">  100</w:t>
      </w:r>
    </w:p>
    <w:p>
      <w:r>
        <w:rPr>
          <w:b/>
        </w:rPr>
        <w:t>Índice de Dosimetria negativo ou zero (art. 25, §2º)</w:t>
      </w:r>
    </w:p>
    <w:p>
      <w:r>
        <w:t>Quando a dosimetria resultar em índice negativo ou zero, a multa é fixada no piso mínimo (vantagem auferida). Nessa situação, o Cenário B se aplica necessariamente, pois o valor final da multa difere da aplicação direta da alíquota preliminar. A Alíquota de Referência passa a ser calculada como o quociente entre o valor da vantagem auferida e o faturamento bruto.</w:t>
      </w:r>
    </w:p>
    <w:p>
      <w:r>
        <w:rPr>
          <w:b/>
        </w:rPr>
        <w:t>Vantagem auferida superior à multa bruta (piso)</w:t>
      </w:r>
    </w:p>
    <w:p>
      <w:r>
        <w:t>Quando a vantagem auferida supera a multa bruta calculada pela dosimetria, a multa é elevada ao valor da vantagem auferida (piso legal, art. 25, I). O Cenário B é aplicado, e a Alíquota de Referência é recalculada pelo valor efetivamente aplicado.</w:t>
      </w:r>
    </w:p>
    <w:p>
      <w:r>
        <w:rPr>
          <w:b/>
        </w:rPr>
        <w:t>Teto da maior vantagem (art. 25, II)</w:t>
      </w:r>
    </w:p>
    <w:p>
      <w:r>
        <w:t>Quando a multa bruta excede o maior valor entre a vantagem auferida e a pretendida, ela é reduzida a esse teto. O Cenário B é aplicado, e a Alíquota de Referência reflete o valor do teto aplicado.</w:t>
      </w:r>
    </w:p>
    <w:p>
      <w:pPr>
        <w:pStyle w:val="Heading2"/>
      </w:pPr>
      <w:r>
        <w:t>9.6 Redação da Decisão — Elementos Obrigatórios</w:t>
      </w:r>
    </w:p>
    <w:p>
      <w:r>
        <w:t>A seção de publicação extraordinária na peça processual deve conter, no mínimo: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Elemento</w:t>
            </w:r>
          </w:p>
        </w:tc>
        <w:tc>
          <w:tcPr>
            <w:tcW w:type="dxa" w:w="4320"/>
            <w:shd w:val="clear" w:color="auto" w:fill="D9E2F3"/>
          </w:tcPr>
          <w:p>
            <w:r/>
            <w:r>
              <w:rPr>
                <w:b/>
              </w:rPr>
              <w:t>Conteúdo exigido</w:t>
            </w:r>
          </w:p>
        </w:tc>
      </w:tr>
      <w:tr>
        <w:tc>
          <w:tcPr>
            <w:tcW w:type="dxa" w:w="4320"/>
          </w:tcPr>
          <w:p>
            <w:r/>
            <w:r>
              <w:t>Fundamento legal</w:t>
            </w:r>
          </w:p>
        </w:tc>
        <w:tc>
          <w:tcPr>
            <w:tcW w:type="dxa" w:w="4320"/>
          </w:tcPr>
          <w:p>
            <w:r/>
            <w:r>
              <w:t>Art. 6º, II, da Lei nº 12.846/2013 c/c art. 24 do Decreto nº 11.129/2022</w:t>
            </w:r>
          </w:p>
        </w:tc>
      </w:tr>
      <w:tr>
        <w:tc>
          <w:tcPr>
            <w:tcW w:type="dxa" w:w="4320"/>
          </w:tcPr>
          <w:p>
            <w:r/>
            <w:r>
              <w:t>Cenário adotado</w:t>
            </w:r>
          </w:p>
        </w:tc>
        <w:tc>
          <w:tcPr>
            <w:tcW w:type="dxa" w:w="4320"/>
          </w:tcPr>
          <w:p>
            <w:r/>
            <w:r>
              <w:t>A (regra geral) ou B (regra de exceção), com memória de cálculo</w:t>
            </w:r>
          </w:p>
        </w:tc>
      </w:tr>
      <w:tr>
        <w:tc>
          <w:tcPr>
            <w:tcW w:type="dxa" w:w="4320"/>
          </w:tcPr>
          <w:p>
            <w:r/>
            <w:r>
              <w:t>Alíquota de Referência</w:t>
            </w:r>
          </w:p>
        </w:tc>
        <w:tc>
          <w:tcPr>
            <w:tcW w:type="dxa" w:w="4320"/>
          </w:tcPr>
          <w:p>
            <w:r/>
            <w:r>
              <w:t>Percentual apurado, com 2 casas decimais</w:t>
            </w:r>
          </w:p>
        </w:tc>
      </w:tr>
      <w:tr>
        <w:tc>
          <w:tcPr>
            <w:tcW w:type="dxa" w:w="4320"/>
          </w:tcPr>
          <w:p>
            <w:r/>
            <w:r>
              <w:t>Prazo</w:t>
            </w:r>
          </w:p>
        </w:tc>
        <w:tc>
          <w:tcPr>
            <w:tcW w:type="dxa" w:w="4320"/>
          </w:tcPr>
          <w:p>
            <w:r/>
            <w:r>
              <w:t>Número de dias corridos, por algarismo e por extenso</w:t>
            </w:r>
          </w:p>
        </w:tc>
      </w:tr>
      <w:tr>
        <w:tc>
          <w:tcPr>
            <w:tcW w:type="dxa" w:w="4320"/>
          </w:tcPr>
          <w:p>
            <w:r/>
            <w:r>
              <w:t>Forma de veiculação</w:t>
            </w:r>
          </w:p>
        </w:tc>
        <w:tc>
          <w:tcPr>
            <w:tcW w:type="dxa" w:w="4320"/>
          </w:tcPr>
          <w:p>
            <w:r/>
            <w:r>
              <w:t>Meios de comunicação, edital no estabelecimento e sítio eletrônico</w:t>
            </w:r>
          </w:p>
        </w:tc>
      </w:tr>
      <w:tr>
        <w:tc>
          <w:tcPr>
            <w:tcW w:type="dxa" w:w="4320"/>
          </w:tcPr>
          <w:p>
            <w:r/>
            <w:r>
              <w:t>Ônus financeiro</w:t>
            </w:r>
          </w:p>
        </w:tc>
        <w:tc>
          <w:tcPr>
            <w:tcW w:type="dxa" w:w="4320"/>
          </w:tcPr>
          <w:p>
            <w:r/>
            <w:r>
              <w:t>Expressão de que os custos correm a expensas da pessoa jurídica</w:t>
            </w:r>
          </w:p>
        </w:tc>
      </w:tr>
    </w:tbl>
    <w:p/>
    <w:p>
      <w:pPr>
        <w:pStyle w:val="Heading2"/>
      </w:pPr>
      <w:r>
        <w:t>9.7 Geração Automática pela Calculadora</w:t>
      </w:r>
    </w:p>
    <w:p>
      <w:r>
        <w:t>A Etapa 13 da calculadora processa automaticamente todos os dados inseridos nas etapas anteriores e determina: (i) o cenário aplicável (A ou B); (ii) a Alíquota de Referência; (iii) o prazo correspondente na tabela de escalonamento; e (iv) o texto dissertativo da memória de cálculo para integrar a minuta processual.</w:t>
      </w:r>
    </w:p>
    <w:p>
      <w:r>
        <w:t>O relatório final impresso registra:</w:t>
      </w:r>
    </w:p>
    <w:p>
      <w:r>
        <w:t>Cenário adotado (A ou B) com fundamentação;</w:t>
      </w:r>
    </w:p>
    <w:p>
      <w:r>
        <w:t>Memória de cálculo da Alíquota de Referência;</w:t>
      </w:r>
    </w:p>
    <w:p>
      <w:r>
        <w:t>Prazo determinado em dias corridos e por extenso;</w:t>
      </w:r>
    </w:p>
    <w:p>
      <w:r>
        <w:t>Texto padrão para a cláusula de publicação na decisão condenatória.</w:t>
      </w:r>
    </w:p>
    <w:p>
      <w:pPr>
        <w:pStyle w:val="Heading1"/>
        <w:pageBreakBefore/>
      </w:pPr>
      <w:r>
        <w:t>⚠  A dosimetria da publicação extraordinária é consequência direta do valor final da multa. Qualquer alteração nos parâmetros de dosimetria (agravantes, atenuantes, limites) afetará automaticamente o prazo da publicação. Por isso, a Etapa 13 deve sempre ser revisada após qualquer modificação nas etapas anteriores.</w:t>
      </w:r>
    </w:p>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EAF2F8" w:val="clear"/>
            <w:tcMar>
              <w:top w:type="dxa" w:w="140"/>
              <w:left w:type="dxa" w:w="200"/>
              <w:bottom w:type="dxa" w:w="140"/>
              <w:right w:type="dxa" w:w="200"/>
            </w:tcMar>
          </w:tcPr>
          <w:p>
            <w:pPr>
              <w:spacing w:after="80"/>
            </w:pPr>
            <w:r>
              <w:rPr>
                <w:rFonts w:ascii="Calibri" w:cs="Calibri" w:eastAsia="Calibri" w:hAnsi="Calibri"/>
                <w:b/>
                <w:bCs/>
                <w:sz w:val="21"/>
                <w:szCs w:val="21"/>
              </w:rPr>
              <w:t xml:space="preserve">Dica prática de avaliação</w:t>
            </w:r>
          </w:p>
          <w:p>
            <w:pPr>
              <w:spacing w:after="60"/>
            </w:pPr>
            <w:r>
              <w:rPr>
                <w:rFonts w:ascii="Calibri" w:cs="Calibri" w:eastAsia="Calibri" w:hAnsi="Calibri"/>
                <w:sz w:val="21"/>
                <w:szCs w:val="21"/>
              </w:rPr>
              <w:t xml:space="preserve">Sempre calcule a multa preliminar antes de verificar os limites — mesmo quando intuitivamente já se souber que o piso ou o teto vai prevalecer, a memória de cálculo completa (índice, multa bruta, depois o limite aplicado) é o que sustenta a decisão perante o controle judicial.</w:t>
            </w:r>
          </w:p>
          <w:p>
            <w:pPr>
              <w:spacing w:after="60"/>
            </w:pPr>
            <w:r>
              <w:rPr>
                <w:rFonts w:ascii="Calibri" w:cs="Calibri" w:eastAsia="Calibri" w:hAnsi="Calibri"/>
                <w:sz w:val="21"/>
                <w:szCs w:val="21"/>
              </w:rPr>
              <w:t xml:space="preserve">Ao identificar que o Cenário B se aplica (piso, teto ou índice negativo), não use a alíquota preliminar para calcular o prazo da publicação extraordinária — use a Alíquota de Referência recalculada a partir do valor efetivamente aplicado, sob pena de fixar prazo de publicação incompatível com a multa real.</w:t>
            </w:r>
          </w:p>
          <w:p>
            <w:pPr>
              <w:spacing w:after="60"/>
            </w:pPr>
            <w:r>
              <w:rPr>
                <w:rFonts w:ascii="Calibri" w:cs="Calibri" w:eastAsia="Calibri" w:hAnsi="Calibri"/>
                <w:sz w:val="21"/>
                <w:szCs w:val="21"/>
              </w:rPr>
              <w:t xml:space="preserve">Reserve um parágrafo específico na decisão condenatória para declarar expressamente qual cenário (A ou B) foi adotado e por quê — essa é uma das exigências mínimas de fundamentação para a publicação extraordinária.</w:t>
            </w:r>
          </w:p>
          <w:p>
            <w:pPr>
              <w:spacing w:after="60"/>
            </w:pPr>
            <w:r>
              <w:rPr>
                <w:rFonts w:ascii="Calibri" w:cs="Calibri" w:eastAsia="Calibri" w:hAnsi="Calibri"/>
                <w:sz w:val="21"/>
                <w:szCs w:val="21"/>
              </w:rPr>
              <w:t xml:space="preserve">Quando o índice de dosimetria for zero ou negativo (agravantes menores ou iguais às atenuantes), confirme se há vantagem auferida estimada antes de aplicar o piso — na ausência de vantagem estimável, aplica-se o piso alternativo (0,1% do faturamento, ou R$ 6.000,00 nas hipóteses do art. 21).</w:t>
            </w:r>
          </w:p>
        </w:tc>
      </w:tr>
    </w:tbl>
    <w:p/>
    <w:tbl>
      <w:tblPr>
        <w:tblW w:type="pct" w:w="100%"/>
        <w:tblBorders>
          <w:top w:val="single" w:color="999999" w:sz="4"/>
          <w:left w:val="single" w:color="999999" w:sz="4"/>
          <w:bottom w:val="single" w:color="999999" w:sz="4"/>
          <w:right w:val="single" w:color="999999" w:sz="4"/>
          <w:insideH w:val="none" w:color="FFFFFF" w:sz="0"/>
          <w:insideV w:val="none" w:color="FFFFFF" w:sz="0"/>
        </w:tblBorders>
      </w:tblPr>
      <w:tblGrid>
        <w:gridCol w:w="100"/>
      </w:tblGrid>
      <w:tr>
        <w:tc>
          <w:tcPr>
            <w:shd w:fill="F2F2F2" w:val="clear"/>
            <w:tcMar>
              <w:top w:type="dxa" w:w="140"/>
              <w:left w:type="dxa" w:w="200"/>
              <w:bottom w:type="dxa" w:w="140"/>
              <w:right w:type="dxa" w:w="200"/>
            </w:tcMar>
          </w:tcPr>
          <w:p>
            <w:pPr>
              <w:spacing w:after="80"/>
            </w:pPr>
            <w:r>
              <w:rPr>
                <w:rFonts w:ascii="Calibri" w:cs="Calibri" w:eastAsia="Calibri" w:hAnsi="Calibri"/>
                <w:b/>
                <w:bCs/>
                <w:sz w:val="21"/>
                <w:szCs w:val="21"/>
              </w:rPr>
              <w:t xml:space="preserve">Exemplo — cálculo completo</w:t>
            </w:r>
          </w:p>
          <w:p>
            <w:pPr>
              <w:spacing w:after="60"/>
            </w:pPr>
            <w:r>
              <w:rPr>
                <w:rFonts w:ascii="Calibri" w:cs="Calibri" w:eastAsia="Calibri" w:hAnsi="Calibri"/>
                <w:sz w:val="21"/>
                <w:szCs w:val="21"/>
              </w:rPr>
              <w:t xml:space="preserve">Faturamento bruto (Etapa 0): R$ 38.200.000,00. Vantagem auferida (Etapa 1): R$ 3.100.000,00. Agravantes somados: concurso de atos lesivos 2,0% + ciência hierárquica 2,5% + contratos com o ente lesado 3,0% = 7,5%. Atenuantes somados: devolução/ressarcimento −1,0% + colaboração −1,5% + admissão voluntária −1,5% + programa de integridade −4,0% = −8,0%.</w:t>
            </w:r>
          </w:p>
          <w:p>
            <w:pPr>
              <w:spacing w:after="60"/>
            </w:pPr>
            <w:r>
              <w:rPr>
                <w:rFonts w:ascii="Calibri" w:cs="Calibri" w:eastAsia="Calibri" w:hAnsi="Calibri"/>
                <w:sz w:val="21"/>
                <w:szCs w:val="21"/>
              </w:rPr>
              <w:t xml:space="preserve">Índice de dosimetria: 7,5% − 8,0% = −0,5% (negativo). Nos termos do art. 25, §2º, a multa é fixada no piso — a vantagem auferida de R$ 3.100.000,00.</w:t>
            </w:r>
          </w:p>
          <w:p>
            <w:pPr>
              <w:spacing w:after="60"/>
            </w:pPr>
            <w:r>
              <w:rPr>
                <w:rFonts w:ascii="Calibri" w:cs="Calibri" w:eastAsia="Calibri" w:hAnsi="Calibri"/>
                <w:sz w:val="21"/>
                <w:szCs w:val="21"/>
              </w:rPr>
              <w:t xml:space="preserve">Como o valor final (R$ 3.100.000,00) não corresponde à aplicação direta da alíquota preliminar, aplica-se o Cenário B: Alíquota de Referência = (3.100.000 ÷ 38.200.000) × 100 = 8,12%. Consultando a tabela de escalonamento, o prazo da publicação extraordinária é de 75 dias corridos (faixa "maior que 7,5% até 10,0%").</w:t>
            </w:r>
          </w:p>
        </w:tc>
      </w:tr>
    </w:tbl>
    <w:p/>
    <w:p>
      <w:pPr>
        <w:pStyle w:val="Heading1"/>
        <w:pageBreakBefore/>
      </w:pPr>
      <w:r>
        <w:t>10. RELATÓRIO FINAL E IMPRESSÃO</w:t>
      </w:r>
    </w:p>
    <w:p>
      <w:pPr>
        <w:pStyle w:val="Heading2"/>
      </w:pPr>
      <w:r>
        <w:t>10.1 Impressão do Relatório Final (PDF)</w:t>
      </w:r>
    </w:p>
    <w:p>
      <w:r>
        <w:t>O botão "Imprimir Relatório Final (PDF)" aciona o modo de impressão do navegador. O documento gerado tem fundo branco, identidade visual institucional, e reúne todos os parâmetros da dosimetria.</w:t>
      </w:r>
    </w:p>
    <w:p>
      <w:r>
        <w:t>Para gerar o PDF: pressione o botão → selecione "Salvar como PDF" na janela de impressão → ajuste a escala para 80–100% → salve com nome identificador do PAR.</w:t>
      </w:r>
    </w:p>
    <w:p>
      <w:pPr>
        <w:pStyle w:val="Heading2"/>
      </w:pPr>
      <w:r>
        <w:t>10.2 Botões Adicionais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Botão</w:t>
            </w:r>
          </w:p>
        </w:tc>
        <w:tc>
          <w:tcPr>
            <w:tcW w:type="dxa" w:w="4320"/>
            <w:shd w:val="clear" w:color="auto" w:fill="D9E2F3"/>
          </w:tcPr>
          <w:p>
            <w:r/>
            <w:r>
              <w:rPr>
                <w:b/>
              </w:rPr>
              <w:t>Função</w:t>
            </w:r>
          </w:p>
        </w:tc>
      </w:tr>
      <w:tr>
        <w:tc>
          <w:tcPr>
            <w:tcW w:type="dxa" w:w="4320"/>
          </w:tcPr>
          <w:p>
            <w:r/>
            <w:r>
              <w:t>Imprimir Avaliação PI</w:t>
            </w:r>
          </w:p>
        </w:tc>
        <w:tc>
          <w:tcPr>
            <w:tcW w:type="dxa" w:w="4320"/>
          </w:tcPr>
          <w:p>
            <w:r/>
            <w:r>
              <w:t>Imprime somente a avaliação do programa de integridade (Etapa 12)</w:t>
            </w:r>
          </w:p>
        </w:tc>
      </w:tr>
      <w:tr>
        <w:tc>
          <w:tcPr>
            <w:tcW w:type="dxa" w:w="4320"/>
          </w:tcPr>
          <w:p>
            <w:r/>
            <w:r>
              <w:t>Gerar Minuta de Relatório</w:t>
            </w:r>
          </w:p>
        </w:tc>
        <w:tc>
          <w:tcPr>
            <w:tcW w:type="dxa" w:w="4320"/>
          </w:tcPr>
          <w:p>
            <w:r/>
            <w:r>
              <w:t>Gera texto dissertativo para inserção direta na peça processual</w:t>
            </w:r>
          </w:p>
        </w:tc>
      </w:tr>
      <w:tr>
        <w:tc>
          <w:tcPr>
            <w:tcW w:type="dxa" w:w="4320"/>
          </w:tcPr>
          <w:p>
            <w:r/>
            <w:r>
              <w:t>Recomeçar</w:t>
            </w:r>
          </w:p>
        </w:tc>
        <w:tc>
          <w:tcPr>
            <w:tcW w:type="dxa" w:w="4320"/>
          </w:tcPr>
          <w:p>
            <w:r/>
            <w:r>
              <w:t>Reinicia o formulário (todos os campos são zerados)</w:t>
            </w:r>
          </w:p>
        </w:tc>
      </w:tr>
    </w:tbl>
    <w:p/>
    <w:p>
      <w:pPr>
        <w:pStyle w:val="Heading1"/>
        <w:pageBreakBefore/>
      </w:pPr>
      <w:r>
        <w:t>11. FLUXO RESUMIDO DO CÁLCULO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Etapa</w:t>
            </w:r>
          </w:p>
        </w:tc>
        <w:tc>
          <w:tcPr>
            <w:tcW w:type="dxa" w:w="2880"/>
            <w:shd w:val="clear" w:color="auto" w:fill="D9E2F3"/>
          </w:tcPr>
          <w:p>
            <w:r/>
            <w:r>
              <w:rPr>
                <w:b/>
              </w:rPr>
              <w:t>Conteúdo</w:t>
            </w:r>
          </w:p>
        </w:tc>
        <w:tc>
          <w:tcPr>
            <w:tcW w:type="dxa" w:w="2880"/>
            <w:shd w:val="clear" w:color="auto" w:fill="D9E2F3"/>
          </w:tcPr>
          <w:p>
            <w:r/>
            <w:r>
              <w:rPr>
                <w:b/>
              </w:rPr>
              <w:t>Faixa de %</w:t>
            </w:r>
          </w:p>
        </w:tc>
      </w:tr>
      <w:tr>
        <w:tc>
          <w:tcPr>
            <w:tcW w:type="dxa" w:w="2880"/>
          </w:tcPr>
          <w:p>
            <w:r/>
            <w:r>
              <w:t>0</w:t>
            </w:r>
          </w:p>
        </w:tc>
        <w:tc>
          <w:tcPr>
            <w:tcW w:type="dxa" w:w="2880"/>
          </w:tcPr>
          <w:p>
            <w:r/>
            <w:r>
              <w:t>Faturamento Bruto (base de cálculo)</w:t>
            </w:r>
          </w:p>
        </w:tc>
        <w:tc>
          <w:tcPr>
            <w:tcW w:type="dxa" w:w="2880"/>
          </w:tcPr>
          <w:p>
            <w:r/>
            <w:r>
              <w:t>Base R$</w:t>
            </w:r>
          </w:p>
        </w:tc>
      </w:tr>
      <w:tr>
        <w:tc>
          <w:tcPr>
            <w:tcW w:type="dxa" w:w="2880"/>
          </w:tcPr>
          <w:p>
            <w:r/>
            <w:r>
              <w:t>1</w:t>
            </w:r>
          </w:p>
        </w:tc>
        <w:tc>
          <w:tcPr>
            <w:tcW w:type="dxa" w:w="2880"/>
          </w:tcPr>
          <w:p>
            <w:r/>
            <w:r>
              <w:t>Vantagens Auferida e Pretendida</w:t>
            </w:r>
          </w:p>
        </w:tc>
        <w:tc>
          <w:tcPr>
            <w:tcW w:type="dxa" w:w="2880"/>
          </w:tcPr>
          <w:p>
            <w:r/>
            <w:r>
              <w:t>Piso e Teto</w:t>
            </w:r>
          </w:p>
        </w:tc>
      </w:tr>
      <w:tr>
        <w:tc>
          <w:tcPr>
            <w:tcW w:type="dxa" w:w="2880"/>
          </w:tcPr>
          <w:p>
            <w:r/>
            <w:r>
              <w:t>2</w:t>
            </w:r>
          </w:p>
        </w:tc>
        <w:tc>
          <w:tcPr>
            <w:tcW w:type="dxa" w:w="2880"/>
          </w:tcPr>
          <w:p>
            <w:r/>
            <w:r>
              <w:t>Agrav. I — Concurso de atos lesivos</w:t>
            </w:r>
          </w:p>
        </w:tc>
        <w:tc>
          <w:tcPr>
            <w:tcW w:type="dxa" w:w="2880"/>
          </w:tcPr>
          <w:p>
            <w:r/>
            <w:r>
              <w:t>0% a 4,0%</w:t>
            </w:r>
          </w:p>
        </w:tc>
      </w:tr>
      <w:tr>
        <w:tc>
          <w:tcPr>
            <w:tcW w:type="dxa" w:w="2880"/>
          </w:tcPr>
          <w:p>
            <w:r/>
            <w:r>
              <w:t>3</w:t>
            </w:r>
          </w:p>
        </w:tc>
        <w:tc>
          <w:tcPr>
            <w:tcW w:type="dxa" w:w="2880"/>
          </w:tcPr>
          <w:p>
            <w:r/>
            <w:r>
              <w:t>Agrav. II — Ciência/Tolerância hierárquica</w:t>
            </w:r>
          </w:p>
        </w:tc>
        <w:tc>
          <w:tcPr>
            <w:tcW w:type="dxa" w:w="2880"/>
          </w:tcPr>
          <w:p>
            <w:r/>
            <w:r>
              <w:t>0% a 3,0%</w:t>
            </w:r>
          </w:p>
        </w:tc>
      </w:tr>
      <w:tr>
        <w:tc>
          <w:tcPr>
            <w:tcW w:type="dxa" w:w="2880"/>
          </w:tcPr>
          <w:p>
            <w:r/>
            <w:r>
              <w:t>4</w:t>
            </w:r>
          </w:p>
        </w:tc>
        <w:tc>
          <w:tcPr>
            <w:tcW w:type="dxa" w:w="2880"/>
          </w:tcPr>
          <w:p>
            <w:r/>
            <w:r>
              <w:t>Agrav. III — Interrupção/Descumprimento (maior das 3)</w:t>
            </w:r>
          </w:p>
        </w:tc>
        <w:tc>
          <w:tcPr>
            <w:tcW w:type="dxa" w:w="2880"/>
          </w:tcPr>
          <w:p>
            <w:r/>
            <w:r>
              <w:t>0% a 4,0%</w:t>
            </w:r>
          </w:p>
        </w:tc>
      </w:tr>
      <w:tr>
        <w:tc>
          <w:tcPr>
            <w:tcW w:type="dxa" w:w="2880"/>
          </w:tcPr>
          <w:p>
            <w:r/>
            <w:r>
              <w:t>5</w:t>
            </w:r>
          </w:p>
        </w:tc>
        <w:tc>
          <w:tcPr>
            <w:tcW w:type="dxa" w:w="2880"/>
          </w:tcPr>
          <w:p>
            <w:r/>
            <w:r>
              <w:t>Agrav. IV — Situação econômica</w:t>
            </w:r>
          </w:p>
        </w:tc>
        <w:tc>
          <w:tcPr>
            <w:tcW w:type="dxa" w:w="2880"/>
          </w:tcPr>
          <w:p>
            <w:r/>
            <w:r>
              <w:t>0% ou 1,0%</w:t>
            </w:r>
          </w:p>
        </w:tc>
      </w:tr>
      <w:tr>
        <w:tc>
          <w:tcPr>
            <w:tcW w:type="dxa" w:w="2880"/>
          </w:tcPr>
          <w:p>
            <w:r/>
            <w:r>
              <w:t>6</w:t>
            </w:r>
          </w:p>
        </w:tc>
        <w:tc>
          <w:tcPr>
            <w:tcW w:type="dxa" w:w="2880"/>
          </w:tcPr>
          <w:p>
            <w:r/>
            <w:r>
              <w:t>Agrav. V — Reincidência</w:t>
            </w:r>
          </w:p>
        </w:tc>
        <w:tc>
          <w:tcPr>
            <w:tcW w:type="dxa" w:w="2880"/>
          </w:tcPr>
          <w:p>
            <w:r/>
            <w:r>
              <w:t>0% ou 3,0%</w:t>
            </w:r>
          </w:p>
        </w:tc>
      </w:tr>
      <w:tr>
        <w:tc>
          <w:tcPr>
            <w:tcW w:type="dxa" w:w="2880"/>
          </w:tcPr>
          <w:p>
            <w:r/>
            <w:r>
              <w:t>7</w:t>
            </w:r>
          </w:p>
        </w:tc>
        <w:tc>
          <w:tcPr>
            <w:tcW w:type="dxa" w:w="2880"/>
          </w:tcPr>
          <w:p>
            <w:r/>
            <w:r>
              <w:t>Agrav. VI — Contratos com o ente lesado</w:t>
            </w:r>
          </w:p>
        </w:tc>
        <w:tc>
          <w:tcPr>
            <w:tcW w:type="dxa" w:w="2880"/>
          </w:tcPr>
          <w:p>
            <w:r/>
            <w:r>
              <w:t>0% a 5,0%</w:t>
            </w:r>
          </w:p>
        </w:tc>
      </w:tr>
      <w:tr>
        <w:tc>
          <w:tcPr>
            <w:tcW w:type="dxa" w:w="2880"/>
          </w:tcPr>
          <w:p>
            <w:r/>
            <w:r>
              <w:t>8</w:t>
            </w:r>
          </w:p>
        </w:tc>
        <w:tc>
          <w:tcPr>
            <w:tcW w:type="dxa" w:w="2880"/>
          </w:tcPr>
          <w:p>
            <w:r/>
            <w:r>
              <w:t>Aten. I — Não consumação</w:t>
            </w:r>
          </w:p>
        </w:tc>
        <w:tc>
          <w:tcPr>
            <w:tcW w:type="dxa" w:w="2880"/>
          </w:tcPr>
          <w:p>
            <w:r/>
            <w:r>
              <w:t>0% ou −0,5%</w:t>
            </w:r>
          </w:p>
        </w:tc>
      </w:tr>
      <w:tr>
        <w:tc>
          <w:tcPr>
            <w:tcW w:type="dxa" w:w="2880"/>
          </w:tcPr>
          <w:p>
            <w:r/>
            <w:r>
              <w:t>9</w:t>
            </w:r>
          </w:p>
        </w:tc>
        <w:tc>
          <w:tcPr>
            <w:tcW w:type="dxa" w:w="2880"/>
          </w:tcPr>
          <w:p>
            <w:r/>
            <w:r>
              <w:t>Aten. II — Ressarcimento/Devolução</w:t>
            </w:r>
          </w:p>
        </w:tc>
        <w:tc>
          <w:tcPr>
            <w:tcW w:type="dxa" w:w="2880"/>
          </w:tcPr>
          <w:p>
            <w:r/>
            <w:r>
              <w:t>0% a −1,0%</w:t>
            </w:r>
          </w:p>
        </w:tc>
      </w:tr>
      <w:tr>
        <w:tc>
          <w:tcPr>
            <w:tcW w:type="dxa" w:w="2880"/>
          </w:tcPr>
          <w:p>
            <w:r/>
            <w:r>
              <w:t>10</w:t>
            </w:r>
          </w:p>
        </w:tc>
        <w:tc>
          <w:tcPr>
            <w:tcW w:type="dxa" w:w="2880"/>
          </w:tcPr>
          <w:p>
            <w:r/>
            <w:r>
              <w:t>Aten. III — Colaboração</w:t>
            </w:r>
          </w:p>
        </w:tc>
        <w:tc>
          <w:tcPr>
            <w:tcW w:type="dxa" w:w="2880"/>
          </w:tcPr>
          <w:p>
            <w:r/>
            <w:r>
              <w:t>0% a −1,5%</w:t>
            </w:r>
          </w:p>
        </w:tc>
      </w:tr>
      <w:tr>
        <w:tc>
          <w:tcPr>
            <w:tcW w:type="dxa" w:w="2880"/>
          </w:tcPr>
          <w:p>
            <w:r/>
            <w:r>
              <w:t>11</w:t>
            </w:r>
          </w:p>
        </w:tc>
        <w:tc>
          <w:tcPr>
            <w:tcW w:type="dxa" w:w="2880"/>
          </w:tcPr>
          <w:p>
            <w:r/>
            <w:r>
              <w:t>Aten. IV — Admissão voluntária</w:t>
            </w:r>
          </w:p>
        </w:tc>
        <w:tc>
          <w:tcPr>
            <w:tcW w:type="dxa" w:w="2880"/>
          </w:tcPr>
          <w:p>
            <w:r/>
            <w:r>
              <w:t>0% a −2,0%</w:t>
            </w:r>
          </w:p>
        </w:tc>
      </w:tr>
      <w:tr>
        <w:tc>
          <w:tcPr>
            <w:tcW w:type="dxa" w:w="2880"/>
          </w:tcPr>
          <w:p>
            <w:r/>
            <w:r>
              <w:t>12</w:t>
            </w:r>
          </w:p>
        </w:tc>
        <w:tc>
          <w:tcPr>
            <w:tcW w:type="dxa" w:w="2880"/>
          </w:tcPr>
          <w:p>
            <w:r/>
            <w:r>
              <w:t>Aten. V — Programa de integridade</w:t>
            </w:r>
          </w:p>
        </w:tc>
        <w:tc>
          <w:tcPr>
            <w:tcW w:type="dxa" w:w="2880"/>
          </w:tcPr>
          <w:p>
            <w:r/>
            <w:r>
              <w:t>0% a −5,0%</w:t>
            </w:r>
          </w:p>
        </w:tc>
      </w:tr>
      <w:tr>
        <w:tc>
          <w:tcPr>
            <w:tcW w:type="dxa" w:w="2880"/>
          </w:tcPr>
          <w:p>
            <w:r/>
            <w:r>
              <w:t>13</w:t>
            </w:r>
          </w:p>
        </w:tc>
        <w:tc>
          <w:tcPr>
            <w:tcW w:type="dxa" w:w="2880"/>
          </w:tcPr>
          <w:p>
            <w:r/>
            <w:r>
              <w:t>Publicação Extraordinária + Resultado Final</w:t>
            </w:r>
          </w:p>
        </w:tc>
        <w:tc>
          <w:tcPr>
            <w:tcW w:type="dxa" w:w="2880"/>
          </w:tcPr>
          <w:p>
            <w:r/>
            <w:r>
              <w:t>Prazo 30–135 dias</w:t>
            </w:r>
          </w:p>
        </w:tc>
      </w:tr>
    </w:tbl>
    <w:p/>
    <w:p>
      <w:pPr>
        <w:pStyle w:val="Heading1"/>
        <w:pageBreakBefore/>
      </w:pPr>
      <w:r>
        <w:t>12. PERGUNTAS FREQUENTES E PONTOS DE ATENÇÃO</w:t>
      </w:r>
    </w:p>
    <w:p>
      <w:r>
        <w:rPr>
          <w:b/>
        </w:rPr>
        <w:t>O sistema é validado por órgão oficial?</w:t>
      </w:r>
    </w:p>
    <w:p>
      <w:r>
        <w:t>A calculadora foi desenvolvida pela Corregedoria da RFB como ferramenta de apoio. Os parâmetros refletem o Decreto nº 11.129/2022, a IN CGU nº 1/2015 e o Guia CGU. O resultado é uma proposta fundamentada, sujeita à deliberação da autoridade competente.</w:t>
      </w:r>
    </w:p>
    <w:p>
      <w:r>
        <w:rPr>
          <w:b/>
        </w:rPr>
        <w:t>Como tratar a atualização pelo IPCA?</w:t>
      </w:r>
    </w:p>
    <w:p>
      <w:r>
        <w:t>A calculadora não realiza atualização automática pelo IPCA por funcionar offline. Quando necessário (Art. 21), corrija o valor previamente na Calculadora do Cidadão (BCB/IPCA) e informe o resultado corrigido no campo correspondente.</w:t>
      </w:r>
    </w:p>
    <w:p>
      <w:r>
        <w:rPr>
          <w:b/>
        </w:rPr>
        <w:t>O que acontece se o índice de dosimetria for negativo?</w:t>
      </w:r>
    </w:p>
    <w:p>
      <w:r>
        <w:t>Nos termos do Art. 25, §2º do Decreto nº 11.129/2022, a multa é fixada no valor mínimo (vantagem auferida). Se a vantagem auferida for zero ou não estimável, aplica-se o piso legal de R$ 6 mil nas hipóteses cabíveis.</w:t>
      </w:r>
    </w:p>
    <w:p>
      <w:r>
        <w:rPr>
          <w:b/>
        </w:rPr>
        <w:t>Qual a diferença entre vantagem auferida e pretendida na prática?</w:t>
      </w:r>
    </w:p>
    <w:p>
      <w:r>
        <w:t>Auferida: valor efetivamente recebido, economizado ou patrimonializado pela PJ. Pretendida: valor planejado que seria obtido se o ato ilícito fosse plenamente executado — inferido de proposta, contrato ou estimativa.</w:t>
      </w:r>
    </w:p>
    <w:p>
      <w:r>
        <w:rPr>
          <w:b/>
        </w:rPr>
        <w:t>O programa de integridade posterior ao ato lesivo pode atenuar?</w:t>
      </w:r>
    </w:p>
    <w:p>
      <w:r>
        <w:t>Sim, mas com percentual reduzido. O bloco APJ-Posterior avalia medidas corretivas adotadas após a descoberta. O percentual máximo de 5% é exclusivo de programas preexistentes ao ato lesivo.</w:t>
      </w:r>
    </w:p>
    <w:p>
      <w:r>
        <w:rPr>
          <w:b/>
        </w:rPr>
        <w:t>Quantos dias tem a publicação extraordinária nos casos mais graves?</w:t>
      </w:r>
    </w:p>
    <w:p>
      <w:r>
        <w:t>O prazo máximo é de 135 dias corridos, aplicável quando a Alíquota de Referência superar 17,5%. Para alíquotas até 2,5%, o prazo mínimo é de 30 dias.</w:t>
      </w:r>
    </w:p>
    <w:p>
      <w:r>
        <w:rPr>
          <w:b/>
        </w:rPr>
        <w:t xml:space="preserve">O Art. 22, IV se aplica quando a Liquidez Geral é </w:t>
      </w:r>
      <w:r>
        <w:rPr>
          <w:b/>
        </w:rPr>
        <w:t>0,98</w:t>
      </w:r>
      <w:r>
        <w:rPr>
          <w:b/>
        </w:rPr>
        <w:t xml:space="preserve"> mas os demais indicadores são favoráveis?</w:t>
      </w:r>
    </w:p>
    <w:p>
      <w:r>
        <w:t>Não. O agravante de situação econômica exige os três indicadores cumulativamente: Solvência Geral &gt; 1, Liquidez Geral &gt; 1 e Lucro Líquido positivo. Qualquer indicador abaixo do limiar — ainda que por margem ínfima — zera o agravante.</w:t>
      </w:r>
    </w:p>
    <w:p>
      <w:r>
        <w:rPr>
          <w:b/>
        </w:rPr>
        <w:t>Responder a outro PAR em andamento configura reincidência?</w:t>
      </w:r>
    </w:p>
    <w:p>
      <w:r>
        <w:t>Não. A reincidência (Art. 22, V) exige decisão definitiva anterior. Estar respondendo a outro PAR sem julgamento concluído não configura reincidência, pois o marco legal é a publicação do julgamento anterior, não a instauração de novo processo.</w:t>
      </w:r>
    </w:p>
    <w:p>
      <w:r>
        <w:rPr>
          <w:b/>
        </w:rPr>
        <w:t>Como é calculada a publicação quando a multa é ajustada pelo piso legal?</w:t>
      </w:r>
    </w:p>
    <w:p>
      <w:r>
        <w:t>Quando a multa final é elevada ao valor da vantagem auferida (piso), aplica-se o Cenário B: Alíquota de Referência = (Multa Final ÷ Faturamento Bruto) × 100. Isso garante que o prazo de publicação reflita a gravidade proporcional real da sanção.</w:t>
      </w:r>
    </w:p>
    <w:p>
      <w:pPr>
        <w:pStyle w:val="Heading1"/>
        <w:pageBreakBefore/>
      </w:pPr>
      <w:r>
        <w:t>13. CASOS ESPECIAIS E SITUAÇÕES ATÍPICAS</w:t>
      </w:r>
    </w:p>
    <w:p>
      <w:pPr>
        <w:pStyle w:val="Heading2"/>
      </w:pPr>
      <w:r>
        <w:t>13.1 Empresa sem Defesa Escrita ou sem Balanço Apresentado</w:t>
      </w:r>
    </w:p>
    <w:p>
      <w:r>
        <w:t>Quando a PJ não apresenta defesa escrita nem documentação contábil, o operador deve buscar dados em sistemas internos antes de qualquer outra medida: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Sistema / Fonte</w:t>
            </w:r>
          </w:p>
        </w:tc>
        <w:tc>
          <w:tcPr>
            <w:tcW w:type="dxa" w:w="4320"/>
            <w:shd w:val="clear" w:color="auto" w:fill="D9E2F3"/>
          </w:tcPr>
          <w:p>
            <w:r/>
            <w:r>
              <w:rPr>
                <w:b/>
              </w:rPr>
              <w:t>Informação disponível</w:t>
            </w:r>
          </w:p>
        </w:tc>
      </w:tr>
      <w:tr>
        <w:tc>
          <w:tcPr>
            <w:tcW w:type="dxa" w:w="4320"/>
          </w:tcPr>
          <w:p>
            <w:r/>
            <w:r>
              <w:t>ECF (Escrituração Contábil Fiscal)</w:t>
            </w:r>
          </w:p>
        </w:tc>
        <w:tc>
          <w:tcPr>
            <w:tcW w:type="dxa" w:w="4320"/>
          </w:tcPr>
          <w:p>
            <w:r/>
            <w:r>
              <w:t>Principal fonte para Lucro Real/Presumido — DRE e Balanço</w:t>
            </w:r>
          </w:p>
        </w:tc>
      </w:tr>
      <w:tr>
        <w:tc>
          <w:tcPr>
            <w:tcW w:type="dxa" w:w="4320"/>
          </w:tcPr>
          <w:p>
            <w:r/>
            <w:r>
              <w:t>DIRF / DCTF</w:t>
            </w:r>
          </w:p>
        </w:tc>
        <w:tc>
          <w:tcPr>
            <w:tcW w:type="dxa" w:w="4320"/>
          </w:tcPr>
          <w:p>
            <w:r/>
            <w:r>
              <w:t>Cruzamento de rendimentos e declarações</w:t>
            </w:r>
          </w:p>
        </w:tc>
      </w:tr>
      <w:tr>
        <w:tc>
          <w:tcPr>
            <w:tcW w:type="dxa" w:w="4320"/>
          </w:tcPr>
          <w:p>
            <w:r/>
            <w:r>
              <w:t>SPED</w:t>
            </w:r>
          </w:p>
        </w:tc>
        <w:tc>
          <w:tcPr>
            <w:tcW w:type="dxa" w:w="4320"/>
          </w:tcPr>
          <w:p>
            <w:r/>
            <w:r>
              <w:t>Escrituração contábil e fiscal digital</w:t>
            </w:r>
          </w:p>
        </w:tc>
      </w:tr>
      <w:tr>
        <w:tc>
          <w:tcPr>
            <w:tcW w:type="dxa" w:w="4320"/>
          </w:tcPr>
          <w:p>
            <w:r/>
            <w:r>
              <w:t>DAS / PGDAS</w:t>
            </w:r>
          </w:p>
        </w:tc>
        <w:tc>
          <w:tcPr>
            <w:tcW w:type="dxa" w:w="4320"/>
          </w:tcPr>
          <w:p>
            <w:r/>
            <w:r>
              <w:t>Faturamento para optantes do Simples Nacional</w:t>
            </w:r>
          </w:p>
        </w:tc>
      </w:tr>
      <w:tr>
        <w:tc>
          <w:tcPr>
            <w:tcW w:type="dxa" w:w="4320"/>
          </w:tcPr>
          <w:p>
            <w:r/>
            <w:r>
              <w:t>NF-e / NFS-e</w:t>
            </w:r>
          </w:p>
        </w:tc>
        <w:tc>
          <w:tcPr>
            <w:tcW w:type="dxa" w:w="4320"/>
          </w:tcPr>
          <w:p>
            <w:r/>
            <w:r>
              <w:t>Notas fiscais emitidas — úteis para estimativa</w:t>
            </w:r>
          </w:p>
        </w:tc>
      </w:tr>
    </w:tbl>
    <w:p/>
    <w:p>
      <w:pPr>
        <w:pStyle w:val="Heading1"/>
        <w:pageBreakBefore/>
      </w:pPr>
      <w:r>
        <w:t>⚠  A ausência de defesa não impede a dosimetria nem desobriga o operador de buscar exaustivamente os dados antes de recorrer à estimativa.</w:t>
      </w:r>
    </w:p>
    <w:p>
      <w:pPr>
        <w:pStyle w:val="Heading2"/>
      </w:pPr>
      <w:r>
        <w:t>13.2 Piso Absoluto de R$ 6.000,00 (Empresa Fantasma ou Noteira)</w:t>
      </w:r>
    </w:p>
    <w:p>
      <w:r>
        <w:t>Quando a PJ é uma empresa-fantasma sem faturamento rastreável e a alíquota resultante é zero ou ínfima, aplica-se o piso absoluto de R$ 6.000,00 (Art. 20, §4º da Lei nº 12.846/2013). A multa final não pode ser inferior a esse valor.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Situação</w:t>
            </w:r>
          </w:p>
        </w:tc>
        <w:tc>
          <w:tcPr>
            <w:tcW w:type="dxa" w:w="4320"/>
            <w:shd w:val="clear" w:color="auto" w:fill="D9E2F3"/>
          </w:tcPr>
          <w:p>
            <w:r/>
            <w:r>
              <w:rPr>
                <w:b/>
              </w:rPr>
              <w:t>Multa Final</w:t>
            </w:r>
          </w:p>
        </w:tc>
      </w:tr>
      <w:tr>
        <w:tc>
          <w:tcPr>
            <w:tcW w:type="dxa" w:w="4320"/>
          </w:tcPr>
          <w:p>
            <w:r/>
            <w:r>
              <w:t>Alíquota zero por excesso de atenuantes</w:t>
            </w:r>
          </w:p>
        </w:tc>
        <w:tc>
          <w:tcPr>
            <w:tcW w:type="dxa" w:w="4320"/>
          </w:tcPr>
          <w:p>
            <w:r/>
            <w:r>
              <w:t>R$ 6.000,00 (piso absoluto)</w:t>
            </w:r>
          </w:p>
        </w:tc>
      </w:tr>
      <w:tr>
        <w:tc>
          <w:tcPr>
            <w:tcW w:type="dxa" w:w="4320"/>
          </w:tcPr>
          <w:p>
            <w:r/>
            <w:r>
              <w:t>Faturamento ínfimo + alíquota baixa → resultado &lt; R$ 6k</w:t>
            </w:r>
          </w:p>
        </w:tc>
        <w:tc>
          <w:tcPr>
            <w:tcW w:type="dxa" w:w="4320"/>
          </w:tcPr>
          <w:p>
            <w:r/>
            <w:r>
              <w:t>R$ 6.000,00 (piso absoluto)</w:t>
            </w:r>
          </w:p>
        </w:tc>
      </w:tr>
    </w:tbl>
    <w:p/>
    <w:p>
      <w:pPr>
        <w:pStyle w:val="Heading2"/>
      </w:pPr>
      <w:r>
        <w:t>13.3 Estimativa Fundamentada (Art. 20, §1º, III)</w:t>
      </w:r>
    </w:p>
    <w:p>
      <w:r>
        <w:t>Quando não há faturamento histórico em nenhum sistema, a autoridade realiza estimativa técnica com base em elementos objetivos. O procedimento é:</w:t>
      </w:r>
    </w:p>
    <w:p>
      <w:pPr>
        <w:pStyle w:val="Heading1"/>
      </w:pPr>
      <w:r>
        <w:t>1. Levantar o capital social ou outros indicadores objetivos (GFIP, compras, valor de repasses ilícitos);</w:t>
      </w:r>
    </w:p>
    <w:p>
      <w:pPr>
        <w:pStyle w:val="Heading1"/>
      </w:pPr>
      <w:r>
        <w:t>2. Identificar o CNAE e a carga tributária estimada do regime vigente;</w:t>
      </w:r>
    </w:p>
    <w:p>
      <w:pPr>
        <w:pStyle w:val="Heading1"/>
      </w:pPr>
      <w:r>
        <w:t>3. Base histórica líquida = indicador bruto − tributos estimados;</w:t>
      </w:r>
    </w:p>
    <w:p>
      <w:pPr>
        <w:pStyle w:val="Heading1"/>
      </w:pPr>
      <w:r>
        <w:t>4. Atualizar pelo IPCA até 31/12 do exercício anterior ao PAR.</w:t>
      </w:r>
    </w:p>
    <w:p>
      <w:pPr>
        <w:pStyle w:val="Heading1"/>
        <w:pageBreakBefore/>
      </w:pPr>
      <w:r>
        <w:t>⚠  Estimativa técnica não é valor arbitrário. Deve ser formalmente fundamentada com os elementos usados. A autoridade documenta cada premissa no processo.</w:t>
      </w:r>
    </w:p>
    <w:p>
      <w:pPr>
        <w:pStyle w:val="Heading2"/>
      </w:pPr>
      <w:r>
        <w:t>13.4 Retroação Anual — Art. 21 (Sem Faturamento no Exercício Anterior)</w:t>
      </w:r>
    </w:p>
    <w:p>
      <w:r>
        <w:t>Quando a PJ não teve faturamento no exercício imediatamente anterior ao PAR, recua-se ano a ano até encontrar um período com faturamento válido, e atualiza-se pelo IPCA: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Exercício</w:t>
            </w:r>
          </w:p>
        </w:tc>
        <w:tc>
          <w:tcPr>
            <w:tcW w:type="dxa" w:w="2880"/>
            <w:shd w:val="clear" w:color="auto" w:fill="D9E2F3"/>
          </w:tcPr>
          <w:p>
            <w:r/>
            <w:r>
              <w:rPr>
                <w:b/>
              </w:rPr>
              <w:t>Faturamento Bruto</w:t>
            </w:r>
          </w:p>
        </w:tc>
        <w:tc>
          <w:tcPr>
            <w:tcW w:type="dxa" w:w="2880"/>
            <w:shd w:val="clear" w:color="auto" w:fill="D9E2F3"/>
          </w:tcPr>
          <w:p>
            <w:r/>
            <w:r>
              <w:rPr>
                <w:b/>
              </w:rPr>
              <w:t>Situação</w:t>
            </w:r>
          </w:p>
        </w:tc>
      </w:tr>
      <w:tr>
        <w:tc>
          <w:tcPr>
            <w:tcW w:type="dxa" w:w="2880"/>
          </w:tcPr>
          <w:p>
            <w:r/>
            <w:r>
              <w:t>Exercício PAR − 1</w:t>
            </w:r>
          </w:p>
        </w:tc>
        <w:tc>
          <w:tcPr>
            <w:tcW w:type="dxa" w:w="2880"/>
          </w:tcPr>
          <w:p>
            <w:r/>
            <w:r>
              <w:t>R$ 0,00</w:t>
            </w:r>
          </w:p>
        </w:tc>
        <w:tc>
          <w:tcPr>
            <w:tcW w:type="dxa" w:w="2880"/>
          </w:tcPr>
          <w:p>
            <w:r/>
            <w:r>
              <w:t>Sem faturamento — retroage</w:t>
            </w:r>
          </w:p>
        </w:tc>
      </w:tr>
      <w:tr>
        <w:tc>
          <w:tcPr>
            <w:tcW w:type="dxa" w:w="2880"/>
          </w:tcPr>
          <w:p>
            <w:r/>
            <w:r>
              <w:t>Exercício PAR − 2</w:t>
            </w:r>
          </w:p>
        </w:tc>
        <w:tc>
          <w:tcPr>
            <w:tcW w:type="dxa" w:w="2880"/>
          </w:tcPr>
          <w:p>
            <w:r/>
            <w:r>
              <w:t>R$ 0,00</w:t>
            </w:r>
          </w:p>
        </w:tc>
        <w:tc>
          <w:tcPr>
            <w:tcW w:type="dxa" w:w="2880"/>
          </w:tcPr>
          <w:p>
            <w:r/>
            <w:r>
              <w:t>Sem faturamento — retroage</w:t>
            </w:r>
          </w:p>
        </w:tc>
      </w:tr>
      <w:tr>
        <w:tc>
          <w:tcPr>
            <w:tcW w:type="dxa" w:w="2880"/>
          </w:tcPr>
          <w:p>
            <w:r/>
            <w:r>
              <w:t>Exercício PAR − N</w:t>
            </w:r>
          </w:p>
        </w:tc>
        <w:tc>
          <w:tcPr>
            <w:tcW w:type="dxa" w:w="2880"/>
          </w:tcPr>
          <w:p>
            <w:r/>
            <w:r>
              <w:t>Valor encontrado</w:t>
            </w:r>
          </w:p>
        </w:tc>
        <w:tc>
          <w:tcPr>
            <w:tcW w:type="dxa" w:w="2880"/>
          </w:tcPr>
          <w:p>
            <w:r/>
            <w:r>
              <w:t>Base histórica → aplicar IPCA</w:t>
            </w:r>
          </w:p>
        </w:tc>
      </w:tr>
    </w:tbl>
    <w:p/>
    <w:p>
      <w:r>
        <w:t>O valor corrigido pelo IPCA passa a ser a base de cálculo oficial para toda a dosimetria.</w:t>
      </w:r>
    </w:p>
    <w:p>
      <w:pPr>
        <w:pStyle w:val="Heading2"/>
      </w:pPr>
      <w:r>
        <w:t>13.5 Sucessão Empresarial (Art. 4º, Lei nº 12.846/2013)</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Evento Societário</w:t>
            </w:r>
          </w:p>
        </w:tc>
        <w:tc>
          <w:tcPr>
            <w:tcW w:type="dxa" w:w="2880"/>
            <w:shd w:val="clear" w:color="auto" w:fill="D9E2F3"/>
          </w:tcPr>
          <w:p>
            <w:r/>
            <w:r>
              <w:rPr>
                <w:b/>
              </w:rPr>
              <w:t>Responsabilidade da Sucessora</w:t>
            </w:r>
          </w:p>
        </w:tc>
        <w:tc>
          <w:tcPr>
            <w:tcW w:type="dxa" w:w="2880"/>
            <w:shd w:val="clear" w:color="auto" w:fill="D9E2F3"/>
          </w:tcPr>
          <w:p>
            <w:r/>
            <w:r>
              <w:rPr>
                <w:b/>
              </w:rPr>
              <w:t>Base de Cálculo</w:t>
            </w:r>
          </w:p>
        </w:tc>
      </w:tr>
      <w:tr>
        <w:tc>
          <w:tcPr>
            <w:tcW w:type="dxa" w:w="2880"/>
          </w:tcPr>
          <w:p>
            <w:r/>
            <w:r>
              <w:t>Alteração contratual ou transformação</w:t>
            </w:r>
          </w:p>
        </w:tc>
        <w:tc>
          <w:tcPr>
            <w:tcW w:type="dxa" w:w="2880"/>
          </w:tcPr>
          <w:p>
            <w:r/>
            <w:r>
              <w:t>Mesma PJ — responsabilidade inalterada</w:t>
            </w:r>
          </w:p>
        </w:tc>
        <w:tc>
          <w:tcPr>
            <w:tcW w:type="dxa" w:w="2880"/>
          </w:tcPr>
          <w:p>
            <w:r/>
            <w:r>
              <w:t>Faturamento da própria PJ</w:t>
            </w:r>
          </w:p>
        </w:tc>
      </w:tr>
      <w:tr>
        <w:tc>
          <w:tcPr>
            <w:tcW w:type="dxa" w:w="2880"/>
          </w:tcPr>
          <w:p>
            <w:r/>
            <w:r>
              <w:t>Incorporação ou fusão</w:t>
            </w:r>
          </w:p>
        </w:tc>
        <w:tc>
          <w:tcPr>
            <w:tcW w:type="dxa" w:w="2880"/>
          </w:tcPr>
          <w:p>
            <w:r/>
            <w:r>
              <w:t>Sucessora responde, limitada ao patrimônio transferido</w:t>
            </w:r>
          </w:p>
        </w:tc>
        <w:tc>
          <w:tcPr>
            <w:tcW w:type="dxa" w:w="2880"/>
          </w:tcPr>
          <w:p>
            <w:r/>
            <w:r>
              <w:t>Faturamento da empresa SUCESSORA</w:t>
            </w:r>
          </w:p>
        </w:tc>
      </w:tr>
    </w:tbl>
    <w:p/>
    <w:p>
      <w:pPr>
        <w:pStyle w:val="Heading1"/>
        <w:pageBreakBefore/>
      </w:pPr>
      <w:r>
        <w:t>⚠  Se o evento sucessório ocorrer durante o andamento do PAR, o polo passivo é redirecionado na Nota de Indiciação para a empresa sucessora.</w:t>
      </w:r>
    </w:p>
    <w:p>
      <w:pPr>
        <w:pStyle w:val="Heading2"/>
      </w:pPr>
      <w:r>
        <w:t>13.6 Grupo Econômico (Art. 20, §2º, Decreto nº 11.129/2022)</w:t>
      </w:r>
    </w:p>
    <w:p>
      <w:r>
        <w:t>Quando há prova de que diferentes empresas agiram em conluio ou fraude estruturada como se fossem uma única entidade, configura-se o grupo econômico para fins de dosimetria. Consequências:</w:t>
      </w:r>
    </w:p>
    <w:p>
      <w:r>
        <w:t>Consolidação dos faturamentos brutos de todas as PJs participantes para compor a base de cálculo;</w:t>
      </w:r>
    </w:p>
    <w:p>
      <w:r>
        <w:t>Avaliação conjunta de agravantes e atenuantes;</w:t>
      </w:r>
    </w:p>
    <w:p>
      <w:r>
        <w:t>Consideração da vantagem auferida por todo o esquema ilícito;</w:t>
      </w:r>
    </w:p>
    <w:p>
      <w:r>
        <w:t>Solidariedade: todas as PJs integrantes respondem integralmente pelo valor total da multa aplicada.</w:t>
      </w:r>
    </w:p>
    <w:p>
      <w:pPr>
        <w:pStyle w:val="Heading1"/>
        <w:pageBreakBefore/>
      </w:pPr>
      <w:r>
        <w:t>14. ESTUDOS DE CASO COMENTADOS</w:t>
      </w:r>
    </w:p>
    <w:p>
      <w:r>
        <w:t>Os casos a seguir ilustram a aplicação concreta da dosimetria, com dados numéricos reais e as decisões metodológicas tomadas em cada etapa.</w:t>
      </w:r>
    </w:p>
    <w:p>
      <w:pPr>
        <w:pStyle w:val="Heading2"/>
      </w:pPr>
      <w:r>
        <w:t>14.1 Caso I — Empresa Alimentos Sabor SA: Fraude em Fiscalização Tributária</w:t>
      </w:r>
    </w:p>
    <w:p>
      <w:r>
        <w:rPr>
          <w:b/>
        </w:rPr>
        <w:t>Cenário</w:t>
      </w:r>
    </w:p>
    <w:p>
      <w:r>
        <w:t>PAR instaurado em 2025. CNPJ 12.345.678/0001-90. Ato lesivo: fraude em fiscalização tributária. Provas: Operação Policial com quebra de sigilos telemático, telefônico e bancário. Benefício econômico estimado: R$ 90.000.000,00.</w:t>
      </w:r>
    </w:p>
    <w:p>
      <w:r>
        <w:rPr>
          <w:b/>
        </w:rPr>
        <w:t>Passo 1 — Base de Cálculo (ECF/DRE da Matriz, exercício 2024)</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Item</w:t>
            </w:r>
          </w:p>
        </w:tc>
        <w:tc>
          <w:tcPr>
            <w:tcW w:type="dxa" w:w="4320"/>
            <w:shd w:val="clear" w:color="auto" w:fill="D9E2F3"/>
          </w:tcPr>
          <w:p>
            <w:r/>
            <w:r>
              <w:rPr>
                <w:b/>
              </w:rPr>
              <w:t>Valor</w:t>
            </w:r>
          </w:p>
        </w:tc>
      </w:tr>
      <w:tr>
        <w:tc>
          <w:tcPr>
            <w:tcW w:type="dxa" w:w="4320"/>
          </w:tcPr>
          <w:p>
            <w:r/>
            <w:r>
              <w:t>Faturamento Bruto</w:t>
            </w:r>
          </w:p>
        </w:tc>
        <w:tc>
          <w:tcPr>
            <w:tcW w:type="dxa" w:w="4320"/>
          </w:tcPr>
          <w:p>
            <w:r/>
            <w:r>
              <w:t>R$ 1.248.765.432,00</w:t>
            </w:r>
          </w:p>
        </w:tc>
      </w:tr>
      <w:tr>
        <w:tc>
          <w:tcPr>
            <w:tcW w:type="dxa" w:w="4320"/>
          </w:tcPr>
          <w:p>
            <w:r/>
            <w:r>
              <w:t>(−) Tributos Incidentes</w:t>
            </w:r>
          </w:p>
        </w:tc>
        <w:tc>
          <w:tcPr>
            <w:tcW w:type="dxa" w:w="4320"/>
          </w:tcPr>
          <w:p>
            <w:r/>
            <w:r>
              <w:t>(R$ 188.653.322,00)</w:t>
            </w:r>
          </w:p>
        </w:tc>
      </w:tr>
      <w:tr>
        <w:tc>
          <w:tcPr>
            <w:tcW w:type="dxa" w:w="4320"/>
          </w:tcPr>
          <w:p>
            <w:r/>
            <w:r>
              <w:t>Base de Cálculo Final</w:t>
            </w:r>
          </w:p>
        </w:tc>
        <w:tc>
          <w:tcPr>
            <w:tcW w:type="dxa" w:w="4320"/>
          </w:tcPr>
          <w:p>
            <w:r/>
            <w:r>
              <w:t>R$ 1.060.112.110,00</w:t>
            </w:r>
          </w:p>
        </w:tc>
      </w:tr>
    </w:tbl>
    <w:p/>
    <w:p>
      <w:r>
        <w:rPr>
          <w:b/>
        </w:rPr>
        <w:t xml:space="preserve">Passo 2 — </w:t>
      </w:r>
      <w:r>
        <w:rPr>
          <w:b/>
        </w:rPr>
        <w:t>Agravantes</w:t>
      </w:r>
      <w:r>
        <w:rPr>
          <w:b/>
        </w:rPr>
        <w:t xml:space="preserve"> e </w:t>
      </w:r>
      <w:r>
        <w:rPr>
          <w:b/>
        </w:rPr>
        <w:t>Atenuantes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Circunstância</w:t>
            </w:r>
          </w:p>
        </w:tc>
        <w:tc>
          <w:tcPr>
            <w:tcW w:type="dxa" w:w="2880"/>
            <w:shd w:val="clear" w:color="auto" w:fill="D9E2F3"/>
          </w:tcPr>
          <w:p>
            <w:r/>
            <w:r>
              <w:rPr>
                <w:b/>
              </w:rPr>
              <w:t>Fundamentação</w:t>
            </w:r>
          </w:p>
        </w:tc>
        <w:tc>
          <w:tcPr>
            <w:tcW w:type="dxa" w:w="2880"/>
            <w:shd w:val="clear" w:color="auto" w:fill="D9E2F3"/>
          </w:tcPr>
          <w:p>
            <w:r/>
            <w:r>
              <w:rPr>
                <w:b/>
              </w:rPr>
              <w:t>%</w:t>
            </w:r>
          </w:p>
        </w:tc>
      </w:tr>
      <w:tr>
        <w:tc>
          <w:tcPr>
            <w:tcW w:type="dxa" w:w="2880"/>
          </w:tcPr>
          <w:p>
            <w:r/>
            <w:r>
              <w:t>Art. 22, I — Concurso de atos</w:t>
            </w:r>
          </w:p>
        </w:tc>
        <w:tc>
          <w:tcPr>
            <w:tcW w:type="dxa" w:w="2880"/>
          </w:tcPr>
          <w:p>
            <w:r/>
            <w:r>
              <w:t>Múltiplos pagamentos dissimulados (R$ 450k via empresa B, R$ 250k via empresa C, R$ 180k em móveis para o auditor)</w:t>
            </w:r>
          </w:p>
        </w:tc>
        <w:tc>
          <w:tcPr>
            <w:tcW w:type="dxa" w:w="2880"/>
          </w:tcPr>
          <w:p>
            <w:r/>
            <w:r>
              <w:t>3,5%</w:t>
            </w:r>
          </w:p>
        </w:tc>
      </w:tr>
      <w:tr>
        <w:tc>
          <w:tcPr>
            <w:tcW w:type="dxa" w:w="2880"/>
          </w:tcPr>
          <w:p>
            <w:r/>
            <w:r>
              <w:t>Art. 22, II — Ciência do corpo diretivo</w:t>
            </w:r>
          </w:p>
        </w:tc>
        <w:tc>
          <w:tcPr>
            <w:tcW w:type="dxa" w:w="2880"/>
          </w:tcPr>
          <w:p>
            <w:r/>
            <w:r>
              <w:t>WhatsApp do gerente citando o Administrador; e-mails copiados ao contador e auditor → ciência do Administrador (teto)</w:t>
            </w:r>
          </w:p>
        </w:tc>
        <w:tc>
          <w:tcPr>
            <w:tcW w:type="dxa" w:w="2880"/>
          </w:tcPr>
          <w:p>
            <w:r/>
            <w:r>
              <w:t>3,0%</w:t>
            </w:r>
          </w:p>
        </w:tc>
      </w:tr>
      <w:tr>
        <w:tc>
          <w:tcPr>
            <w:tcW w:type="dxa" w:w="2880"/>
          </w:tcPr>
          <w:p>
            <w:r/>
            <w:r>
              <w:t>Art. 22, III — Interrupção</w:t>
            </w:r>
          </w:p>
        </w:tc>
        <w:tc>
          <w:tcPr>
            <w:tcW w:type="dxa" w:w="2880"/>
          </w:tcPr>
          <w:p>
            <w:r/>
            <w:r>
              <w:t>Não aplicável ao caso</w:t>
            </w:r>
          </w:p>
        </w:tc>
        <w:tc>
          <w:tcPr>
            <w:tcW w:type="dxa" w:w="2880"/>
          </w:tcPr>
          <w:p>
            <w:r/>
            <w:r>
              <w:t>0%</w:t>
            </w:r>
          </w:p>
        </w:tc>
      </w:tr>
      <w:tr>
        <w:tc>
          <w:tcPr>
            <w:tcW w:type="dxa" w:w="2880"/>
          </w:tcPr>
          <w:p>
            <w:r/>
            <w:r>
              <w:t>Art. 22, IV — Situação econômica</w:t>
            </w:r>
          </w:p>
        </w:tc>
        <w:tc>
          <w:tcPr>
            <w:tcW w:type="dxa" w:w="2880"/>
          </w:tcPr>
          <w:p>
            <w:r/>
            <w:r>
              <w:t>SG = 1,67 ✓ / LG = 0,98 ✗ / Lucro ✓ — LG &lt; 1, não se aplica</w:t>
            </w:r>
          </w:p>
        </w:tc>
        <w:tc>
          <w:tcPr>
            <w:tcW w:type="dxa" w:w="2880"/>
          </w:tcPr>
          <w:p>
            <w:r/>
            <w:r>
              <w:t>0%</w:t>
            </w:r>
          </w:p>
        </w:tc>
      </w:tr>
      <w:tr>
        <w:tc>
          <w:tcPr>
            <w:tcW w:type="dxa" w:w="2880"/>
          </w:tcPr>
          <w:p>
            <w:r/>
            <w:r>
              <w:t>Art. 22, V — Reincidência</w:t>
            </w:r>
          </w:p>
        </w:tc>
        <w:tc>
          <w:tcPr>
            <w:tcW w:type="dxa" w:w="2880"/>
          </w:tcPr>
          <w:p>
            <w:r/>
            <w:r>
              <w:t>PAR anterior em andamento sem julgamento definitivo — NÃO configura reincidência</w:t>
            </w:r>
          </w:p>
        </w:tc>
        <w:tc>
          <w:tcPr>
            <w:tcW w:type="dxa" w:w="2880"/>
          </w:tcPr>
          <w:p>
            <w:r/>
            <w:r>
              <w:t>0%</w:t>
            </w:r>
          </w:p>
        </w:tc>
      </w:tr>
      <w:tr>
        <w:tc>
          <w:tcPr>
            <w:tcW w:type="dxa" w:w="2880"/>
          </w:tcPr>
          <w:p>
            <w:r/>
            <w:r>
              <w:t>Art. 22, VI — Contratos</w:t>
            </w:r>
          </w:p>
        </w:tc>
        <w:tc>
          <w:tcPr>
            <w:tcW w:type="dxa" w:w="2880"/>
          </w:tcPr>
          <w:p>
            <w:r/>
            <w:r>
              <w:t>Não pontuado no caso</w:t>
            </w:r>
          </w:p>
        </w:tc>
        <w:tc>
          <w:tcPr>
            <w:tcW w:type="dxa" w:w="2880"/>
          </w:tcPr>
          <w:p>
            <w:r/>
            <w:r>
              <w:t>0%</w:t>
            </w:r>
          </w:p>
        </w:tc>
      </w:tr>
      <w:tr>
        <w:tc>
          <w:tcPr>
            <w:tcW w:type="dxa" w:w="2880"/>
          </w:tcPr>
          <w:p>
            <w:r/>
            <w:r>
              <w:t>TOTAL AGRAVANTES</w:t>
            </w:r>
          </w:p>
        </w:tc>
        <w:tc>
          <w:tcPr>
            <w:tcW w:type="dxa" w:w="2880"/>
          </w:tcPr>
          <w:p>
            <w:r/>
          </w:p>
        </w:tc>
        <w:tc>
          <w:tcPr>
            <w:tcW w:type="dxa" w:w="2880"/>
          </w:tcPr>
          <w:p>
            <w:r/>
            <w:r>
              <w:t>6,5%</w:t>
            </w:r>
          </w:p>
        </w:tc>
      </w:tr>
      <w:tr>
        <w:tc>
          <w:tcPr>
            <w:tcW w:type="dxa" w:w="2880"/>
          </w:tcPr>
          <w:p>
            <w:r/>
            <w:r>
              <w:t>Art. 23, II — Ressarcimento</w:t>
            </w:r>
          </w:p>
        </w:tc>
        <w:tc>
          <w:tcPr>
            <w:tcW w:type="dxa" w:w="2880"/>
          </w:tcPr>
          <w:p>
            <w:r/>
            <w:r>
              <w:t>Comprovação parcial de devolução espontânea</w:t>
            </w:r>
          </w:p>
        </w:tc>
        <w:tc>
          <w:tcPr>
            <w:tcW w:type="dxa" w:w="2880"/>
          </w:tcPr>
          <w:p>
            <w:r/>
            <w:r>
              <w:t>−0,5%</w:t>
            </w:r>
          </w:p>
        </w:tc>
      </w:tr>
      <w:tr>
        <w:tc>
          <w:tcPr>
            <w:tcW w:type="dxa" w:w="2880"/>
          </w:tcPr>
          <w:p>
            <w:r/>
            <w:r>
              <w:t>TOTAL ATENUANTES</w:t>
            </w:r>
          </w:p>
        </w:tc>
        <w:tc>
          <w:tcPr>
            <w:tcW w:type="dxa" w:w="2880"/>
          </w:tcPr>
          <w:p>
            <w:r/>
          </w:p>
        </w:tc>
        <w:tc>
          <w:tcPr>
            <w:tcW w:type="dxa" w:w="2880"/>
          </w:tcPr>
          <w:p>
            <w:r/>
            <w:r>
              <w:t>−0,5%</w:t>
            </w:r>
          </w:p>
        </w:tc>
      </w:tr>
      <w:tr>
        <w:tc>
          <w:tcPr>
            <w:tcW w:type="dxa" w:w="2880"/>
          </w:tcPr>
          <w:p>
            <w:r/>
            <w:r>
              <w:t>ALÍQUOTA FINAL</w:t>
            </w:r>
          </w:p>
        </w:tc>
        <w:tc>
          <w:tcPr>
            <w:tcW w:type="dxa" w:w="2880"/>
          </w:tcPr>
          <w:p>
            <w:r/>
            <w:r>
              <w:t>6,5% − 0,5%</w:t>
            </w:r>
          </w:p>
        </w:tc>
        <w:tc>
          <w:tcPr>
            <w:tcW w:type="dxa" w:w="2880"/>
          </w:tcPr>
          <w:p>
            <w:r/>
            <w:r>
              <w:t>6,0%</w:t>
            </w:r>
          </w:p>
        </w:tc>
      </w:tr>
    </w:tbl>
    <w:p/>
    <w:p>
      <w:r>
        <w:rPr>
          <w:b/>
        </w:rPr>
        <w:t xml:space="preserve">Passo 3 — </w:t>
      </w:r>
      <w:r>
        <w:rPr>
          <w:b/>
        </w:rPr>
        <w:t>Multa</w:t>
      </w:r>
      <w:r>
        <w:rPr>
          <w:b/>
        </w:rPr>
        <w:t xml:space="preserve"> </w:t>
      </w:r>
      <w:r>
        <w:rPr>
          <w:b/>
        </w:rPr>
        <w:t>Preliminar</w:t>
      </w:r>
    </w:p>
    <w:p>
      <w:r>
        <w:rPr>
          <w:i/>
        </w:rPr>
        <w:t>R$ 1.060.112.110,00 × 6,0</w:t>
      </w:r>
      <w:r>
        <w:rPr>
          <w:i/>
        </w:rPr>
        <w:t>%  =</w:t>
      </w:r>
      <w:r>
        <w:rPr>
          <w:i/>
        </w:rPr>
        <w:t xml:space="preserve">  R$ 63.606.726,60</w:t>
      </w:r>
    </w:p>
    <w:p>
      <w:r>
        <w:rPr>
          <w:b/>
        </w:rPr>
        <w:t xml:space="preserve">Passo 4 — </w:t>
      </w:r>
      <w:r>
        <w:rPr>
          <w:b/>
        </w:rPr>
        <w:t>Limites</w:t>
      </w:r>
      <w:r>
        <w:rPr>
          <w:b/>
        </w:rPr>
        <w:t xml:space="preserve"> </w:t>
      </w:r>
      <w:r>
        <w:rPr>
          <w:b/>
        </w:rPr>
        <w:t>Legais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rPr>
              <w:t>Limite</w:t>
            </w:r>
          </w:p>
        </w:tc>
        <w:tc>
          <w:tcPr>
            <w:tcW w:type="dxa" w:w="2880"/>
            <w:shd w:val="clear" w:color="auto" w:fill="D9E2F3"/>
          </w:tcPr>
          <w:p>
            <w:r/>
            <w:r>
              <w:rPr>
                <w:b/>
              </w:rPr>
              <w:t>Fórmula</w:t>
            </w:r>
          </w:p>
        </w:tc>
        <w:tc>
          <w:tcPr>
            <w:tcW w:type="dxa" w:w="2880"/>
            <w:shd w:val="clear" w:color="auto" w:fill="D9E2F3"/>
          </w:tcPr>
          <w:p>
            <w:r/>
            <w:r>
              <w:rPr>
                <w:b/>
              </w:rPr>
              <w:t>Valor</w:t>
            </w:r>
          </w:p>
        </w:tc>
      </w:tr>
      <w:tr>
        <w:tc>
          <w:tcPr>
            <w:tcW w:type="dxa" w:w="2880"/>
          </w:tcPr>
          <w:p>
            <w:r/>
            <w:r>
              <w:t>Mínimo (maior entre os dois)</w:t>
            </w:r>
          </w:p>
        </w:tc>
        <w:tc>
          <w:tcPr>
            <w:tcW w:type="dxa" w:w="2880"/>
          </w:tcPr>
          <w:p>
            <w:r/>
            <w:r>
              <w:t>Vantagem Auferida (após refiscalização)</w:t>
            </w:r>
          </w:p>
        </w:tc>
        <w:tc>
          <w:tcPr>
            <w:tcW w:type="dxa" w:w="2880"/>
          </w:tcPr>
          <w:p>
            <w:r/>
            <w:r>
              <w:t>R$ 60.000.000,00</w:t>
            </w:r>
          </w:p>
        </w:tc>
      </w:tr>
      <w:tr>
        <w:tc>
          <w:tcPr>
            <w:tcW w:type="dxa" w:w="2880"/>
          </w:tcPr>
          <w:p>
            <w:r/>
          </w:p>
        </w:tc>
        <w:tc>
          <w:tcPr>
            <w:tcW w:type="dxa" w:w="2880"/>
          </w:tcPr>
          <w:p>
            <w:r/>
            <w:r>
              <w:t>0,1% do Faturamento</w:t>
            </w:r>
          </w:p>
        </w:tc>
        <w:tc>
          <w:tcPr>
            <w:tcW w:type="dxa" w:w="2880"/>
          </w:tcPr>
          <w:p>
            <w:r/>
            <w:r>
              <w:t>R$ 1.060.112,11</w:t>
            </w:r>
          </w:p>
        </w:tc>
      </w:tr>
      <w:tr>
        <w:tc>
          <w:tcPr>
            <w:tcW w:type="dxa" w:w="2880"/>
          </w:tcPr>
          <w:p>
            <w:r/>
            <w:r>
              <w:t>Máximo (menor entre os dois)</w:t>
            </w:r>
          </w:p>
        </w:tc>
        <w:tc>
          <w:tcPr>
            <w:tcW w:type="dxa" w:w="2880"/>
          </w:tcPr>
          <w:p>
            <w:r/>
            <w:r>
              <w:t>20% do Faturamento</w:t>
            </w:r>
          </w:p>
        </w:tc>
        <w:tc>
          <w:tcPr>
            <w:tcW w:type="dxa" w:w="2880"/>
          </w:tcPr>
          <w:p>
            <w:r/>
            <w:r>
              <w:t>R$ 212.022.422,00</w:t>
            </w:r>
          </w:p>
        </w:tc>
      </w:tr>
      <w:tr>
        <w:tc>
          <w:tcPr>
            <w:tcW w:type="dxa" w:w="2880"/>
          </w:tcPr>
          <w:p>
            <w:r/>
          </w:p>
        </w:tc>
        <w:tc>
          <w:tcPr>
            <w:tcW w:type="dxa" w:w="2880"/>
          </w:tcPr>
          <w:p>
            <w:r/>
            <w:r>
              <w:t>3 × Vantagem Pretendida (R$ 90M)</w:t>
            </w:r>
          </w:p>
        </w:tc>
        <w:tc>
          <w:tcPr>
            <w:tcW w:type="dxa" w:w="2880"/>
          </w:tcPr>
          <w:p>
            <w:r/>
            <w:r>
              <w:t>R$ 270.000.000,00</w:t>
            </w:r>
          </w:p>
        </w:tc>
      </w:tr>
    </w:tbl>
    <w:p/>
    <w:p>
      <w:r>
        <w:rPr>
          <w:b/>
        </w:rPr>
        <w:t>Passo 5 — Multa Final (Caso I)</w:t>
      </w:r>
    </w:p>
    <w:p>
      <w:r>
        <w:t>A Multa Preliminar de R$ 63.606.726,60 está entre o piso (R$ 60M) e o teto (R$ 212M) — não sofre ajuste.</w:t>
      </w:r>
    </w:p>
    <w:p>
      <w:r>
        <w:rPr>
          <w:i/>
        </w:rPr>
        <w:t>MULTA FINAL (Caso I</w:t>
      </w:r>
      <w:r>
        <w:rPr>
          <w:i/>
        </w:rPr>
        <w:t>)  =</w:t>
      </w:r>
      <w:r>
        <w:rPr>
          <w:i/>
        </w:rPr>
        <w:t xml:space="preserve">  R$ 63.606.726,60</w:t>
      </w:r>
    </w:p>
    <w:p>
      <w:r>
        <w:rPr>
          <w:b/>
        </w:rPr>
        <w:t>Passo 6 — Publicação Extraordinária</w:t>
      </w:r>
    </w:p>
    <w:p>
      <w:r>
        <w:t>Multa não foi limitada (Cenário A). Alíquota de referência = 6,0% → faixa "maior que 5,0% até 7,5%" → PRAZO: 60 DIAS.</w:t>
      </w:r>
    </w:p>
    <w:p>
      <w:pPr>
        <w:pStyle w:val="Heading2"/>
      </w:pPr>
      <w:r>
        <w:t>14.2 Caso II — Mesmo Cenário, Vantagem Auferida Integral (Piso Forçado)</w:t>
      </w:r>
    </w:p>
    <w:p>
      <w:r>
        <w:rPr>
          <w:b/>
        </w:rPr>
        <w:t>Variante</w:t>
      </w:r>
    </w:p>
    <w:p>
      <w:r>
        <w:t>A vantagem auferida permanece em R$ 90.000.000,00 (sem redução pela refiscalização).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Limite</w:t>
            </w:r>
          </w:p>
        </w:tc>
        <w:tc>
          <w:tcPr>
            <w:tcW w:type="dxa" w:w="4320"/>
            <w:shd w:val="clear" w:color="auto" w:fill="D9E2F3"/>
          </w:tcPr>
          <w:p>
            <w:r/>
            <w:r>
              <w:rPr>
                <w:b/>
              </w:rPr>
              <w:t>Valor</w:t>
            </w:r>
          </w:p>
        </w:tc>
      </w:tr>
      <w:tr>
        <w:tc>
          <w:tcPr>
            <w:tcW w:type="dxa" w:w="4320"/>
          </w:tcPr>
          <w:p>
            <w:r/>
            <w:r>
              <w:t>Piso (vantagem auferida integral)</w:t>
            </w:r>
          </w:p>
        </w:tc>
        <w:tc>
          <w:tcPr>
            <w:tcW w:type="dxa" w:w="4320"/>
          </w:tcPr>
          <w:p>
            <w:r/>
            <w:r>
              <w:t>R$ 90.000.000,00</w:t>
            </w:r>
          </w:p>
        </w:tc>
      </w:tr>
      <w:tr>
        <w:tc>
          <w:tcPr>
            <w:tcW w:type="dxa" w:w="4320"/>
          </w:tcPr>
          <w:p>
            <w:r/>
            <w:r>
              <w:t>Teto (20% do Faturamento)</w:t>
            </w:r>
          </w:p>
        </w:tc>
        <w:tc>
          <w:tcPr>
            <w:tcW w:type="dxa" w:w="4320"/>
          </w:tcPr>
          <w:p>
            <w:r/>
            <w:r>
              <w:t>R$ 212.022.422,00</w:t>
            </w:r>
          </w:p>
        </w:tc>
      </w:tr>
    </w:tbl>
    <w:p/>
    <w:p>
      <w:r>
        <w:t>Multa Preliminar de R$ 63.606.726,60 ficou abaixo do piso legal (R$ 90M). A multa é elevada obrigatoriamente ao piso:</w:t>
      </w:r>
    </w:p>
    <w:p>
      <w:r>
        <w:rPr>
          <w:i/>
        </w:rPr>
        <w:t>MULTA FINAL (Caso II</w:t>
      </w:r>
      <w:r>
        <w:rPr>
          <w:i/>
        </w:rPr>
        <w:t>)  =</w:t>
      </w:r>
      <w:r>
        <w:rPr>
          <w:i/>
        </w:rPr>
        <w:t xml:space="preserve">  R$ 90.000.000,00</w:t>
      </w:r>
    </w:p>
    <w:p>
      <w:r>
        <w:rPr>
          <w:b/>
        </w:rPr>
        <w:t>Publicação com Proporção Recalculada (Cenário B)</w:t>
      </w:r>
    </w:p>
    <w:p>
      <w:r>
        <w:rPr>
          <w:i/>
        </w:rPr>
        <w:t xml:space="preserve">Alíquota de </w:t>
      </w:r>
      <w:r>
        <w:rPr>
          <w:i/>
        </w:rPr>
        <w:t>Proporção  =</w:t>
      </w:r>
      <w:r>
        <w:rPr>
          <w:i/>
        </w:rPr>
        <w:t xml:space="preserve">  R$ 90.000.000,00 ÷ R$ 1.060.112.110,</w:t>
      </w:r>
      <w:r>
        <w:rPr>
          <w:i/>
        </w:rPr>
        <w:t>00  ≈</w:t>
      </w:r>
      <w:r>
        <w:rPr>
          <w:i/>
        </w:rPr>
        <w:t xml:space="preserve">  8,5</w:t>
      </w:r>
      <w:r>
        <w:rPr>
          <w:i/>
        </w:rPr>
        <w:t>%  →</w:t>
      </w:r>
      <w:r>
        <w:rPr>
          <w:i/>
        </w:rPr>
        <w:t xml:space="preserve">  PRAZO: 75 DIAS</w:t>
      </w:r>
    </w:p>
    <w:p>
      <w:pPr>
        <w:pStyle w:val="Heading1"/>
        <w:pageBreakBefore/>
      </w:pPr>
      <w:r>
        <w:t>⚠  O prazo de publicação aumentou de 60 para 75 dias porque a gravidade proporcional da sanção cresceu quando a multa foi elevada ao piso.</w:t>
      </w:r>
    </w:p>
    <w:p>
      <w:pPr>
        <w:pStyle w:val="Heading2"/>
      </w:pPr>
      <w:r>
        <w:t>14.3 Caso III — Empresa Cítrica: Sem Defesa, Empresa Fantasma</w:t>
      </w:r>
    </w:p>
    <w:p>
      <w:r>
        <w:rPr>
          <w:b/>
        </w:rPr>
        <w:t>Cenário</w:t>
      </w:r>
    </w:p>
    <w:p>
      <w:r>
        <w:t>Empresa-noteira que não apresentou defesa nem balanço. Faturamento: 2024 e 2025 = R$ 0. Faturamento histórico: 2018 (jan–mar) = R$ 53.500,00; 2017 = R$ 560.000,00.</w:t>
      </w:r>
    </w:p>
    <w:p>
      <w:r>
        <w:rPr>
          <w:b/>
        </w:rPr>
        <w:t>Retroação e Atualização (Art. 21)</w:t>
      </w:r>
    </w:p>
    <w:p>
      <w:r>
        <w:rPr>
          <w:i/>
        </w:rPr>
        <w:t>Base de Cálculo apurada e atualizada pelo IPCA até 31/12/</w:t>
      </w:r>
      <w:r>
        <w:rPr>
          <w:i/>
        </w:rPr>
        <w:t>2024  =</w:t>
      </w:r>
      <w:r>
        <w:rPr>
          <w:i/>
        </w:rPr>
        <w:t xml:space="preserve">  R$ 74.588,17</w:t>
      </w:r>
    </w:p>
    <w:p>
      <w:r>
        <w:rPr>
          <w:b/>
        </w:rPr>
        <w:t>Dosimetria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Circunstância</w:t>
            </w:r>
          </w:p>
        </w:tc>
        <w:tc>
          <w:tcPr>
            <w:tcW w:type="dxa" w:w="4320"/>
            <w:shd w:val="clear" w:color="auto" w:fill="D9E2F3"/>
          </w:tcPr>
          <w:p>
            <w:r/>
            <w:r>
              <w:rPr>
                <w:b/>
              </w:rPr>
              <w:t>%</w:t>
            </w:r>
          </w:p>
        </w:tc>
      </w:tr>
      <w:tr>
        <w:tc>
          <w:tcPr>
            <w:tcW w:type="dxa" w:w="4320"/>
          </w:tcPr>
          <w:p>
            <w:r/>
            <w:r>
              <w:t>Agravantes</w:t>
            </w:r>
          </w:p>
        </w:tc>
        <w:tc>
          <w:tcPr>
            <w:tcW w:type="dxa" w:w="4320"/>
          </w:tcPr>
          <w:p>
            <w:r/>
            <w:r>
              <w:t>0%</w:t>
            </w:r>
          </w:p>
        </w:tc>
      </w:tr>
      <w:tr>
        <w:tc>
          <w:tcPr>
            <w:tcW w:type="dxa" w:w="4320"/>
          </w:tcPr>
          <w:p>
            <w:r/>
            <w:r>
              <w:t>Art. 23, II — Inexistência de vantagem/dano comprovado</w:t>
            </w:r>
          </w:p>
        </w:tc>
        <w:tc>
          <w:tcPr>
            <w:tcW w:type="dxa" w:w="4320"/>
          </w:tcPr>
          <w:p>
            <w:r/>
            <w:r>
              <w:t>−1,0%</w:t>
            </w:r>
          </w:p>
        </w:tc>
      </w:tr>
      <w:tr>
        <w:tc>
          <w:tcPr>
            <w:tcW w:type="dxa" w:w="4320"/>
          </w:tcPr>
          <w:p>
            <w:r/>
            <w:r>
              <w:t>Alíquota Final (atenuantes &gt; agravantes)</w:t>
            </w:r>
          </w:p>
        </w:tc>
        <w:tc>
          <w:tcPr>
            <w:tcW w:type="dxa" w:w="4320"/>
          </w:tcPr>
          <w:p>
            <w:r/>
            <w:r>
              <w:t>0%</w:t>
            </w:r>
          </w:p>
        </w:tc>
      </w:tr>
    </w:tbl>
    <w:p/>
    <w:p>
      <w:r>
        <w:rPr>
          <w:i/>
        </w:rPr>
        <w:t>Multa</w:t>
      </w:r>
      <w:r>
        <w:rPr>
          <w:i/>
        </w:rPr>
        <w:t xml:space="preserve"> </w:t>
      </w:r>
      <w:r>
        <w:rPr>
          <w:i/>
        </w:rPr>
        <w:t>Preliminar</w:t>
      </w:r>
      <w:r>
        <w:rPr>
          <w:i/>
        </w:rPr>
        <w:t xml:space="preserve">  =</w:t>
      </w:r>
      <w:r>
        <w:rPr>
          <w:i/>
        </w:rPr>
        <w:t xml:space="preserve">  R$ 74.588,17 × 0</w:t>
      </w:r>
      <w:r>
        <w:rPr>
          <w:i/>
        </w:rPr>
        <w:t>%  =</w:t>
      </w:r>
      <w:r>
        <w:rPr>
          <w:i/>
        </w:rPr>
        <w:t xml:space="preserve">  R$ 0,00</w:t>
      </w:r>
    </w:p>
    <w:p>
      <w:r>
        <w:t>Piso absoluto (Art. 20, §4º, Lei nº 12.846/2013):</w:t>
      </w:r>
    </w:p>
    <w:p>
      <w:r>
        <w:rPr>
          <w:i/>
        </w:rPr>
        <w:t>MULTA FINAL (Caso III</w:t>
      </w:r>
      <w:r>
        <w:rPr>
          <w:i/>
        </w:rPr>
        <w:t>)  =</w:t>
      </w:r>
      <w:r>
        <w:rPr>
          <w:i/>
        </w:rPr>
        <w:t xml:space="preserve">  R$ 6.000,00</w:t>
      </w:r>
    </w:p>
    <w:p>
      <w:r>
        <w:rPr>
          <w:i/>
        </w:rPr>
        <w:t xml:space="preserve">Alíquota de </w:t>
      </w:r>
      <w:r>
        <w:rPr>
          <w:i/>
        </w:rPr>
        <w:t>Proporção  =</w:t>
      </w:r>
      <w:r>
        <w:rPr>
          <w:i/>
        </w:rPr>
        <w:t xml:space="preserve">  R$ 6.000,00 ÷ R$ 74.588,</w:t>
      </w:r>
      <w:r>
        <w:rPr>
          <w:i/>
        </w:rPr>
        <w:t>17  ≈</w:t>
      </w:r>
      <w:r>
        <w:rPr>
          <w:i/>
        </w:rPr>
        <w:t xml:space="preserve">  8,0</w:t>
      </w:r>
      <w:r>
        <w:rPr>
          <w:i/>
        </w:rPr>
        <w:t>%  →</w:t>
      </w:r>
      <w:r>
        <w:rPr>
          <w:i/>
        </w:rPr>
        <w:t xml:space="preserve">  PRAZO: 75 DIAS</w:t>
      </w:r>
    </w:p>
    <w:p>
      <w:pPr>
        <w:pStyle w:val="Heading2"/>
      </w:pPr>
      <w:r>
        <w:t>14.4 Caso IV — Empresa Gasparzinho: Estimativa Fundamentada</w:t>
      </w:r>
    </w:p>
    <w:p>
      <w:r>
        <w:rPr>
          <w:b/>
        </w:rPr>
        <w:t>Cenário</w:t>
      </w:r>
    </w:p>
    <w:p>
      <w:r>
        <w:t>Empresa sem qualquer dado de faturamento histórico. Capital social (2017): R$ 50.000,00. CNAE: 6204-0/00 (Consultoria em TI). Sede: Não-Me-Toque/RS. Regime: Lucro Presumido.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rPr>
              <w:t>Item</w:t>
            </w:r>
          </w:p>
        </w:tc>
        <w:tc>
          <w:tcPr>
            <w:tcW w:type="dxa" w:w="4320"/>
            <w:shd w:val="clear" w:color="auto" w:fill="D9E2F3"/>
          </w:tcPr>
          <w:p>
            <w:r/>
            <w:r>
              <w:rPr>
                <w:b/>
              </w:rPr>
              <w:t>Valor</w:t>
            </w:r>
          </w:p>
        </w:tc>
      </w:tr>
      <w:tr>
        <w:tc>
          <w:tcPr>
            <w:tcW w:type="dxa" w:w="4320"/>
          </w:tcPr>
          <w:p>
            <w:r/>
            <w:r>
              <w:t>Capital Social 2017 (proxy de faturamento)</w:t>
            </w:r>
          </w:p>
        </w:tc>
        <w:tc>
          <w:tcPr>
            <w:tcW w:type="dxa" w:w="4320"/>
          </w:tcPr>
          <w:p>
            <w:r/>
            <w:r>
              <w:t>R$ 50.000,00</w:t>
            </w:r>
          </w:p>
        </w:tc>
      </w:tr>
      <w:tr>
        <w:tc>
          <w:tcPr>
            <w:tcW w:type="dxa" w:w="4320"/>
          </w:tcPr>
          <w:p>
            <w:r/>
            <w:r>
              <w:t>(−) Tributos estimados: PIS 0,65% + COFINS 3% + ISS 3% = 6,65%</w:t>
            </w:r>
          </w:p>
        </w:tc>
        <w:tc>
          <w:tcPr>
            <w:tcW w:type="dxa" w:w="4320"/>
          </w:tcPr>
          <w:p>
            <w:r/>
            <w:r>
              <w:t>(R$ 3.325,00)</w:t>
            </w:r>
          </w:p>
        </w:tc>
      </w:tr>
      <w:tr>
        <w:tc>
          <w:tcPr>
            <w:tcW w:type="dxa" w:w="4320"/>
          </w:tcPr>
          <w:p>
            <w:r/>
            <w:r>
              <w:t>Base de Cálculo Histórica (2017)</w:t>
            </w:r>
          </w:p>
        </w:tc>
        <w:tc>
          <w:tcPr>
            <w:tcW w:type="dxa" w:w="4320"/>
          </w:tcPr>
          <w:p>
            <w:r/>
            <w:r>
              <w:t>R$ 46.675,00</w:t>
            </w:r>
          </w:p>
        </w:tc>
      </w:tr>
      <w:tr>
        <w:tc>
          <w:tcPr>
            <w:tcW w:type="dxa" w:w="4320"/>
          </w:tcPr>
          <w:p>
            <w:r/>
            <w:r>
              <w:t>Atualização IPCA até dez/2024</w:t>
            </w:r>
          </w:p>
        </w:tc>
        <w:tc>
          <w:tcPr>
            <w:tcW w:type="dxa" w:w="4320"/>
          </w:tcPr>
          <w:p>
            <w:r/>
            <w:r>
              <w:t>≈ R$ 67.417,43</w:t>
            </w:r>
          </w:p>
        </w:tc>
      </w:tr>
    </w:tbl>
    <w:p/>
    <w:p>
      <w:r>
        <w:rPr>
          <w:i/>
        </w:rPr>
        <w:t xml:space="preserve">BASE DE CÁLCULO </w:t>
      </w:r>
      <w:r>
        <w:rPr>
          <w:i/>
        </w:rPr>
        <w:t>OFICIAL  =</w:t>
      </w:r>
      <w:r>
        <w:rPr>
          <w:i/>
        </w:rPr>
        <w:t xml:space="preserve">  R$ 67.417,43</w:t>
      </w:r>
    </w:p>
    <w:p>
      <w:r>
        <w:t>A partir desse valor, a dosimetria (agravantes, atenuantes, limites legais) segue o fluxo padrão.</w:t>
      </w:r>
    </w:p>
    <w:p>
      <w:pPr>
        <w:pStyle w:val="Heading1"/>
        <w:pageBreakBefore/>
      </w:pPr>
      <w:r>
        <w:t>⚠  Estimativa técnica não é arbitrária. Cada premissa (CNAE, carga tributária, capital social) deve ser formalmente documentada no processo.</w:t>
      </w:r>
    </w:p>
    <w:p>
      <w:r>
        <w:rPr>
          <w:i/>
        </w:rPr>
        <w:t>Manual elaborado com base na Calculadora de Multa PAR — Corregedoria da Receita Federal do Brasil</w:t>
      </w:r>
      <w:r>
        <w:t xml:space="preserve"> </w:t>
      </w:r>
      <w:r>
        <w:rPr>
          <w:i/>
        </w:rPr>
        <w:t>Fundamentos: Lei nº 12.846/2013 | Decreto nº 11.129/2022 | IN CGU nº 1/2015 | Guia CGU</w:t>
      </w:r>
    </w:p>
    <w:p>
      <w:pPr>
        <w:pStyle w:val="Heading1"/>
      </w:pPr>
      <w:r>
        <w:t>15. BIBLIOGRAFIA</w:t>
      </w:r>
    </w:p>
    <w:p>
      <w:r>
        <w:rPr>
          <w:b/>
        </w:rPr>
        <w:t>A — DOUTRINA: LIVROS E OBRAS MONOGRÁFICAS</w:t>
      </w:r>
    </w:p>
    <w:p>
      <w:r>
        <w:t xml:space="preserve">BARDHAN, Pranab. Corruption and Development: A Review of Issues. </w:t>
      </w:r>
      <w:r>
        <w:rPr>
          <w:b/>
        </w:rPr>
        <w:t>Journal of Economic Literature</w:t>
      </w:r>
      <w:r>
        <w:t>, Nashville, v. 35, n. 3, p. 1320-1346, set. 1997.</w:t>
      </w:r>
    </w:p>
    <w:p>
      <w:r>
        <w:t xml:space="preserve">COELHO, Fábio Ulhôa. </w:t>
      </w:r>
      <w:r>
        <w:rPr>
          <w:b/>
        </w:rPr>
        <w:t>Curso de Direito Comercial</w:t>
      </w:r>
      <w:r>
        <w:t>. 12. ed. São Paulo: Saraiva, 2008. v. 2.</w:t>
      </w:r>
    </w:p>
    <w:p>
      <w:r>
        <w:t xml:space="preserve">HUNTINGTON, Samuel P. </w:t>
      </w:r>
      <w:r>
        <w:rPr>
          <w:b/>
        </w:rPr>
        <w:t>Political Order in Changing Societies</w:t>
      </w:r>
      <w:r>
        <w:t>. New Haven: Yale University Press, 1968.</w:t>
      </w:r>
    </w:p>
    <w:p>
      <w:r>
        <w:t xml:space="preserve">KAUFMANN, Daniel; WEI, Shang-Jin. Does "Grease Money" Speed Up the Wheels of Commerce? </w:t>
      </w:r>
      <w:r>
        <w:rPr>
          <w:b/>
        </w:rPr>
        <w:t>NBER Working Paper</w:t>
      </w:r>
      <w:r>
        <w:t>, Cambridge, n. 7093, abr. 1999. Publicado também como: IMF Working Paper, Washington, WP/00/64, 2000. Disponível em: [https://www.nber.org/papers/w7093](https://www.nber.org/papers/w7093). Acesso em: jun. 2026.</w:t>
      </w:r>
    </w:p>
    <w:p>
      <w:r>
        <w:t xml:space="preserve">KRUEGER, Anne O. The Political Economy of the Rent-Seeking Society. </w:t>
      </w:r>
      <w:r>
        <w:rPr>
          <w:b/>
        </w:rPr>
        <w:t>The American Economic Review</w:t>
      </w:r>
      <w:r>
        <w:t>, Nashville, v. 64, n. 3, p. 291-303, jun. 1974.</w:t>
      </w:r>
    </w:p>
    <w:p>
      <w:r>
        <w:t xml:space="preserve">LEFF, Nathaniel H. Economic Development through Bureaucratic Corruption. </w:t>
      </w:r>
      <w:r>
        <w:rPr>
          <w:b/>
        </w:rPr>
        <w:t>American Behavioral Scientist</w:t>
      </w:r>
      <w:r>
        <w:t>, Thousand Oaks, v. 8, n. 3, p. 8-14, 1964.</w:t>
      </w:r>
    </w:p>
    <w:p>
      <w:r>
        <w:t xml:space="preserve">ROSE-ACKERMAN, Susan. </w:t>
      </w:r>
      <w:r>
        <w:rPr>
          <w:b/>
        </w:rPr>
        <w:t>Corruption: A Study in Political Economy</w:t>
      </w:r>
      <w:r>
        <w:t>. New York: Academic Press, 1978.</w:t>
      </w:r>
    </w:p>
    <w:p>
      <w:r>
        <w:t xml:space="preserve">ROSE-ACKERMAN, Susan. </w:t>
      </w:r>
      <w:r>
        <w:rPr>
          <w:b/>
        </w:rPr>
        <w:t>Corruption and Government: Causes, Consequences, and Reform</w:t>
      </w:r>
      <w:r>
        <w:t>. Cambridge: Cambridge University Press, 1999.</w:t>
      </w:r>
    </w:p>
    <w:p>
      <w:r>
        <w:t xml:space="preserve">ROSE-ACKERMAN, Susan; PALIFKA, Bonnie J. </w:t>
      </w:r>
      <w:r>
        <w:rPr>
          <w:b/>
        </w:rPr>
        <w:t>Corruption and Government: Causes, Consequences, and Reform</w:t>
      </w:r>
      <w:r>
        <w:t>. 2. ed. Cambridge: Cambridge University Press, 2016.</w:t>
      </w:r>
    </w:p>
    <w:p>
      <w:r>
        <w:t xml:space="preserve">SERICK, Rolf. </w:t>
      </w:r>
      <w:r>
        <w:rPr>
          <w:b/>
        </w:rPr>
        <w:t>Rechtsform</w:t>
      </w:r>
      <w:r>
        <w:rPr>
          <w:b/>
        </w:rPr>
        <w:t xml:space="preserve"> und </w:t>
      </w:r>
      <w:r>
        <w:rPr>
          <w:b/>
        </w:rPr>
        <w:t>Realität</w:t>
      </w:r>
      <w:r>
        <w:rPr>
          <w:b/>
        </w:rPr>
        <w:t xml:space="preserve"> </w:t>
      </w:r>
      <w:r>
        <w:rPr>
          <w:b/>
        </w:rPr>
        <w:t>juristischer</w:t>
      </w:r>
      <w:r>
        <w:rPr>
          <w:b/>
        </w:rPr>
        <w:t xml:space="preserve"> Personen</w:t>
      </w:r>
      <w:r>
        <w:t xml:space="preserve">. Berlin; Tübingen: De Gruyter; Mohr, 1955. Tradução italiana: </w:t>
      </w:r>
      <w:r>
        <w:rPr>
          <w:b/>
        </w:rPr>
        <w:t xml:space="preserve">Forma e </w:t>
      </w:r>
      <w:r>
        <w:rPr>
          <w:b/>
        </w:rPr>
        <w:t>realtà</w:t>
      </w:r>
      <w:r>
        <w:rPr>
          <w:b/>
        </w:rPr>
        <w:t xml:space="preserve"> </w:t>
      </w:r>
      <w:r>
        <w:rPr>
          <w:b/>
        </w:rPr>
        <w:t>della</w:t>
      </w:r>
      <w:r>
        <w:rPr>
          <w:b/>
        </w:rPr>
        <w:t xml:space="preserve"> persona </w:t>
      </w:r>
      <w:r>
        <w:rPr>
          <w:b/>
        </w:rPr>
        <w:t>giuridica</w:t>
      </w:r>
      <w:r>
        <w:t>. Milano: Giuffrè, 1966.</w:t>
      </w:r>
    </w:p>
    <w:p>
      <w:r>
        <w:t xml:space="preserve">SHLEIFER, Andrei; VISHNY, Robert W. Corruption. </w:t>
      </w:r>
      <w:r>
        <w:rPr>
          <w:b/>
        </w:rPr>
        <w:t>The Quarterly Journal of Economics</w:t>
      </w:r>
      <w:r>
        <w:t>, Oxford, v. 108, n. 3, p. 599-617, ago. 1993. Disponível em: [https://doi.org/10.2307/2118402](https://doi.org/10.2307/2118402). Acesso em: jun. 2026.</w:t>
      </w:r>
    </w:p>
    <w:p>
      <w:r>
        <w:rPr>
          <w:b/>
        </w:rPr>
        <w:t>B — ARTIGOS, NOTAS E DOCUMENTOS DOUTRINÁRIOS</w:t>
      </w:r>
    </w:p>
    <w:p>
      <w:r>
        <w:t>REQUIÃO, Rubens. Abuso de Direito e Fraude através da Personalidade Jurídica (</w:t>
      </w:r>
      <w:r>
        <w:rPr>
          <w:i/>
        </w:rPr>
        <w:t>Disregard</w:t>
      </w:r>
      <w:r>
        <w:rPr>
          <w:i/>
        </w:rPr>
        <w:t xml:space="preserve"> </w:t>
      </w:r>
      <w:r>
        <w:rPr>
          <w:i/>
        </w:rPr>
        <w:t>Doctrine</w:t>
      </w:r>
      <w:r>
        <w:t xml:space="preserve">). </w:t>
      </w:r>
      <w:r>
        <w:rPr>
          <w:b/>
        </w:rPr>
        <w:t>Revista dos Tribunais</w:t>
      </w:r>
      <w:r>
        <w:t>, São Paulo, v. 59, n. 410, p. 12-24, dez. 1969.</w:t>
      </w:r>
    </w:p>
    <w:p>
      <w:r>
        <w:rPr>
          <w:b/>
        </w:rPr>
        <w:t>C — LEGISLAÇÃO BRASILEIRA</w:t>
      </w:r>
    </w:p>
    <w:p>
      <w:r>
        <w:t xml:space="preserve">BRASIL. </w:t>
      </w:r>
      <w:r>
        <w:rPr>
          <w:b/>
        </w:rPr>
        <w:t>Constituição da República Federativa do Brasil de 1988</w:t>
      </w:r>
      <w:r>
        <w:t>. Promulgada em 5 de outubro de 1988. Brasília, DF: Presidência da República, 1988. Disponível em: [https://www.planalto.gov.br/ccivil_03/constituicao/constituicao.htm](https://www.planalto.gov.br/ccivil_03/constituicao/constituicao.htm). Acesso em: jun. 2026.</w:t>
      </w:r>
    </w:p>
    <w:p>
      <w:r>
        <w:t xml:space="preserve">BRASIL. </w:t>
      </w:r>
      <w:r>
        <w:rPr>
          <w:b/>
        </w:rPr>
        <w:t>Lei nº 6.830, de 22 de setembro de 1980</w:t>
      </w:r>
      <w:r>
        <w:t>. Dispõe sobre a cobrança judicial da Dívida Ativa da Fazenda Pública e dá outras providências. Diário Oficial da União, Brasília, DF, 24 set. 1980. Disponível em: [https://www.planalto.gov.br/ccivil_03/leis/l6830.htm](https://www.planalto.gov.br/ccivil_03/leis/l6830.htm). Acesso em: jun. 2026.</w:t>
      </w:r>
    </w:p>
    <w:p>
      <w:r>
        <w:t xml:space="preserve">BRASIL. </w:t>
      </w:r>
      <w:r>
        <w:rPr>
          <w:b/>
        </w:rPr>
        <w:t>Lei nº 8.078, de 11 de setembro de 1990</w:t>
      </w:r>
      <w:r>
        <w:t>. Dispõe sobre a proteção do consumidor. Diário Oficial da União, Brasília, DF, 12 set. 1990. Disponível em: [https://www.planalto.gov.br/ccivil_03/leis/l8078compilado.htm](https://www.planalto.gov.br/ccivil_03/leis/l8078compilado.htm). Acesso em: jun. 2026.</w:t>
      </w:r>
    </w:p>
    <w:p>
      <w:r>
        <w:t xml:space="preserve">BRASIL. </w:t>
      </w:r>
      <w:r>
        <w:rPr>
          <w:b/>
        </w:rPr>
        <w:t>Lei nº 9.613, de 3 de março de 1998</w:t>
      </w:r>
      <w:r>
        <w:t>. Dispõe sobre os crimes de "lavagem" ou ocultação de bens, direitos e valores. Diário Oficial da União, Brasília, DF, 4 mar. 1998. Disponível em: [https://www.planalto.gov.br/ccivil_03/leis/l9613.htm](https://www.planalto.gov.br/ccivil_03/leis/l9613.htm). Acesso em: jun. 2026.</w:t>
      </w:r>
    </w:p>
    <w:p>
      <w:r>
        <w:t xml:space="preserve">BRASIL. </w:t>
      </w:r>
      <w:r>
        <w:rPr>
          <w:b/>
        </w:rPr>
        <w:t>Lei nº 9.784, de 29 de janeiro de 1999</w:t>
      </w:r>
      <w:r>
        <w:t>. Regula o processo administrativo no âmbito da Administração Pública Federal. Diário Oficial da União, Brasília, DF, 1 fev. 1999. Disponível em: [https://www.planalto.gov.br/ccivil_03/leis/l9784.htm](https://www.planalto.gov.br/ccivil_03/leis/l9784.htm). Acesso em: jun. 2026.</w:t>
      </w:r>
    </w:p>
    <w:p>
      <w:r>
        <w:t xml:space="preserve">BRASIL. </w:t>
      </w:r>
      <w:r>
        <w:rPr>
          <w:b/>
        </w:rPr>
        <w:t>Lei nº 10.406, de 10 de janeiro de 2002</w:t>
      </w:r>
      <w:r>
        <w:t>. Institui o Código Civil. Diário Oficial da União, Brasília, DF, 11 jan. 2002. Disponível em: [https://www.planalto.gov.br/ccivil_03/leis/2002/l10406compilada.htm](https://www.planalto.gov.br/ccivil_03/leis/2002/l10406compilada.htm). Acesso em: jun. 2026.</w:t>
      </w:r>
    </w:p>
    <w:p>
      <w:r>
        <w:t xml:space="preserve">BRASIL. </w:t>
      </w:r>
      <w:r>
        <w:rPr>
          <w:b/>
        </w:rPr>
        <w:t>Lei nº 12.527, de 18 de novembro de 2011</w:t>
      </w:r>
      <w:r>
        <w:t>. Regula o acesso a informações. Diário Oficial da União, Brasília, DF, 18 nov. 2011 (edição extra). Disponível em: [https://www.planalto.gov.br/ccivil_03/_ato2011-2014/2011/lei/l12527.htm](https://www.planalto.gov.br/ccivil_03/_ato2011-2014/2011/lei/l12527.htm). Acesso em: jun. 2026.</w:t>
      </w:r>
    </w:p>
    <w:p>
      <w:r>
        <w:t xml:space="preserve">BRASIL. </w:t>
      </w:r>
      <w:r>
        <w:rPr>
          <w:b/>
        </w:rPr>
        <w:t>Lei nº 12.529, de 30 de novembro de 2011</w:t>
      </w:r>
      <w:r>
        <w:t>. Estrutura o Sistema Brasileiro de Defesa da Concorrência. Diário Oficial da União, Brasília, DF, 1 dez. 2011. Disponível em: [https://www.planalto.gov.br/ccivil_03/_ato2011-2014/2011/lei/l12529.htm](https://www.planalto.gov.br/ccivil_03/_ato2011-2014/2011/lei/l12529.htm). Acesso em: jun. 2026.</w:t>
      </w:r>
    </w:p>
    <w:p>
      <w:r>
        <w:t xml:space="preserve">BRASIL. </w:t>
      </w:r>
      <w:r>
        <w:rPr>
          <w:b/>
        </w:rPr>
        <w:t>Lei nº 12.846, de 1º de agosto de 2013</w:t>
      </w:r>
      <w:r>
        <w:t>. Dispõe sobre a responsabilização administrativa e civil de pessoas jurídicas pela prática de atos contra a administração pública, nacional ou estrangeira. Diário Oficial da União, Brasília, DF, 2 ago. 2013, Seção 1, p. 1. Disponível em: [https://www.planalto.gov.br/ccivil_03/_ato2011-2014/2013/lei/l12846.htm](https://www.planalto.gov.br/ccivil_03/_ato2011-2014/2013/lei/l12846.htm). Acesso em: jun. 2026.</w:t>
      </w:r>
    </w:p>
    <w:p>
      <w:r>
        <w:t xml:space="preserve">BRASIL. </w:t>
      </w:r>
      <w:r>
        <w:rPr>
          <w:b/>
        </w:rPr>
        <w:t>Lei nº 14.133, de 1º de abril de 2021</w:t>
      </w:r>
      <w:r>
        <w:t>. Lei de Licitações e Contratos Administrativos. Diário Oficial da União, Brasília, DF, 1 abr. 2021. Disponível em: [https://www.planalto.gov.br/ccivil_03/_ato2019-2022/2021/lei/l14133.htm](https://www.planalto.gov.br/ccivil_03/_ato2019-2022/2021/lei/l14133.htm). Acesso em: jun. 2026.</w:t>
      </w:r>
    </w:p>
    <w:p>
      <w:r>
        <w:rPr>
          <w:b/>
        </w:rPr>
        <w:t>D — DECRETOS E ATOS DO PODER EXECUTIVO FEDERAL</w:t>
      </w:r>
    </w:p>
    <w:p>
      <w:r>
        <w:t xml:space="preserve">BRASIL. </w:t>
      </w:r>
      <w:r>
        <w:rPr>
          <w:b/>
        </w:rPr>
        <w:t>Decreto nº 4.410, de 7 de outubro de 2002</w:t>
      </w:r>
      <w:r>
        <w:t>. Promulga a Convenção Interamericana contra a Corrupção, celebrada em Caracas em 29 de março de 1996. Diário Oficial da União, Brasília, DF, 8 out. 2002. Disponível em: [https://www.planalto.gov.br/ccivil_03/decreto/2002/d4410.htm](https://www.planalto.gov.br/ccivil_03/decreto/2002/d4410.htm). Acesso em: jun. 2026.</w:t>
      </w:r>
    </w:p>
    <w:p>
      <w:r>
        <w:t xml:space="preserve">BRASIL. </w:t>
      </w:r>
      <w:r>
        <w:rPr>
          <w:b/>
        </w:rPr>
        <w:t>Decreto nº 5.687, de 31 de janeiro de 2006</w:t>
      </w:r>
      <w:r>
        <w:t>. Promulga a Convenção das Nações Unidas contra a Corrupção, adotada pela Assembleia Geral das Nações Unidas em 31 de outubro de 2003. Diário Oficial da União, Brasília, DF, 1 fev. 2006. Disponível em: [https://www.planalto.gov.br/ccivil_03/_ato2004-2006/2006/decreto/d5687.htm](https://www.planalto.gov.br/ccivil_03/_ato2004-2006/2006/decreto/d5687.htm). Acesso em: jun. 2026.</w:t>
      </w:r>
    </w:p>
    <w:p>
      <w:r>
        <w:t xml:space="preserve">BRASIL. </w:t>
      </w:r>
      <w:r>
        <w:rPr>
          <w:b/>
        </w:rPr>
        <w:t>Decreto nº 11.129, de 11 de julho de 2022</w:t>
      </w:r>
      <w:r>
        <w:t>. Regulamenta a Lei nº 12.846, de 1º de agosto de 2013. Diário Oficial da União, Brasília, DF, 12 jul. 2022. Disponível em: [https://www.planalto.gov.br/ccivil_03/_ato2019-2022/2022/decreto/d11129.htm](https://www.planalto.gov.br/ccivil_03/_ato2019-2022/2022/decreto/d11129.htm). Acesso em: jun. 2026.</w:t>
      </w:r>
    </w:p>
    <w:p>
      <w:r>
        <w:rPr>
          <w:b/>
        </w:rPr>
        <w:t>E — ATOS NORMATIVOS INFRALEGAIS E DOCUMENTOS INSTITUCIONAIS</w:t>
      </w:r>
    </w:p>
    <w:p>
      <w:r>
        <w:t xml:space="preserve">BRASIL. Controladoria-Geral da União. </w:t>
      </w:r>
      <w:r>
        <w:rPr>
          <w:b/>
        </w:rPr>
        <w:t>Enunciado CGU nº 14, de 31 de maio de 2016</w:t>
      </w:r>
      <w:r>
        <w:t xml:space="preserve">. Restrição de acesso dos procedimentos disciplinares para terceiros até o julgamento. </w:t>
      </w:r>
      <w:r>
        <w:rPr>
          <w:i/>
        </w:rPr>
        <w:t>Diário Oficial da União</w:t>
      </w:r>
      <w:r>
        <w:t>, Brasília, DF, 1 jun. 2016, Seção 1, p. 48.</w:t>
      </w:r>
    </w:p>
    <w:p>
      <w:r>
        <w:t xml:space="preserve">BRASIL. Controladoria-Geral da União. </w:t>
      </w:r>
      <w:r>
        <w:rPr>
          <w:b/>
        </w:rPr>
        <w:t>Manual de Processo Administrativo de Responsabilização</w:t>
      </w:r>
      <w:r>
        <w:t>. Edição 2022. Brasília: CGU, 2022. Disponível em: [https://repositorio.cgu.gov.br](https://repositorio.cgu.gov.br). Acesso em: jun. 2026.</w:t>
      </w:r>
    </w:p>
    <w:p>
      <w:r>
        <w:t xml:space="preserve">BRASIL. Controladoria-Geral da União. </w:t>
      </w:r>
      <w:r>
        <w:rPr>
          <w:b/>
        </w:rPr>
        <w:t>Portaria Normativa CGU nº 27, de 7 de dezembro de 2022</w:t>
      </w:r>
      <w:r>
        <w:t xml:space="preserve">. Dispõe sobre o Sistema de Correição do Poder Executivo Federal e sobre a atividade correcional nos órgãos e entidades do Poder Executivo Federal. </w:t>
      </w:r>
      <w:r>
        <w:rPr>
          <w:i/>
        </w:rPr>
        <w:t>Diário Oficial da União</w:t>
      </w:r>
      <w:r>
        <w:t>, Brasília, DF, 8 dez. 2022.</w:t>
      </w:r>
    </w:p>
    <w:p>
      <w:r>
        <w:t xml:space="preserve">BRASIL. Controladoria-Geral da União. </w:t>
      </w:r>
      <w:r>
        <w:rPr>
          <w:b/>
        </w:rPr>
        <w:t>Portaria Normativa CGU nº 75, de 9 de maio de 2023</w:t>
      </w:r>
      <w:r>
        <w:t xml:space="preserve">. Institui o uso do Sistema Banco de Sanções e disciplina o fornecimento de informações para os cadastros administrados pela CGU. </w:t>
      </w:r>
      <w:r>
        <w:rPr>
          <w:i/>
        </w:rPr>
        <w:t>Diário Oficial da União</w:t>
      </w:r>
      <w:r>
        <w:t>, Brasília, DF, 10 maio 2023.</w:t>
      </w:r>
    </w:p>
    <w:p>
      <w:r>
        <w:t xml:space="preserve">BRASIL. Controladoria-Geral da União; Advocacia-Geral da União; Ministério Público Federal. </w:t>
      </w:r>
      <w:r>
        <w:rPr>
          <w:b/>
        </w:rPr>
        <w:t>Acordo de Cooperação Técnica</w:t>
      </w:r>
      <w:r>
        <w:t xml:space="preserve"> para atuação coordenada na negociação e celebração de acordos de leniência previstos na Lei nº 12.846/2013. Brasília, 25 abr. 2025.</w:t>
      </w:r>
    </w:p>
    <w:p>
      <w:r>
        <w:t xml:space="preserve">BRASIL. Receita Federal do Brasil. </w:t>
      </w:r>
      <w:r>
        <w:rPr>
          <w:b/>
        </w:rPr>
        <w:t xml:space="preserve">Parecer Normativo </w:t>
      </w:r>
      <w:r>
        <w:rPr>
          <w:b/>
        </w:rPr>
        <w:t>Cosit</w:t>
      </w:r>
      <w:r>
        <w:rPr>
          <w:b/>
        </w:rPr>
        <w:t xml:space="preserve"> nº 3, de 4 de novembro de 2016</w:t>
      </w:r>
      <w:r>
        <w:t xml:space="preserve">. Uniformização de entendimento sobre processo administrativo de natureza tributária e aduaneira. </w:t>
      </w:r>
      <w:r>
        <w:rPr>
          <w:i/>
        </w:rPr>
        <w:t>Diário Oficial da União</w:t>
      </w:r>
      <w:r>
        <w:t>, Brasília, DF, 8 nov. 2016.</w:t>
      </w:r>
    </w:p>
    <w:p>
      <w:r>
        <w:rPr>
          <w:b/>
        </w:rPr>
        <w:t>F — TRATADOS E CONVENÇÕES INTERNACIONAIS</w:t>
      </w:r>
    </w:p>
    <w:p>
      <w:r>
        <w:t xml:space="preserve">OCDE — Organização para a Cooperação e Desenvolvimento Econômico. </w:t>
      </w:r>
      <w:r>
        <w:rPr>
          <w:b/>
        </w:rPr>
        <w:t>Convenção sobre o Combate da Corrupção de Funcionários Públicos Estrangeiros em Transações Comerciais Internacionais</w:t>
      </w:r>
      <w:r>
        <w:t>. Adotada em Paris, em 21 de novembro de 1997. Assinada em 17 de dezembro de 1997. Entrada em vigor: 15 de fevereiro de 1999. Promulgada no Brasil pelo Decreto nº 3.678, de 30 de novembro de 2000. Disponível em: [https://legalinstruments.oecd.org/public/doc/205/205.en.pdf](https://legalinstruments.oecd.org/public/doc/205/205.en.pdf). Acesso em: jun. 2026.</w:t>
      </w:r>
    </w:p>
    <w:p>
      <w:r>
        <w:t xml:space="preserve">OCDE — Organização para a Cooperação e Desenvolvimento Econômico. </w:t>
      </w:r>
      <w:r>
        <w:rPr>
          <w:b/>
        </w:rPr>
        <w:t>Guidelines for Fighting Bid Rigging in Public Procurement</w:t>
      </w:r>
      <w:r>
        <w:t>. Paris: OCDE, 2012. Disponível em: [https://www.oecd.org/competition/cartels/42851044.pdf](https://www.oecd.org/competition/cartels/42851044.pdf). Acesso em: jun. 2026.</w:t>
      </w:r>
    </w:p>
    <w:p>
      <w:r>
        <w:t xml:space="preserve">OEA — Organização dos Estados Americanos. </w:t>
      </w:r>
      <w:r>
        <w:rPr>
          <w:b/>
        </w:rPr>
        <w:t>Convenção Interamericana contra a Corrupção (CICC)</w:t>
      </w:r>
      <w:r>
        <w:t>. Adotada em Caracas, Venezuela, em 29 de março de 1996. Entrada em vigor: 3 de junho de 1997. Ratificada pelo Brasil pelo Decreto Legislativo nº 152, de 25 de junho de 2002. Disponível em: [https://www.oas.org/juridico/portuguese/treaties/b-58.htm](https://www.oas.org/juridico/portuguese/treaties/b-58.htm). Acesso em: jun. 2026.</w:t>
      </w:r>
    </w:p>
    <w:p>
      <w:r>
        <w:t xml:space="preserve">ONU — Organização das Nações Unidas. Escritório das Nações Unidas sobre Drogas e Crime — UNODC. </w:t>
      </w:r>
      <w:r>
        <w:rPr>
          <w:b/>
        </w:rPr>
        <w:t>Convenção das Nações Unidas contra a Corrupção (CNUCC / Convenção de Mérida)</w:t>
      </w:r>
      <w:r>
        <w:t>. Adotada pela Assembleia Geral da ONU pela Resolução 58/4, de 31 de outubro de 2003. Aberta à assinatura em Mérida, México, em 9 de dezembro de 2003. Entrada em vigor: 14 de dezembro de 2005. Viena: UNODC, 2004. Disponível em: [https://www.unodc.org/documents/brussels/UN_Convention_Against_Corruption.pdf](https://www.unodc.org/documents/brussels/UN_Convention_Against_Corruption.pdf). Acesso em: jun. 2026.</w:t>
      </w:r>
    </w:p>
    <w:p>
      <w:r>
        <w:rPr>
          <w:b/>
        </w:rPr>
        <w:t>G — LEGISLAÇÃO ESTRANGEIRA</w:t>
      </w:r>
    </w:p>
    <w:p>
      <w:r>
        <w:t xml:space="preserve">ESTADOS UNIDOS DA AMÉRICA. </w:t>
      </w:r>
      <w:r>
        <w:rPr>
          <w:b/>
        </w:rPr>
        <w:t>Foreign Corrupt Practices Act of 1977 (FCPA)</w:t>
      </w:r>
      <w:r>
        <w:t>. Public Law 95-213, 91 Stat. 1494. Sancionada em 19 de dezembro de 1977. Codificada em 15 U.S.C. §§ 78dd-1 et seq. Washington, DC: Department of Justice, 1977. Disponível em: [https://www.justice.gov/criminal/criminal-fraud/foreign-corrupt-practices-act](https://www.justice.gov/criminal/criminal-fraud/foreign-corrupt-practices-act). Acesso em: jun. 2026.</w:t>
      </w:r>
    </w:p>
    <w:p>
      <w:r>
        <w:t xml:space="preserve">REINO UNIDO. </w:t>
      </w:r>
      <w:r>
        <w:rPr>
          <w:b/>
        </w:rPr>
        <w:t>Bribery</w:t>
      </w:r>
      <w:r>
        <w:rPr>
          <w:b/>
        </w:rPr>
        <w:t xml:space="preserve"> </w:t>
      </w:r>
      <w:r>
        <w:rPr>
          <w:b/>
        </w:rPr>
        <w:t>Act</w:t>
      </w:r>
      <w:r>
        <w:rPr>
          <w:b/>
        </w:rPr>
        <w:t xml:space="preserve"> 2010</w:t>
      </w:r>
      <w:r>
        <w:t>. Chapter 23. Sancionada em 8 de abril de 2010. Entrada em vigor: 1 de julho de 2011. London: Her Majesty's Stationery Office, 2010. Disponível em: [https://www.legislation.gov.uk/ukpga/2010/23/contents](https://www.legislation.gov.uk/ukpga/2010/23/contents). Acesso em: jun. 2026.</w:t>
      </w:r>
    </w:p>
    <w:p>
      <w:r>
        <w:rPr>
          <w:b/>
        </w:rPr>
        <w:t>H — JURISPRUDÊNCIA BRASILEIRA</w:t>
      </w:r>
    </w:p>
    <w:p>
      <w:r>
        <w:t xml:space="preserve">BRASIL. Supremo Tribunal Federal. </w:t>
      </w:r>
      <w:r>
        <w:rPr>
          <w:b/>
        </w:rPr>
        <w:t>Súmula Vinculante nº 3</w:t>
      </w:r>
      <w:r>
        <w:t>. Nos processos perante o Tribunal de Contas da União asseguram-se o contraditório e a ampla defesa quando da decisão puder resultar anulação ou revogação de ato administrativo que beneficie o interessado, excetuada a apreciação da legalidade do ato de concessão inicial de aposentadoria, reforma e pensão. Brasília: STF, 2007. Disponível em: [https://portal.stf.jus.br](https://portal.stf.jus.br). Acesso em: jun. 2026.</w:t>
      </w:r>
    </w:p>
    <w:p>
      <w:r>
        <w:t xml:space="preserve">BRASIL. Superior Tribunal de Justiça. </w:t>
      </w:r>
      <w:r>
        <w:rPr>
          <w:b/>
        </w:rPr>
        <w:t>Súmula nº 665</w:t>
      </w:r>
      <w:r>
        <w:t xml:space="preserve">. O controle jurisdicional do processo administrativo disciplinar restringe-se ao exame da regularidade do procedimento e da legalidade do ato, à luz dos princípios do contraditório, da ampla defesa e do devido processo legal, não sendo possível incursão no mérito administrativo, ressalvadas as hipóteses de flagrante ilegalidade, teratologia ou manifesta desproporcionalidade da sanção aplicada. Brasília: STJ, 1ª Seção, 13 dez. 2023. </w:t>
      </w:r>
      <w:r>
        <w:rPr>
          <w:i/>
        </w:rPr>
        <w:t>Diário de Justiça Eletrônico</w:t>
      </w:r>
      <w:r>
        <w:t>, Brasília, DF, dez. 2023.</w:t>
      </w:r>
    </w:p>
    <w:p>
      <w:r>
        <w:t xml:space="preserve">BRASIL. Superior Tribunal de Justiça. </w:t>
      </w:r>
      <w:r>
        <w:rPr>
          <w:b/>
        </w:rPr>
        <w:t>Agravo Regimental no Recurso Especial nº 1.306.523/SC</w:t>
      </w:r>
      <w:r>
        <w:t xml:space="preserve">. Relatora: Ministra Nancy Andrighi. Terceira Turma. </w:t>
      </w:r>
      <w:r>
        <w:rPr>
          <w:i/>
        </w:rPr>
        <w:t>Diário de Justiça Eletrônico</w:t>
      </w:r>
      <w:r>
        <w:t>, Brasília, DF, 3 fev. 2014.</w:t>
      </w:r>
    </w:p>
    <w:p>
      <w:r>
        <w:t xml:space="preserve">BRASIL. Superior Tribunal de Justiça. </w:t>
      </w:r>
      <w:r>
        <w:rPr>
          <w:b/>
        </w:rPr>
        <w:t>Mandado de Segurança nº 13.083/DF</w:t>
      </w:r>
      <w:r>
        <w:t xml:space="preserve"> (2007/0217.736-7). Relator: Ministro Napoleão Nunes Maia Filho. Terceira Seção. </w:t>
      </w:r>
      <w:r>
        <w:rPr>
          <w:i/>
        </w:rPr>
        <w:t>Diário de Justiça Eletrônico</w:t>
      </w:r>
      <w:r>
        <w:t>, Brasília, DF, 4 jun. 2009.</w:t>
      </w:r>
    </w:p>
    <w:p>
      <w:r>
        <w:t xml:space="preserve">BRASIL. Superior Tribunal de Justiça. </w:t>
      </w:r>
      <w:r>
        <w:rPr>
          <w:b/>
        </w:rPr>
        <w:t>Recurso Especial nº 1.566.221/DF</w:t>
      </w:r>
      <w:r>
        <w:t xml:space="preserve">. Relator: Ministro Napoleão Nunes Maia Filho. Primeira Turma. </w:t>
      </w:r>
      <w:r>
        <w:rPr>
          <w:i/>
        </w:rPr>
        <w:t>Diário de Justiça Eletrônico</w:t>
      </w:r>
      <w:r>
        <w:t>, Brasília, DF, 6 dez. 2017.</w:t>
      </w:r>
    </w:p>
    <w:p>
      <w:r>
        <w:t xml:space="preserve">BRASIL. Tribunal de Justiça do Distrito Federal e dos Territórios. </w:t>
      </w:r>
      <w:r>
        <w:rPr>
          <w:b/>
        </w:rPr>
        <w:t>Acórdão nº 1.366.614</w:t>
      </w:r>
      <w:r>
        <w:t xml:space="preserve"> (processo 07122762120218070000). Relatora: Desembargadora Lucimeire Maria da Silva. Segunda Turma Cível. </w:t>
      </w:r>
      <w:r>
        <w:rPr>
          <w:i/>
        </w:rPr>
        <w:t>Diário de Justiça Eletrônico</w:t>
      </w:r>
      <w:r>
        <w:t>, Brasília, DF, 13 set. 2021.</w:t>
      </w:r>
    </w:p>
    <w:p>
      <w:r>
        <w:t xml:space="preserve">REINO UNIDO. House of Lords. </w:t>
      </w:r>
      <w:r>
        <w:rPr>
          <w:b/>
        </w:rPr>
        <w:t xml:space="preserve">Salomon v. A Salomon </w:t>
      </w:r>
      <w:r>
        <w:rPr>
          <w:b/>
        </w:rPr>
        <w:t>&amp;</w:t>
      </w:r>
      <w:r>
        <w:rPr>
          <w:b/>
        </w:rPr>
        <w:t xml:space="preserve"> Co. Ltd.</w:t>
      </w:r>
      <w:r>
        <w:t xml:space="preserve"> [1897] AC 22. London: House of Lords, 1896.</w:t>
      </w:r>
    </w:p>
    <w:p>
      <w:r>
        <w:rPr>
          <w:b/>
        </w:rPr>
        <w:t>I — DOCUMENTOS INSTITUCIONAIS E FONTES ELETRÔNICAS</w:t>
      </w:r>
    </w:p>
    <w:p>
      <w:r>
        <w:t xml:space="preserve">BRASIL. Controladoria-Geral da União. </w:t>
      </w:r>
      <w:r>
        <w:rPr>
          <w:b/>
        </w:rPr>
        <w:t>Acordo de Leniência</w:t>
      </w:r>
      <w:r>
        <w:t>. Brasília: CGU, 2022. Disponível em: [https://www.gov.br/cgu/pt-br/assuntos/combate-a-corrupcao/acordo-leniencia](https://www.gov.br/cgu/pt-br/assuntos/combate-a-corrupcao/acordo-leniencia). Acesso em: jun. 2026.</w:t>
      </w:r>
    </w:p>
    <w:p>
      <w:r>
        <w:t xml:space="preserve">BRASIL. Controladoria-Geral da União. </w:t>
      </w:r>
      <w:r>
        <w:rPr>
          <w:b/>
        </w:rPr>
        <w:t>Banco de Sanções — CEIS/CNEP</w:t>
      </w:r>
      <w:r>
        <w:t>. Brasília: CGU, 2023. Disponível em: [https://www.gov.br/corregedorias/pt-br/institucional/sistemas-correcionais/banco-de-sancoes-ceis-cnep](https://www.gov.br/corregedorias/pt-br/institucional/sistemas-correcionais/banco-de-sancoes-ceis-cnep). Acesso em: jun. 2026.</w:t>
      </w:r>
    </w:p>
    <w:p>
      <w:r>
        <w:t xml:space="preserve">BRASIL. Controladoria-Geral da União. </w:t>
      </w:r>
      <w:r>
        <w:rPr>
          <w:b/>
        </w:rPr>
        <w:t>Lei Anticorrupção — Processo Administrativo de Responsabilização (PAR)</w:t>
      </w:r>
      <w:r>
        <w:t>. Perguntas frequentes. Brasília: CGU, 2022. Disponível em: [https://www.gov.br/corregedorias/pt-br/assuntos/perguntas-frequentes/lei-anticorrupcao-processo-administrativo-de-responsabilizacao-par](https://www.gov.br/corregedorias/pt-br/assuntos/perguntas-frequentes/lei-anticorrupcao-processo-administrativo-de-responsabilizacao-par). Acesso em: jun. 2026.</w:t>
      </w:r>
    </w:p>
    <w:p>
      <w:r>
        <w:t xml:space="preserve">BRASIL. Controladoria-Geral da União. </w:t>
      </w:r>
      <w:r>
        <w:rPr>
          <w:b/>
        </w:rPr>
        <w:t>Relatório Final — PAR nº 00190.106437/2022-80</w:t>
      </w:r>
      <w:r>
        <w:t>. Brasília: CGU, 2022. Disponível em: [https://basedeconhecimento.cgu.gov.br](https://basedeconhecimento.cgu.gov.br). Acesso em: jun. 2026.</w:t>
      </w:r>
    </w:p>
    <w:p>
      <w:r>
        <w:t xml:space="preserve">BRASIL. Portal da Transparência. </w:t>
      </w:r>
      <w:r>
        <w:rPr>
          <w:b/>
        </w:rPr>
        <w:t>Cadastro Nacional de Empresas Punidas — CNEP</w:t>
      </w:r>
      <w:r>
        <w:t>. Brasília: CGU, 2023. Disponível em: [https://portaldatransparencia.gov.br/sancoes/cnep](https://portaldatransparencia.gov.br/sancoes/cnep). Acesso em: jun. 2026.</w:t>
      </w:r>
    </w:p>
    <w:p>
      <w:r>
        <w:t xml:space="preserve">BRASIL. Portal da Transparência. </w:t>
      </w:r>
      <w:r>
        <w:rPr>
          <w:b/>
        </w:rPr>
        <w:t>Cadastro Nacional de Empresas Inidôneas e Suspensas — CEIS</w:t>
      </w:r>
      <w:r>
        <w:t>. Brasília: CGU, 2023. Disponível em: [https://portaldatransparencia.gov.br/sancoes/ceis](https://portaldatransparencia.gov.br/sancoes/ceis). Acesso em: jun. 2026.</w:t>
      </w:r>
    </w:p>
    <w:p>
      <w:r>
        <w:t xml:space="preserve">NATIONAL BUREAU OF ECONOMIC RESEARCH — NBER. </w:t>
      </w:r>
      <w:r>
        <w:rPr>
          <w:b/>
        </w:rPr>
        <w:t>Does "Grease Money" Speed Up the Wheels of Commerce?</w:t>
      </w:r>
      <w:r>
        <w:t xml:space="preserve"> Cambridge: NBER, 1999. (Working Paper, n. 7.093). Disponível em: [https://www.nber.org/digest/oct99/bribery-does-not-reduce-bureaucracy](https://www.nber.org/digest/oct99/bribery-does-not-reduce-bureaucracy). Acesso em: jun. 2026.</w:t>
      </w:r>
    </w:p>
    <w:p>
      <w:r>
        <w:t xml:space="preserve">TRANSPARENCY INTERNATIONAL. </w:t>
      </w:r>
      <w:r>
        <w:rPr>
          <w:b/>
        </w:rPr>
        <w:t xml:space="preserve">OECD Anti-Bribery Convention </w:t>
      </w:r>
      <w:r>
        <w:rPr>
          <w:b/>
        </w:rPr>
        <w:t>at</w:t>
      </w:r>
      <w:r>
        <w:rPr>
          <w:b/>
        </w:rPr>
        <w:t xml:space="preserve"> 25: Time to Step Up</w:t>
      </w:r>
      <w:r>
        <w:t>. Berlin: Transparency International, 16 abr. 2024. Disponível em: [https://www.transparency.org/en/blog/oecd-anti-bribery-convention-at-25](https://www.transparency.org/en/blog/oecd-anti-bribery-convention-at-25). Acesso em: jun. 2026.</w:t>
      </w:r>
    </w:p>
    <w:p>
      <w:r>
        <w:t xml:space="preserve">UNITED NATIONS OFFICE ON DRUGS AND CRIME — UNODC. </w:t>
      </w:r>
      <w:r>
        <w:rPr>
          <w:b/>
        </w:rPr>
        <w:t>United Nations Convention against Corruption</w:t>
      </w:r>
      <w:r>
        <w:t>. Viena: UNODC, 2004. Disponível em: [https://www.unodc.org/unodc/en/corruption/uncac.html](https://www.unodc.org/unodc/en/corruption/uncac.html). Acesso em: jun. 2026.</w:t>
      </w:r>
    </w:p>
    <w:p>
      <w:r>
        <w:t xml:space="preserve">UNITED STATES. Department of Justice. </w:t>
      </w:r>
      <w:r>
        <w:rPr>
          <w:b/>
        </w:rPr>
        <w:t>Foreign Corrupt Practices Act: An Overview</w:t>
      </w:r>
      <w:r>
        <w:t>. Washington, DC: DOJ, 2025. Disponível em: [https://www.justice.gov/criminal/criminal-fraud/foreign-corrupt-practices-act](https://www.justice.gov/criminal/criminal-fraud/foreign-corrupt-practices-act). Acesso em: jun. 2026.</w:t>
      </w:r>
    </w:p>
    <w:p>
      <w:r>
        <w:rPr>
          <w:b/>
        </w:rPr>
        <w:t>Nota metodológica:</w:t>
      </w:r>
      <w:r>
        <w:t xml:space="preserve"> Esta bibliografia consolida todas as fontes citadas nos itens 1 a 7 da Parte I do Manual Teórico-Prático da Calculadora de Multa PAR. As referências seguem a ABNT NBR 6023:2018 (Informação e documentação — Referências — Elaboração), com organização em seções por categoria de fonte. Dentro de cada seção, a ordenação é estritamente alfabética pelo primeiro elemento da referência (sobrenome do autor, nome do órgão ou nome do país). Os títulos de periódicos, livros, convenções e leis estrangeiras são apresentados em negrito, conforme o padrão de destaque tipográfico uniforme exigido pela norma. Fontes eletrônicas incluem endereço de acesso e data de consulta.</w:t>
      </w:r>
    </w:p>
    <w:p>
      <w:r>
        <w:br w:type="page"/>
      </w:r>
    </w:p>
    <w:p>
      <w:pPr>
        <w:pStyle w:val="Heading1"/>
      </w:pPr>
      <w:r>
        <w:rPr>
          <w:rFonts w:ascii="Arial" w:hAnsi="Arial"/>
        </w:rPr>
        <w:t>ANEXO I — GLOSSÁRIO TÉCNICO</w:t>
      </w:r>
    </w:p>
    <w:p>
      <w:pPr>
        <w:spacing w:after="400"/>
        <w:jc w:val="center"/>
      </w:pPr>
      <w:r>
        <w:rPr>
          <w:rFonts w:ascii="Calibri" w:cs="Calibri" w:eastAsia="Calibri" w:hAnsi="Calibri"/>
          <w:color w:val="555555"/>
          <w:sz w:val="20"/>
          <w:szCs w:val="20"/>
        </w:rPr>
        <w:t xml:space="preserve">54 termos, em ordem alfabética, com remissão ao capítulo do Manual onde cada um é desenvolvido</w:t>
      </w:r>
    </w:p>
    <w:p>
      <w:pPr>
        <w:spacing w:after="140" w:line="270"/>
      </w:pPr>
      <w:r>
        <w:rPr>
          <w:rFonts w:ascii="Calibri" w:cs="Calibri" w:eastAsia="Calibri" w:hAnsi="Calibri"/>
          <w:b w:val="false"/>
          <w:bCs w:val="false"/>
          <w:i w:val="false"/>
          <w:iCs w:val="false"/>
          <w:sz w:val="21"/>
          <w:szCs w:val="21"/>
        </w:rPr>
        <w:t xml:space="preserve">Este glossário reúne os principais termos técnicos empregados ao longo do Manual, com definição concisa e remissão ao ponto em que o instituto é desenvolvido com profundidade — inclusive aos blocos de “Estado da controvérsia” e de enriquecimento produzidos na Fase 2. Não substitui a leitura do capítulo correspondente; funciona como referência rápida de consulta, tanto para o operador experiente que precisa relembrar um conceito quanto para quem está lendo a obra pela primeira vez.</w:t>
      </w:r>
    </w:p>
    <w:p>
      <w:pPr>
        <w:spacing w:after="140" w:line="270"/>
      </w:pPr>
      <w:r>
        <w:rPr>
          <w:rFonts w:ascii="Calibri" w:cs="Calibri" w:eastAsia="Calibri" w:hAnsi="Calibri"/>
          <w:b w:val="false"/>
          <w:bCs w:val="false"/>
          <w:i/>
          <w:iCs/>
          <w:sz w:val="21"/>
          <w:szCs w:val="21"/>
        </w:rPr>
        <w:t xml:space="preserve">As definições aqui apresentadas são formulações próprias, construídas a partir da lei, do decreto e do conteúdo já desenvolvido neste Manual — não são transcrições do Manual da CGU nem de nenhuma outra fonte secundária.</w:t>
      </w:r>
    </w:p>
    <w:p>
      <w:pPr>
        <w:pStyle w:val="Heading1"/>
        <w:spacing w:after="180" w:before="380"/>
      </w:pPr>
      <w:r>
        <w:t xml:space="preserve">Termos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4E5F" w:val="clear"/>
            <w:tcMar>
              <w:top w:type="dxa" w:w="80"/>
              <w:left w:type="dxa" w:w="100"/>
              <w:bottom w:type="dxa" w:w="80"/>
              <w:right w:type="dxa" w:w="100"/>
            </w:tcMar>
          </w:tcPr>
          <w:p>
            <w:r>
              <w:rPr>
                <w:rFonts w:ascii="Calibri" w:cs="Calibri" w:eastAsia="Calibri" w:hAnsi="Calibri"/>
                <w:b/>
                <w:bCs/>
                <w:color w:val="FFFFFF"/>
                <w:sz w:val="20"/>
                <w:szCs w:val="20"/>
              </w:rPr>
              <w:t xml:space="preserve">Termo</w:t>
            </w:r>
          </w:p>
        </w:tc>
        <w:tc>
          <w:tcPr>
            <w:tcW w:type="dxa" w:w="5200"/>
            <w:shd w:fill="1F4E5F" w:val="clear"/>
            <w:tcMar>
              <w:top w:type="dxa" w:w="80"/>
              <w:left w:type="dxa" w:w="100"/>
              <w:bottom w:type="dxa" w:w="80"/>
              <w:right w:type="dxa" w:w="100"/>
            </w:tcMar>
          </w:tcPr>
          <w:p>
            <w:r>
              <w:rPr>
                <w:rFonts w:ascii="Calibri" w:cs="Calibri" w:eastAsia="Calibri" w:hAnsi="Calibri"/>
                <w:b/>
                <w:bCs/>
                <w:color w:val="FFFFFF"/>
                <w:sz w:val="20"/>
                <w:szCs w:val="20"/>
              </w:rPr>
              <w:t xml:space="preserve">Definição</w:t>
            </w:r>
          </w:p>
        </w:tc>
        <w:tc>
          <w:tcPr>
            <w:tcW w:type="dxa" w:w="1550"/>
            <w:shd w:fill="1F4E5F" w:val="clear"/>
            <w:tcMar>
              <w:top w:type="dxa" w:w="80"/>
              <w:left w:type="dxa" w:w="100"/>
              <w:bottom w:type="dxa" w:w="80"/>
              <w:right w:type="dxa" w:w="100"/>
            </w:tcMar>
          </w:tcPr>
          <w:p>
            <w:r>
              <w:rPr>
                <w:rFonts w:ascii="Calibri" w:cs="Calibri" w:eastAsia="Calibri" w:hAnsi="Calibri"/>
                <w:b/>
                <w:bCs/>
                <w:color w:val="FFFFFF"/>
                <w:sz w:val="20"/>
                <w:szCs w:val="20"/>
              </w:rPr>
              <w:t xml:space="preserve">Remissão</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Admissão Voluntária da Responsabilidade</w:t>
            </w:r>
          </w:p>
        </w:tc>
        <w:tc>
          <w:tcPr>
            <w:tcW w:type="dxa" w:w="5200"/>
            <w:tcMar>
              <w:top w:type="dxa" w:w="90"/>
              <w:left w:type="dxa" w:w="100"/>
              <w:bottom w:type="dxa" w:w="90"/>
              <w:right w:type="dxa" w:w="100"/>
            </w:tcMar>
          </w:tcPr>
          <w:p>
            <w:r>
              <w:rPr>
                <w:rFonts w:ascii="Calibri" w:cs="Calibri" w:eastAsia="Calibri" w:hAnsi="Calibri"/>
                <w:sz w:val="20"/>
                <w:szCs w:val="20"/>
              </w:rPr>
              <w:t xml:space="preserve">Reconhecimento formal e expresso, pela pessoa jurídica, de sua responsabilidade objetiva pelo ato lesivo imputado. Atenuante graduada por conteúdo (parcial/total) e tempestividade (quatro marcos processuais), de 0 a −2,0%.</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6.1.3; Parte II, Etapa 11 (art. 23, IV)</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Alíquota de Referência</w:t>
            </w:r>
          </w:p>
        </w:tc>
        <w:tc>
          <w:tcPr>
            <w:tcW w:type="dxa" w:w="5200"/>
            <w:tcMar>
              <w:top w:type="dxa" w:w="90"/>
              <w:left w:type="dxa" w:w="100"/>
              <w:bottom w:type="dxa" w:w="90"/>
              <w:right w:type="dxa" w:w="100"/>
            </w:tcMar>
          </w:tcPr>
          <w:p>
            <w:r>
              <w:rPr>
                <w:rFonts w:ascii="Calibri" w:cs="Calibri" w:eastAsia="Calibri" w:hAnsi="Calibri"/>
                <w:sz w:val="20"/>
                <w:szCs w:val="20"/>
              </w:rPr>
              <w:t xml:space="preserve">Percentual do faturamento bruto que traduz o peso efetivo da multa aplicada, usado para determinar, por escalonamento, o prazo da publicação extraordinária.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13 (art. 24)</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Ato Lesivo</w:t>
            </w:r>
          </w:p>
        </w:tc>
        <w:tc>
          <w:tcPr>
            <w:tcW w:type="dxa" w:w="5200"/>
            <w:tcMar>
              <w:top w:type="dxa" w:w="90"/>
              <w:left w:type="dxa" w:w="100"/>
              <w:bottom w:type="dxa" w:w="90"/>
              <w:right w:type="dxa" w:w="100"/>
            </w:tcMar>
          </w:tcPr>
          <w:p>
            <w:r>
              <w:rPr>
                <w:rFonts w:ascii="Calibri" w:cs="Calibri" w:eastAsia="Calibri" w:hAnsi="Calibri"/>
                <w:sz w:val="20"/>
                <w:szCs w:val="20"/>
              </w:rPr>
              <w:t xml:space="preserve">Conduta tipificada em rol taxativo no art. 5º da Lei nº 12.846/2013 que atenta contra o patrimônio público, os princípios da administração pública ou os compromissos internacionais assumidos pelo Brasil.</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4</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Base de Cálculo</w:t>
            </w:r>
          </w:p>
        </w:tc>
        <w:tc>
          <w:tcPr>
            <w:tcW w:type="dxa" w:w="5200"/>
            <w:tcMar>
              <w:top w:type="dxa" w:w="90"/>
              <w:left w:type="dxa" w:w="100"/>
              <w:bottom w:type="dxa" w:w="90"/>
              <w:right w:type="dxa" w:w="100"/>
            </w:tcMar>
          </w:tcPr>
          <w:p>
            <w:r>
              <w:rPr>
                <w:rFonts w:ascii="Calibri" w:cs="Calibri" w:eastAsia="Calibri" w:hAnsi="Calibri"/>
                <w:sz w:val="20"/>
                <w:szCs w:val="20"/>
              </w:rPr>
              <w:t xml:space="preserve">Faturamento bruto da pessoa jurídica no exercício de referência, excluídos os tributos sobre vendas, sobre o qual incide o índice de dosimetria.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0 (arts. 20 e 21)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Cadastro Nacional de Empresas Inidôneas e Suspensas (CEIS)</w:t>
            </w:r>
          </w:p>
        </w:tc>
        <w:tc>
          <w:tcPr>
            <w:tcW w:type="dxa" w:w="5200"/>
            <w:tcMar>
              <w:top w:type="dxa" w:w="90"/>
              <w:left w:type="dxa" w:w="100"/>
              <w:bottom w:type="dxa" w:w="90"/>
              <w:right w:type="dxa" w:w="100"/>
            </w:tcMar>
          </w:tcPr>
          <w:p>
            <w:r>
              <w:rPr>
                <w:rFonts w:ascii="Calibri" w:cs="Calibri" w:eastAsia="Calibri" w:hAnsi="Calibri"/>
                <w:sz w:val="20"/>
                <w:szCs w:val="20"/>
              </w:rPr>
              <w:t xml:space="preserve">Cadastro público que consolida sanções restritivas ao direito de licitar e contratar aplicadas por entes federativos de todas as esferas.</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9.10</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Cadastro Nacional de Empresas Punidas (CNEP)</w:t>
            </w:r>
          </w:p>
        </w:tc>
        <w:tc>
          <w:tcPr>
            <w:tcW w:type="dxa" w:w="5200"/>
            <w:tcMar>
              <w:top w:type="dxa" w:w="90"/>
              <w:left w:type="dxa" w:w="100"/>
              <w:bottom w:type="dxa" w:w="90"/>
              <w:right w:type="dxa" w:w="100"/>
            </w:tcMar>
          </w:tcPr>
          <w:p>
            <w:r>
              <w:rPr>
                <w:rFonts w:ascii="Calibri" w:cs="Calibri" w:eastAsia="Calibri" w:hAnsi="Calibri"/>
                <w:sz w:val="20"/>
                <w:szCs w:val="20"/>
              </w:rPr>
              <w:t xml:space="preserve">Cadastro público que dá publicidade às sanções aplicadas com fundamento na Lei nº 12.846/2013, inclusive multas do PAR.</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9.10</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COI / MPI / APJ</w:t>
            </w:r>
          </w:p>
        </w:tc>
        <w:tc>
          <w:tcPr>
            <w:tcW w:type="dxa" w:w="5200"/>
            <w:tcMar>
              <w:top w:type="dxa" w:w="90"/>
              <w:left w:type="dxa" w:w="100"/>
              <w:bottom w:type="dxa" w:w="90"/>
              <w:right w:type="dxa" w:w="100"/>
            </w:tcMar>
          </w:tcPr>
          <w:p>
            <w:r>
              <w:rPr>
                <w:rFonts w:ascii="Calibri" w:cs="Calibri" w:eastAsia="Calibri" w:hAnsi="Calibri"/>
                <w:sz w:val="20"/>
                <w:szCs w:val="20"/>
              </w:rPr>
              <w:t xml:space="preserve">Blocos metodológicos de avaliação do programa de integridade: Comprometimento da Alta Direção, Mecanismos de Prevenção e Detecção, e Aplicação Prática — cuja soma, com fator multiplicador de 1,25 quando aplicável, compõe a atenuante do art. 23, V.</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7.5; Parte II, Etapa 12</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Colaboração (Grau de)</w:t>
            </w:r>
          </w:p>
        </w:tc>
        <w:tc>
          <w:tcPr>
            <w:tcW w:type="dxa" w:w="5200"/>
            <w:tcMar>
              <w:top w:type="dxa" w:w="90"/>
              <w:left w:type="dxa" w:w="100"/>
              <w:bottom w:type="dxa" w:w="90"/>
              <w:right w:type="dxa" w:w="100"/>
            </w:tcMar>
          </w:tcPr>
          <w:p>
            <w:r>
              <w:rPr>
                <w:rFonts w:ascii="Calibri" w:cs="Calibri" w:eastAsia="Calibri" w:hAnsi="Calibri"/>
                <w:sz w:val="20"/>
                <w:szCs w:val="20"/>
              </w:rPr>
              <w:t xml:space="preserve">Atenuante reconhecida ainda que sem admissão de responsabilidade, por três condições cumuláveis (admissão factual, fornecimento de elementos, renúncia a prazos), de 0 a −1,5%.</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10 (art. 23, III)</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Comissão Processante</w:t>
            </w:r>
          </w:p>
        </w:tc>
        <w:tc>
          <w:tcPr>
            <w:tcW w:type="dxa" w:w="5200"/>
            <w:tcMar>
              <w:top w:type="dxa" w:w="90"/>
              <w:left w:type="dxa" w:w="100"/>
              <w:bottom w:type="dxa" w:w="90"/>
              <w:right w:type="dxa" w:w="100"/>
            </w:tcMar>
          </w:tcPr>
          <w:p>
            <w:r>
              <w:rPr>
                <w:rFonts w:ascii="Calibri" w:cs="Calibri" w:eastAsia="Calibri" w:hAnsi="Calibri"/>
                <w:sz w:val="20"/>
                <w:szCs w:val="20"/>
              </w:rPr>
              <w:t xml:space="preserve">Colegiado de dois ou mais servidores efetivos, sem interesse ou vínculo com a matéria investigada, designado para conduzir a instrução do PAR.</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5.3.2, 5.3.2.1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Competência para Julgamento</w:t>
            </w:r>
          </w:p>
        </w:tc>
        <w:tc>
          <w:tcPr>
            <w:tcW w:type="dxa" w:w="5200"/>
            <w:tcMar>
              <w:top w:type="dxa" w:w="90"/>
              <w:left w:type="dxa" w:w="100"/>
              <w:bottom w:type="dxa" w:w="90"/>
              <w:right w:type="dxa" w:w="100"/>
            </w:tcMar>
          </w:tcPr>
          <w:p>
            <w:r>
              <w:rPr>
                <w:rFonts w:ascii="Calibri" w:cs="Calibri" w:eastAsia="Calibri" w:hAnsi="Calibri"/>
                <w:sz w:val="20"/>
                <w:szCs w:val="20"/>
              </w:rPr>
              <w:t xml:space="preserve">Atribuição, à autoridade máxima da entidade lesada (ou a quem esta delegar), da prerrogativa de decidir sobre a responsabilização e a dosimetria propostas pela comissão.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6.3</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Concurso de Atos Lesivos</w:t>
            </w:r>
          </w:p>
        </w:tc>
        <w:tc>
          <w:tcPr>
            <w:tcW w:type="dxa" w:w="5200"/>
            <w:tcMar>
              <w:top w:type="dxa" w:w="90"/>
              <w:left w:type="dxa" w:w="100"/>
              <w:bottom w:type="dxa" w:w="90"/>
              <w:right w:type="dxa" w:w="100"/>
            </w:tcMar>
          </w:tcPr>
          <w:p>
            <w:r>
              <w:rPr>
                <w:rFonts w:ascii="Calibri" w:cs="Calibri" w:eastAsia="Calibri" w:hAnsi="Calibri"/>
                <w:sz w:val="20"/>
                <w:szCs w:val="20"/>
              </w:rPr>
              <w:t xml:space="preserve">Agravante calculada pelo cruzamento entre número de condutas individualizadas e número de espécies distintas do art. 5º violadas, de 0 a 4,0%.</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4.3, 4.3.1; Parte II, Etapa 2 (art. 22, I)</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Continuidade Delitiva Administrativa</w:t>
            </w:r>
          </w:p>
        </w:tc>
        <w:tc>
          <w:tcPr>
            <w:tcW w:type="dxa" w:w="5200"/>
            <w:tcMar>
              <w:top w:type="dxa" w:w="90"/>
              <w:left w:type="dxa" w:w="100"/>
              <w:bottom w:type="dxa" w:w="90"/>
              <w:right w:type="dxa" w:w="100"/>
            </w:tcMar>
          </w:tcPr>
          <w:p>
            <w:r>
              <w:rPr>
                <w:rFonts w:ascii="Calibri" w:cs="Calibri" w:eastAsia="Calibri" w:hAnsi="Calibri"/>
                <w:sz w:val="20"/>
                <w:szCs w:val="20"/>
              </w:rPr>
              <w:t xml:space="preserve">Tese doutrinária, ainda não acolhida pela prática da CGU, que propõe importar a lógica do crime continuado (art. 71, CP) para unificar, sob unidade de desígnio, atos lesivos repetidos da mesma espécie.</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4.3.1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Contraditório</w:t>
            </w:r>
          </w:p>
        </w:tc>
        <w:tc>
          <w:tcPr>
            <w:tcW w:type="dxa" w:w="5200"/>
            <w:tcMar>
              <w:top w:type="dxa" w:w="90"/>
              <w:left w:type="dxa" w:w="100"/>
              <w:bottom w:type="dxa" w:w="90"/>
              <w:right w:type="dxa" w:w="100"/>
            </w:tcMar>
          </w:tcPr>
          <w:p>
            <w:r>
              <w:rPr>
                <w:rFonts w:ascii="Calibri" w:cs="Calibri" w:eastAsia="Calibri" w:hAnsi="Calibri"/>
                <w:sz w:val="20"/>
                <w:szCs w:val="20"/>
              </w:rPr>
              <w:t xml:space="preserve">Garantia constitucional (art. 5º, LV, CF/88) de ciência e reação aos atos processuais, exigível a partir da instauração formal do PAR — não durante a investigação preliminar, de natureza inquisitorial.</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5.2.2.2, 5.3</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Controle Judicial da Legalidade</w:t>
            </w:r>
          </w:p>
        </w:tc>
        <w:tc>
          <w:tcPr>
            <w:tcW w:type="dxa" w:w="5200"/>
            <w:tcMar>
              <w:top w:type="dxa" w:w="90"/>
              <w:left w:type="dxa" w:w="100"/>
              <w:bottom w:type="dxa" w:w="90"/>
              <w:right w:type="dxa" w:w="100"/>
            </w:tcMar>
          </w:tcPr>
          <w:p>
            <w:r>
              <w:rPr>
                <w:rFonts w:ascii="Calibri" w:cs="Calibri" w:eastAsia="Calibri" w:hAnsi="Calibri"/>
                <w:sz w:val="20"/>
                <w:szCs w:val="20"/>
              </w:rPr>
              <w:t xml:space="preserve">Revisão, pelo Poder Judiciário, dos vícios de legalidade, da desproporcionalidade manifesta e do erro de tipificação da decisão do PAR, sem incursão no mérito administrativo regularmente exercido (Súmula 665/STJ, por analogia).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6.7</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Culpa in Eligendo / in Vigilando</w:t>
            </w:r>
          </w:p>
        </w:tc>
        <w:tc>
          <w:tcPr>
            <w:tcW w:type="dxa" w:w="5200"/>
            <w:tcMar>
              <w:top w:type="dxa" w:w="90"/>
              <w:left w:type="dxa" w:w="100"/>
              <w:bottom w:type="dxa" w:w="90"/>
              <w:right w:type="dxa" w:w="100"/>
            </w:tcMar>
          </w:tcPr>
          <w:p>
            <w:r>
              <w:rPr>
                <w:rFonts w:ascii="Calibri" w:cs="Calibri" w:eastAsia="Calibri" w:hAnsi="Calibri"/>
                <w:sz w:val="20"/>
                <w:szCs w:val="20"/>
              </w:rPr>
              <w:t xml:space="preserve">Categorias de responsabilidade subjetiva por má escolha ou fiscalização deficiente de terceiros, invocadas por parte da doutrina no debate sobre eventual culpabilidade organizacional residual na responsabilidade objetiva da LAC.</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2.3.1.1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Desconsideração da Personalidade Jurídica</w:t>
            </w:r>
          </w:p>
        </w:tc>
        <w:tc>
          <w:tcPr>
            <w:tcW w:type="dxa" w:w="5200"/>
            <w:tcMar>
              <w:top w:type="dxa" w:w="90"/>
              <w:left w:type="dxa" w:w="100"/>
              <w:bottom w:type="dxa" w:w="90"/>
              <w:right w:type="dxa" w:w="100"/>
            </w:tcMar>
          </w:tcPr>
          <w:p>
            <w:r>
              <w:rPr>
                <w:rFonts w:ascii="Calibri" w:cs="Calibri" w:eastAsia="Calibri" w:hAnsi="Calibri"/>
                <w:sz w:val="20"/>
                <w:szCs w:val="20"/>
              </w:rPr>
              <w:t xml:space="preserve">Extensão dos efeitos das sanções aos administradores e sócios com poderes de administração, mediante comprovação de abuso de direito para facilitar, encobrir ou dissimular o ilícito, ou confusão patrimonial (art. 14, LAC).</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3.3</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Desconsideração Expansiva / Indireta</w:t>
            </w:r>
          </w:p>
        </w:tc>
        <w:tc>
          <w:tcPr>
            <w:tcW w:type="dxa" w:w="5200"/>
            <w:tcMar>
              <w:top w:type="dxa" w:w="90"/>
              <w:left w:type="dxa" w:w="100"/>
              <w:bottom w:type="dxa" w:w="90"/>
              <w:right w:type="dxa" w:w="100"/>
            </w:tcMar>
          </w:tcPr>
          <w:p>
            <w:r>
              <w:rPr>
                <w:rFonts w:ascii="Calibri" w:cs="Calibri" w:eastAsia="Calibri" w:hAnsi="Calibri"/>
                <w:sz w:val="20"/>
                <w:szCs w:val="20"/>
              </w:rPr>
              <w:t xml:space="preserve">Modalidades de desconsideração que alcançam sócios ocultos ou de fato e outras pessoas jurídicas do mesmo grupo econômico, formal ou de fato, usadas para frustrar sanções.</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3.3.3</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Devolução Espontânea</w:t>
            </w:r>
          </w:p>
        </w:tc>
        <w:tc>
          <w:tcPr>
            <w:tcW w:type="dxa" w:w="5200"/>
            <w:tcMar>
              <w:top w:type="dxa" w:w="90"/>
              <w:left w:type="dxa" w:w="100"/>
              <w:bottom w:type="dxa" w:w="90"/>
              <w:right w:type="dxa" w:w="100"/>
            </w:tcMar>
          </w:tcPr>
          <w:p>
            <w:r>
              <w:rPr>
                <w:rFonts w:ascii="Calibri" w:cs="Calibri" w:eastAsia="Calibri" w:hAnsi="Calibri"/>
                <w:sz w:val="20"/>
                <w:szCs w:val="20"/>
              </w:rPr>
              <w:t xml:space="preserve">Restituição voluntária da vantagem auferida, antes de qualquer determinação administrativa ou judicial nesse sentido, atenuante de 0 a −1,0%.</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9 (art. 23, II)</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Dosimetria</w:t>
            </w:r>
          </w:p>
        </w:tc>
        <w:tc>
          <w:tcPr>
            <w:tcW w:type="dxa" w:w="5200"/>
            <w:tcMar>
              <w:top w:type="dxa" w:w="90"/>
              <w:left w:type="dxa" w:w="100"/>
              <w:bottom w:type="dxa" w:w="90"/>
              <w:right w:type="dxa" w:w="100"/>
            </w:tcMar>
          </w:tcPr>
          <w:p>
            <w:r>
              <w:rPr>
                <w:rFonts w:ascii="Calibri" w:cs="Calibri" w:eastAsia="Calibri" w:hAnsi="Calibri"/>
                <w:sz w:val="20"/>
                <w:szCs w:val="20"/>
              </w:rPr>
              <w:t xml:space="preserve">Operação técnico-jurídica de quantificação da multa administrativa a partir da base de cálculo, dos agravantes do art. 22 e dos atenuantes do art. 23.</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itens 4 a 9</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Due Diligence Anticorrupção</w:t>
            </w:r>
          </w:p>
        </w:tc>
        <w:tc>
          <w:tcPr>
            <w:tcW w:type="dxa" w:w="5200"/>
            <w:tcMar>
              <w:top w:type="dxa" w:w="90"/>
              <w:left w:type="dxa" w:w="100"/>
              <w:bottom w:type="dxa" w:w="90"/>
              <w:right w:type="dxa" w:w="100"/>
            </w:tcMar>
          </w:tcPr>
          <w:p>
            <w:r>
              <w:rPr>
                <w:rFonts w:ascii="Calibri" w:cs="Calibri" w:eastAsia="Calibri" w:hAnsi="Calibri"/>
                <w:sz w:val="20"/>
                <w:szCs w:val="20"/>
              </w:rPr>
              <w:t xml:space="preserve">Exame preventivo de riscos de compliance conduzido antes ou durante operações societárias (M&amp;A) ou contratações de terceiros; relevante para a dosimetria via programa de integridade, mas não exonerativo da sucessão empresarial.</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3.2.4</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Enforcement Paralelo</w:t>
            </w:r>
          </w:p>
        </w:tc>
        <w:tc>
          <w:tcPr>
            <w:tcW w:type="dxa" w:w="5200"/>
            <w:tcMar>
              <w:top w:type="dxa" w:w="90"/>
              <w:left w:type="dxa" w:w="100"/>
              <w:bottom w:type="dxa" w:w="90"/>
              <w:right w:type="dxa" w:w="100"/>
            </w:tcMar>
          </w:tcPr>
          <w:p>
            <w:r>
              <w:rPr>
                <w:rFonts w:ascii="Calibri" w:cs="Calibri" w:eastAsia="Calibri" w:hAnsi="Calibri"/>
                <w:sz w:val="20"/>
                <w:szCs w:val="20"/>
              </w:rPr>
              <w:t xml:space="preserve">Situação em que uma mesma conduta atrai, simultaneamente, a competência da CGU sob a LAC e de autoridades estrangeiras sob diplomas como o FCPA, sem configurar bis in idem entre soberanias distintas.</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2.5</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Estado da Controvérsia</w:t>
            </w:r>
          </w:p>
        </w:tc>
        <w:tc>
          <w:tcPr>
            <w:tcW w:type="dxa" w:w="5200"/>
            <w:tcMar>
              <w:top w:type="dxa" w:w="90"/>
              <w:left w:type="dxa" w:w="100"/>
              <w:bottom w:type="dxa" w:w="90"/>
              <w:right w:type="dxa" w:w="100"/>
            </w:tcMar>
          </w:tcPr>
          <w:p>
            <w:r>
              <w:rPr>
                <w:rFonts w:ascii="Calibri" w:cs="Calibri" w:eastAsia="Calibri" w:hAnsi="Calibri"/>
                <w:sz w:val="20"/>
                <w:szCs w:val="20"/>
              </w:rPr>
              <w:t xml:space="preserve">Formato padronizado deste Manual para tratamento de pontos de divergência doutrinária ou jurisprudencial real, estruturado em: posição da CGU, posição divergente, precedentes e impacto na dosimetria.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Transversal — ver Índice Remissivo</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Estimativa Técnica (Faturamento)</w:t>
            </w:r>
          </w:p>
        </w:tc>
        <w:tc>
          <w:tcPr>
            <w:tcW w:type="dxa" w:w="5200"/>
            <w:tcMar>
              <w:top w:type="dxa" w:w="90"/>
              <w:left w:type="dxa" w:w="100"/>
              <w:bottom w:type="dxa" w:w="90"/>
              <w:right w:type="dxa" w:w="100"/>
            </w:tcMar>
          </w:tcPr>
          <w:p>
            <w:r>
              <w:rPr>
                <w:rFonts w:ascii="Calibri" w:cs="Calibri" w:eastAsia="Calibri" w:hAnsi="Calibri"/>
                <w:sz w:val="20"/>
                <w:szCs w:val="20"/>
              </w:rPr>
              <w:t xml:space="preserve">Hipótese residual de apuração do faturamento bruto, cabível apenas na ausência de dados contábeis, mediante premissas documentadas (CNAE, carga tributária, capital social).</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0 (art. 20, §1º, III)</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Faturamento Bruto</w:t>
            </w:r>
          </w:p>
        </w:tc>
        <w:tc>
          <w:tcPr>
            <w:tcW w:type="dxa" w:w="5200"/>
            <w:tcMar>
              <w:top w:type="dxa" w:w="90"/>
              <w:left w:type="dxa" w:w="100"/>
              <w:bottom w:type="dxa" w:w="90"/>
              <w:right w:type="dxa" w:w="100"/>
            </w:tcMar>
          </w:tcPr>
          <w:p>
            <w:r>
              <w:rPr>
                <w:rFonts w:ascii="Calibri" w:cs="Calibri" w:eastAsia="Calibri" w:hAnsi="Calibri"/>
                <w:sz w:val="20"/>
                <w:szCs w:val="20"/>
              </w:rPr>
              <w:t xml:space="preserve">Base de cálculo da multa, apurada no exercício anterior à instauração do PAR (ou no último exercício apurado, se inexistente), excluídos os tributos sobre vendas.</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0 (arts. 20 e 21)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Grupo Econômico (Consolidação)</w:t>
            </w:r>
          </w:p>
        </w:tc>
        <w:tc>
          <w:tcPr>
            <w:tcW w:type="dxa" w:w="5200"/>
            <w:tcMar>
              <w:top w:type="dxa" w:w="90"/>
              <w:left w:type="dxa" w:w="100"/>
              <w:bottom w:type="dxa" w:w="90"/>
              <w:right w:type="dxa" w:w="100"/>
            </w:tcMar>
          </w:tcPr>
          <w:p>
            <w:r>
              <w:rPr>
                <w:rFonts w:ascii="Calibri" w:cs="Calibri" w:eastAsia="Calibri" w:hAnsi="Calibri"/>
                <w:sz w:val="20"/>
                <w:szCs w:val="20"/>
              </w:rPr>
              <w:t xml:space="preserve">Autorização para somar os faturamentos brutos de todas as pessoas jurídicas de um grupo na composição da base de cálculo, quando a autuada não dispuser de faturamento próprio identificável.</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3.1.1 (art. 20, §2º, Decreto)</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Grupo Econômico de Fato</w:t>
            </w:r>
          </w:p>
        </w:tc>
        <w:tc>
          <w:tcPr>
            <w:tcW w:type="dxa" w:w="5200"/>
            <w:tcMar>
              <w:top w:type="dxa" w:w="90"/>
              <w:left w:type="dxa" w:w="100"/>
              <w:bottom w:type="dxa" w:w="90"/>
              <w:right w:type="dxa" w:w="100"/>
            </w:tcMar>
          </w:tcPr>
          <w:p>
            <w:r>
              <w:rPr>
                <w:rFonts w:ascii="Calibri" w:cs="Calibri" w:eastAsia="Calibri" w:hAnsi="Calibri"/>
                <w:sz w:val="20"/>
                <w:szCs w:val="20"/>
              </w:rPr>
              <w:t xml:space="preserve">Conjunto de sociedades sem vínculo formal de controle registrado, unidas por confusão patrimonial ou direção unificada, relevante para a desconsideração expansiva.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3.3.3</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Impedimento e Suspeição (Comissão)</w:t>
            </w:r>
          </w:p>
        </w:tc>
        <w:tc>
          <w:tcPr>
            <w:tcW w:type="dxa" w:w="5200"/>
            <w:tcMar>
              <w:top w:type="dxa" w:w="90"/>
              <w:left w:type="dxa" w:w="100"/>
              <w:bottom w:type="dxa" w:w="90"/>
              <w:right w:type="dxa" w:w="100"/>
            </w:tcMar>
          </w:tcPr>
          <w:p>
            <w:r>
              <w:rPr>
                <w:rFonts w:ascii="Calibri" w:cs="Calibri" w:eastAsia="Calibri" w:hAnsi="Calibri"/>
                <w:sz w:val="20"/>
                <w:szCs w:val="20"/>
              </w:rPr>
              <w:t xml:space="preserve">Vedações, por integração sistemática com os arts. 18 a 20 da Lei nº 9.784/1999, à atuação de membro da comissão processante com interesse ou vínculo prévio com a matéria ou com a pessoa jurídica investigada.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5.3.2.1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Independência de Instâncias</w:t>
            </w:r>
          </w:p>
        </w:tc>
        <w:tc>
          <w:tcPr>
            <w:tcW w:type="dxa" w:w="5200"/>
            <w:tcMar>
              <w:top w:type="dxa" w:w="90"/>
              <w:left w:type="dxa" w:w="100"/>
              <w:bottom w:type="dxa" w:w="90"/>
              <w:right w:type="dxa" w:w="100"/>
            </w:tcMar>
          </w:tcPr>
          <w:p>
            <w:r>
              <w:rPr>
                <w:rFonts w:ascii="Calibri" w:cs="Calibri" w:eastAsia="Calibri" w:hAnsi="Calibri"/>
                <w:sz w:val="20"/>
                <w:szCs w:val="20"/>
              </w:rPr>
              <w:t xml:space="preserve">Princípio segundo o qual a responsabilização administrativa (PAR), civil, penal e por improbidade correm de forma autônoma sobre os mesmos fatos, sem prejudicialidade recíproca automática.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2.3.3, 10.1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Índice de Dosimetria</w:t>
            </w:r>
          </w:p>
        </w:tc>
        <w:tc>
          <w:tcPr>
            <w:tcW w:type="dxa" w:w="5200"/>
            <w:tcMar>
              <w:top w:type="dxa" w:w="90"/>
              <w:left w:type="dxa" w:w="100"/>
              <w:bottom w:type="dxa" w:w="90"/>
              <w:right w:type="dxa" w:w="100"/>
            </w:tcMar>
          </w:tcPr>
          <w:p>
            <w:r>
              <w:rPr>
                <w:rFonts w:ascii="Calibri" w:cs="Calibri" w:eastAsia="Calibri" w:hAnsi="Calibri"/>
                <w:sz w:val="20"/>
                <w:szCs w:val="20"/>
              </w:rPr>
              <w:t xml:space="preserve">Diferença entre o somatório dos agravantes do art. 22 e o somatório dos atenuantes do art. 23, aplicada sobre a base de cálculo para obtenção da multa bruta.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13 (art. 25)</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Instrução Probatória</w:t>
            </w:r>
          </w:p>
        </w:tc>
        <w:tc>
          <w:tcPr>
            <w:tcW w:type="dxa" w:w="5200"/>
            <w:tcMar>
              <w:top w:type="dxa" w:w="90"/>
              <w:left w:type="dxa" w:w="100"/>
              <w:bottom w:type="dxa" w:w="90"/>
              <w:right w:type="dxa" w:w="100"/>
            </w:tcMar>
          </w:tcPr>
          <w:p>
            <w:r>
              <w:rPr>
                <w:rFonts w:ascii="Calibri" w:cs="Calibri" w:eastAsia="Calibri" w:hAnsi="Calibri"/>
                <w:sz w:val="20"/>
                <w:szCs w:val="20"/>
              </w:rPr>
              <w:t xml:space="preserve">Fase do PAR de produção e requisição de provas documentais, testemunhais e periciais, dentro do prazo total de 180 dias contado da instauração.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5.3.6, 5.3.6.1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Investigação Preliminar (IP)</w:t>
            </w:r>
          </w:p>
        </w:tc>
        <w:tc>
          <w:tcPr>
            <w:tcW w:type="dxa" w:w="5200"/>
            <w:tcMar>
              <w:top w:type="dxa" w:w="90"/>
              <w:left w:type="dxa" w:w="100"/>
              <w:bottom w:type="dxa" w:w="90"/>
              <w:right w:type="dxa" w:w="100"/>
            </w:tcMar>
          </w:tcPr>
          <w:p>
            <w:r>
              <w:rPr>
                <w:rFonts w:ascii="Calibri" w:cs="Calibri" w:eastAsia="Calibri" w:hAnsi="Calibri"/>
                <w:sz w:val="20"/>
                <w:szCs w:val="20"/>
              </w:rPr>
              <w:t xml:space="preserve">Procedimento sigiloso e não punitivo, de até 180 dias, destinado a apurar indícios de autoria e materialidade antes da decisão sobre instauração do PAR.</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5.2.2</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Investigação Preliminar Sumária (IPS)</w:t>
            </w:r>
          </w:p>
        </w:tc>
        <w:tc>
          <w:tcPr>
            <w:tcW w:type="dxa" w:w="5200"/>
            <w:tcMar>
              <w:top w:type="dxa" w:w="90"/>
              <w:left w:type="dxa" w:w="100"/>
              <w:bottom w:type="dxa" w:w="90"/>
              <w:right w:type="dxa" w:w="100"/>
            </w:tcMar>
          </w:tcPr>
          <w:p>
            <w:r>
              <w:rPr>
                <w:rFonts w:ascii="Calibri" w:cs="Calibri" w:eastAsia="Calibri" w:hAnsi="Calibri"/>
                <w:sz w:val="20"/>
                <w:szCs w:val="20"/>
              </w:rPr>
              <w:t xml:space="preserve">Procedimento informal e ainda mais célere que a IP, conduzido diretamente pela unidade de correição sem necessidade de comissão, com o mesmo teor material da IP.</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5.2.2 (remissão)</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Juízo de Admissibilidade</w:t>
            </w:r>
          </w:p>
        </w:tc>
        <w:tc>
          <w:tcPr>
            <w:tcW w:type="dxa" w:w="5200"/>
            <w:tcMar>
              <w:top w:type="dxa" w:w="90"/>
              <w:left w:type="dxa" w:w="100"/>
              <w:bottom w:type="dxa" w:w="90"/>
              <w:right w:type="dxa" w:w="100"/>
            </w:tcMar>
          </w:tcPr>
          <w:p>
            <w:r>
              <w:rPr>
                <w:rFonts w:ascii="Calibri" w:cs="Calibri" w:eastAsia="Calibri" w:hAnsi="Calibri"/>
                <w:sz w:val="20"/>
                <w:szCs w:val="20"/>
              </w:rPr>
              <w:t xml:space="preserve">Decisão fundamentada da autoridade competente entre três alternativas: instauração direta do PAR, abertura de investigação preliminar, ou arquivamento.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5.2.1, 5.2.1.1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Leniência, Acordo de</w:t>
            </w:r>
          </w:p>
        </w:tc>
        <w:tc>
          <w:tcPr>
            <w:tcW w:type="dxa" w:w="5200"/>
            <w:tcMar>
              <w:top w:type="dxa" w:w="90"/>
              <w:left w:type="dxa" w:w="100"/>
              <w:bottom w:type="dxa" w:w="90"/>
              <w:right w:type="dxa" w:w="100"/>
            </w:tcMar>
          </w:tcPr>
          <w:p>
            <w:r>
              <w:rPr>
                <w:rFonts w:ascii="Calibri" w:cs="Calibri" w:eastAsia="Calibri" w:hAnsi="Calibri"/>
                <w:sz w:val="20"/>
                <w:szCs w:val="20"/>
              </w:rPr>
              <w:t xml:space="preserve">Instrumento negocial pelo qual a pessoa jurídica colabora efetivamente com a investigação, em troca de redução de até 2/3 da multa e de outros benefícios sancionatórios, sem isenção total nem imunidade civil.</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9</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Marker</w:t>
            </w:r>
          </w:p>
        </w:tc>
        <w:tc>
          <w:tcPr>
            <w:tcW w:type="dxa" w:w="5200"/>
            <w:tcMar>
              <w:top w:type="dxa" w:w="90"/>
              <w:left w:type="dxa" w:w="100"/>
              <w:bottom w:type="dxa" w:w="90"/>
              <w:right w:type="dxa" w:w="100"/>
            </w:tcMar>
          </w:tcPr>
          <w:p>
            <w:r>
              <w:rPr>
                <w:rFonts w:ascii="Calibri" w:cs="Calibri" w:eastAsia="Calibri" w:hAnsi="Calibri"/>
                <w:sz w:val="20"/>
                <w:szCs w:val="20"/>
              </w:rPr>
              <w:t xml:space="preserve">Mecanismo que reserva à pessoa jurídica prioridade e os benefícios da autodenúncia enquanto conclui sua investigação interna, antes de apresentar a proposta formal de leniência.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9.5.3 (Portaria Interministerial CGU/AGU nº 1/2025)</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Motivos Determinantes, Teoria dos</w:t>
            </w:r>
          </w:p>
        </w:tc>
        <w:tc>
          <w:tcPr>
            <w:tcW w:type="dxa" w:w="5200"/>
            <w:tcMar>
              <w:top w:type="dxa" w:w="90"/>
              <w:left w:type="dxa" w:w="100"/>
              <w:bottom w:type="dxa" w:w="90"/>
              <w:right w:type="dxa" w:w="100"/>
            </w:tcMar>
          </w:tcPr>
          <w:p>
            <w:r>
              <w:rPr>
                <w:rFonts w:ascii="Calibri" w:cs="Calibri" w:eastAsia="Calibri" w:hAnsi="Calibri"/>
                <w:sz w:val="20"/>
                <w:szCs w:val="20"/>
              </w:rPr>
              <w:t xml:space="preserve">Doutrina segundo a qual os motivos expressamente indicados como fundamento de um ato administrativo passam a vincular sua validade, tornando-o anulável se o motivo se revelar falso ou inexistente.</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6.7.5</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Nota de Indiciação</w:t>
            </w:r>
          </w:p>
        </w:tc>
        <w:tc>
          <w:tcPr>
            <w:tcW w:type="dxa" w:w="5200"/>
            <w:tcMar>
              <w:top w:type="dxa" w:w="90"/>
              <w:left w:type="dxa" w:w="100"/>
              <w:bottom w:type="dxa" w:w="90"/>
              <w:right w:type="dxa" w:w="100"/>
            </w:tcMar>
          </w:tcPr>
          <w:p>
            <w:r>
              <w:rPr>
                <w:rFonts w:ascii="Calibri" w:cs="Calibri" w:eastAsia="Calibri" w:hAnsi="Calibri"/>
                <w:sz w:val="20"/>
                <w:szCs w:val="20"/>
              </w:rPr>
              <w:t xml:space="preserve">Peça processual que formaliza a imputação de condutas à pessoa jurídica, com identificação precisa dos incisos do art. 5º violados — dado de entrada do agravante de concurso de atos lesivos.</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4.3, 5.3</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Parecer Jurídico Obrigatório</w:t>
            </w:r>
          </w:p>
        </w:tc>
        <w:tc>
          <w:tcPr>
            <w:tcW w:type="dxa" w:w="5200"/>
            <w:tcMar>
              <w:top w:type="dxa" w:w="90"/>
              <w:left w:type="dxa" w:w="100"/>
              <w:bottom w:type="dxa" w:w="90"/>
              <w:right w:type="dxa" w:w="100"/>
            </w:tcMar>
          </w:tcPr>
          <w:p>
            <w:r>
              <w:rPr>
                <w:rFonts w:ascii="Calibri" w:cs="Calibri" w:eastAsia="Calibri" w:hAnsi="Calibri"/>
                <w:sz w:val="20"/>
                <w:szCs w:val="20"/>
              </w:rPr>
              <w:t xml:space="preserve">Manifestação da Advocacia Pública ou órgão equivalente, prévia à decisão condenatória, condição de validade do ato sancionador (art. 6º, §2º, LAC).</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6.2, 6.2.1, 6.2.1.1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Pas de Nullité Sans Grief</w:t>
            </w:r>
          </w:p>
        </w:tc>
        <w:tc>
          <w:tcPr>
            <w:tcW w:type="dxa" w:w="5200"/>
            <w:tcMar>
              <w:top w:type="dxa" w:w="90"/>
              <w:left w:type="dxa" w:w="100"/>
              <w:bottom w:type="dxa" w:w="90"/>
              <w:right w:type="dxa" w:w="100"/>
            </w:tcMar>
          </w:tcPr>
          <w:p>
            <w:r>
              <w:rPr>
                <w:rFonts w:ascii="Calibri" w:cs="Calibri" w:eastAsia="Calibri" w:hAnsi="Calibri"/>
                <w:sz w:val="20"/>
                <w:szCs w:val="20"/>
              </w:rPr>
              <w:t xml:space="preserve">Princípio da instrumentalidade das formas, segundo o qual não se decreta nulidade processual sem a demonstração de prejuízo concreto e efetivo à parte.</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6.2.1.1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Pedido de Reconsideração</w:t>
            </w:r>
          </w:p>
        </w:tc>
        <w:tc>
          <w:tcPr>
            <w:tcW w:type="dxa" w:w="5200"/>
            <w:tcMar>
              <w:top w:type="dxa" w:w="90"/>
              <w:left w:type="dxa" w:w="100"/>
              <w:bottom w:type="dxa" w:w="90"/>
              <w:right w:type="dxa" w:w="100"/>
            </w:tcMar>
          </w:tcPr>
          <w:p>
            <w:r>
              <w:rPr>
                <w:rFonts w:ascii="Calibri" w:cs="Calibri" w:eastAsia="Calibri" w:hAnsi="Calibri"/>
                <w:sz w:val="20"/>
                <w:szCs w:val="20"/>
              </w:rPr>
              <w:t xml:space="preserve">Único recurso administrativo cabível no PAR, dirigido à mesma autoridade julgadora, com efeito suspensivo automático, no prazo de 10 dias da publicação da decisão.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6.5, 6.5.1, 6.5.2</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Piso e Teto da Multa</w:t>
            </w:r>
          </w:p>
        </w:tc>
        <w:tc>
          <w:tcPr>
            <w:tcW w:type="dxa" w:w="5200"/>
            <w:tcMar>
              <w:top w:type="dxa" w:w="90"/>
              <w:left w:type="dxa" w:w="100"/>
              <w:bottom w:type="dxa" w:w="90"/>
              <w:right w:type="dxa" w:w="100"/>
            </w:tcMar>
          </w:tcPr>
          <w:p>
            <w:r>
              <w:rPr>
                <w:rFonts w:ascii="Calibri" w:cs="Calibri" w:eastAsia="Calibri" w:hAnsi="Calibri"/>
                <w:sz w:val="20"/>
                <w:szCs w:val="20"/>
              </w:rPr>
              <w:t xml:space="preserve">Limites legais do art. 25: piso equivalente à vantagem auferida (ou percentual mínimo do faturamento); teto equivalente ao maior valor entre vantagem auferida e pretendida (ou percentual máximo do faturamento).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13 (art. 25)</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Prazo de 180 Dias</w:t>
            </w:r>
          </w:p>
        </w:tc>
        <w:tc>
          <w:tcPr>
            <w:tcW w:type="dxa" w:w="5200"/>
            <w:tcMar>
              <w:top w:type="dxa" w:w="90"/>
              <w:left w:type="dxa" w:w="100"/>
              <w:bottom w:type="dxa" w:w="90"/>
              <w:right w:type="dxa" w:w="100"/>
            </w:tcMar>
          </w:tcPr>
          <w:p>
            <w:r>
              <w:rPr>
                <w:rFonts w:ascii="Calibri" w:cs="Calibri" w:eastAsia="Calibri" w:hAnsi="Calibri"/>
                <w:sz w:val="20"/>
                <w:szCs w:val="20"/>
              </w:rPr>
              <w:t xml:space="preserve">Prazo legal para conclusão da investigação preliminar e da instrução do PAR, cuja natureza (própria ou imprópria) é objeto de controvérsia doutrinária por analogia ao regime da Lei de Improbidade Administrativa.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5.2.2.1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Prescrição</w:t>
            </w:r>
          </w:p>
        </w:tc>
        <w:tc>
          <w:tcPr>
            <w:tcW w:type="dxa" w:w="5200"/>
            <w:tcMar>
              <w:top w:type="dxa" w:w="90"/>
              <w:left w:type="dxa" w:w="100"/>
              <w:bottom w:type="dxa" w:w="90"/>
              <w:right w:type="dxa" w:w="100"/>
            </w:tcMar>
          </w:tcPr>
          <w:p>
            <w:r>
              <w:rPr>
                <w:rFonts w:ascii="Calibri" w:cs="Calibri" w:eastAsia="Calibri" w:hAnsi="Calibri"/>
                <w:sz w:val="20"/>
                <w:szCs w:val="20"/>
              </w:rPr>
              <w:t xml:space="preserve">Extinção da pretensão punitiva estatal pelo decurso do prazo de 5 anos, contados da ciência da infração ou, se permanente ou continuada, da cessação.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7</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Prescrição Intercorrente</w:t>
            </w:r>
          </w:p>
        </w:tc>
        <w:tc>
          <w:tcPr>
            <w:tcW w:type="dxa" w:w="5200"/>
            <w:tcMar>
              <w:top w:type="dxa" w:w="90"/>
              <w:left w:type="dxa" w:w="100"/>
              <w:bottom w:type="dxa" w:w="90"/>
              <w:right w:type="dxa" w:w="100"/>
            </w:tcMar>
          </w:tcPr>
          <w:p>
            <w:r>
              <w:rPr>
                <w:rFonts w:ascii="Calibri" w:cs="Calibri" w:eastAsia="Calibri" w:hAnsi="Calibri"/>
                <w:sz w:val="20"/>
                <w:szCs w:val="20"/>
              </w:rPr>
              <w:t xml:space="preserve">Extinção da pretensão punitiva pela paralisação do processo já instaurado por mais de 3 anos, por aplicação analógica e não pacífica da Lei nº 9.873/1999.</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7.4</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Programa de Integridade</w:t>
            </w:r>
          </w:p>
        </w:tc>
        <w:tc>
          <w:tcPr>
            <w:tcW w:type="dxa" w:w="5200"/>
            <w:tcMar>
              <w:top w:type="dxa" w:w="90"/>
              <w:left w:type="dxa" w:w="100"/>
              <w:bottom w:type="dxa" w:w="90"/>
              <w:right w:type="dxa" w:w="100"/>
            </w:tcMar>
          </w:tcPr>
          <w:p>
            <w:r>
              <w:rPr>
                <w:rFonts w:ascii="Calibri" w:cs="Calibri" w:eastAsia="Calibri" w:hAnsi="Calibri"/>
                <w:sz w:val="20"/>
                <w:szCs w:val="20"/>
              </w:rPr>
              <w:t xml:space="preserve">Conjunto de mecanismos e procedimentos internos de prevenção, detecção e remediação de atos lesivos, avaliado pela metodologia COI/MPI/APJ para fins da maior atenuante do sistema (até −5,0%).</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7.5; Parte II, Etapa 12</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Publicação Extraordinária</w:t>
            </w:r>
          </w:p>
        </w:tc>
        <w:tc>
          <w:tcPr>
            <w:tcW w:type="dxa" w:w="5200"/>
            <w:tcMar>
              <w:top w:type="dxa" w:w="90"/>
              <w:left w:type="dxa" w:w="100"/>
              <w:bottom w:type="dxa" w:w="90"/>
              <w:right w:type="dxa" w:w="100"/>
            </w:tcMar>
          </w:tcPr>
          <w:p>
            <w:r>
              <w:rPr>
                <w:rFonts w:ascii="Calibri" w:cs="Calibri" w:eastAsia="Calibri" w:hAnsi="Calibri"/>
                <w:sz w:val="20"/>
                <w:szCs w:val="20"/>
              </w:rPr>
              <w:t xml:space="preserve">Sanção autônoma de natureza reputacional (art. 6º, II, LAC), consistente na divulgação da decisão condenatória, com prazo escalonado de 30 a 135 dias conforme a Alíquota de Referência.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13 (art. 24)</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Reincidência</w:t>
            </w:r>
          </w:p>
        </w:tc>
        <w:tc>
          <w:tcPr>
            <w:tcW w:type="dxa" w:w="5200"/>
            <w:tcMar>
              <w:top w:type="dxa" w:w="90"/>
              <w:left w:type="dxa" w:w="100"/>
              <w:bottom w:type="dxa" w:w="90"/>
              <w:right w:type="dxa" w:w="100"/>
            </w:tcMar>
          </w:tcPr>
          <w:p>
            <w:r>
              <w:rPr>
                <w:rFonts w:ascii="Calibri" w:cs="Calibri" w:eastAsia="Calibri" w:hAnsi="Calibri"/>
                <w:sz w:val="20"/>
                <w:szCs w:val="20"/>
              </w:rPr>
              <w:t xml:space="preserve">Prática de nova infração tipificada como ato lesivo em menos de 5 anos contados da publicação do julgamento anterior (ou, na leniência, da declaração de cumprimento).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6 (art. 22, V)</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Responsabilidade Objetiva</w:t>
            </w:r>
          </w:p>
        </w:tc>
        <w:tc>
          <w:tcPr>
            <w:tcW w:type="dxa" w:w="5200"/>
            <w:tcMar>
              <w:top w:type="dxa" w:w="90"/>
              <w:left w:type="dxa" w:w="100"/>
              <w:bottom w:type="dxa" w:w="90"/>
              <w:right w:type="dxa" w:w="100"/>
            </w:tcMar>
          </w:tcPr>
          <w:p>
            <w:r>
              <w:rPr>
                <w:rFonts w:ascii="Calibri" w:cs="Calibri" w:eastAsia="Calibri" w:hAnsi="Calibri"/>
                <w:sz w:val="20"/>
                <w:szCs w:val="20"/>
              </w:rPr>
              <w:t xml:space="preserve">Modalidade de imputação que prescinde da prova de dolo ou culpa, bastando a comprovação do ato lesivo, do nexo causal e do benefício, direto ou indireto.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2.3.1, 2.3.1.1</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Revelia</w:t>
            </w:r>
          </w:p>
        </w:tc>
        <w:tc>
          <w:tcPr>
            <w:tcW w:type="dxa" w:w="5200"/>
            <w:tcMar>
              <w:top w:type="dxa" w:w="90"/>
              <w:left w:type="dxa" w:w="100"/>
              <w:bottom w:type="dxa" w:w="90"/>
              <w:right w:type="dxa" w:w="100"/>
            </w:tcMar>
          </w:tcPr>
          <w:p>
            <w:r>
              <w:rPr>
                <w:rFonts w:ascii="Calibri" w:cs="Calibri" w:eastAsia="Calibri" w:hAnsi="Calibri"/>
                <w:sz w:val="20"/>
                <w:szCs w:val="20"/>
              </w:rPr>
              <w:t xml:space="preserve">Ausência de apresentação de defesa escrita no prazo legal pela pessoa jurídica regularmente citada; não gera presunção de veracidade dos fatos imputados.</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5.3.5</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Solidariedade</w:t>
            </w:r>
          </w:p>
        </w:tc>
        <w:tc>
          <w:tcPr>
            <w:tcW w:type="dxa" w:w="5200"/>
            <w:tcMar>
              <w:top w:type="dxa" w:w="90"/>
              <w:left w:type="dxa" w:w="100"/>
              <w:bottom w:type="dxa" w:w="90"/>
              <w:right w:type="dxa" w:w="100"/>
            </w:tcMar>
          </w:tcPr>
          <w:p>
            <w:r>
              <w:rPr>
                <w:rFonts w:ascii="Calibri" w:cs="Calibri" w:eastAsia="Calibri" w:hAnsi="Calibri"/>
                <w:sz w:val="20"/>
                <w:szCs w:val="20"/>
              </w:rPr>
              <w:t xml:space="preserve">Obrigação de sociedades controladoras, controladas, coligadas e consorciadas de arcar com o pagamento da multa e a reparação do dano, distinta da desconsideração da personalidade jurídica.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3.3 (remissão)</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Sucessão Empresarial</w:t>
            </w:r>
          </w:p>
        </w:tc>
        <w:tc>
          <w:tcPr>
            <w:tcW w:type="dxa" w:w="5200"/>
            <w:tcMar>
              <w:top w:type="dxa" w:w="90"/>
              <w:left w:type="dxa" w:w="100"/>
              <w:bottom w:type="dxa" w:w="90"/>
              <w:right w:type="dxa" w:w="100"/>
            </w:tcMar>
          </w:tcPr>
          <w:p>
            <w:r>
              <w:rPr>
                <w:rFonts w:ascii="Calibri" w:cs="Calibri" w:eastAsia="Calibri" w:hAnsi="Calibri"/>
                <w:sz w:val="20"/>
                <w:szCs w:val="20"/>
              </w:rPr>
              <w:t xml:space="preserve">Subsistência da responsabilidade da pessoa jurídica nas hipóteses de alteração contratual, transformação, incorporação, fusão ou cisão societária (art. 4º, LAC), com limites distintos conforme o evento.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3.2, 3.2.4</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Súmula 665/STJ</w:t>
            </w:r>
          </w:p>
        </w:tc>
        <w:tc>
          <w:tcPr>
            <w:tcW w:type="dxa" w:w="5200"/>
            <w:tcMar>
              <w:top w:type="dxa" w:w="90"/>
              <w:left w:type="dxa" w:w="100"/>
              <w:bottom w:type="dxa" w:w="90"/>
              <w:right w:type="dxa" w:w="100"/>
            </w:tcMar>
          </w:tcPr>
          <w:p>
            <w:r>
              <w:rPr>
                <w:rFonts w:ascii="Calibri" w:cs="Calibri" w:eastAsia="Calibri" w:hAnsi="Calibri"/>
                <w:sz w:val="20"/>
                <w:szCs w:val="20"/>
              </w:rPr>
              <w:t xml:space="preserve">Enunciado que restringe o controle jurisdicional do processo administrativo disciplinar aos vícios de legalidade e à desproporcionalidade manifesta, aplicado ao PAR por analogia sistemática.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 item 6.7.1, 6.7.4</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Vantagem Auferida</w:t>
            </w:r>
          </w:p>
        </w:tc>
        <w:tc>
          <w:tcPr>
            <w:tcW w:type="dxa" w:w="5200"/>
            <w:tcMar>
              <w:top w:type="dxa" w:w="90"/>
              <w:left w:type="dxa" w:w="100"/>
              <w:bottom w:type="dxa" w:w="90"/>
              <w:right w:type="dxa" w:w="100"/>
            </w:tcMar>
          </w:tcPr>
          <w:p>
            <w:r>
              <w:rPr>
                <w:rFonts w:ascii="Calibri" w:cs="Calibri" w:eastAsia="Calibri" w:hAnsi="Calibri"/>
                <w:sz w:val="20"/>
                <w:szCs w:val="20"/>
              </w:rPr>
              <w:t xml:space="preserve">Ganho real e efetivamente obtido com a prática do ato lesivo, base do piso da multa e um dos parâmetros do teto.</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1 (art. 26)</w:t>
            </w:r>
          </w:p>
        </w:tc>
      </w:tr>
      <w:tr>
        <w:tc>
          <w:tcPr>
            <w:tcW w:type="dxa" w:w="2600"/>
            <w:tcMar>
              <w:top w:type="dxa" w:w="90"/>
              <w:left w:type="dxa" w:w="100"/>
              <w:bottom w:type="dxa" w:w="90"/>
              <w:right w:type="dxa" w:w="100"/>
            </w:tcMar>
          </w:tcPr>
          <w:p>
            <w:r>
              <w:rPr>
                <w:rFonts w:ascii="Calibri" w:cs="Calibri" w:eastAsia="Calibri" w:hAnsi="Calibri"/>
                <w:b/>
                <w:bCs/>
                <w:sz w:val="20"/>
                <w:szCs w:val="20"/>
              </w:rPr>
              <w:t xml:space="preserve">Vantagem Pretendida</w:t>
            </w:r>
          </w:p>
        </w:tc>
        <w:tc>
          <w:tcPr>
            <w:tcW w:type="dxa" w:w="5200"/>
            <w:tcMar>
              <w:top w:type="dxa" w:w="90"/>
              <w:left w:type="dxa" w:w="100"/>
              <w:bottom w:type="dxa" w:w="90"/>
              <w:right w:type="dxa" w:w="100"/>
            </w:tcMar>
          </w:tcPr>
          <w:p>
            <w:r>
              <w:rPr>
                <w:rFonts w:ascii="Calibri" w:cs="Calibri" w:eastAsia="Calibri" w:hAnsi="Calibri"/>
                <w:sz w:val="20"/>
                <w:szCs w:val="20"/>
              </w:rPr>
              <w:t xml:space="preserve">Ganho planejado com o ato lesivo, ainda que não integralmente concretizado; relevante apenas para a composição do teto da multa quando superior à vantagem auferida.</w:t>
            </w:r>
          </w:p>
        </w:tc>
        <w:tc>
          <w:tcPr>
            <w:tcW w:type="dxa" w:w="1550"/>
            <w:tcMar>
              <w:top w:type="dxa" w:w="90"/>
              <w:left w:type="dxa" w:w="100"/>
              <w:bottom w:type="dxa" w:w="90"/>
              <w:right w:type="dxa" w:w="100"/>
            </w:tcMar>
          </w:tcPr>
          <w:p>
            <w:r>
              <w:rPr>
                <w:rFonts w:ascii="Calibri" w:cs="Calibri" w:eastAsia="Calibri" w:hAnsi="Calibri"/>
                <w:i/>
                <w:iCs/>
                <w:color w:val="555555"/>
                <w:sz w:val="18"/>
                <w:szCs w:val="18"/>
              </w:rPr>
              <w:t xml:space="preserve">Parte II, Etapa 1 (art. 26)</w:t>
            </w:r>
          </w:p>
        </w:tc>
      </w:tr>
    </w:tbl>
    <w:p>
      <w:r>
        <w:br w:type="page"/>
      </w:r>
    </w:p>
    <w:p>
      <w:pPr>
        <w:pStyle w:val="Heading1"/>
      </w:pPr>
      <w:r>
        <w:rPr>
          <w:rFonts w:ascii="Arial" w:hAnsi="Arial"/>
        </w:rPr>
        <w:t>ANEXO II — ÍNDICE REMISSIVO ANALÍTICO</w:t>
      </w:r>
    </w:p>
    <w:p>
      <w:pPr>
        <w:spacing w:after="400"/>
        <w:jc w:val="center"/>
      </w:pPr>
      <w:r>
        <w:rPr>
          <w:rFonts w:ascii="Calibri" w:cs="Calibri" w:eastAsia="Calibri" w:hAnsi="Calibri"/>
          <w:color w:val="555555"/>
          <w:sz w:val="20"/>
          <w:szCs w:val="20"/>
        </w:rPr>
        <w:t xml:space="preserve">34 institutos jurídicos, em ordem alfabética, com todas as passagens em que cada um é tratado ao longo da obra</w:t>
      </w:r>
    </w:p>
    <w:p>
      <w:pPr>
        <w:spacing w:after="140" w:line="270"/>
      </w:pPr>
      <w:r>
        <w:rPr>
          <w:rFonts w:ascii="Calibri" w:cs="Calibri" w:eastAsia="Calibri" w:hAnsi="Calibri"/>
          <w:b w:val="false"/>
          <w:bCs w:val="false"/>
          <w:i w:val="false"/>
          <w:iCs w:val="false"/>
          <w:sz w:val="21"/>
          <w:szCs w:val="21"/>
        </w:rPr>
        <w:t xml:space="preserve">Diferentemente do Glossário (Anexo 1), que indica apenas o ponto em que um termo é definido, este índice reúne todas as passagens da obra em que cada instituto jurídico é tratado, permitindo ao leitor acompanhar a evolução de um mesmo conceito por diferentes capítulos — por exemplo, como a responsabilidade objetiva aparece tanto nos fundamentos teóricos quanto na desconsideração da personalidade jurídica e na dosimetria.</w:t>
      </w:r>
    </w:p>
    <w:p>
      <w:pPr>
        <w:spacing w:after="140" w:line="270"/>
      </w:pPr>
      <w:r>
        <w:rPr>
          <w:rFonts w:ascii="Calibri" w:cs="Calibri" w:eastAsia="Calibri" w:hAnsi="Calibri"/>
          <w:b w:val="false"/>
          <w:bCs w:val="false"/>
          <w:i/>
          <w:iCs/>
          <w:sz w:val="21"/>
          <w:szCs w:val="21"/>
        </w:rPr>
        <w:t xml:space="preserve">Entradas do tipo “ver [outro instituto]” indicam sinônimos ou instrumentos que remetem a um instituto já indexado sob outro nome, evitando duplicação de conteúdo.</w:t>
      </w:r>
    </w:p>
    <w:p>
      <w:pPr>
        <w:pStyle w:val="Heading1"/>
        <w:spacing w:after="180" w:before="380"/>
      </w:pPr>
      <w:r>
        <w:t xml:space="preserve">Índice</w:t>
      </w:r>
    </w:p>
    <w:p>
      <w:pPr>
        <w:spacing w:after="60" w:before="180"/>
      </w:pPr>
      <w:r>
        <w:rPr>
          <w:rFonts w:ascii="Calibri" w:cs="Calibri" w:eastAsia="Calibri" w:hAnsi="Calibri"/>
          <w:b/>
          <w:bCs/>
          <w:sz w:val="21"/>
          <w:szCs w:val="21"/>
        </w:rPr>
        <w:t xml:space="preserve">Admissão voluntária da responsabilidade</w:t>
      </w:r>
    </w:p>
    <w:p>
      <w:pPr>
        <w:spacing w:after="40"/>
        <w:ind w:left="300"/>
      </w:pPr>
      <w:r>
        <w:rPr>
          <w:rFonts w:ascii="Calibri" w:cs="Calibri" w:eastAsia="Calibri" w:hAnsi="Calibri"/>
          <w:sz w:val="20"/>
          <w:szCs w:val="20"/>
        </w:rPr>
        <w:t xml:space="preserve">— como marco dosimétrico nas Alegações Finais, item 6.1.3</w:t>
      </w:r>
    </w:p>
    <w:p>
      <w:pPr>
        <w:spacing w:after="40"/>
        <w:ind w:left="300"/>
      </w:pPr>
      <w:r>
        <w:rPr>
          <w:rFonts w:ascii="Calibri" w:cs="Calibri" w:eastAsia="Calibri" w:hAnsi="Calibri"/>
          <w:sz w:val="20"/>
          <w:szCs w:val="20"/>
        </w:rPr>
        <w:t xml:space="preserve">— atenuante graduada por conteúdo e tempestividade, Parte II, Etapa 11 (art. 23, IV)</w:t>
      </w:r>
    </w:p>
    <w:p>
      <w:pPr>
        <w:spacing w:after="40"/>
        <w:ind w:left="300"/>
      </w:pPr>
      <w:r>
        <w:rPr>
          <w:rFonts w:ascii="Calibri" w:cs="Calibri" w:eastAsia="Calibri" w:hAnsi="Calibri"/>
          <w:sz w:val="20"/>
          <w:szCs w:val="20"/>
        </w:rPr>
        <w:t xml:space="preserve">— distinção frente à colaboração (art. 23, III), Parte II, Etapa 10</w:t>
      </w:r>
    </w:p>
    <w:p>
      <w:pPr>
        <w:spacing w:after="60" w:before="180"/>
      </w:pPr>
      <w:r>
        <w:rPr>
          <w:rFonts w:ascii="Calibri" w:cs="Calibri" w:eastAsia="Calibri" w:hAnsi="Calibri"/>
          <w:b/>
          <w:bCs/>
          <w:sz w:val="21"/>
          <w:szCs w:val="21"/>
        </w:rPr>
        <w:t xml:space="preserve">Alíquota de Referência</w:t>
      </w:r>
    </w:p>
    <w:p>
      <w:pPr>
        <w:spacing w:after="40"/>
        <w:ind w:left="300"/>
      </w:pPr>
      <w:r>
        <w:rPr>
          <w:rFonts w:ascii="Calibri" w:cs="Calibri" w:eastAsia="Calibri" w:hAnsi="Calibri"/>
          <w:sz w:val="20"/>
          <w:szCs w:val="20"/>
        </w:rPr>
        <w:t xml:space="preserve">— conceito e cenários A/B de apuração, Parte II, Etapa 13</w:t>
      </w:r>
    </w:p>
    <w:p>
      <w:pPr>
        <w:spacing w:after="40"/>
        <w:ind w:left="300"/>
      </w:pPr>
      <w:r>
        <w:rPr>
          <w:rFonts w:ascii="Calibri" w:cs="Calibri" w:eastAsia="Calibri" w:hAnsi="Calibri"/>
          <w:sz w:val="20"/>
          <w:szCs w:val="20"/>
        </w:rPr>
        <w:t xml:space="preserve">— elementos obrigatórios na redação da decisão, Parte II, Etapa 13</w:t>
      </w:r>
    </w:p>
    <w:p>
      <w:pPr>
        <w:spacing w:after="40"/>
        <w:ind w:left="300"/>
      </w:pPr>
      <w:r>
        <w:rPr>
          <w:rFonts w:ascii="Calibri" w:cs="Calibri" w:eastAsia="Calibri" w:hAnsi="Calibri"/>
          <w:sz w:val="20"/>
          <w:szCs w:val="20"/>
        </w:rPr>
        <w:t xml:space="preserve">— geração automática pela calculadora, Parte II, Etapa 13</w:t>
      </w:r>
    </w:p>
    <w:p>
      <w:pPr>
        <w:spacing w:after="60" w:before="180"/>
      </w:pPr>
      <w:r>
        <w:rPr>
          <w:rFonts w:ascii="Calibri" w:cs="Calibri" w:eastAsia="Calibri" w:hAnsi="Calibri"/>
          <w:b/>
          <w:bCs/>
          <w:sz w:val="21"/>
          <w:szCs w:val="21"/>
        </w:rPr>
        <w:t xml:space="preserve">Atos lesivos (art. 5º)</w:t>
      </w:r>
    </w:p>
    <w:p>
      <w:pPr>
        <w:spacing w:after="40"/>
        <w:ind w:left="300"/>
      </w:pPr>
      <w:r>
        <w:rPr>
          <w:rFonts w:ascii="Calibri" w:cs="Calibri" w:eastAsia="Calibri" w:hAnsi="Calibri"/>
          <w:sz w:val="20"/>
          <w:szCs w:val="20"/>
        </w:rPr>
        <w:t xml:space="preserve">— bens jurídicos protegidos e taxatividade do rol, item 4.1, 4.1.1</w:t>
      </w:r>
    </w:p>
    <w:p>
      <w:pPr>
        <w:spacing w:after="40"/>
        <w:ind w:left="300"/>
      </w:pPr>
      <w:r>
        <w:rPr>
          <w:rFonts w:ascii="Calibri" w:cs="Calibri" w:eastAsia="Calibri" w:hAnsi="Calibri"/>
          <w:sz w:val="20"/>
          <w:szCs w:val="20"/>
        </w:rPr>
        <w:t xml:space="preserve">— análise dogmática dos incisos I a V, item 4.2, 4.2.1 a 4.2.6</w:t>
      </w:r>
    </w:p>
    <w:p>
      <w:pPr>
        <w:spacing w:after="40"/>
        <w:ind w:left="300"/>
      </w:pPr>
      <w:r>
        <w:rPr>
          <w:rFonts w:ascii="Calibri" w:cs="Calibri" w:eastAsia="Calibri" w:hAnsi="Calibri"/>
          <w:sz w:val="20"/>
          <w:szCs w:val="20"/>
        </w:rPr>
        <w:t xml:space="preserve">— proporcionalidade na aplicação do inciso V (obstrução), item 4.2.6</w:t>
      </w:r>
    </w:p>
    <w:p>
      <w:pPr>
        <w:spacing w:after="40"/>
        <w:ind w:left="300"/>
      </w:pPr>
      <w:r>
        <w:rPr>
          <w:rFonts w:ascii="Calibri" w:cs="Calibri" w:eastAsia="Calibri" w:hAnsi="Calibri"/>
          <w:sz w:val="20"/>
          <w:szCs w:val="20"/>
        </w:rPr>
        <w:t xml:space="preserve">— concurso de atos lesivos — continuidade delitiva vs. atos autônomos, item 4.3, 4.3.1</w:t>
      </w:r>
    </w:p>
    <w:p>
      <w:pPr>
        <w:spacing w:after="40"/>
        <w:ind w:left="300"/>
      </w:pPr>
      <w:r>
        <w:rPr>
          <w:rFonts w:ascii="Calibri" w:cs="Calibri" w:eastAsia="Calibri" w:hAnsi="Calibri"/>
          <w:sz w:val="20"/>
          <w:szCs w:val="20"/>
        </w:rPr>
        <w:t xml:space="preserve">— comparativo com o direito internacional, item 4.4</w:t>
      </w:r>
    </w:p>
    <w:p>
      <w:pPr>
        <w:spacing w:after="40"/>
        <w:ind w:left="300"/>
      </w:pPr>
      <w:r>
        <w:rPr>
          <w:rFonts w:ascii="Calibri" w:cs="Calibri" w:eastAsia="Calibri" w:hAnsi="Calibri"/>
          <w:sz w:val="20"/>
          <w:szCs w:val="20"/>
        </w:rPr>
        <w:t xml:space="preserve">— interface com a Lei nº 14.133/2021, item 10.2, 10.2.1</w:t>
      </w:r>
    </w:p>
    <w:p>
      <w:pPr>
        <w:spacing w:after="60" w:before="180"/>
      </w:pPr>
      <w:r>
        <w:rPr>
          <w:rFonts w:ascii="Calibri" w:cs="Calibri" w:eastAsia="Calibri" w:hAnsi="Calibri"/>
          <w:b/>
          <w:bCs/>
          <w:sz w:val="21"/>
          <w:szCs w:val="21"/>
        </w:rPr>
        <w:t xml:space="preserve">Base de cálculo / faturamento bruto</w:t>
      </w:r>
    </w:p>
    <w:p>
      <w:pPr>
        <w:spacing w:after="40"/>
        <w:ind w:left="300"/>
      </w:pPr>
      <w:r>
        <w:rPr>
          <w:rFonts w:ascii="Calibri" w:cs="Calibri" w:eastAsia="Calibri" w:hAnsi="Calibri"/>
          <w:sz w:val="20"/>
          <w:szCs w:val="20"/>
        </w:rPr>
        <w:t xml:space="preserve">— regra geral e hipótese subsidiária, Parte II, Etapa 0 (arts. 20 e 21)</w:t>
      </w:r>
    </w:p>
    <w:p>
      <w:pPr>
        <w:spacing w:after="40"/>
        <w:ind w:left="300"/>
      </w:pPr>
      <w:r>
        <w:rPr>
          <w:rFonts w:ascii="Calibri" w:cs="Calibri" w:eastAsia="Calibri" w:hAnsi="Calibri"/>
          <w:sz w:val="20"/>
          <w:szCs w:val="20"/>
        </w:rPr>
        <w:t xml:space="preserve">— consolidação em grupo econômico, item 3.1.1</w:t>
      </w:r>
    </w:p>
    <w:p>
      <w:pPr>
        <w:spacing w:after="40"/>
        <w:ind w:left="300"/>
      </w:pPr>
      <w:r>
        <w:rPr>
          <w:rFonts w:ascii="Calibri" w:cs="Calibri" w:eastAsia="Calibri" w:hAnsi="Calibri"/>
          <w:sz w:val="20"/>
          <w:szCs w:val="20"/>
        </w:rPr>
        <w:t xml:space="preserve">— base de cálculo em acordo de leniência sem PAR instaurado, item 9</w:t>
      </w:r>
    </w:p>
    <w:p>
      <w:pPr>
        <w:spacing w:after="60" w:before="180"/>
      </w:pPr>
      <w:r>
        <w:rPr>
          <w:rFonts w:ascii="Calibri" w:cs="Calibri" w:eastAsia="Calibri" w:hAnsi="Calibri"/>
          <w:b/>
          <w:bCs/>
          <w:sz w:val="21"/>
          <w:szCs w:val="21"/>
        </w:rPr>
        <w:t xml:space="preserve">Colaboração da pessoa jurídica</w:t>
      </w:r>
    </w:p>
    <w:p>
      <w:pPr>
        <w:spacing w:after="40"/>
        <w:ind w:left="300"/>
      </w:pPr>
      <w:r>
        <w:rPr>
          <w:rFonts w:ascii="Calibri" w:cs="Calibri" w:eastAsia="Calibri" w:hAnsi="Calibri"/>
          <w:sz w:val="20"/>
          <w:szCs w:val="20"/>
        </w:rPr>
        <w:t xml:space="preserve">— atenuante do grau de colaboração, Parte II, Etapa 10 (art. 23, III)</w:t>
      </w:r>
    </w:p>
    <w:p>
      <w:pPr>
        <w:spacing w:after="40"/>
        <w:ind w:left="300"/>
      </w:pPr>
      <w:r>
        <w:rPr>
          <w:rFonts w:ascii="Calibri" w:cs="Calibri" w:eastAsia="Calibri" w:hAnsi="Calibri"/>
          <w:sz w:val="20"/>
          <w:szCs w:val="20"/>
        </w:rPr>
        <w:t xml:space="preserve">— colaboração como requisito da leniência, item 9, 9.5.3</w:t>
      </w:r>
    </w:p>
    <w:p>
      <w:pPr>
        <w:spacing w:after="40"/>
        <w:ind w:left="300"/>
      </w:pPr>
      <w:r>
        <w:rPr>
          <w:rFonts w:ascii="Calibri" w:cs="Calibri" w:eastAsia="Calibri" w:hAnsi="Calibri"/>
          <w:sz w:val="20"/>
          <w:szCs w:val="20"/>
        </w:rPr>
        <w:t xml:space="preserve">— tensão entre incentivo à autodenúncia e proporcionalidade da sanção residual, item 9.5.3</w:t>
      </w:r>
    </w:p>
    <w:p>
      <w:pPr>
        <w:spacing w:after="60" w:before="180"/>
      </w:pPr>
      <w:r>
        <w:rPr>
          <w:rFonts w:ascii="Calibri" w:cs="Calibri" w:eastAsia="Calibri" w:hAnsi="Calibri"/>
          <w:b/>
          <w:bCs/>
          <w:sz w:val="21"/>
          <w:szCs w:val="21"/>
        </w:rPr>
        <w:t xml:space="preserve">Comissão processante</w:t>
      </w:r>
    </w:p>
    <w:p>
      <w:pPr>
        <w:spacing w:after="40"/>
        <w:ind w:left="300"/>
      </w:pPr>
      <w:r>
        <w:rPr>
          <w:rFonts w:ascii="Calibri" w:cs="Calibri" w:eastAsia="Calibri" w:hAnsi="Calibri"/>
          <w:sz w:val="20"/>
          <w:szCs w:val="20"/>
        </w:rPr>
        <w:t xml:space="preserve">— composição e requisitos, item 5.3.2</w:t>
      </w:r>
    </w:p>
    <w:p>
      <w:pPr>
        <w:spacing w:after="40"/>
        <w:ind w:left="300"/>
      </w:pPr>
      <w:r>
        <w:rPr>
          <w:rFonts w:ascii="Calibri" w:cs="Calibri" w:eastAsia="Calibri" w:hAnsi="Calibri"/>
          <w:sz w:val="20"/>
          <w:szCs w:val="20"/>
        </w:rPr>
        <w:t xml:space="preserve">— impedimento e suspeição dos membros, item 5.3.2.1</w:t>
      </w:r>
    </w:p>
    <w:p>
      <w:pPr>
        <w:spacing w:after="40"/>
        <w:ind w:left="300"/>
      </w:pPr>
      <w:r>
        <w:rPr>
          <w:rFonts w:ascii="Calibri" w:cs="Calibri" w:eastAsia="Calibri" w:hAnsi="Calibri"/>
          <w:sz w:val="20"/>
          <w:szCs w:val="20"/>
        </w:rPr>
        <w:t xml:space="preserve">— elaboração do Relatório Final, item 6.1, 6.1.1, 6.1.2</w:t>
      </w:r>
    </w:p>
    <w:p>
      <w:pPr>
        <w:spacing w:after="40"/>
        <w:ind w:left="300"/>
      </w:pPr>
      <w:r>
        <w:rPr>
          <w:rFonts w:ascii="Calibri" w:cs="Calibri" w:eastAsia="Calibri" w:hAnsi="Calibri"/>
          <w:sz w:val="20"/>
          <w:szCs w:val="20"/>
        </w:rPr>
        <w:t xml:space="preserve">— papel na negociação de leniência, item 9</w:t>
      </w:r>
    </w:p>
    <w:p>
      <w:pPr>
        <w:spacing w:after="60" w:before="180"/>
      </w:pPr>
      <w:r>
        <w:rPr>
          <w:rFonts w:ascii="Calibri" w:cs="Calibri" w:eastAsia="Calibri" w:hAnsi="Calibri"/>
          <w:b/>
          <w:bCs/>
          <w:sz w:val="21"/>
          <w:szCs w:val="21"/>
        </w:rPr>
        <w:t xml:space="preserve">Concurso de atos lesivos</w:t>
      </w:r>
    </w:p>
    <w:p>
      <w:pPr>
        <w:spacing w:after="40"/>
        <w:ind w:left="300"/>
      </w:pPr>
      <w:r>
        <w:rPr>
          <w:rFonts w:ascii="Calibri" w:cs="Calibri" w:eastAsia="Calibri" w:hAnsi="Calibri"/>
          <w:sz w:val="20"/>
          <w:szCs w:val="20"/>
        </w:rPr>
        <w:t xml:space="preserve">— ver Atos lesivos (art. 5º)</w:t>
      </w:r>
    </w:p>
    <w:p>
      <w:pPr>
        <w:spacing w:after="60" w:before="180"/>
      </w:pPr>
      <w:r>
        <w:rPr>
          <w:rFonts w:ascii="Calibri" w:cs="Calibri" w:eastAsia="Calibri" w:hAnsi="Calibri"/>
          <w:b/>
          <w:bCs/>
          <w:sz w:val="21"/>
          <w:szCs w:val="21"/>
        </w:rPr>
        <w:t xml:space="preserve">Contraditório e ampla defesa</w:t>
      </w:r>
    </w:p>
    <w:p>
      <w:pPr>
        <w:spacing w:after="40"/>
        <w:ind w:left="300"/>
      </w:pPr>
      <w:r>
        <w:rPr>
          <w:rFonts w:ascii="Calibri" w:cs="Calibri" w:eastAsia="Calibri" w:hAnsi="Calibri"/>
          <w:sz w:val="20"/>
          <w:szCs w:val="20"/>
        </w:rPr>
        <w:t xml:space="preserve">— contraditório mitigado na investigação preliminar, item 5.2.2.2</w:t>
      </w:r>
    </w:p>
    <w:p>
      <w:pPr>
        <w:spacing w:after="40"/>
        <w:ind w:left="300"/>
      </w:pPr>
      <w:r>
        <w:rPr>
          <w:rFonts w:ascii="Calibri" w:cs="Calibri" w:eastAsia="Calibri" w:hAnsi="Calibri"/>
          <w:sz w:val="20"/>
          <w:szCs w:val="20"/>
        </w:rPr>
        <w:t xml:space="preserve">— citação e prazo de defesa escrita, item 5.3.4</w:t>
      </w:r>
    </w:p>
    <w:p>
      <w:pPr>
        <w:spacing w:after="40"/>
        <w:ind w:left="300"/>
      </w:pPr>
      <w:r>
        <w:rPr>
          <w:rFonts w:ascii="Calibri" w:cs="Calibri" w:eastAsia="Calibri" w:hAnsi="Calibri"/>
          <w:sz w:val="20"/>
          <w:szCs w:val="20"/>
        </w:rPr>
        <w:t xml:space="preserve">— revelia e seus efeitos, item 5.3.5</w:t>
      </w:r>
    </w:p>
    <w:p>
      <w:pPr>
        <w:spacing w:after="40"/>
        <w:ind w:left="300"/>
      </w:pPr>
      <w:r>
        <w:rPr>
          <w:rFonts w:ascii="Calibri" w:cs="Calibri" w:eastAsia="Calibri" w:hAnsi="Calibri"/>
          <w:sz w:val="20"/>
          <w:szCs w:val="20"/>
        </w:rPr>
        <w:t xml:space="preserve">— limites ao indeferimento de provas requeridas pela defesa, item 5.3.6.1</w:t>
      </w:r>
    </w:p>
    <w:p>
      <w:pPr>
        <w:spacing w:after="60" w:before="180"/>
      </w:pPr>
      <w:r>
        <w:rPr>
          <w:rFonts w:ascii="Calibri" w:cs="Calibri" w:eastAsia="Calibri" w:hAnsi="Calibri"/>
          <w:b/>
          <w:bCs/>
          <w:sz w:val="21"/>
          <w:szCs w:val="21"/>
        </w:rPr>
        <w:t xml:space="preserve">Controle judicial da legalidade</w:t>
      </w:r>
    </w:p>
    <w:p>
      <w:pPr>
        <w:spacing w:after="40"/>
        <w:ind w:left="300"/>
      </w:pPr>
      <w:r>
        <w:rPr>
          <w:rFonts w:ascii="Calibri" w:cs="Calibri" w:eastAsia="Calibri" w:hAnsi="Calibri"/>
          <w:sz w:val="20"/>
          <w:szCs w:val="20"/>
        </w:rPr>
        <w:t xml:space="preserve">— abertura e limites do controle — Súmula 665/STJ, item 6.7, 6.7.1</w:t>
      </w:r>
    </w:p>
    <w:p>
      <w:pPr>
        <w:spacing w:after="40"/>
        <w:ind w:left="300"/>
      </w:pPr>
      <w:r>
        <w:rPr>
          <w:rFonts w:ascii="Calibri" w:cs="Calibri" w:eastAsia="Calibri" w:hAnsi="Calibri"/>
          <w:sz w:val="20"/>
          <w:szCs w:val="20"/>
        </w:rPr>
        <w:t xml:space="preserve">— hipóteses de revisão judicial, item 6.7.2</w:t>
      </w:r>
    </w:p>
    <w:p>
      <w:pPr>
        <w:spacing w:after="40"/>
        <w:ind w:left="300"/>
      </w:pPr>
      <w:r>
        <w:rPr>
          <w:rFonts w:ascii="Calibri" w:cs="Calibri" w:eastAsia="Calibri" w:hAnsi="Calibri"/>
          <w:sz w:val="20"/>
          <w:szCs w:val="20"/>
        </w:rPr>
        <w:t xml:space="preserve">— o que o Judiciário não pode fazer, item 6.7.3</w:t>
      </w:r>
    </w:p>
    <w:p>
      <w:pPr>
        <w:spacing w:after="40"/>
        <w:ind w:left="300"/>
      </w:pPr>
      <w:r>
        <w:rPr>
          <w:rFonts w:ascii="Calibri" w:cs="Calibri" w:eastAsia="Calibri" w:hAnsi="Calibri"/>
          <w:sz w:val="20"/>
          <w:szCs w:val="20"/>
        </w:rPr>
        <w:t xml:space="preserve">— extensão da Súmula 665/STJ ao PAR de pessoas jurídicas, item 6.7.4</w:t>
      </w:r>
    </w:p>
    <w:p>
      <w:pPr>
        <w:spacing w:after="40"/>
        <w:ind w:left="300"/>
      </w:pPr>
      <w:r>
        <w:rPr>
          <w:rFonts w:ascii="Calibri" w:cs="Calibri" w:eastAsia="Calibri" w:hAnsi="Calibri"/>
          <w:sz w:val="20"/>
          <w:szCs w:val="20"/>
        </w:rPr>
        <w:t xml:space="preserve">— teoria dos motivos determinantes, item 6.7.5</w:t>
      </w:r>
    </w:p>
    <w:p>
      <w:pPr>
        <w:spacing w:after="60" w:before="180"/>
      </w:pPr>
      <w:r>
        <w:rPr>
          <w:rFonts w:ascii="Calibri" w:cs="Calibri" w:eastAsia="Calibri" w:hAnsi="Calibri"/>
          <w:b/>
          <w:bCs/>
          <w:sz w:val="21"/>
          <w:szCs w:val="21"/>
        </w:rPr>
        <w:t xml:space="preserve">Desconsideração da personalidade jurídica</w:t>
      </w:r>
    </w:p>
    <w:p>
      <w:pPr>
        <w:spacing w:after="40"/>
        <w:ind w:left="300"/>
      </w:pPr>
      <w:r>
        <w:rPr>
          <w:rFonts w:ascii="Calibri" w:cs="Calibri" w:eastAsia="Calibri" w:hAnsi="Calibri"/>
          <w:sz w:val="20"/>
          <w:szCs w:val="20"/>
        </w:rPr>
        <w:t xml:space="preserve">— origem da teoria e regime do art. 14, item 3.3.1, 3.3.2</w:t>
      </w:r>
    </w:p>
    <w:p>
      <w:pPr>
        <w:spacing w:after="40"/>
        <w:ind w:left="300"/>
      </w:pPr>
      <w:r>
        <w:rPr>
          <w:rFonts w:ascii="Calibri" w:cs="Calibri" w:eastAsia="Calibri" w:hAnsi="Calibri"/>
          <w:sz w:val="20"/>
          <w:szCs w:val="20"/>
        </w:rPr>
        <w:t xml:space="preserve">— desconsideração indireta e expansiva, item 3.3.2</w:t>
      </w:r>
    </w:p>
    <w:p>
      <w:pPr>
        <w:spacing w:after="40"/>
        <w:ind w:left="300"/>
      </w:pPr>
      <w:r>
        <w:rPr>
          <w:rFonts w:ascii="Calibri" w:cs="Calibri" w:eastAsia="Calibri" w:hAnsi="Calibri"/>
          <w:sz w:val="20"/>
          <w:szCs w:val="20"/>
        </w:rPr>
        <w:t xml:space="preserve">— grupos econômicos de fato — jurisprudência STF/STJ, item 3.3.3</w:t>
      </w:r>
    </w:p>
    <w:p>
      <w:pPr>
        <w:spacing w:after="60" w:before="180"/>
      </w:pPr>
      <w:r>
        <w:rPr>
          <w:rFonts w:ascii="Calibri" w:cs="Calibri" w:eastAsia="Calibri" w:hAnsi="Calibri"/>
          <w:b/>
          <w:bCs/>
          <w:sz w:val="21"/>
          <w:szCs w:val="21"/>
        </w:rPr>
        <w:t xml:space="preserve">Devolução espontânea e ressarcimento</w:t>
      </w:r>
    </w:p>
    <w:p>
      <w:pPr>
        <w:spacing w:after="40"/>
        <w:ind w:left="300"/>
      </w:pPr>
      <w:r>
        <w:rPr>
          <w:rFonts w:ascii="Calibri" w:cs="Calibri" w:eastAsia="Calibri" w:hAnsi="Calibri"/>
          <w:sz w:val="20"/>
          <w:szCs w:val="20"/>
        </w:rPr>
        <w:t xml:space="preserve">— atenuante do art. 23, II, Parte II, Etapa 9</w:t>
      </w:r>
    </w:p>
    <w:p>
      <w:pPr>
        <w:spacing w:after="40"/>
        <w:ind w:left="300"/>
      </w:pPr>
      <w:r>
        <w:rPr>
          <w:rFonts w:ascii="Calibri" w:cs="Calibri" w:eastAsia="Calibri" w:hAnsi="Calibri"/>
          <w:sz w:val="20"/>
          <w:szCs w:val="20"/>
        </w:rPr>
        <w:t xml:space="preserve">— reparação integral do dano na leniência, item 9.5</w:t>
      </w:r>
    </w:p>
    <w:p>
      <w:pPr>
        <w:spacing w:after="60" w:before="180"/>
      </w:pPr>
      <w:r>
        <w:rPr>
          <w:rFonts w:ascii="Calibri" w:cs="Calibri" w:eastAsia="Calibri" w:hAnsi="Calibri"/>
          <w:b/>
          <w:bCs/>
          <w:sz w:val="21"/>
          <w:szCs w:val="21"/>
        </w:rPr>
        <w:t xml:space="preserve">Dosimetria da multa</w:t>
      </w:r>
    </w:p>
    <w:p>
      <w:pPr>
        <w:spacing w:after="40"/>
        <w:ind w:left="300"/>
      </w:pPr>
      <w:r>
        <w:rPr>
          <w:rFonts w:ascii="Calibri" w:cs="Calibri" w:eastAsia="Calibri" w:hAnsi="Calibri"/>
          <w:sz w:val="20"/>
          <w:szCs w:val="20"/>
        </w:rPr>
        <w:t xml:space="preserve">— estrutura geral da calculadora (14 etapas), Parte II, itens 3 a 13</w:t>
      </w:r>
    </w:p>
    <w:p>
      <w:pPr>
        <w:spacing w:after="40"/>
        <w:ind w:left="300"/>
      </w:pPr>
      <w:r>
        <w:rPr>
          <w:rFonts w:ascii="Calibri" w:cs="Calibri" w:eastAsia="Calibri" w:hAnsi="Calibri"/>
          <w:sz w:val="20"/>
          <w:szCs w:val="20"/>
        </w:rPr>
        <w:t xml:space="preserve">— fórmula e limites legais (art. 25), Parte II, Etapa 13</w:t>
      </w:r>
    </w:p>
    <w:p>
      <w:pPr>
        <w:spacing w:after="40"/>
        <w:ind w:left="300"/>
      </w:pPr>
      <w:r>
        <w:rPr>
          <w:rFonts w:ascii="Calibri" w:cs="Calibri" w:eastAsia="Calibri" w:hAnsi="Calibri"/>
          <w:sz w:val="20"/>
          <w:szCs w:val="20"/>
        </w:rPr>
        <w:t xml:space="preserve">— impacto do concurso de atos lesivos, item 4.3, Parte II, Etapa 2</w:t>
      </w:r>
    </w:p>
    <w:p>
      <w:pPr>
        <w:spacing w:after="40"/>
        <w:ind w:left="300"/>
      </w:pPr>
      <w:r>
        <w:rPr>
          <w:rFonts w:ascii="Calibri" w:cs="Calibri" w:eastAsia="Calibri" w:hAnsi="Calibri"/>
          <w:sz w:val="20"/>
          <w:szCs w:val="20"/>
        </w:rPr>
        <w:t xml:space="preserve">— impacto da desconsideração e da sucessão empresarial, item 3.2, 3.3</w:t>
      </w:r>
    </w:p>
    <w:p>
      <w:pPr>
        <w:spacing w:after="60" w:before="180"/>
      </w:pPr>
      <w:r>
        <w:rPr>
          <w:rFonts w:ascii="Calibri" w:cs="Calibri" w:eastAsia="Calibri" w:hAnsi="Calibri"/>
          <w:b/>
          <w:bCs/>
          <w:sz w:val="21"/>
          <w:szCs w:val="21"/>
        </w:rPr>
        <w:t xml:space="preserve">Due diligence anticorrupção</w:t>
      </w:r>
    </w:p>
    <w:p>
      <w:pPr>
        <w:spacing w:after="40"/>
        <w:ind w:left="300"/>
      </w:pPr>
      <w:r>
        <w:rPr>
          <w:rFonts w:ascii="Calibri" w:cs="Calibri" w:eastAsia="Calibri" w:hAnsi="Calibri"/>
          <w:sz w:val="20"/>
          <w:szCs w:val="20"/>
        </w:rPr>
        <w:t xml:space="preserve">— due diligence em operações de M&amp;A e sucessão empresarial, item 3.2.4</w:t>
      </w:r>
    </w:p>
    <w:p>
      <w:pPr>
        <w:spacing w:after="40"/>
        <w:ind w:left="300"/>
      </w:pPr>
      <w:r>
        <w:rPr>
          <w:rFonts w:ascii="Calibri" w:cs="Calibri" w:eastAsia="Calibri" w:hAnsi="Calibri"/>
          <w:sz w:val="20"/>
          <w:szCs w:val="20"/>
        </w:rPr>
        <w:t xml:space="preserve">— due diligence contínua como prática de programa de integridade, item 7.5</w:t>
      </w:r>
    </w:p>
    <w:p>
      <w:pPr>
        <w:spacing w:after="60" w:before="180"/>
      </w:pPr>
      <w:r>
        <w:rPr>
          <w:rFonts w:ascii="Calibri" w:cs="Calibri" w:eastAsia="Calibri" w:hAnsi="Calibri"/>
          <w:b/>
          <w:bCs/>
          <w:sz w:val="21"/>
          <w:szCs w:val="21"/>
        </w:rPr>
        <w:t xml:space="preserve">Enforcement paralelo (concorrência de sistemas sancionadores)</w:t>
      </w:r>
    </w:p>
    <w:p>
      <w:pPr>
        <w:spacing w:after="40"/>
        <w:ind w:left="300"/>
      </w:pPr>
      <w:r>
        <w:rPr>
          <w:rFonts w:ascii="Calibri" w:cs="Calibri" w:eastAsia="Calibri" w:hAnsi="Calibri"/>
          <w:sz w:val="20"/>
          <w:szCs w:val="20"/>
        </w:rPr>
        <w:t xml:space="preserve">— LAC e FCPA — enforcement paralelo e dupla exposição, item 2.5</w:t>
      </w:r>
    </w:p>
    <w:p>
      <w:pPr>
        <w:spacing w:after="40"/>
        <w:ind w:left="300"/>
      </w:pPr>
      <w:r>
        <w:rPr>
          <w:rFonts w:ascii="Calibri" w:cs="Calibri" w:eastAsia="Calibri" w:hAnsi="Calibri"/>
          <w:sz w:val="20"/>
          <w:szCs w:val="20"/>
        </w:rPr>
        <w:t xml:space="preserve">— política de coordenação de penalidades ("anti-piling on"), item 2.5</w:t>
      </w:r>
    </w:p>
    <w:p>
      <w:pPr>
        <w:spacing w:after="60" w:before="180"/>
      </w:pPr>
      <w:r>
        <w:rPr>
          <w:rFonts w:ascii="Calibri" w:cs="Calibri" w:eastAsia="Calibri" w:hAnsi="Calibri"/>
          <w:b/>
          <w:bCs/>
          <w:sz w:val="21"/>
          <w:szCs w:val="21"/>
        </w:rPr>
        <w:t xml:space="preserve">Execução da multa</w:t>
      </w:r>
    </w:p>
    <w:p>
      <w:pPr>
        <w:spacing w:after="40"/>
        <w:ind w:left="300"/>
      </w:pPr>
      <w:r>
        <w:rPr>
          <w:rFonts w:ascii="Calibri" w:cs="Calibri" w:eastAsia="Calibri" w:hAnsi="Calibri"/>
          <w:sz w:val="20"/>
          <w:szCs w:val="20"/>
        </w:rPr>
        <w:t xml:space="preserve">— da decisão definitiva ao vencimento, item 8.1</w:t>
      </w:r>
    </w:p>
    <w:p>
      <w:pPr>
        <w:spacing w:after="40"/>
        <w:ind w:left="300"/>
      </w:pPr>
      <w:r>
        <w:rPr>
          <w:rFonts w:ascii="Calibri" w:cs="Calibri" w:eastAsia="Calibri" w:hAnsi="Calibri"/>
          <w:sz w:val="20"/>
          <w:szCs w:val="20"/>
        </w:rPr>
        <w:t xml:space="preserve">— atualização do débito — Selic e multa de mora, item 8.3</w:t>
      </w:r>
    </w:p>
    <w:p>
      <w:pPr>
        <w:spacing w:after="40"/>
        <w:ind w:left="300"/>
      </w:pPr>
      <w:r>
        <w:rPr>
          <w:rFonts w:ascii="Calibri" w:cs="Calibri" w:eastAsia="Calibri" w:hAnsi="Calibri"/>
          <w:sz w:val="20"/>
          <w:szCs w:val="20"/>
        </w:rPr>
        <w:t xml:space="preserve">— execução fiscal, item 8.4</w:t>
      </w:r>
    </w:p>
    <w:p>
      <w:pPr>
        <w:spacing w:after="40"/>
        <w:ind w:left="300"/>
      </w:pPr>
      <w:r>
        <w:rPr>
          <w:rFonts w:ascii="Calibri" w:cs="Calibri" w:eastAsia="Calibri" w:hAnsi="Calibri"/>
          <w:sz w:val="20"/>
          <w:szCs w:val="20"/>
        </w:rPr>
        <w:t xml:space="preserve">— parcelamento, item 8.5</w:t>
      </w:r>
    </w:p>
    <w:p>
      <w:pPr>
        <w:spacing w:after="40"/>
        <w:ind w:left="300"/>
      </w:pPr>
      <w:r>
        <w:rPr>
          <w:rFonts w:ascii="Calibri" w:cs="Calibri" w:eastAsia="Calibri" w:hAnsi="Calibri"/>
          <w:sz w:val="20"/>
          <w:szCs w:val="20"/>
        </w:rPr>
        <w:t xml:space="preserve">— efeitos sobre os cadastros de sanções, item 8.6</w:t>
      </w:r>
    </w:p>
    <w:p>
      <w:pPr>
        <w:spacing w:after="40"/>
        <w:ind w:left="300"/>
      </w:pPr>
      <w:r>
        <w:rPr>
          <w:rFonts w:ascii="Calibri" w:cs="Calibri" w:eastAsia="Calibri" w:hAnsi="Calibri"/>
          <w:sz w:val="20"/>
          <w:szCs w:val="20"/>
        </w:rPr>
        <w:t xml:space="preserve">— classificação de recuperabilidade do crédito pela PGFN, item 8.7</w:t>
      </w:r>
    </w:p>
    <w:p>
      <w:pPr>
        <w:spacing w:after="60" w:before="180"/>
      </w:pPr>
      <w:r>
        <w:rPr>
          <w:rFonts w:ascii="Calibri" w:cs="Calibri" w:eastAsia="Calibri" w:hAnsi="Calibri"/>
          <w:b/>
          <w:bCs/>
          <w:sz w:val="21"/>
          <w:szCs w:val="21"/>
        </w:rPr>
        <w:t xml:space="preserve">Grupo econômico</w:t>
      </w:r>
    </w:p>
    <w:p>
      <w:pPr>
        <w:spacing w:after="40"/>
        <w:ind w:left="300"/>
      </w:pPr>
      <w:r>
        <w:rPr>
          <w:rFonts w:ascii="Calibri" w:cs="Calibri" w:eastAsia="Calibri" w:hAnsi="Calibri"/>
          <w:sz w:val="20"/>
          <w:szCs w:val="20"/>
        </w:rPr>
        <w:t xml:space="preserve">— consolidação da base de cálculo, item 3.1.1</w:t>
      </w:r>
    </w:p>
    <w:p>
      <w:pPr>
        <w:spacing w:after="40"/>
        <w:ind w:left="300"/>
      </w:pPr>
      <w:r>
        <w:rPr>
          <w:rFonts w:ascii="Calibri" w:cs="Calibri" w:eastAsia="Calibri" w:hAnsi="Calibri"/>
          <w:sz w:val="20"/>
          <w:szCs w:val="20"/>
        </w:rPr>
        <w:t xml:space="preserve">— solidariedade de controladoras, controladas, coligadas e consorciadas, item 3.3 (remissão)</w:t>
      </w:r>
    </w:p>
    <w:p>
      <w:pPr>
        <w:spacing w:after="40"/>
        <w:ind w:left="300"/>
      </w:pPr>
      <w:r>
        <w:rPr>
          <w:rFonts w:ascii="Calibri" w:cs="Calibri" w:eastAsia="Calibri" w:hAnsi="Calibri"/>
          <w:sz w:val="20"/>
          <w:szCs w:val="20"/>
        </w:rPr>
        <w:t xml:space="preserve">— grupo econômico de fato e desconsideração expansiva, item 3.3.3</w:t>
      </w:r>
    </w:p>
    <w:p>
      <w:pPr>
        <w:spacing w:after="60" w:before="180"/>
      </w:pPr>
      <w:r>
        <w:rPr>
          <w:rFonts w:ascii="Calibri" w:cs="Calibri" w:eastAsia="Calibri" w:hAnsi="Calibri"/>
          <w:b/>
          <w:bCs/>
          <w:sz w:val="21"/>
          <w:szCs w:val="21"/>
        </w:rPr>
        <w:t xml:space="preserve">Independência de instâncias</w:t>
      </w:r>
    </w:p>
    <w:p>
      <w:pPr>
        <w:spacing w:after="40"/>
        <w:ind w:left="300"/>
      </w:pPr>
      <w:r>
        <w:rPr>
          <w:rFonts w:ascii="Calibri" w:cs="Calibri" w:eastAsia="Calibri" w:hAnsi="Calibri"/>
          <w:sz w:val="20"/>
          <w:szCs w:val="20"/>
        </w:rPr>
        <w:t xml:space="preserve">— independência entre responsabilização da PJ e da pessoa física, item 2.3.3</w:t>
      </w:r>
    </w:p>
    <w:p>
      <w:pPr>
        <w:spacing w:after="40"/>
        <w:ind w:left="300"/>
      </w:pPr>
      <w:r>
        <w:rPr>
          <w:rFonts w:ascii="Calibri" w:cs="Calibri" w:eastAsia="Calibri" w:hAnsi="Calibri"/>
          <w:sz w:val="20"/>
          <w:szCs w:val="20"/>
        </w:rPr>
        <w:t xml:space="preserve">— princípio geral do art. 30 da LAC, item 10.1</w:t>
      </w:r>
    </w:p>
    <w:p>
      <w:pPr>
        <w:spacing w:after="40"/>
        <w:ind w:left="300"/>
      </w:pPr>
      <w:r>
        <w:rPr>
          <w:rFonts w:ascii="Calibri" w:cs="Calibri" w:eastAsia="Calibri" w:hAnsi="Calibri"/>
          <w:sz w:val="20"/>
          <w:szCs w:val="20"/>
        </w:rPr>
        <w:t xml:space="preserve">— independência frente à Lei de Improbidade Administrativa, item 10.3</w:t>
      </w:r>
    </w:p>
    <w:p>
      <w:pPr>
        <w:spacing w:after="60" w:before="180"/>
      </w:pPr>
      <w:r>
        <w:rPr>
          <w:rFonts w:ascii="Calibri" w:cs="Calibri" w:eastAsia="Calibri" w:hAnsi="Calibri"/>
          <w:b/>
          <w:bCs/>
          <w:sz w:val="21"/>
          <w:szCs w:val="21"/>
        </w:rPr>
        <w:t xml:space="preserve">Instrução probatória</w:t>
      </w:r>
    </w:p>
    <w:p>
      <w:pPr>
        <w:spacing w:after="40"/>
        <w:ind w:left="300"/>
      </w:pPr>
      <w:r>
        <w:rPr>
          <w:rFonts w:ascii="Calibri" w:cs="Calibri" w:eastAsia="Calibri" w:hAnsi="Calibri"/>
          <w:sz w:val="20"/>
          <w:szCs w:val="20"/>
        </w:rPr>
        <w:t xml:space="preserve">— produção e requisição de provas, item 5.3.6</w:t>
      </w:r>
    </w:p>
    <w:p>
      <w:pPr>
        <w:spacing w:after="40"/>
        <w:ind w:left="300"/>
      </w:pPr>
      <w:r>
        <w:rPr>
          <w:rFonts w:ascii="Calibri" w:cs="Calibri" w:eastAsia="Calibri" w:hAnsi="Calibri"/>
          <w:sz w:val="20"/>
          <w:szCs w:val="20"/>
        </w:rPr>
        <w:t xml:space="preserve">— limites ao indeferimento de provas da defesa, item 5.3.6.1</w:t>
      </w:r>
    </w:p>
    <w:p>
      <w:pPr>
        <w:spacing w:after="40"/>
        <w:ind w:left="300"/>
      </w:pPr>
      <w:r>
        <w:rPr>
          <w:rFonts w:ascii="Calibri" w:cs="Calibri" w:eastAsia="Calibri" w:hAnsi="Calibri"/>
          <w:sz w:val="20"/>
          <w:szCs w:val="20"/>
        </w:rPr>
        <w:t xml:space="preserve">— novas provas após a Nota de Indiciação, item 5.3.6</w:t>
      </w:r>
    </w:p>
    <w:p>
      <w:pPr>
        <w:spacing w:after="60" w:before="180"/>
      </w:pPr>
      <w:r>
        <w:rPr>
          <w:rFonts w:ascii="Calibri" w:cs="Calibri" w:eastAsia="Calibri" w:hAnsi="Calibri"/>
          <w:b/>
          <w:bCs/>
          <w:sz w:val="21"/>
          <w:szCs w:val="21"/>
        </w:rPr>
        <w:t xml:space="preserve">Interfaces com outros diplomas</w:t>
      </w:r>
    </w:p>
    <w:p>
      <w:pPr>
        <w:spacing w:after="40"/>
        <w:ind w:left="300"/>
      </w:pPr>
      <w:r>
        <w:rPr>
          <w:rFonts w:ascii="Calibri" w:cs="Calibri" w:eastAsia="Calibri" w:hAnsi="Calibri"/>
          <w:sz w:val="20"/>
          <w:szCs w:val="20"/>
        </w:rPr>
        <w:t xml:space="preserve">— Lei nº 14.133/2021 — apuração conjunta, item 10.2</w:t>
      </w:r>
    </w:p>
    <w:p>
      <w:pPr>
        <w:spacing w:after="40"/>
        <w:ind w:left="300"/>
      </w:pPr>
      <w:r>
        <w:rPr>
          <w:rFonts w:ascii="Calibri" w:cs="Calibri" w:eastAsia="Calibri" w:hAnsi="Calibri"/>
          <w:sz w:val="20"/>
          <w:szCs w:val="20"/>
        </w:rPr>
        <w:t xml:space="preserve">— Lei nº 14.133/2021 — duplo regime de impedimento de licitar, item 10.2.1</w:t>
      </w:r>
    </w:p>
    <w:p>
      <w:pPr>
        <w:spacing w:after="40"/>
        <w:ind w:left="300"/>
      </w:pPr>
      <w:r>
        <w:rPr>
          <w:rFonts w:ascii="Calibri" w:cs="Calibri" w:eastAsia="Calibri" w:hAnsi="Calibri"/>
          <w:sz w:val="20"/>
          <w:szCs w:val="20"/>
        </w:rPr>
        <w:t xml:space="preserve">— Lei de Improbidade Administrativa (LIA), item 10.3</w:t>
      </w:r>
    </w:p>
    <w:p>
      <w:pPr>
        <w:spacing w:after="40"/>
        <w:ind w:left="300"/>
      </w:pPr>
      <w:r>
        <w:rPr>
          <w:rFonts w:ascii="Calibri" w:cs="Calibri" w:eastAsia="Calibri" w:hAnsi="Calibri"/>
          <w:sz w:val="20"/>
          <w:szCs w:val="20"/>
        </w:rPr>
        <w:t xml:space="preserve">— cumulação de multas LAC/LIA — controvérsia, item 10.3</w:t>
      </w:r>
    </w:p>
    <w:p>
      <w:pPr>
        <w:spacing w:after="60" w:before="180"/>
      </w:pPr>
      <w:r>
        <w:rPr>
          <w:rFonts w:ascii="Calibri" w:cs="Calibri" w:eastAsia="Calibri" w:hAnsi="Calibri"/>
          <w:b/>
          <w:bCs/>
          <w:sz w:val="21"/>
          <w:szCs w:val="21"/>
        </w:rPr>
        <w:t xml:space="preserve">Investigação preliminar</w:t>
      </w:r>
    </w:p>
    <w:p>
      <w:pPr>
        <w:spacing w:after="40"/>
        <w:ind w:left="300"/>
      </w:pPr>
      <w:r>
        <w:rPr>
          <w:rFonts w:ascii="Calibri" w:cs="Calibri" w:eastAsia="Calibri" w:hAnsi="Calibri"/>
          <w:sz w:val="20"/>
          <w:szCs w:val="20"/>
        </w:rPr>
        <w:t xml:space="preserve">— natureza, procedimento e prazo, item 5.2.2</w:t>
      </w:r>
    </w:p>
    <w:p>
      <w:pPr>
        <w:spacing w:after="40"/>
        <w:ind w:left="300"/>
      </w:pPr>
      <w:r>
        <w:rPr>
          <w:rFonts w:ascii="Calibri" w:cs="Calibri" w:eastAsia="Calibri" w:hAnsi="Calibri"/>
          <w:sz w:val="20"/>
          <w:szCs w:val="20"/>
        </w:rPr>
        <w:t xml:space="preserve">— estado da controvérsia sobre a natureza do prazo de 180 dias, item 5.2.2.1</w:t>
      </w:r>
    </w:p>
    <w:p>
      <w:pPr>
        <w:spacing w:after="40"/>
        <w:ind w:left="300"/>
      </w:pPr>
      <w:r>
        <w:rPr>
          <w:rFonts w:ascii="Calibri" w:cs="Calibri" w:eastAsia="Calibri" w:hAnsi="Calibri"/>
          <w:sz w:val="20"/>
          <w:szCs w:val="20"/>
        </w:rPr>
        <w:t xml:space="preserve">— contraditório mitigado e sigilo protetivo, item 5.2.2.2</w:t>
      </w:r>
    </w:p>
    <w:p>
      <w:pPr>
        <w:spacing w:after="60" w:before="180"/>
      </w:pPr>
      <w:r>
        <w:rPr>
          <w:rFonts w:ascii="Calibri" w:cs="Calibri" w:eastAsia="Calibri" w:hAnsi="Calibri"/>
          <w:b/>
          <w:bCs/>
          <w:sz w:val="21"/>
          <w:szCs w:val="21"/>
        </w:rPr>
        <w:t xml:space="preserve">Juízo de admissibilidade</w:t>
      </w:r>
    </w:p>
    <w:p>
      <w:pPr>
        <w:spacing w:after="40"/>
        <w:ind w:left="300"/>
      </w:pPr>
      <w:r>
        <w:rPr>
          <w:rFonts w:ascii="Calibri" w:cs="Calibri" w:eastAsia="Calibri" w:hAnsi="Calibri"/>
          <w:sz w:val="20"/>
          <w:szCs w:val="20"/>
        </w:rPr>
        <w:t xml:space="preserve">— tríplice escolha — IP, instauração direta ou arquivamento, item 5.2.1</w:t>
      </w:r>
    </w:p>
    <w:p>
      <w:pPr>
        <w:spacing w:after="40"/>
        <w:ind w:left="300"/>
      </w:pPr>
      <w:r>
        <w:rPr>
          <w:rFonts w:ascii="Calibri" w:cs="Calibri" w:eastAsia="Calibri" w:hAnsi="Calibri"/>
          <w:sz w:val="20"/>
          <w:szCs w:val="20"/>
        </w:rPr>
        <w:t xml:space="preserve">— critérios para a escolha entre investigação preliminar e instauração direta, item 5.2.1.1</w:t>
      </w:r>
    </w:p>
    <w:p>
      <w:pPr>
        <w:spacing w:after="60" w:before="180"/>
      </w:pPr>
      <w:r>
        <w:rPr>
          <w:rFonts w:ascii="Calibri" w:cs="Calibri" w:eastAsia="Calibri" w:hAnsi="Calibri"/>
          <w:b/>
          <w:bCs/>
          <w:sz w:val="21"/>
          <w:szCs w:val="21"/>
        </w:rPr>
        <w:t xml:space="preserve">Leniência, acordo de</w:t>
      </w:r>
    </w:p>
    <w:p>
      <w:pPr>
        <w:spacing w:after="40"/>
        <w:ind w:left="300"/>
      </w:pPr>
      <w:r>
        <w:rPr>
          <w:rFonts w:ascii="Calibri" w:cs="Calibri" w:eastAsia="Calibri" w:hAnsi="Calibri"/>
          <w:sz w:val="20"/>
          <w:szCs w:val="20"/>
        </w:rPr>
        <w:t xml:space="preserve">— procedimento de negociação, item 9.4</w:t>
      </w:r>
    </w:p>
    <w:p>
      <w:pPr>
        <w:spacing w:after="40"/>
        <w:ind w:left="300"/>
      </w:pPr>
      <w:r>
        <w:rPr>
          <w:rFonts w:ascii="Calibri" w:cs="Calibri" w:eastAsia="Calibri" w:hAnsi="Calibri"/>
          <w:sz w:val="20"/>
          <w:szCs w:val="20"/>
        </w:rPr>
        <w:t xml:space="preserve">— benefícios do acordo, item 9.5</w:t>
      </w:r>
    </w:p>
    <w:p>
      <w:pPr>
        <w:spacing w:after="40"/>
        <w:ind w:left="300"/>
      </w:pPr>
      <w:r>
        <w:rPr>
          <w:rFonts w:ascii="Calibri" w:cs="Calibri" w:eastAsia="Calibri" w:hAnsi="Calibri"/>
          <w:sz w:val="20"/>
          <w:szCs w:val="20"/>
        </w:rPr>
        <w:t xml:space="preserve">— interação entre leniência e dosimetria do PAR, item 9.6, 9.6.1</w:t>
      </w:r>
    </w:p>
    <w:p>
      <w:pPr>
        <w:spacing w:after="40"/>
        <w:ind w:left="300"/>
      </w:pPr>
      <w:r>
        <w:rPr>
          <w:rFonts w:ascii="Calibri" w:cs="Calibri" w:eastAsia="Calibri" w:hAnsi="Calibri"/>
          <w:sz w:val="20"/>
          <w:szCs w:val="20"/>
        </w:rPr>
        <w:t xml:space="preserve">— tensão entre incentivo à autodenúncia e proporcionalidade da sanção residual, item 9.5.3</w:t>
      </w:r>
    </w:p>
    <w:p>
      <w:pPr>
        <w:spacing w:after="40"/>
        <w:ind w:left="300"/>
      </w:pPr>
      <w:r>
        <w:rPr>
          <w:rFonts w:ascii="Calibri" w:cs="Calibri" w:eastAsia="Calibri" w:hAnsi="Calibri"/>
          <w:sz w:val="20"/>
          <w:szCs w:val="20"/>
        </w:rPr>
        <w:t xml:space="preserve">— mecanismo de marker, item 9.5.3</w:t>
      </w:r>
    </w:p>
    <w:p>
      <w:pPr>
        <w:spacing w:after="60" w:before="180"/>
      </w:pPr>
      <w:r>
        <w:rPr>
          <w:rFonts w:ascii="Calibri" w:cs="Calibri" w:eastAsia="Calibri" w:hAnsi="Calibri"/>
          <w:b/>
          <w:bCs/>
          <w:sz w:val="21"/>
          <w:szCs w:val="21"/>
        </w:rPr>
        <w:t xml:space="preserve">Nulidade processual</w:t>
      </w:r>
    </w:p>
    <w:p>
      <w:pPr>
        <w:spacing w:after="40"/>
        <w:ind w:left="300"/>
      </w:pPr>
      <w:r>
        <w:rPr>
          <w:rFonts w:ascii="Calibri" w:cs="Calibri" w:eastAsia="Calibri" w:hAnsi="Calibri"/>
          <w:sz w:val="20"/>
          <w:szCs w:val="20"/>
        </w:rPr>
        <w:t xml:space="preserve">— regime de nulidade pela ausência do parecer jurídico obrigatório, item 6.2.1.1</w:t>
      </w:r>
    </w:p>
    <w:p>
      <w:pPr>
        <w:spacing w:after="40"/>
        <w:ind w:left="300"/>
      </w:pPr>
      <w:r>
        <w:rPr>
          <w:rFonts w:ascii="Calibri" w:cs="Calibri" w:eastAsia="Calibri" w:hAnsi="Calibri"/>
          <w:sz w:val="20"/>
          <w:szCs w:val="20"/>
        </w:rPr>
        <w:t xml:space="preserve">— princípio pas de nullité sans grief, item 6.2.1.1</w:t>
      </w:r>
    </w:p>
    <w:p>
      <w:pPr>
        <w:spacing w:after="40"/>
        <w:ind w:left="300"/>
      </w:pPr>
      <w:r>
        <w:rPr>
          <w:rFonts w:ascii="Calibri" w:cs="Calibri" w:eastAsia="Calibri" w:hAnsi="Calibri"/>
          <w:sz w:val="20"/>
          <w:szCs w:val="20"/>
        </w:rPr>
        <w:t xml:space="preserve">— consequências do descumprimento do prazo de 180 dias, item 5.2.2.1</w:t>
      </w:r>
    </w:p>
    <w:p>
      <w:pPr>
        <w:spacing w:after="60" w:before="180"/>
      </w:pPr>
      <w:r>
        <w:rPr>
          <w:rFonts w:ascii="Calibri" w:cs="Calibri" w:eastAsia="Calibri" w:hAnsi="Calibri"/>
          <w:b/>
          <w:bCs/>
          <w:sz w:val="21"/>
          <w:szCs w:val="21"/>
        </w:rPr>
        <w:t xml:space="preserve">Parecer jurídico obrigatório</w:t>
      </w:r>
    </w:p>
    <w:p>
      <w:pPr>
        <w:spacing w:after="40"/>
        <w:ind w:left="300"/>
      </w:pPr>
      <w:r>
        <w:rPr>
          <w:rFonts w:ascii="Calibri" w:cs="Calibri" w:eastAsia="Calibri" w:hAnsi="Calibri"/>
          <w:sz w:val="20"/>
          <w:szCs w:val="20"/>
        </w:rPr>
        <w:t xml:space="preserve">— natureza e exigência legal, item 6.2.1</w:t>
      </w:r>
    </w:p>
    <w:p>
      <w:pPr>
        <w:spacing w:after="40"/>
        <w:ind w:left="300"/>
      </w:pPr>
      <w:r>
        <w:rPr>
          <w:rFonts w:ascii="Calibri" w:cs="Calibri" w:eastAsia="Calibri" w:hAnsi="Calibri"/>
          <w:sz w:val="20"/>
          <w:szCs w:val="20"/>
        </w:rPr>
        <w:t xml:space="preserve">— conteúdo e função, item 6.2.2</w:t>
      </w:r>
    </w:p>
    <w:p>
      <w:pPr>
        <w:spacing w:after="40"/>
        <w:ind w:left="300"/>
      </w:pPr>
      <w:r>
        <w:rPr>
          <w:rFonts w:ascii="Calibri" w:cs="Calibri" w:eastAsia="Calibri" w:hAnsi="Calibri"/>
          <w:sz w:val="20"/>
          <w:szCs w:val="20"/>
        </w:rPr>
        <w:t xml:space="preserve">— vinculação da autoridade ao parecer, item 6.2.3</w:t>
      </w:r>
    </w:p>
    <w:p>
      <w:pPr>
        <w:spacing w:after="40"/>
        <w:ind w:left="300"/>
      </w:pPr>
      <w:r>
        <w:rPr>
          <w:rFonts w:ascii="Calibri" w:cs="Calibri" w:eastAsia="Calibri" w:hAnsi="Calibri"/>
          <w:sz w:val="20"/>
          <w:szCs w:val="20"/>
        </w:rPr>
        <w:t xml:space="preserve">— regime de nulidade por ausência ou deficiência, item 6.2.1.1</w:t>
      </w:r>
    </w:p>
    <w:p>
      <w:pPr>
        <w:spacing w:after="60" w:before="180"/>
      </w:pPr>
      <w:r>
        <w:rPr>
          <w:rFonts w:ascii="Calibri" w:cs="Calibri" w:eastAsia="Calibri" w:hAnsi="Calibri"/>
          <w:b/>
          <w:bCs/>
          <w:sz w:val="21"/>
          <w:szCs w:val="21"/>
        </w:rPr>
        <w:t xml:space="preserve">Prazo de 180 dias</w:t>
      </w:r>
    </w:p>
    <w:p>
      <w:pPr>
        <w:spacing w:after="40"/>
        <w:ind w:left="300"/>
      </w:pPr>
      <w:r>
        <w:rPr>
          <w:rFonts w:ascii="Calibri" w:cs="Calibri" w:eastAsia="Calibri" w:hAnsi="Calibri"/>
          <w:sz w:val="20"/>
          <w:szCs w:val="20"/>
        </w:rPr>
        <w:t xml:space="preserve">— investigação preliminar, item 5.2.2</w:t>
      </w:r>
    </w:p>
    <w:p>
      <w:pPr>
        <w:spacing w:after="40"/>
        <w:ind w:left="300"/>
      </w:pPr>
      <w:r>
        <w:rPr>
          <w:rFonts w:ascii="Calibri" w:cs="Calibri" w:eastAsia="Calibri" w:hAnsi="Calibri"/>
          <w:sz w:val="20"/>
          <w:szCs w:val="20"/>
        </w:rPr>
        <w:t xml:space="preserve">— estado da controvérsia — natureza própria ou imprópria, item 5.2.2.1</w:t>
      </w:r>
    </w:p>
    <w:p>
      <w:pPr>
        <w:spacing w:after="40"/>
        <w:ind w:left="300"/>
      </w:pPr>
      <w:r>
        <w:rPr>
          <w:rFonts w:ascii="Calibri" w:cs="Calibri" w:eastAsia="Calibri" w:hAnsi="Calibri"/>
          <w:sz w:val="20"/>
          <w:szCs w:val="20"/>
        </w:rPr>
        <w:t xml:space="preserve">— prazo de negociação da leniência (diverso), item 9.4</w:t>
      </w:r>
    </w:p>
    <w:p>
      <w:pPr>
        <w:spacing w:after="60" w:before="180"/>
      </w:pPr>
      <w:r>
        <w:rPr>
          <w:rFonts w:ascii="Calibri" w:cs="Calibri" w:eastAsia="Calibri" w:hAnsi="Calibri"/>
          <w:b/>
          <w:bCs/>
          <w:sz w:val="21"/>
          <w:szCs w:val="21"/>
        </w:rPr>
        <w:t xml:space="preserve">Prescrição</w:t>
      </w:r>
    </w:p>
    <w:p>
      <w:pPr>
        <w:spacing w:after="40"/>
        <w:ind w:left="300"/>
      </w:pPr>
      <w:r>
        <w:rPr>
          <w:rFonts w:ascii="Calibri" w:cs="Calibri" w:eastAsia="Calibri" w:hAnsi="Calibri"/>
          <w:sz w:val="20"/>
          <w:szCs w:val="20"/>
        </w:rPr>
        <w:t xml:space="preserve">— prazo e termo inicial, item 7.1</w:t>
      </w:r>
    </w:p>
    <w:p>
      <w:pPr>
        <w:spacing w:after="40"/>
        <w:ind w:left="300"/>
      </w:pPr>
      <w:r>
        <w:rPr>
          <w:rFonts w:ascii="Calibri" w:cs="Calibri" w:eastAsia="Calibri" w:hAnsi="Calibri"/>
          <w:sz w:val="20"/>
          <w:szCs w:val="20"/>
        </w:rPr>
        <w:t xml:space="preserve">— causas interruptivas e suspensivas, item 7.2, 7.3</w:t>
      </w:r>
    </w:p>
    <w:p>
      <w:pPr>
        <w:spacing w:after="40"/>
        <w:ind w:left="300"/>
      </w:pPr>
      <w:r>
        <w:rPr>
          <w:rFonts w:ascii="Calibri" w:cs="Calibri" w:eastAsia="Calibri" w:hAnsi="Calibri"/>
          <w:sz w:val="20"/>
          <w:szCs w:val="20"/>
        </w:rPr>
        <w:t xml:space="preserve">— prescrição intercorrente — estado da controvérsia, item 7.4</w:t>
      </w:r>
    </w:p>
    <w:p>
      <w:pPr>
        <w:spacing w:after="40"/>
        <w:ind w:left="300"/>
      </w:pPr>
      <w:r>
        <w:rPr>
          <w:rFonts w:ascii="Calibri" w:cs="Calibri" w:eastAsia="Calibri" w:hAnsi="Calibri"/>
          <w:sz w:val="20"/>
          <w:szCs w:val="20"/>
        </w:rPr>
        <w:t xml:space="preserve">— síntese para o operador, item 7.5</w:t>
      </w:r>
    </w:p>
    <w:p>
      <w:pPr>
        <w:spacing w:after="40"/>
        <w:ind w:left="300"/>
      </w:pPr>
      <w:r>
        <w:rPr>
          <w:rFonts w:ascii="Calibri" w:cs="Calibri" w:eastAsia="Calibri" w:hAnsi="Calibri"/>
          <w:sz w:val="20"/>
          <w:szCs w:val="20"/>
        </w:rPr>
        <w:t xml:space="preserve">— prazo especial na leniência, item 9.6.1</w:t>
      </w:r>
    </w:p>
    <w:p>
      <w:pPr>
        <w:spacing w:after="60" w:before="180"/>
      </w:pPr>
      <w:r>
        <w:rPr>
          <w:rFonts w:ascii="Calibri" w:cs="Calibri" w:eastAsia="Calibri" w:hAnsi="Calibri"/>
          <w:b/>
          <w:bCs/>
          <w:sz w:val="21"/>
          <w:szCs w:val="21"/>
        </w:rPr>
        <w:t xml:space="preserve">Programa de integridade</w:t>
      </w:r>
    </w:p>
    <w:p>
      <w:pPr>
        <w:spacing w:after="40"/>
        <w:ind w:left="300"/>
      </w:pPr>
      <w:r>
        <w:rPr>
          <w:rFonts w:ascii="Calibri" w:cs="Calibri" w:eastAsia="Calibri" w:hAnsi="Calibri"/>
          <w:sz w:val="20"/>
          <w:szCs w:val="20"/>
        </w:rPr>
        <w:t xml:space="preserve">— metodologia COI/MPI/APJ, item 7.5, Parte II, Etapa 12</w:t>
      </w:r>
    </w:p>
    <w:p>
      <w:pPr>
        <w:spacing w:after="40"/>
        <w:ind w:left="300"/>
      </w:pPr>
      <w:r>
        <w:rPr>
          <w:rFonts w:ascii="Calibri" w:cs="Calibri" w:eastAsia="Calibri" w:hAnsi="Calibri"/>
          <w:sz w:val="20"/>
          <w:szCs w:val="20"/>
        </w:rPr>
        <w:t xml:space="preserve">— fator multiplicador de 1,25, item 7.5, Parte II, Etapa 12</w:t>
      </w:r>
    </w:p>
    <w:p>
      <w:pPr>
        <w:spacing w:after="40"/>
        <w:ind w:left="300"/>
      </w:pPr>
      <w:r>
        <w:rPr>
          <w:rFonts w:ascii="Calibri" w:cs="Calibri" w:eastAsia="Calibri" w:hAnsi="Calibri"/>
          <w:sz w:val="20"/>
          <w:szCs w:val="20"/>
        </w:rPr>
        <w:t xml:space="preserve">— preclusão pela não apresentação tempestiva, Parte II, Etapa 12</w:t>
      </w:r>
    </w:p>
    <w:p>
      <w:pPr>
        <w:spacing w:after="40"/>
        <w:ind w:left="300"/>
      </w:pPr>
      <w:r>
        <w:rPr>
          <w:rFonts w:ascii="Calibri" w:cs="Calibri" w:eastAsia="Calibri" w:hAnsi="Calibri"/>
          <w:sz w:val="20"/>
          <w:szCs w:val="20"/>
        </w:rPr>
        <w:t xml:space="preserve">— programa como fator de mitigação em M&amp;A, item 3.2.4</w:t>
      </w:r>
    </w:p>
    <w:p>
      <w:pPr>
        <w:spacing w:after="60" w:before="180"/>
      </w:pPr>
      <w:r>
        <w:rPr>
          <w:rFonts w:ascii="Calibri" w:cs="Calibri" w:eastAsia="Calibri" w:hAnsi="Calibri"/>
          <w:b/>
          <w:bCs/>
          <w:sz w:val="21"/>
          <w:szCs w:val="21"/>
        </w:rPr>
        <w:t xml:space="preserve">Publicação extraordinária</w:t>
      </w:r>
    </w:p>
    <w:p>
      <w:pPr>
        <w:spacing w:after="40"/>
        <w:ind w:left="300"/>
      </w:pPr>
      <w:r>
        <w:rPr>
          <w:rFonts w:ascii="Calibri" w:cs="Calibri" w:eastAsia="Calibri" w:hAnsi="Calibri"/>
          <w:sz w:val="20"/>
          <w:szCs w:val="20"/>
        </w:rPr>
        <w:t xml:space="preserve">— natureza jurídica e modalidades de veiculação, Parte II, Etapa 13</w:t>
      </w:r>
    </w:p>
    <w:p>
      <w:pPr>
        <w:spacing w:after="40"/>
        <w:ind w:left="300"/>
      </w:pPr>
      <w:r>
        <w:rPr>
          <w:rFonts w:ascii="Calibri" w:cs="Calibri" w:eastAsia="Calibri" w:hAnsi="Calibri"/>
          <w:sz w:val="20"/>
          <w:szCs w:val="20"/>
        </w:rPr>
        <w:t xml:space="preserve">— cálculo da Alíquota de Referência e escalonamento do prazo, Parte II, Etapa 13</w:t>
      </w:r>
    </w:p>
    <w:p>
      <w:pPr>
        <w:spacing w:after="40"/>
        <w:ind w:left="300"/>
      </w:pPr>
      <w:r>
        <w:rPr>
          <w:rFonts w:ascii="Calibri" w:cs="Calibri" w:eastAsia="Calibri" w:hAnsi="Calibri"/>
          <w:sz w:val="20"/>
          <w:szCs w:val="20"/>
        </w:rPr>
        <w:t xml:space="preserve">— isenção na leniência, item 9.5</w:t>
      </w:r>
    </w:p>
    <w:p>
      <w:pPr>
        <w:spacing w:after="40"/>
        <w:ind w:left="300"/>
      </w:pPr>
      <w:r>
        <w:rPr>
          <w:rFonts w:ascii="Calibri" w:cs="Calibri" w:eastAsia="Calibri" w:hAnsi="Calibri"/>
          <w:sz w:val="20"/>
          <w:szCs w:val="20"/>
        </w:rPr>
        <w:t xml:space="preserve">— evidência empírica sobre efeito reputacional de publicidade, item 1.2.1</w:t>
      </w:r>
    </w:p>
    <w:p>
      <w:pPr>
        <w:spacing w:after="60" w:before="180"/>
      </w:pPr>
      <w:r>
        <w:rPr>
          <w:rFonts w:ascii="Calibri" w:cs="Calibri" w:eastAsia="Calibri" w:hAnsi="Calibri"/>
          <w:b/>
          <w:bCs/>
          <w:sz w:val="21"/>
          <w:szCs w:val="21"/>
        </w:rPr>
        <w:t xml:space="preserve">Recursal, fase</w:t>
      </w:r>
    </w:p>
    <w:p>
      <w:pPr>
        <w:spacing w:after="40"/>
        <w:ind w:left="300"/>
      </w:pPr>
      <w:r>
        <w:rPr>
          <w:rFonts w:ascii="Calibri" w:cs="Calibri" w:eastAsia="Calibri" w:hAnsi="Calibri"/>
          <w:sz w:val="20"/>
          <w:szCs w:val="20"/>
        </w:rPr>
        <w:t xml:space="preserve">— pedido de reconsideração — único recurso administrativo, item 6.5.1</w:t>
      </w:r>
    </w:p>
    <w:p>
      <w:pPr>
        <w:spacing w:after="40"/>
        <w:ind w:left="300"/>
      </w:pPr>
      <w:r>
        <w:rPr>
          <w:rFonts w:ascii="Calibri" w:cs="Calibri" w:eastAsia="Calibri" w:hAnsi="Calibri"/>
          <w:sz w:val="20"/>
          <w:szCs w:val="20"/>
        </w:rPr>
        <w:t xml:space="preserve">— efeito suspensivo automático, item 6.5.2</w:t>
      </w:r>
    </w:p>
    <w:p>
      <w:pPr>
        <w:spacing w:after="40"/>
        <w:ind w:left="300"/>
      </w:pPr>
      <w:r>
        <w:rPr>
          <w:rFonts w:ascii="Calibri" w:cs="Calibri" w:eastAsia="Calibri" w:hAnsi="Calibri"/>
          <w:sz w:val="20"/>
          <w:szCs w:val="20"/>
        </w:rPr>
        <w:t xml:space="preserve">— comparação com regimes sem efeito suspensivo automático (CADE), item 6.5.2.1</w:t>
      </w:r>
    </w:p>
    <w:p>
      <w:pPr>
        <w:spacing w:after="60" w:before="180"/>
      </w:pPr>
      <w:r>
        <w:rPr>
          <w:rFonts w:ascii="Calibri" w:cs="Calibri" w:eastAsia="Calibri" w:hAnsi="Calibri"/>
          <w:b/>
          <w:bCs/>
          <w:sz w:val="21"/>
          <w:szCs w:val="21"/>
        </w:rPr>
        <w:t xml:space="preserve">Reincidência</w:t>
      </w:r>
    </w:p>
    <w:p>
      <w:pPr>
        <w:spacing w:after="40"/>
        <w:ind w:left="300"/>
      </w:pPr>
      <w:r>
        <w:rPr>
          <w:rFonts w:ascii="Calibri" w:cs="Calibri" w:eastAsia="Calibri" w:hAnsi="Calibri"/>
          <w:sz w:val="20"/>
          <w:szCs w:val="20"/>
        </w:rPr>
        <w:t xml:space="preserve">— agravante do art. 22, V, Parte II, Etapa 6</w:t>
      </w:r>
    </w:p>
    <w:p>
      <w:pPr>
        <w:spacing w:after="40"/>
        <w:ind w:left="300"/>
      </w:pPr>
      <w:r>
        <w:rPr>
          <w:rFonts w:ascii="Calibri" w:cs="Calibri" w:eastAsia="Calibri" w:hAnsi="Calibri"/>
          <w:sz w:val="20"/>
          <w:szCs w:val="20"/>
        </w:rPr>
        <w:t xml:space="preserve">— prazo especial na leniência, item 9.6.1</w:t>
      </w:r>
    </w:p>
    <w:p>
      <w:pPr>
        <w:spacing w:after="60" w:before="180"/>
      </w:pPr>
      <w:r>
        <w:rPr>
          <w:rFonts w:ascii="Calibri" w:cs="Calibri" w:eastAsia="Calibri" w:hAnsi="Calibri"/>
          <w:b/>
          <w:bCs/>
          <w:sz w:val="21"/>
          <w:szCs w:val="21"/>
        </w:rPr>
        <w:t xml:space="preserve">Responsabilidade objetiva</w:t>
      </w:r>
    </w:p>
    <w:p>
      <w:pPr>
        <w:spacing w:after="40"/>
        <w:ind w:left="300"/>
      </w:pPr>
      <w:r>
        <w:rPr>
          <w:rFonts w:ascii="Calibri" w:cs="Calibri" w:eastAsia="Calibri" w:hAnsi="Calibri"/>
          <w:sz w:val="20"/>
          <w:szCs w:val="20"/>
        </w:rPr>
        <w:t xml:space="preserve">— caracterização e elementos, item 2.3.1</w:t>
      </w:r>
    </w:p>
    <w:p>
      <w:pPr>
        <w:spacing w:after="40"/>
        <w:ind w:left="300"/>
      </w:pPr>
      <w:r>
        <w:rPr>
          <w:rFonts w:ascii="Calibri" w:cs="Calibri" w:eastAsia="Calibri" w:hAnsi="Calibri"/>
          <w:sz w:val="20"/>
          <w:szCs w:val="20"/>
        </w:rPr>
        <w:t xml:space="preserve">— estado da controvérsia — objetividade pura vs. culpa residual, item 2.3.1.1</w:t>
      </w:r>
    </w:p>
    <w:p>
      <w:pPr>
        <w:spacing w:after="40"/>
        <w:ind w:left="300"/>
      </w:pPr>
      <w:r>
        <w:rPr>
          <w:rFonts w:ascii="Calibri" w:cs="Calibri" w:eastAsia="Calibri" w:hAnsi="Calibri"/>
          <w:sz w:val="20"/>
          <w:szCs w:val="20"/>
        </w:rPr>
        <w:t xml:space="preserve">— consequência para a dosimetria, item 2.3.1</w:t>
      </w:r>
    </w:p>
    <w:p>
      <w:pPr>
        <w:spacing w:after="60" w:before="180"/>
      </w:pPr>
      <w:r>
        <w:rPr>
          <w:rFonts w:ascii="Calibri" w:cs="Calibri" w:eastAsia="Calibri" w:hAnsi="Calibri"/>
          <w:b/>
          <w:bCs/>
          <w:sz w:val="21"/>
          <w:szCs w:val="21"/>
        </w:rPr>
        <w:t xml:space="preserve">Sucessão empresarial</w:t>
      </w:r>
    </w:p>
    <w:p>
      <w:pPr>
        <w:spacing w:after="40"/>
        <w:ind w:left="300"/>
      </w:pPr>
      <w:r>
        <w:rPr>
          <w:rFonts w:ascii="Calibri" w:cs="Calibri" w:eastAsia="Calibri" w:hAnsi="Calibri"/>
          <w:sz w:val="20"/>
          <w:szCs w:val="20"/>
        </w:rPr>
        <w:t xml:space="preserve">— alteração contratual e transformação, item 3.2.1</w:t>
      </w:r>
    </w:p>
    <w:p>
      <w:pPr>
        <w:spacing w:after="40"/>
        <w:ind w:left="300"/>
      </w:pPr>
      <w:r>
        <w:rPr>
          <w:rFonts w:ascii="Calibri" w:cs="Calibri" w:eastAsia="Calibri" w:hAnsi="Calibri"/>
          <w:sz w:val="20"/>
          <w:szCs w:val="20"/>
        </w:rPr>
        <w:t xml:space="preserve">— fusão e incorporação — limite do patrimônio transferido, item 3.2.2</w:t>
      </w:r>
    </w:p>
    <w:p>
      <w:pPr>
        <w:spacing w:after="40"/>
        <w:ind w:left="300"/>
      </w:pPr>
      <w:r>
        <w:rPr>
          <w:rFonts w:ascii="Calibri" w:cs="Calibri" w:eastAsia="Calibri" w:hAnsi="Calibri"/>
          <w:sz w:val="20"/>
          <w:szCs w:val="20"/>
        </w:rPr>
        <w:t xml:space="preserve">— cisão, item 3.2.3</w:t>
      </w:r>
    </w:p>
    <w:p>
      <w:pPr>
        <w:spacing w:after="40"/>
        <w:ind w:left="300"/>
      </w:pPr>
      <w:r>
        <w:rPr>
          <w:rFonts w:ascii="Calibri" w:cs="Calibri" w:eastAsia="Calibri" w:hAnsi="Calibri"/>
          <w:sz w:val="20"/>
          <w:szCs w:val="20"/>
        </w:rPr>
        <w:t xml:space="preserve">— due diligence prévia em M&amp;A — estado da controvérsia, item 3.2.4</w:t>
      </w:r>
    </w:p>
    <w:p>
      <w:pPr>
        <w:spacing w:after="60" w:before="180"/>
      </w:pPr>
      <w:r>
        <w:rPr>
          <w:rFonts w:ascii="Calibri" w:cs="Calibri" w:eastAsia="Calibri" w:hAnsi="Calibri"/>
          <w:b/>
          <w:bCs/>
          <w:sz w:val="21"/>
          <w:szCs w:val="21"/>
        </w:rPr>
        <w:t xml:space="preserve">Súmula 665/STJ</w:t>
      </w:r>
    </w:p>
    <w:p>
      <w:pPr>
        <w:spacing w:after="40"/>
        <w:ind w:left="300"/>
      </w:pPr>
      <w:r>
        <w:rPr>
          <w:rFonts w:ascii="Calibri" w:cs="Calibri" w:eastAsia="Calibri" w:hAnsi="Calibri"/>
          <w:sz w:val="20"/>
          <w:szCs w:val="20"/>
        </w:rPr>
        <w:t xml:space="preserve">— conteúdo e aplicação por analogia ao PAR, item 6.7.1</w:t>
      </w:r>
    </w:p>
    <w:p>
      <w:pPr>
        <w:spacing w:after="40"/>
        <w:ind w:left="300"/>
      </w:pPr>
      <w:r>
        <w:rPr>
          <w:rFonts w:ascii="Calibri" w:cs="Calibri" w:eastAsia="Calibri" w:hAnsi="Calibri"/>
          <w:sz w:val="20"/>
          <w:szCs w:val="20"/>
        </w:rPr>
        <w:t xml:space="preserve">— estado da controvérsia sobre sua extensão a pessoas jurídicas, item 6.7.4</w:t>
      </w:r>
    </w:p>
    <w:p>
      <w:pPr>
        <w:spacing w:after="60" w:before="180"/>
      </w:pPr>
      <w:r>
        <w:rPr>
          <w:rFonts w:ascii="Calibri" w:cs="Calibri" w:eastAsia="Calibri" w:hAnsi="Calibri"/>
          <w:b/>
          <w:bCs/>
          <w:sz w:val="21"/>
          <w:szCs w:val="21"/>
        </w:rPr>
        <w:t xml:space="preserve">Vantagem auferida e vantagem pretendida</w:t>
      </w:r>
    </w:p>
    <w:p>
      <w:pPr>
        <w:spacing w:after="40"/>
        <w:ind w:left="300"/>
      </w:pPr>
      <w:r>
        <w:rPr>
          <w:rFonts w:ascii="Calibri" w:cs="Calibri" w:eastAsia="Calibri" w:hAnsi="Calibri"/>
          <w:sz w:val="20"/>
          <w:szCs w:val="20"/>
        </w:rPr>
        <w:t xml:space="preserve">— métodos de apuração (art. 26), Parte II, Etapa 1</w:t>
      </w:r>
    </w:p>
    <w:p>
      <w:pPr>
        <w:spacing w:after="40"/>
        <w:ind w:left="300"/>
      </w:pPr>
      <w:r>
        <w:rPr>
          <w:rFonts w:ascii="Calibri" w:cs="Calibri" w:eastAsia="Calibri" w:hAnsi="Calibri"/>
          <w:sz w:val="20"/>
          <w:szCs w:val="20"/>
        </w:rPr>
        <w:t xml:space="preserve">— função no piso e no teto da multa, Parte II, Etapa 13</w:t>
      </w:r>
    </w:p>
    <w:p>
      <w:pPr>
        <w:spacing w:after="40"/>
        <w:ind w:left="300"/>
      </w:pPr>
      <w:r>
        <w:rPr>
          <w:rFonts w:ascii="Calibri" w:cs="Calibri" w:eastAsia="Calibri" w:hAnsi="Calibri"/>
          <w:sz w:val="20"/>
          <w:szCs w:val="20"/>
        </w:rPr>
        <w:t xml:space="preserve">— vantagem auferida na leniência, item 9.5</w:t>
      </w:r>
    </w:p>
    <w:p>
      <w:r>
        <w:br w:type="page"/>
      </w:r>
    </w:p>
    <w:p>
      <w:pPr>
        <w:pStyle w:val="Heading1"/>
      </w:pPr>
      <w:r>
        <w:rPr>
          <w:rFonts w:ascii="Arial" w:hAnsi="Arial"/>
        </w:rPr>
        <w:t>ANEXO III — QUADRO DE VIGÊNCIA NORMATIVA</w:t>
      </w:r>
    </w:p>
    <w:p>
      <w:pPr>
        <w:spacing w:after="400"/>
        <w:jc w:val="center"/>
      </w:pPr>
      <w:r>
        <w:rPr>
          <w:rFonts w:ascii="Calibri" w:cs="Calibri" w:eastAsia="Calibri" w:hAnsi="Calibri"/>
          <w:color w:val="555555"/>
          <w:sz w:val="20"/>
          <w:szCs w:val="20"/>
        </w:rPr>
        <w:t xml:space="preserve">Histórico dos decretos, portarias e instruções normativas que regulamentaram a Lei nº 12.846/2013</w:t>
      </w:r>
    </w:p>
    <w:p>
      <w:pPr>
        <w:spacing w:after="140" w:line="270"/>
      </w:pPr>
      <w:r>
        <w:rPr>
          <w:rFonts w:ascii="Calibri" w:cs="Calibri" w:eastAsia="Calibri" w:hAnsi="Calibri"/>
          <w:b w:val="false"/>
          <w:bCs w:val="false"/>
          <w:i w:val="false"/>
          <w:iCs w:val="false"/>
          <w:sz w:val="21"/>
          <w:szCs w:val="21"/>
        </w:rPr>
        <w:t xml:space="preserve">Este anexo organiza, em ordem cronológica, o conjunto normativo infralegal que regulamenta a LAC — permitindo ao operador identificar rapidamente qual norma está vigente para cada instituto, o que mudou em relação à norma anterior, e por que algumas posições deste Manual (e da própria CGU) evoluíram ao longo do tempo. Normas revogadas permanecem no quadro, identificadas como tal, por sua relevância histórica e por ainda poderem incidir sobre processos regidos pela norma vigente à época dos fatos (direito intertemporal).</w:t>
      </w:r>
    </w:p>
    <w:p>
      <w:pPr>
        <w:spacing w:after="160"/>
      </w:pPr>
    </w:p>
    <w:p>
      <w:pPr>
        <w:pStyle w:val="Heading1"/>
        <w:spacing w:after="180" w:before="380"/>
      </w:pPr>
      <w:r>
        <w:t xml:space="preserve">Linha do Tempo — Normas Estruturantes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Ano</w:t>
            </w:r>
          </w:p>
        </w:tc>
        <w:tc>
          <w:tcPr>
            <w:tcW w:type="dxa" w:w="265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Norma</w:t>
            </w:r>
          </w:p>
        </w:tc>
        <w:tc>
          <w:tcPr>
            <w:tcW w:type="dxa" w:w="215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Situação</w:t>
            </w:r>
          </w:p>
        </w:tc>
        <w:tc>
          <w:tcPr>
            <w:tcW w:type="dxa" w:w="365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Conteúdo / mudança principal</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2013</w:t>
            </w:r>
          </w:p>
        </w:tc>
        <w:tc>
          <w:tcPr>
            <w:tcW w:type="dxa" w:w="2650"/>
            <w:tcMar>
              <w:top w:type="dxa" w:w="60"/>
              <w:left w:type="dxa" w:w="100"/>
              <w:bottom w:type="dxa" w:w="60"/>
              <w:right w:type="dxa" w:w="100"/>
            </w:tcMar>
          </w:tcPr>
          <w:p>
            <w:r>
              <w:rPr>
                <w:rFonts w:ascii="Calibri" w:cs="Calibri" w:eastAsia="Calibri" w:hAnsi="Calibri"/>
                <w:sz w:val="19"/>
                <w:szCs w:val="19"/>
              </w:rPr>
              <w:t xml:space="preserve">Lei nº 12.846/2013 (Lei Anticorrupção)</w:t>
            </w:r>
          </w:p>
        </w:tc>
        <w:tc>
          <w:tcPr>
            <w:tcW w:type="dxa" w:w="2150"/>
            <w:tcMar>
              <w:top w:type="dxa" w:w="60"/>
              <w:left w:type="dxa" w:w="100"/>
              <w:bottom w:type="dxa" w:w="60"/>
              <w:right w:type="dxa" w:w="100"/>
            </w:tcMar>
          </w:tcPr>
          <w:p>
            <w:r>
              <w:rPr>
                <w:rFonts w:ascii="Calibri" w:cs="Calibri" w:eastAsia="Calibri" w:hAnsi="Calibri"/>
                <w:sz w:val="19"/>
                <w:szCs w:val="19"/>
              </w:rPr>
              <w:t xml:space="preserve">Vigente</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Marco legal da responsabilização objetiva administrativa e civil de pessoas jurídicas.</w:t>
            </w:r>
          </w:p>
          <w:p>
            <w:pPr>
              <w:spacing w:after="40"/>
            </w:pPr>
            <w:r>
              <w:rPr>
                <w:rFonts w:ascii="Calibri" w:cs="Calibri" w:eastAsia="Calibri" w:hAnsi="Calibri"/>
                <w:sz w:val="19"/>
                <w:szCs w:val="19"/>
              </w:rPr>
              <w:t xml:space="preserve">Sancionada em 01/08/2013; entrou em vigor 180 dias após a publicação (art. 31).</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2015</w:t>
            </w:r>
          </w:p>
        </w:tc>
        <w:tc>
          <w:tcPr>
            <w:tcW w:type="dxa" w:w="2650"/>
            <w:tcMar>
              <w:top w:type="dxa" w:w="60"/>
              <w:left w:type="dxa" w:w="100"/>
              <w:bottom w:type="dxa" w:w="60"/>
              <w:right w:type="dxa" w:w="100"/>
            </w:tcMar>
          </w:tcPr>
          <w:p>
            <w:r>
              <w:rPr>
                <w:rFonts w:ascii="Calibri" w:cs="Calibri" w:eastAsia="Calibri" w:hAnsi="Calibri"/>
                <w:sz w:val="19"/>
                <w:szCs w:val="19"/>
              </w:rPr>
              <w:t xml:space="preserve">Decreto nº 8.420/2015</w:t>
            </w:r>
          </w:p>
        </w:tc>
        <w:tc>
          <w:tcPr>
            <w:tcW w:type="dxa" w:w="2150"/>
            <w:tcMar>
              <w:top w:type="dxa" w:w="60"/>
              <w:left w:type="dxa" w:w="100"/>
              <w:bottom w:type="dxa" w:w="60"/>
              <w:right w:type="dxa" w:w="100"/>
            </w:tcMar>
          </w:tcPr>
          <w:p>
            <w:r>
              <w:rPr>
                <w:rFonts w:ascii="Calibri" w:cs="Calibri" w:eastAsia="Calibri" w:hAnsi="Calibri"/>
                <w:sz w:val="19"/>
                <w:szCs w:val="19"/>
              </w:rPr>
              <w:t xml:space="preserve">Revogado (pelo Decreto nº 11.129/2022)</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Primeira regulamentação federal da LAC.</w:t>
            </w:r>
          </w:p>
          <w:p>
            <w:pPr>
              <w:spacing w:after="40"/>
            </w:pPr>
            <w:r>
              <w:rPr>
                <w:rFonts w:ascii="Calibri" w:cs="Calibri" w:eastAsia="Calibri" w:hAnsi="Calibri"/>
                <w:sz w:val="19"/>
                <w:szCs w:val="19"/>
              </w:rPr>
              <w:t xml:space="preserve">Tabelas de agravantes mais restritivas: concurso tratado como “ato lesivo continuado”, com teto de 2,5%; ciência/tolerância hierárquica com teto de 2,5%; reincidência com teto de 5%.</w:t>
            </w:r>
          </w:p>
          <w:p>
            <w:pPr>
              <w:spacing w:after="40"/>
            </w:pPr>
            <w:r>
              <w:rPr>
                <w:rFonts w:ascii="Calibri" w:cs="Calibri" w:eastAsia="Calibri" w:hAnsi="Calibri"/>
                <w:sz w:val="19"/>
                <w:szCs w:val="19"/>
              </w:rPr>
              <w:t xml:space="preserve">Faixas de valor de contratos com o ente lesado entre R$ 1,5 milhão e R$ 1 bilhão.</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2015</w:t>
            </w:r>
          </w:p>
        </w:tc>
        <w:tc>
          <w:tcPr>
            <w:tcW w:type="dxa" w:w="2650"/>
            <w:tcMar>
              <w:top w:type="dxa" w:w="60"/>
              <w:left w:type="dxa" w:w="100"/>
              <w:bottom w:type="dxa" w:w="60"/>
              <w:right w:type="dxa" w:w="100"/>
            </w:tcMar>
          </w:tcPr>
          <w:p>
            <w:r>
              <w:rPr>
                <w:rFonts w:ascii="Calibri" w:cs="Calibri" w:eastAsia="Calibri" w:hAnsi="Calibri"/>
                <w:sz w:val="19"/>
                <w:szCs w:val="19"/>
              </w:rPr>
              <w:t xml:space="preserve">Portaria CGU nº 909/2015</w:t>
            </w:r>
          </w:p>
        </w:tc>
        <w:tc>
          <w:tcPr>
            <w:tcW w:type="dxa" w:w="2150"/>
            <w:tcMar>
              <w:top w:type="dxa" w:w="60"/>
              <w:left w:type="dxa" w:w="100"/>
              <w:bottom w:type="dxa" w:w="60"/>
              <w:right w:type="dxa" w:w="100"/>
            </w:tcMar>
          </w:tcPr>
          <w:p>
            <w:r>
              <w:rPr>
                <w:rFonts w:ascii="Calibri" w:cs="Calibri" w:eastAsia="Calibri" w:hAnsi="Calibri"/>
                <w:sz w:val="19"/>
                <w:szCs w:val="19"/>
              </w:rPr>
              <w:t xml:space="preserve">Vigente (citada como base dos relatórios de perfil e conformidade)</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Regulamenta a apresentação dos relatórios de perfil e de conformidade para avaliação do programa de integridade.</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2015</w:t>
            </w:r>
          </w:p>
        </w:tc>
        <w:tc>
          <w:tcPr>
            <w:tcW w:type="dxa" w:w="2650"/>
            <w:tcMar>
              <w:top w:type="dxa" w:w="60"/>
              <w:left w:type="dxa" w:w="100"/>
              <w:bottom w:type="dxa" w:w="60"/>
              <w:right w:type="dxa" w:w="100"/>
            </w:tcMar>
          </w:tcPr>
          <w:p>
            <w:r>
              <w:rPr>
                <w:rFonts w:ascii="Calibri" w:cs="Calibri" w:eastAsia="Calibri" w:hAnsi="Calibri"/>
                <w:sz w:val="19"/>
                <w:szCs w:val="19"/>
              </w:rPr>
              <w:t xml:space="preserve">IN CGU nº 1/2015</w:t>
            </w:r>
          </w:p>
        </w:tc>
        <w:tc>
          <w:tcPr>
            <w:tcW w:type="dxa" w:w="2150"/>
            <w:tcMar>
              <w:top w:type="dxa" w:w="60"/>
              <w:left w:type="dxa" w:w="100"/>
              <w:bottom w:type="dxa" w:w="60"/>
              <w:right w:type="dxa" w:w="100"/>
            </w:tcMar>
          </w:tcPr>
          <w:p>
            <w:r>
              <w:rPr>
                <w:rFonts w:ascii="Calibri" w:cs="Calibri" w:eastAsia="Calibri" w:hAnsi="Calibri"/>
                <w:sz w:val="19"/>
                <w:szCs w:val="19"/>
              </w:rPr>
              <w:t xml:space="preserve">Vigente (com atualizações)</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Fixa a metodologia de avaliação do programa de integridade (base original dos blocos hoje conhecidos como COI/MPI/APJ).</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2018</w:t>
            </w:r>
          </w:p>
        </w:tc>
        <w:tc>
          <w:tcPr>
            <w:tcW w:type="dxa" w:w="2650"/>
            <w:tcMar>
              <w:top w:type="dxa" w:w="60"/>
              <w:left w:type="dxa" w:w="100"/>
              <w:bottom w:type="dxa" w:w="60"/>
              <w:right w:type="dxa" w:w="100"/>
            </w:tcMar>
          </w:tcPr>
          <w:p>
            <w:r>
              <w:rPr>
                <w:rFonts w:ascii="Calibri" w:cs="Calibri" w:eastAsia="Calibri" w:hAnsi="Calibri"/>
                <w:sz w:val="19"/>
                <w:szCs w:val="19"/>
              </w:rPr>
              <w:t xml:space="preserve">IN CGU/AGU nº 2/2018</w:t>
            </w:r>
          </w:p>
        </w:tc>
        <w:tc>
          <w:tcPr>
            <w:tcW w:type="dxa" w:w="2150"/>
            <w:tcMar>
              <w:top w:type="dxa" w:w="60"/>
              <w:left w:type="dxa" w:w="100"/>
              <w:bottom w:type="dxa" w:w="60"/>
              <w:right w:type="dxa" w:w="100"/>
            </w:tcMar>
          </w:tcPr>
          <w:p>
            <w:r>
              <w:rPr>
                <w:rFonts w:ascii="Calibri" w:cs="Calibri" w:eastAsia="Calibri" w:hAnsi="Calibri"/>
                <w:sz w:val="19"/>
                <w:szCs w:val="19"/>
              </w:rPr>
              <w:t xml:space="preserve">Vigente</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Disciplina a base de cálculo da multa em negociações de acordo de leniência sem PAR instaurado (faturamento bruto do exercício anterior ao procedimento de leniência).</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2019</w:t>
            </w:r>
          </w:p>
        </w:tc>
        <w:tc>
          <w:tcPr>
            <w:tcW w:type="dxa" w:w="2650"/>
            <w:tcMar>
              <w:top w:type="dxa" w:w="60"/>
              <w:left w:type="dxa" w:w="100"/>
              <w:bottom w:type="dxa" w:w="60"/>
              <w:right w:type="dxa" w:w="100"/>
            </w:tcMar>
          </w:tcPr>
          <w:p>
            <w:r>
              <w:rPr>
                <w:rFonts w:ascii="Calibri" w:cs="Calibri" w:eastAsia="Calibri" w:hAnsi="Calibri"/>
                <w:sz w:val="19"/>
                <w:szCs w:val="19"/>
              </w:rPr>
              <w:t xml:space="preserve">IN CGU nº 13/2019</w:t>
            </w:r>
          </w:p>
        </w:tc>
        <w:tc>
          <w:tcPr>
            <w:tcW w:type="dxa" w:w="2150"/>
            <w:tcMar>
              <w:top w:type="dxa" w:w="60"/>
              <w:left w:type="dxa" w:w="100"/>
              <w:bottom w:type="dxa" w:w="60"/>
              <w:right w:type="dxa" w:w="100"/>
            </w:tcMar>
          </w:tcPr>
          <w:p>
            <w:r>
              <w:rPr>
                <w:rFonts w:ascii="Calibri" w:cs="Calibri" w:eastAsia="Calibri" w:hAnsi="Calibri"/>
                <w:sz w:val="19"/>
                <w:szCs w:val="19"/>
              </w:rPr>
              <w:t xml:space="preserve">Parcialmente superada (rito absorvido pelo Decreto nº 11.129/2022)</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Detalha procedimentos e normas operacionais do PAR, inclusive a investigação preliminar então vigente sob o Decreto nº 8.420/2015.</w:t>
            </w:r>
          </w:p>
          <w:p>
            <w:pPr>
              <w:spacing w:after="40"/>
            </w:pPr>
            <w:r>
              <w:rPr>
                <w:rFonts w:ascii="Calibri" w:cs="Calibri" w:eastAsia="Calibri" w:hAnsi="Calibri"/>
                <w:sz w:val="19"/>
                <w:szCs w:val="19"/>
              </w:rPr>
              <w:t xml:space="preserve">Modificada pela IN nº 15/2020, que ajustou limites de delegação de competência para instauração do PAR.</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2019</w:t>
            </w:r>
          </w:p>
        </w:tc>
        <w:tc>
          <w:tcPr>
            <w:tcW w:type="dxa" w:w="2650"/>
            <w:tcMar>
              <w:top w:type="dxa" w:w="60"/>
              <w:left w:type="dxa" w:w="100"/>
              <w:bottom w:type="dxa" w:w="60"/>
              <w:right w:type="dxa" w:w="100"/>
            </w:tcMar>
          </w:tcPr>
          <w:p>
            <w:r>
              <w:rPr>
                <w:rFonts w:ascii="Calibri" w:cs="Calibri" w:eastAsia="Calibri" w:hAnsi="Calibri"/>
                <w:sz w:val="19"/>
                <w:szCs w:val="19"/>
              </w:rPr>
              <w:t xml:space="preserve">Lei nº 13.869/2019 (Lei de Abuso de Autoridade)</w:t>
            </w:r>
          </w:p>
        </w:tc>
        <w:tc>
          <w:tcPr>
            <w:tcW w:type="dxa" w:w="2150"/>
            <w:tcMar>
              <w:top w:type="dxa" w:w="60"/>
              <w:left w:type="dxa" w:w="100"/>
              <w:bottom w:type="dxa" w:w="60"/>
              <w:right w:type="dxa" w:w="100"/>
            </w:tcMar>
          </w:tcPr>
          <w:p>
            <w:r>
              <w:rPr>
                <w:rFonts w:ascii="Calibri" w:cs="Calibri" w:eastAsia="Calibri" w:hAnsi="Calibri"/>
                <w:sz w:val="19"/>
                <w:szCs w:val="19"/>
              </w:rPr>
              <w:t xml:space="preserve">Vigente</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Tipifica como crime a instauração de procedimento investigatório sem qualquer indício de ilícito (art. 27), reforçando a exigência de robusto juízo de admissibilidade prévio ao PAR.</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2020</w:t>
            </w:r>
          </w:p>
        </w:tc>
        <w:tc>
          <w:tcPr>
            <w:tcW w:type="dxa" w:w="2650"/>
            <w:tcMar>
              <w:top w:type="dxa" w:w="60"/>
              <w:left w:type="dxa" w:w="100"/>
              <w:bottom w:type="dxa" w:w="60"/>
              <w:right w:type="dxa" w:w="100"/>
            </w:tcMar>
          </w:tcPr>
          <w:p>
            <w:r>
              <w:rPr>
                <w:rFonts w:ascii="Calibri" w:cs="Calibri" w:eastAsia="Calibri" w:hAnsi="Calibri"/>
                <w:sz w:val="19"/>
                <w:szCs w:val="19"/>
              </w:rPr>
              <w:t xml:space="preserve">IN CGU/CRG nº 8/2020</w:t>
            </w:r>
          </w:p>
        </w:tc>
        <w:tc>
          <w:tcPr>
            <w:tcW w:type="dxa" w:w="2150"/>
            <w:tcMar>
              <w:top w:type="dxa" w:w="60"/>
              <w:left w:type="dxa" w:w="100"/>
              <w:bottom w:type="dxa" w:w="60"/>
              <w:right w:type="dxa" w:w="100"/>
            </w:tcMar>
          </w:tcPr>
          <w:p>
            <w:r>
              <w:rPr>
                <w:rFonts w:ascii="Calibri" w:cs="Calibri" w:eastAsia="Calibri" w:hAnsi="Calibri"/>
                <w:sz w:val="19"/>
                <w:szCs w:val="19"/>
              </w:rPr>
              <w:t xml:space="preserve">Superada pela Portaria Normativa CGU nº 27/2022 (mesmo teor, novo veículo)</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Disciplina a Investigação Preliminar Sumária (IPS) no âmbito do SISCOR.</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2021</w:t>
            </w:r>
          </w:p>
        </w:tc>
        <w:tc>
          <w:tcPr>
            <w:tcW w:type="dxa" w:w="2650"/>
            <w:tcMar>
              <w:top w:type="dxa" w:w="60"/>
              <w:left w:type="dxa" w:w="100"/>
              <w:bottom w:type="dxa" w:w="60"/>
              <w:right w:type="dxa" w:w="100"/>
            </w:tcMar>
          </w:tcPr>
          <w:p>
            <w:r>
              <w:rPr>
                <w:rFonts w:ascii="Calibri" w:cs="Calibri" w:eastAsia="Calibri" w:hAnsi="Calibri"/>
                <w:sz w:val="19"/>
                <w:szCs w:val="19"/>
              </w:rPr>
              <w:t xml:space="preserve">Lei nº 14.133/2021 (Nova Lei de Licitações)</w:t>
            </w:r>
          </w:p>
        </w:tc>
        <w:tc>
          <w:tcPr>
            <w:tcW w:type="dxa" w:w="2150"/>
            <w:tcMar>
              <w:top w:type="dxa" w:w="60"/>
              <w:left w:type="dxa" w:w="100"/>
              <w:bottom w:type="dxa" w:w="60"/>
              <w:right w:type="dxa" w:w="100"/>
            </w:tcMar>
          </w:tcPr>
          <w:p>
            <w:r>
              <w:rPr>
                <w:rFonts w:ascii="Calibri" w:cs="Calibri" w:eastAsia="Calibri" w:hAnsi="Calibri"/>
                <w:sz w:val="19"/>
                <w:szCs w:val="19"/>
              </w:rPr>
              <w:t xml:space="preserve">Vigente</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Tipifica infrações administrativas próprias (arts. 155-156) com sobreposição ao art. 5º, IV, da LAC.</w:t>
            </w:r>
          </w:p>
          <w:p>
            <w:pPr>
              <w:spacing w:after="40"/>
            </w:pPr>
            <w:r>
              <w:rPr>
                <w:rFonts w:ascii="Calibri" w:cs="Calibri" w:eastAsia="Calibri" w:hAnsi="Calibri"/>
                <w:sz w:val="19"/>
                <w:szCs w:val="19"/>
              </w:rPr>
              <w:t xml:space="preserve">Art. 159 determina apuração conjunta, nos mesmos autos do PAR, quando há sobreposição de infrações.</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2021</w:t>
            </w:r>
          </w:p>
        </w:tc>
        <w:tc>
          <w:tcPr>
            <w:tcW w:type="dxa" w:w="2650"/>
            <w:tcMar>
              <w:top w:type="dxa" w:w="60"/>
              <w:left w:type="dxa" w:w="100"/>
              <w:bottom w:type="dxa" w:w="60"/>
              <w:right w:type="dxa" w:w="100"/>
            </w:tcMar>
          </w:tcPr>
          <w:p>
            <w:r>
              <w:rPr>
                <w:rFonts w:ascii="Calibri" w:cs="Calibri" w:eastAsia="Calibri" w:hAnsi="Calibri"/>
                <w:sz w:val="19"/>
                <w:szCs w:val="19"/>
              </w:rPr>
              <w:t xml:space="preserve">Lei nº 14.230/2021 (reforma da Lei de Improbidade Administrativa)</w:t>
            </w:r>
          </w:p>
        </w:tc>
        <w:tc>
          <w:tcPr>
            <w:tcW w:type="dxa" w:w="2150"/>
            <w:tcMar>
              <w:top w:type="dxa" w:w="60"/>
              <w:left w:type="dxa" w:w="100"/>
              <w:bottom w:type="dxa" w:w="60"/>
              <w:right w:type="dxa" w:w="100"/>
            </w:tcMar>
          </w:tcPr>
          <w:p>
            <w:r>
              <w:rPr>
                <w:rFonts w:ascii="Calibri" w:cs="Calibri" w:eastAsia="Calibri" w:hAnsi="Calibri"/>
                <w:sz w:val="19"/>
                <w:szCs w:val="19"/>
              </w:rPr>
              <w:t xml:space="preserve">Vigente</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Exige dolo específico para todas as hipóteses de improbidade, eliminando a modalidade culposa antes prevista para dano ao erário.</w:t>
            </w:r>
          </w:p>
          <w:p>
            <w:pPr>
              <w:spacing w:after="40"/>
            </w:pPr>
            <w:r>
              <w:rPr>
                <w:rFonts w:ascii="Calibri" w:cs="Calibri" w:eastAsia="Calibri" w:hAnsi="Calibri"/>
                <w:sz w:val="19"/>
                <w:szCs w:val="19"/>
              </w:rPr>
              <w:t xml:space="preserve">Art. 3º, §2º: as sanções da LIA não se aplicam à pessoa jurídica quando o mesmo fato já for sancionado como ato lesivo pela LAC.</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2022</w:t>
            </w:r>
          </w:p>
        </w:tc>
        <w:tc>
          <w:tcPr>
            <w:tcW w:type="dxa" w:w="2650"/>
            <w:tcMar>
              <w:top w:type="dxa" w:w="60"/>
              <w:left w:type="dxa" w:w="100"/>
              <w:bottom w:type="dxa" w:w="60"/>
              <w:right w:type="dxa" w:w="100"/>
            </w:tcMar>
          </w:tcPr>
          <w:p>
            <w:r>
              <w:rPr>
                <w:rFonts w:ascii="Calibri" w:cs="Calibri" w:eastAsia="Calibri" w:hAnsi="Calibri"/>
                <w:sz w:val="19"/>
                <w:szCs w:val="19"/>
              </w:rPr>
              <w:t xml:space="preserve">Decreto nº 11.129/2022</w:t>
            </w:r>
          </w:p>
        </w:tc>
        <w:tc>
          <w:tcPr>
            <w:tcW w:type="dxa" w:w="2150"/>
            <w:tcMar>
              <w:top w:type="dxa" w:w="60"/>
              <w:left w:type="dxa" w:w="100"/>
              <w:bottom w:type="dxa" w:w="60"/>
              <w:right w:type="dxa" w:w="100"/>
            </w:tcMar>
          </w:tcPr>
          <w:p>
            <w:r>
              <w:rPr>
                <w:rFonts w:ascii="Calibri" w:cs="Calibri" w:eastAsia="Calibri" w:hAnsi="Calibri"/>
                <w:sz w:val="19"/>
                <w:szCs w:val="19"/>
              </w:rPr>
              <w:t xml:space="preserve">Vigente — norma central da Parte II deste Manual</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Revoga o Decreto nº 8.420/2015 (vigência a partir de 18/07/2022, publicação em 12/07/2022).</w:t>
            </w:r>
          </w:p>
          <w:p>
            <w:pPr>
              <w:spacing w:after="40"/>
            </w:pPr>
            <w:r>
              <w:rPr>
                <w:rFonts w:ascii="Calibri" w:cs="Calibri" w:eastAsia="Calibri" w:hAnsi="Calibri"/>
                <w:sz w:val="19"/>
                <w:szCs w:val="19"/>
              </w:rPr>
              <w:t xml:space="preserve">Substitui “ato lesivo continuado” por “concurso de atos lesivos”, elevando o teto de 2,5% para 4%.</w:t>
            </w:r>
          </w:p>
          <w:p>
            <w:pPr>
              <w:spacing w:after="40"/>
            </w:pPr>
            <w:r>
              <w:rPr>
                <w:rFonts w:ascii="Calibri" w:cs="Calibri" w:eastAsia="Calibri" w:hAnsi="Calibri"/>
                <w:sz w:val="19"/>
                <w:szCs w:val="19"/>
              </w:rPr>
              <w:t xml:space="preserve">Eleva o teto de ciência/tolerância hierárquica de 2,5% para 3%; reduz o teto de reincidência de 5% para 3%.</w:t>
            </w:r>
          </w:p>
          <w:p>
            <w:pPr>
              <w:spacing w:after="40"/>
            </w:pPr>
            <w:r>
              <w:rPr>
                <w:rFonts w:ascii="Calibri" w:cs="Calibri" w:eastAsia="Calibri" w:hAnsi="Calibri"/>
                <w:sz w:val="19"/>
                <w:szCs w:val="19"/>
              </w:rPr>
              <w:t xml:space="preserve">Reformula as faixas de valor de contratos com o ente lesado para R$ 500 mil a R$ 250 milhões.</w:t>
            </w:r>
          </w:p>
          <w:p>
            <w:pPr>
              <w:spacing w:after="40"/>
            </w:pPr>
            <w:r>
              <w:rPr>
                <w:rFonts w:ascii="Calibri" w:cs="Calibri" w:eastAsia="Calibri" w:hAnsi="Calibri"/>
                <w:sz w:val="19"/>
                <w:szCs w:val="19"/>
              </w:rPr>
              <w:t xml:space="preserve">Torna obrigatória a investigação preliminar antecedente ao PAR.</w:t>
            </w:r>
          </w:p>
          <w:p>
            <w:pPr>
              <w:spacing w:after="40"/>
            </w:pPr>
            <w:r>
              <w:rPr>
                <w:rFonts w:ascii="Calibri" w:cs="Calibri" w:eastAsia="Calibri" w:hAnsi="Calibri"/>
                <w:sz w:val="19"/>
                <w:szCs w:val="19"/>
              </w:rPr>
              <w:t xml:space="preserve">Eleva o teto do programa de integridade de 4% para 5% (com fator multiplicador de 1,25).</w:t>
            </w:r>
          </w:p>
          <w:p>
            <w:pPr>
              <w:spacing w:after="40"/>
            </w:pPr>
            <w:r>
              <w:rPr>
                <w:rFonts w:ascii="Calibri" w:cs="Calibri" w:eastAsia="Calibri" w:hAnsi="Calibri"/>
                <w:sz w:val="19"/>
                <w:szCs w:val="19"/>
              </w:rPr>
              <w:t xml:space="preserve">Regulamenta a apuração conjunta com a Lei nº 14.133/2021 e a compensação de valores de reparação entre processos relacionados à mesma leniência.</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2022</w:t>
            </w:r>
          </w:p>
        </w:tc>
        <w:tc>
          <w:tcPr>
            <w:tcW w:type="dxa" w:w="2650"/>
            <w:tcMar>
              <w:top w:type="dxa" w:w="60"/>
              <w:left w:type="dxa" w:w="100"/>
              <w:bottom w:type="dxa" w:w="60"/>
              <w:right w:type="dxa" w:w="100"/>
            </w:tcMar>
          </w:tcPr>
          <w:p>
            <w:r>
              <w:rPr>
                <w:rFonts w:ascii="Calibri" w:cs="Calibri" w:eastAsia="Calibri" w:hAnsi="Calibri"/>
                <w:sz w:val="19"/>
                <w:szCs w:val="19"/>
              </w:rPr>
              <w:t xml:space="preserve">Portaria Normativa CGU nº 19/2022</w:t>
            </w:r>
          </w:p>
        </w:tc>
        <w:tc>
          <w:tcPr>
            <w:tcW w:type="dxa" w:w="2150"/>
            <w:tcMar>
              <w:top w:type="dxa" w:w="60"/>
              <w:left w:type="dxa" w:w="100"/>
              <w:bottom w:type="dxa" w:w="60"/>
              <w:right w:type="dxa" w:w="100"/>
            </w:tcMar>
          </w:tcPr>
          <w:p>
            <w:r>
              <w:rPr>
                <w:rFonts w:ascii="Calibri" w:cs="Calibri" w:eastAsia="Calibri" w:hAnsi="Calibri"/>
                <w:sz w:val="19"/>
                <w:szCs w:val="19"/>
              </w:rPr>
              <w:t xml:space="preserve">Vigente</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Estabelece regras específicas sobre julgamento antecipado no âmbito de PARs apurados ou avocados pela CGU.</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2022</w:t>
            </w:r>
          </w:p>
        </w:tc>
        <w:tc>
          <w:tcPr>
            <w:tcW w:type="dxa" w:w="2650"/>
            <w:tcMar>
              <w:top w:type="dxa" w:w="60"/>
              <w:left w:type="dxa" w:w="100"/>
              <w:bottom w:type="dxa" w:w="60"/>
              <w:right w:type="dxa" w:w="100"/>
            </w:tcMar>
          </w:tcPr>
          <w:p>
            <w:r>
              <w:rPr>
                <w:rFonts w:ascii="Calibri" w:cs="Calibri" w:eastAsia="Calibri" w:hAnsi="Calibri"/>
                <w:sz w:val="19"/>
                <w:szCs w:val="19"/>
              </w:rPr>
              <w:t xml:space="preserve">Portaria Normativa CGU nº 27/2022</w:t>
            </w:r>
          </w:p>
        </w:tc>
        <w:tc>
          <w:tcPr>
            <w:tcW w:type="dxa" w:w="2150"/>
            <w:tcMar>
              <w:top w:type="dxa" w:w="60"/>
              <w:left w:type="dxa" w:w="100"/>
              <w:bottom w:type="dxa" w:w="60"/>
              <w:right w:type="dxa" w:w="100"/>
            </w:tcMar>
          </w:tcPr>
          <w:p>
            <w:r>
              <w:rPr>
                <w:rFonts w:ascii="Calibri" w:cs="Calibri" w:eastAsia="Calibri" w:hAnsi="Calibri"/>
                <w:sz w:val="19"/>
                <w:szCs w:val="19"/>
              </w:rPr>
              <w:t xml:space="preserve">Vigente</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Regulamenta a Investigação Preliminar Sumária (IPS) no âmbito do SISCOR (arts. 40 a 45), em substituição, com mesmo teor material, à IN CGU/CRG nº 8/2020.</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2024</w:t>
            </w:r>
          </w:p>
        </w:tc>
        <w:tc>
          <w:tcPr>
            <w:tcW w:type="dxa" w:w="2650"/>
            <w:tcMar>
              <w:top w:type="dxa" w:w="60"/>
              <w:left w:type="dxa" w:w="100"/>
              <w:bottom w:type="dxa" w:w="60"/>
              <w:right w:type="dxa" w:w="100"/>
            </w:tcMar>
          </w:tcPr>
          <w:p>
            <w:r>
              <w:rPr>
                <w:rFonts w:ascii="Calibri" w:cs="Calibri" w:eastAsia="Calibri" w:hAnsi="Calibri"/>
                <w:sz w:val="19"/>
                <w:szCs w:val="19"/>
              </w:rPr>
              <w:t xml:space="preserve">Nota Técnica nº 3.657/2024/COSEP/DIREP/SIPRI</w:t>
            </w:r>
          </w:p>
        </w:tc>
        <w:tc>
          <w:tcPr>
            <w:tcW w:type="dxa" w:w="2150"/>
            <w:tcMar>
              <w:top w:type="dxa" w:w="60"/>
              <w:left w:type="dxa" w:w="100"/>
              <w:bottom w:type="dxa" w:w="60"/>
              <w:right w:type="dxa" w:w="100"/>
            </w:tcMar>
          </w:tcPr>
          <w:p>
            <w:r>
              <w:rPr>
                <w:rFonts w:ascii="Calibri" w:cs="Calibri" w:eastAsia="Calibri" w:hAnsi="Calibri"/>
                <w:sz w:val="19"/>
                <w:szCs w:val="19"/>
              </w:rPr>
              <w:t xml:space="preserve">Vigente (orientação técnica)</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Consolida entendimentos sobre a desconsideração da personalidade jurídica no PAR: competência da autoridade julgadora, requisitos do art. 14 e restrições à aplicação automática a empresas do mesmo grupo econômico regular.</w:t>
            </w:r>
          </w:p>
        </w:tc>
      </w:tr>
      <w:tr>
        <w:tc>
          <w:tcPr>
            <w:tcW w:type="dxa" w:w="900"/>
            <w:tcMar>
              <w:top w:type="dxa" w:w="60"/>
              <w:left w:type="dxa" w:w="100"/>
              <w:bottom w:type="dxa" w:w="60"/>
              <w:right w:type="dxa" w:w="100"/>
            </w:tcMar>
          </w:tcPr>
          <w:p>
            <w:r>
              <w:rPr>
                <w:rFonts w:ascii="Calibri" w:cs="Calibri" w:eastAsia="Calibri" w:hAnsi="Calibri"/>
                <w:sz w:val="19"/>
                <w:szCs w:val="19"/>
              </w:rPr>
              <w:t xml:space="preserve">2025</w:t>
            </w:r>
          </w:p>
        </w:tc>
        <w:tc>
          <w:tcPr>
            <w:tcW w:type="dxa" w:w="2650"/>
            <w:tcMar>
              <w:top w:type="dxa" w:w="60"/>
              <w:left w:type="dxa" w:w="100"/>
              <w:bottom w:type="dxa" w:w="60"/>
              <w:right w:type="dxa" w:w="100"/>
            </w:tcMar>
          </w:tcPr>
          <w:p>
            <w:r>
              <w:rPr>
                <w:rFonts w:ascii="Calibri" w:cs="Calibri" w:eastAsia="Calibri" w:hAnsi="Calibri"/>
                <w:sz w:val="19"/>
                <w:szCs w:val="19"/>
              </w:rPr>
              <w:t xml:space="preserve">Portaria Normativa Interministerial CGU/AGU nº 1/2025</w:t>
            </w:r>
          </w:p>
        </w:tc>
        <w:tc>
          <w:tcPr>
            <w:tcW w:type="dxa" w:w="2150"/>
            <w:tcMar>
              <w:top w:type="dxa" w:w="60"/>
              <w:left w:type="dxa" w:w="100"/>
              <w:bottom w:type="dxa" w:w="60"/>
              <w:right w:type="dxa" w:w="100"/>
            </w:tcMar>
          </w:tcPr>
          <w:p>
            <w:r>
              <w:rPr>
                <w:rFonts w:ascii="Calibri" w:cs="Calibri" w:eastAsia="Calibri" w:hAnsi="Calibri"/>
                <w:sz w:val="19"/>
                <w:szCs w:val="19"/>
              </w:rPr>
              <w:t xml:space="preserve">Vigente — norma central do capítulo de Leniência deste Manual</w:t>
            </w:r>
          </w:p>
        </w:tc>
        <w:tc>
          <w:tcPr>
            <w:tcW w:type="dxa" w:w="3650"/>
            <w:tcMar>
              <w:top w:type="dxa" w:w="60"/>
              <w:left w:type="dxa" w:w="100"/>
              <w:bottom w:type="dxa" w:w="60"/>
              <w:right w:type="dxa" w:w="100"/>
            </w:tcMar>
          </w:tcPr>
          <w:p>
            <w:pPr>
              <w:spacing w:after="40"/>
            </w:pPr>
            <w:r>
              <w:rPr>
                <w:rFonts w:ascii="Calibri" w:cs="Calibri" w:eastAsia="Calibri" w:hAnsi="Calibri"/>
                <w:sz w:val="19"/>
                <w:szCs w:val="19"/>
              </w:rPr>
              <w:t xml:space="preserve">Reorganiza e consolida as regras de negociação, assinatura e acompanhamento de acordos de leniência.</w:t>
            </w:r>
          </w:p>
          <w:p>
            <w:pPr>
              <w:spacing w:after="40"/>
            </w:pPr>
            <w:r>
              <w:rPr>
                <w:rFonts w:ascii="Calibri" w:cs="Calibri" w:eastAsia="Calibri" w:hAnsi="Calibri"/>
                <w:sz w:val="19"/>
                <w:szCs w:val="19"/>
              </w:rPr>
              <w:t xml:space="preserve">Cria o mecanismo de marker, que reserva à empresa os benefícios da autodenúncia enquanto conclui investigação interna.</w:t>
            </w:r>
          </w:p>
          <w:p>
            <w:pPr>
              <w:spacing w:after="40"/>
            </w:pPr>
            <w:r>
              <w:rPr>
                <w:rFonts w:ascii="Calibri" w:cs="Calibri" w:eastAsia="Calibri" w:hAnsi="Calibri"/>
                <w:sz w:val="19"/>
                <w:szCs w:val="19"/>
              </w:rPr>
              <w:t xml:space="preserve">Detalha os critérios objetivos para o desconto máximo de 2/3 na multa.</w:t>
            </w:r>
          </w:p>
        </w:tc>
      </w:tr>
    </w:tbl>
    <w:p>
      <w:pPr>
        <w:spacing w:after="160"/>
      </w:pPr>
    </w:p>
    <w:p>
      <w:pPr>
        <w:pStyle w:val="Heading1"/>
        <w:spacing w:after="180" w:before="380"/>
      </w:pPr>
      <w:r>
        <w:t xml:space="preserve">Como Usar Este Quadro</w:t>
      </w:r>
    </w:p>
    <w:p>
      <w:pPr>
        <w:spacing w:after="60" w:before="100"/>
      </w:pPr>
      <w:r>
        <w:rPr>
          <w:rFonts w:ascii="Calibri" w:cs="Calibri" w:eastAsia="Calibri" w:hAnsi="Calibri"/>
          <w:b/>
          <w:bCs/>
          <w:sz w:val="21"/>
          <w:szCs w:val="21"/>
        </w:rPr>
        <w:t xml:space="preserve">Para processos em curso ou já julgados</w:t>
      </w:r>
    </w:p>
    <w:p>
      <w:pPr>
        <w:spacing w:after="140" w:line="270"/>
      </w:pPr>
      <w:r>
        <w:rPr>
          <w:rFonts w:ascii="Calibri" w:cs="Calibri" w:eastAsia="Calibri" w:hAnsi="Calibri"/>
          <w:b w:val="false"/>
          <w:bCs w:val="false"/>
          <w:i w:val="false"/>
          <w:iCs w:val="false"/>
          <w:sz w:val="21"/>
          <w:szCs w:val="21"/>
        </w:rPr>
        <w:t xml:space="preserve">Identifique a data de instauração do PAR (ou, se anterior a 18/07/2022, verifique se o processo permaneceu regido pelo Decreto nº 8.420/2015 por força de regra de transição, ou se migrou para o Decreto nº 11.129/2022 — o próprio Decreto de 2022 previu aplicação aos processos em curso, o que exige atenção redobrada aos percentuais de dosimetria efetivamente aplicáveis a cada caso).</w:t>
      </w:r>
    </w:p>
    <w:p>
      <w:pPr>
        <w:spacing w:after="60" w:before="100"/>
      </w:pPr>
      <w:r>
        <w:rPr>
          <w:rFonts w:ascii="Calibri" w:cs="Calibri" w:eastAsia="Calibri" w:hAnsi="Calibri"/>
          <w:b/>
          <w:bCs/>
          <w:sz w:val="21"/>
          <w:szCs w:val="21"/>
        </w:rPr>
        <w:t xml:space="preserve">Para identificar por que uma posição deste Manual mudou</w:t>
      </w:r>
    </w:p>
    <w:p>
      <w:pPr>
        <w:spacing w:after="140" w:line="270"/>
      </w:pPr>
      <w:r>
        <w:rPr>
          <w:rFonts w:ascii="Calibri" w:cs="Calibri" w:eastAsia="Calibri" w:hAnsi="Calibri"/>
          <w:b w:val="false"/>
          <w:bCs w:val="false"/>
          <w:i w:val="false"/>
          <w:iCs w:val="false"/>
          <w:sz w:val="21"/>
          <w:szCs w:val="21"/>
        </w:rPr>
        <w:t xml:space="preserve">Sempre que um capítulo deste Manual mencionar uma mudança de percentual, de procedimento ou de entendimento em relação a uma edição anterior de instrumento normativo, este quadro permite localizar rapidamente qual norma promoveu a mudança e em que ano.</w:t>
      </w:r>
    </w:p>
    <w:p>
      <w:pPr>
        <w:spacing w:after="60" w:before="100"/>
      </w:pPr>
      <w:r>
        <w:rPr>
          <w:rFonts w:ascii="Calibri" w:cs="Calibri" w:eastAsia="Calibri" w:hAnsi="Calibri"/>
          <w:b/>
          <w:bCs/>
          <w:sz w:val="21"/>
          <w:szCs w:val="21"/>
        </w:rPr>
        <w:t xml:space="preserve">Para monitorar novas edições</w:t>
      </w:r>
    </w:p>
    <w:p>
      <w:pPr>
        <w:spacing w:after="140" w:line="270"/>
      </w:pPr>
      <w:r>
        <w:rPr>
          <w:rFonts w:ascii="Calibri" w:cs="Calibri" w:eastAsia="Calibri" w:hAnsi="Calibri"/>
          <w:b w:val="false"/>
          <w:bCs w:val="false"/>
          <w:i w:val="false"/>
          <w:iCs w:val="false"/>
          <w:sz w:val="21"/>
          <w:szCs w:val="21"/>
        </w:rPr>
        <w:t xml:space="preserve">Este quadro deve ser o primeiro ponto de atualização do Manual a cada nova norma publicada pela CGU ou pela AGU — a rotina de atualização contínua sugerida na Fase 4 do plano de desenvolvimento deste Manual propõe exatamente esse fluxo: verificar, a cada novo normativo, se ele se insere neste quadro e se impõe ajuste a algum capítulo já redigido.</w:t>
      </w:r>
    </w:p>
    <w:p>
      <w:pPr>
        <w:spacing w:before="300"/>
      </w:pPr>
      <w:r>
        <w:rPr>
          <w:rFonts w:ascii="Calibri" w:cs="Calibri" w:eastAsia="Calibri" w:hAnsi="Calibri"/>
          <w:i/>
          <w:iCs/>
          <w:color w:val="555555"/>
          <w:sz w:val="20"/>
          <w:szCs w:val="20"/>
        </w:rPr>
        <w:t xml:space="preserve">Último anexo pendente da Fase 3: Tabela de Enunciados e Entendimentos Administrativos da CGU citados ao longo da obra, consolidados em anexo único.</w:t>
      </w:r>
    </w:p>
    <w:p>
      <w:r>
        <w:br w:type="page"/>
      </w:r>
    </w:p>
    <w:p>
      <w:pPr>
        <w:pStyle w:val="Heading1"/>
      </w:pPr>
      <w:r>
        <w:rPr>
          <w:rFonts w:ascii="Arial" w:hAnsi="Arial"/>
        </w:rPr>
        <w:t>ANEXO IV — ENUNCIADOS E ENTENDIMENTOS ADMINISTRATIVOS DA CGU</w:t>
      </w:r>
    </w:p>
    <w:p>
      <w:pPr>
        <w:spacing w:after="400"/>
        <w:jc w:val="center"/>
      </w:pPr>
      <w:r>
        <w:rPr>
          <w:rFonts w:ascii="Calibri" w:cs="Calibri" w:eastAsia="Calibri" w:hAnsi="Calibri"/>
          <w:color w:val="555555"/>
          <w:sz w:val="20"/>
          <w:szCs w:val="20"/>
        </w:rPr>
        <w:t xml:space="preserve">Consolidação dos instrumentos interpretativos da CGU citados ao longo da obra</w:t>
      </w:r>
    </w:p>
    <w:p>
      <w:pPr>
        <w:spacing w:after="140" w:line="270"/>
      </w:pPr>
      <w:r>
        <w:rPr>
          <w:rFonts w:ascii="Calibri" w:cs="Calibri" w:eastAsia="Calibri" w:hAnsi="Calibri"/>
          <w:b w:val="false"/>
          <w:bCs w:val="false"/>
          <w:i w:val="false"/>
          <w:iCs w:val="false"/>
          <w:sz w:val="21"/>
          <w:szCs w:val="21"/>
        </w:rPr>
        <w:t xml:space="preserve">Este anexo reúne, num só lugar, os enunciados numerados, notas técnicas e entendimentos administrativos consolidados da CGU referenciados ao longo deste Manual. É importante distinguir três níveis de força normativa, que este anexo mantém separados: (i) Enunciados numerados, de caráter mais formal e estável; (ii) Notas Técnicas, que respondem a consultas específicas mas consolidam orientação de aplicação mais ampla; e (iii) entendimentos práticos consolidados em guias e manuais da própria CGU, que não têm numeração própria mas refletem prática administrativa reiterada e citável.</w:t>
      </w:r>
    </w:p>
    <w:p>
      <w:pPr>
        <w:spacing w:after="160"/>
      </w:pPr>
    </w:p>
    <w:p>
      <w:pPr>
        <w:pStyle w:val="Heading1"/>
        <w:spacing w:after="180" w:before="380"/>
      </w:pPr>
      <w:r>
        <w:t xml:space="preserve">Enunciados Numerados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Instrumento</w:t>
            </w:r>
          </w:p>
        </w:tc>
        <w:tc>
          <w:tcPr>
            <w:tcW w:type="dxa" w:w="20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Tema</w:t>
            </w:r>
          </w:p>
        </w:tc>
        <w:tc>
          <w:tcPr>
            <w:tcW w:type="dxa" w:w="355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Conteúdo essencial</w:t>
            </w:r>
          </w:p>
        </w:tc>
        <w:tc>
          <w:tcPr>
            <w:tcW w:type="dxa" w:w="14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Remissão</w:t>
            </w:r>
          </w:p>
        </w:tc>
      </w:tr>
      <w:tr>
        <w:tc>
          <w:tcPr>
            <w:tcW w:type="dxa" w:w="2400"/>
            <w:tcMar>
              <w:top w:type="dxa" w:w="60"/>
              <w:left w:type="dxa" w:w="100"/>
              <w:bottom w:type="dxa" w:w="60"/>
              <w:right w:type="dxa" w:w="100"/>
            </w:tcMar>
          </w:tcPr>
          <w:p>
            <w:r>
              <w:rPr>
                <w:rFonts w:ascii="Calibri" w:cs="Calibri" w:eastAsia="Calibri" w:hAnsi="Calibri"/>
                <w:sz w:val="19"/>
                <w:szCs w:val="19"/>
              </w:rPr>
              <w:t xml:space="preserve">Enunciado CGU nº 14/2016</w:t>
            </w:r>
          </w:p>
        </w:tc>
        <w:tc>
          <w:tcPr>
            <w:tcW w:type="dxa" w:w="2000"/>
            <w:tcMar>
              <w:top w:type="dxa" w:w="60"/>
              <w:left w:type="dxa" w:w="100"/>
              <w:bottom w:type="dxa" w:w="60"/>
              <w:right w:type="dxa" w:w="100"/>
            </w:tcMar>
          </w:tcPr>
          <w:p>
            <w:r>
              <w:rPr>
                <w:rFonts w:ascii="Calibri" w:cs="Calibri" w:eastAsia="Calibri" w:hAnsi="Calibri"/>
                <w:sz w:val="19"/>
                <w:szCs w:val="19"/>
              </w:rPr>
              <w:t xml:space="preserve">Publicidade e sigilo processual</w:t>
            </w:r>
          </w:p>
        </w:tc>
        <w:tc>
          <w:tcPr>
            <w:tcW w:type="dxa" w:w="3550"/>
            <w:tcMar>
              <w:top w:type="dxa" w:w="60"/>
              <w:left w:type="dxa" w:w="100"/>
              <w:bottom w:type="dxa" w:w="60"/>
              <w:right w:type="dxa" w:w="100"/>
            </w:tcMar>
          </w:tcPr>
          <w:p>
            <w:r>
              <w:rPr>
                <w:rFonts w:ascii="Calibri" w:cs="Calibri" w:eastAsia="Calibri" w:hAnsi="Calibri"/>
                <w:sz w:val="19"/>
                <w:szCs w:val="19"/>
              </w:rPr>
              <w:t xml:space="preserve">Os procedimentos disciplinares e correcionais têm acesso restrito a terceiros até o julgamento (art. 7º, §3º, Lei nº 12.527/2011); tornam-se acessíveis após a conclusão, ressalvados dados sob sigilo legal específico (fiscal, bancário, imagem, honra).</w:t>
            </w:r>
          </w:p>
        </w:tc>
        <w:tc>
          <w:tcPr>
            <w:tcW w:type="dxa" w:w="1400"/>
            <w:tcMar>
              <w:top w:type="dxa" w:w="60"/>
              <w:left w:type="dxa" w:w="100"/>
              <w:bottom w:type="dxa" w:w="60"/>
              <w:right w:type="dxa" w:w="100"/>
            </w:tcMar>
          </w:tcPr>
          <w:p>
            <w:r>
              <w:rPr>
                <w:rFonts w:ascii="Calibri" w:cs="Calibri" w:eastAsia="Calibri" w:hAnsi="Calibri"/>
                <w:sz w:val="19"/>
                <w:szCs w:val="19"/>
              </w:rPr>
              <w:t xml:space="preserve">item 6.6 (publicidade do PAR)</w:t>
            </w:r>
          </w:p>
        </w:tc>
      </w:tr>
    </w:tbl>
    <w:p>
      <w:pPr>
        <w:spacing w:after="160"/>
      </w:pPr>
    </w:p>
    <w:p>
      <w:pPr>
        <w:pStyle w:val="Heading1"/>
        <w:spacing w:after="180" w:before="380"/>
      </w:pPr>
      <w:r>
        <w:t xml:space="preserve">Notas Técnicas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6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Instrumento</w:t>
            </w:r>
          </w:p>
        </w:tc>
        <w:tc>
          <w:tcPr>
            <w:tcW w:type="dxa" w:w="20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Tema</w:t>
            </w:r>
          </w:p>
        </w:tc>
        <w:tc>
          <w:tcPr>
            <w:tcW w:type="dxa" w:w="335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Conteúdo essencial</w:t>
            </w:r>
          </w:p>
        </w:tc>
        <w:tc>
          <w:tcPr>
            <w:tcW w:type="dxa" w:w="14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Remissão</w:t>
            </w:r>
          </w:p>
        </w:tc>
      </w:tr>
      <w:tr>
        <w:tc>
          <w:tcPr>
            <w:tcW w:type="dxa" w:w="2600"/>
            <w:tcMar>
              <w:top w:type="dxa" w:w="60"/>
              <w:left w:type="dxa" w:w="100"/>
              <w:bottom w:type="dxa" w:w="60"/>
              <w:right w:type="dxa" w:w="100"/>
            </w:tcMar>
          </w:tcPr>
          <w:p>
            <w:r>
              <w:rPr>
                <w:rFonts w:ascii="Calibri" w:cs="Calibri" w:eastAsia="Calibri" w:hAnsi="Calibri"/>
                <w:sz w:val="19"/>
                <w:szCs w:val="19"/>
              </w:rPr>
              <w:t xml:space="preserve">Nota Técnica nº 3.657/2024/COSEP/DIREP/SIPRI</w:t>
            </w:r>
          </w:p>
        </w:tc>
        <w:tc>
          <w:tcPr>
            <w:tcW w:type="dxa" w:w="2000"/>
            <w:tcMar>
              <w:top w:type="dxa" w:w="60"/>
              <w:left w:type="dxa" w:w="100"/>
              <w:bottom w:type="dxa" w:w="60"/>
              <w:right w:type="dxa" w:w="100"/>
            </w:tcMar>
          </w:tcPr>
          <w:p>
            <w:r>
              <w:rPr>
                <w:rFonts w:ascii="Calibri" w:cs="Calibri" w:eastAsia="Calibri" w:hAnsi="Calibri"/>
                <w:sz w:val="19"/>
                <w:szCs w:val="19"/>
              </w:rPr>
              <w:t xml:space="preserve">Desconsideração da personalidade jurídica</w:t>
            </w:r>
          </w:p>
        </w:tc>
        <w:tc>
          <w:tcPr>
            <w:tcW w:type="dxa" w:w="3350"/>
            <w:tcMar>
              <w:top w:type="dxa" w:w="60"/>
              <w:left w:type="dxa" w:w="100"/>
              <w:bottom w:type="dxa" w:w="60"/>
              <w:right w:type="dxa" w:w="100"/>
            </w:tcMar>
          </w:tcPr>
          <w:p>
            <w:r>
              <w:rPr>
                <w:rFonts w:ascii="Calibri" w:cs="Calibri" w:eastAsia="Calibri" w:hAnsi="Calibri"/>
                <w:sz w:val="19"/>
                <w:szCs w:val="19"/>
              </w:rPr>
              <w:t xml:space="preserve">Consolida que a DPJ é ato de competência da autoridade julgadora (não da comissão, que apenas recomenda); não se aplica automaticamente a empresas do mesmo grupo econômico regular; exige comprovação de uso exclusivo, majoritário, habitual ou reiterado para facilitar, encobrir ou dissimular o ilícito, ou confusão patrimonial; pode alcançar terceiros beneficiados ainda que indiretamente.</w:t>
            </w:r>
          </w:p>
        </w:tc>
        <w:tc>
          <w:tcPr>
            <w:tcW w:type="dxa" w:w="1400"/>
            <w:tcMar>
              <w:top w:type="dxa" w:w="60"/>
              <w:left w:type="dxa" w:w="100"/>
              <w:bottom w:type="dxa" w:w="60"/>
              <w:right w:type="dxa" w:w="100"/>
            </w:tcMar>
          </w:tcPr>
          <w:p>
            <w:r>
              <w:rPr>
                <w:rFonts w:ascii="Calibri" w:cs="Calibri" w:eastAsia="Calibri" w:hAnsi="Calibri"/>
                <w:sz w:val="19"/>
                <w:szCs w:val="19"/>
              </w:rPr>
              <w:t xml:space="preserve">item 3.3.2, 3.3.3</w:t>
            </w:r>
          </w:p>
        </w:tc>
      </w:tr>
    </w:tbl>
    <w:p>
      <w:pPr>
        <w:spacing w:after="160"/>
      </w:pPr>
    </w:p>
    <w:p>
      <w:pPr>
        <w:pStyle w:val="Heading1"/>
        <w:spacing w:after="180" w:before="380"/>
      </w:pPr>
      <w:r>
        <w:t xml:space="preserve">Entendimentos Práticos Consolidados (Guias e Manuais da CGU)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35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Fonte</w:t>
            </w:r>
          </w:p>
        </w:tc>
        <w:tc>
          <w:tcPr>
            <w:tcW w:type="dxa" w:w="19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Tema</w:t>
            </w:r>
          </w:p>
        </w:tc>
        <w:tc>
          <w:tcPr>
            <w:tcW w:type="dxa" w:w="36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Conteúdo essencial</w:t>
            </w:r>
          </w:p>
        </w:tc>
        <w:tc>
          <w:tcPr>
            <w:tcW w:type="dxa" w:w="1500"/>
            <w:shd w:fill="1F4E5F" w:val="clear"/>
            <w:tcMar>
              <w:top w:type="dxa" w:w="70"/>
              <w:left w:type="dxa" w:w="100"/>
              <w:bottom w:type="dxa" w:w="70"/>
              <w:right w:type="dxa" w:w="100"/>
            </w:tcMar>
          </w:tcPr>
          <w:p>
            <w:r>
              <w:rPr>
                <w:rFonts w:ascii="Calibri" w:cs="Calibri" w:eastAsia="Calibri" w:hAnsi="Calibri"/>
                <w:b/>
                <w:bCs/>
                <w:color w:val="FFFFFF"/>
                <w:sz w:val="19"/>
                <w:szCs w:val="19"/>
              </w:rPr>
              <w:t xml:space="preserve">Remissão</w:t>
            </w:r>
          </w:p>
        </w:tc>
      </w:tr>
      <w:tr>
        <w:tc>
          <w:tcPr>
            <w:tcW w:type="dxa" w:w="2350"/>
            <w:tcMar>
              <w:top w:type="dxa" w:w="60"/>
              <w:left w:type="dxa" w:w="100"/>
              <w:bottom w:type="dxa" w:w="60"/>
              <w:right w:type="dxa" w:w="100"/>
            </w:tcMar>
          </w:tcPr>
          <w:p>
            <w:r>
              <w:rPr>
                <w:rFonts w:ascii="Calibri" w:cs="Calibri" w:eastAsia="Calibri" w:hAnsi="Calibri"/>
                <w:sz w:val="19"/>
                <w:szCs w:val="19"/>
              </w:rPr>
              <w:t xml:space="preserve">Prática da CGU / Manual Prático de PAR</w:t>
            </w:r>
          </w:p>
        </w:tc>
        <w:tc>
          <w:tcPr>
            <w:tcW w:type="dxa" w:w="1900"/>
            <w:tcMar>
              <w:top w:type="dxa" w:w="60"/>
              <w:left w:type="dxa" w:w="100"/>
              <w:bottom w:type="dxa" w:w="60"/>
              <w:right w:type="dxa" w:w="100"/>
            </w:tcMar>
          </w:tcPr>
          <w:p>
            <w:r>
              <w:rPr>
                <w:rFonts w:ascii="Calibri" w:cs="Calibri" w:eastAsia="Calibri" w:hAnsi="Calibri"/>
                <w:sz w:val="19"/>
                <w:szCs w:val="19"/>
              </w:rPr>
              <w:t xml:space="preserve">Tensão processual entre leniência e PAR</w:t>
            </w:r>
          </w:p>
        </w:tc>
        <w:tc>
          <w:tcPr>
            <w:tcW w:type="dxa" w:w="3600"/>
            <w:tcMar>
              <w:top w:type="dxa" w:w="60"/>
              <w:left w:type="dxa" w:w="100"/>
              <w:bottom w:type="dxa" w:w="60"/>
              <w:right w:type="dxa" w:w="100"/>
            </w:tcMar>
          </w:tcPr>
          <w:p>
            <w:r>
              <w:rPr>
                <w:rFonts w:ascii="Calibri" w:cs="Calibri" w:eastAsia="Calibri" w:hAnsi="Calibri"/>
                <w:sz w:val="19"/>
                <w:szCs w:val="19"/>
              </w:rPr>
              <w:t xml:space="preserve">A CGU reconhece a dificuldade de a empresa, simultaneamente, colaborar e confessar no acordo de leniência e exercer contraditório negando os fatos no PAR; quando o acordo é admitido à negociação, o PAR relativo aos mesmos fatos pode ser suspenso pelo Corregedor-Geral da União até a conclusão ou insucesso das tratativas.</w:t>
            </w:r>
          </w:p>
        </w:tc>
        <w:tc>
          <w:tcPr>
            <w:tcW w:type="dxa" w:w="1500"/>
            <w:tcMar>
              <w:top w:type="dxa" w:w="60"/>
              <w:left w:type="dxa" w:w="100"/>
              <w:bottom w:type="dxa" w:w="60"/>
              <w:right w:type="dxa" w:w="100"/>
            </w:tcMar>
          </w:tcPr>
          <w:p>
            <w:r>
              <w:rPr>
                <w:rFonts w:ascii="Calibri" w:cs="Calibri" w:eastAsia="Calibri" w:hAnsi="Calibri"/>
                <w:sz w:val="19"/>
                <w:szCs w:val="19"/>
              </w:rPr>
              <w:t xml:space="preserve">item 9.3 (remissão)</w:t>
            </w:r>
          </w:p>
        </w:tc>
      </w:tr>
      <w:tr>
        <w:tc>
          <w:tcPr>
            <w:tcW w:type="dxa" w:w="2350"/>
            <w:tcMar>
              <w:top w:type="dxa" w:w="60"/>
              <w:left w:type="dxa" w:w="100"/>
              <w:bottom w:type="dxa" w:w="60"/>
              <w:right w:type="dxa" w:w="100"/>
            </w:tcMar>
          </w:tcPr>
          <w:p>
            <w:r>
              <w:rPr>
                <w:rFonts w:ascii="Calibri" w:cs="Calibri" w:eastAsia="Calibri" w:hAnsi="Calibri"/>
                <w:sz w:val="19"/>
                <w:szCs w:val="19"/>
              </w:rPr>
              <w:t xml:space="preserve">Prática da CGU / Portaria CGU nº 909/2015</w:t>
            </w:r>
          </w:p>
        </w:tc>
        <w:tc>
          <w:tcPr>
            <w:tcW w:type="dxa" w:w="1900"/>
            <w:tcMar>
              <w:top w:type="dxa" w:w="60"/>
              <w:left w:type="dxa" w:w="100"/>
              <w:bottom w:type="dxa" w:w="60"/>
              <w:right w:type="dxa" w:w="100"/>
            </w:tcMar>
          </w:tcPr>
          <w:p>
            <w:r>
              <w:rPr>
                <w:rFonts w:ascii="Calibri" w:cs="Calibri" w:eastAsia="Calibri" w:hAnsi="Calibri"/>
                <w:sz w:val="19"/>
                <w:szCs w:val="19"/>
              </w:rPr>
              <w:t xml:space="preserve">Preclusão na avaliação do programa de integridade</w:t>
            </w:r>
          </w:p>
        </w:tc>
        <w:tc>
          <w:tcPr>
            <w:tcW w:type="dxa" w:w="3600"/>
            <w:tcMar>
              <w:top w:type="dxa" w:w="60"/>
              <w:left w:type="dxa" w:w="100"/>
              <w:bottom w:type="dxa" w:w="60"/>
              <w:right w:type="dxa" w:w="100"/>
            </w:tcMar>
          </w:tcPr>
          <w:p>
            <w:r>
              <w:rPr>
                <w:rFonts w:ascii="Calibri" w:cs="Calibri" w:eastAsia="Calibri" w:hAnsi="Calibri"/>
                <w:sz w:val="19"/>
                <w:szCs w:val="19"/>
              </w:rPr>
              <w:t xml:space="preserve">A não apresentação dos relatórios de perfil e de conformidade no prazo da defesa escrita (30 dias da intimação) gera preclusão, inviabilizando a avaliação de programa de integridade eventualmente existente e afastando a atenuante, independentemente de sua qualidade material.</w:t>
            </w:r>
          </w:p>
        </w:tc>
        <w:tc>
          <w:tcPr>
            <w:tcW w:type="dxa" w:w="1500"/>
            <w:tcMar>
              <w:top w:type="dxa" w:w="60"/>
              <w:left w:type="dxa" w:w="100"/>
              <w:bottom w:type="dxa" w:w="60"/>
              <w:right w:type="dxa" w:w="100"/>
            </w:tcMar>
          </w:tcPr>
          <w:p>
            <w:r>
              <w:rPr>
                <w:rFonts w:ascii="Calibri" w:cs="Calibri" w:eastAsia="Calibri" w:hAnsi="Calibri"/>
                <w:sz w:val="19"/>
                <w:szCs w:val="19"/>
              </w:rPr>
              <w:t xml:space="preserve">item 7.5.6; Parte II, Etapa 12</w:t>
            </w:r>
          </w:p>
        </w:tc>
      </w:tr>
      <w:tr>
        <w:tc>
          <w:tcPr>
            <w:tcW w:type="dxa" w:w="2350"/>
            <w:tcMar>
              <w:top w:type="dxa" w:w="60"/>
              <w:left w:type="dxa" w:w="100"/>
              <w:bottom w:type="dxa" w:w="60"/>
              <w:right w:type="dxa" w:w="100"/>
            </w:tcMar>
          </w:tcPr>
          <w:p>
            <w:r>
              <w:rPr>
                <w:rFonts w:ascii="Calibri" w:cs="Calibri" w:eastAsia="Calibri" w:hAnsi="Calibri"/>
                <w:sz w:val="19"/>
                <w:szCs w:val="19"/>
              </w:rPr>
              <w:t xml:space="preserve">Orientação da CGU aos órgãos do SISCOR</w:t>
            </w:r>
          </w:p>
        </w:tc>
        <w:tc>
          <w:tcPr>
            <w:tcW w:type="dxa" w:w="1900"/>
            <w:tcMar>
              <w:top w:type="dxa" w:w="60"/>
              <w:left w:type="dxa" w:w="100"/>
              <w:bottom w:type="dxa" w:w="60"/>
              <w:right w:type="dxa" w:w="100"/>
            </w:tcMar>
          </w:tcPr>
          <w:p>
            <w:r>
              <w:rPr>
                <w:rFonts w:ascii="Calibri" w:cs="Calibri" w:eastAsia="Calibri" w:hAnsi="Calibri"/>
                <w:sz w:val="19"/>
                <w:szCs w:val="19"/>
              </w:rPr>
              <w:t xml:space="preserve">Preferência entre instrumentos investigativos</w:t>
            </w:r>
          </w:p>
        </w:tc>
        <w:tc>
          <w:tcPr>
            <w:tcW w:type="dxa" w:w="3600"/>
            <w:tcMar>
              <w:top w:type="dxa" w:w="60"/>
              <w:left w:type="dxa" w:w="100"/>
              <w:bottom w:type="dxa" w:w="60"/>
              <w:right w:type="dxa" w:w="100"/>
            </w:tcMar>
          </w:tcPr>
          <w:p>
            <w:r>
              <w:rPr>
                <w:rFonts w:ascii="Calibri" w:cs="Calibri" w:eastAsia="Calibri" w:hAnsi="Calibri"/>
                <w:sz w:val="19"/>
                <w:szCs w:val="19"/>
              </w:rPr>
              <w:t xml:space="preserve">A CGU orienta que os órgãos e entidades do SISCOR deem preferência à investigação administrativa direta, mais célere, ficando a investigação preliminar formal com caráter preferencialmente subsidiário.</w:t>
            </w:r>
          </w:p>
        </w:tc>
        <w:tc>
          <w:tcPr>
            <w:tcW w:type="dxa" w:w="1500"/>
            <w:tcMar>
              <w:top w:type="dxa" w:w="60"/>
              <w:left w:type="dxa" w:w="100"/>
              <w:bottom w:type="dxa" w:w="60"/>
              <w:right w:type="dxa" w:w="100"/>
            </w:tcMar>
          </w:tcPr>
          <w:p>
            <w:r>
              <w:rPr>
                <w:rFonts w:ascii="Calibri" w:cs="Calibri" w:eastAsia="Calibri" w:hAnsi="Calibri"/>
                <w:sz w:val="19"/>
                <w:szCs w:val="19"/>
              </w:rPr>
              <w:t xml:space="preserve">item 5.2.1, 5.2.2</w:t>
            </w:r>
          </w:p>
        </w:tc>
      </w:tr>
      <w:tr>
        <w:tc>
          <w:tcPr>
            <w:tcW w:type="dxa" w:w="2350"/>
            <w:tcMar>
              <w:top w:type="dxa" w:w="60"/>
              <w:left w:type="dxa" w:w="100"/>
              <w:bottom w:type="dxa" w:w="60"/>
              <w:right w:type="dxa" w:w="100"/>
            </w:tcMar>
          </w:tcPr>
          <w:p>
            <w:r>
              <w:rPr>
                <w:rFonts w:ascii="Calibri" w:cs="Calibri" w:eastAsia="Calibri" w:hAnsi="Calibri"/>
                <w:sz w:val="19"/>
                <w:szCs w:val="19"/>
              </w:rPr>
              <w:t xml:space="preserve">Guia CGU de Responsabilização de Pessoas Jurídicas</w:t>
            </w:r>
          </w:p>
        </w:tc>
        <w:tc>
          <w:tcPr>
            <w:tcW w:type="dxa" w:w="1900"/>
            <w:tcMar>
              <w:top w:type="dxa" w:w="60"/>
              <w:left w:type="dxa" w:w="100"/>
              <w:bottom w:type="dxa" w:w="60"/>
              <w:right w:type="dxa" w:w="100"/>
            </w:tcMar>
          </w:tcPr>
          <w:p>
            <w:r>
              <w:rPr>
                <w:rFonts w:ascii="Calibri" w:cs="Calibri" w:eastAsia="Calibri" w:hAnsi="Calibri"/>
                <w:sz w:val="19"/>
                <w:szCs w:val="19"/>
              </w:rPr>
              <w:t xml:space="preserve">Parâmetros interpretativos gerais e Tabela 5</w:t>
            </w:r>
          </w:p>
        </w:tc>
        <w:tc>
          <w:tcPr>
            <w:tcW w:type="dxa" w:w="3600"/>
            <w:tcMar>
              <w:top w:type="dxa" w:w="60"/>
              <w:left w:type="dxa" w:w="100"/>
              <w:bottom w:type="dxa" w:w="60"/>
              <w:right w:type="dxa" w:w="100"/>
            </w:tcMar>
          </w:tcPr>
          <w:p>
            <w:r>
              <w:rPr>
                <w:rFonts w:ascii="Calibri" w:cs="Calibri" w:eastAsia="Calibri" w:hAnsi="Calibri"/>
                <w:sz w:val="19"/>
                <w:szCs w:val="19"/>
              </w:rPr>
              <w:t xml:space="preserve">Consolida parâmetros interpretativos para aplicação dos arts. 22 e 23 do Decreto nº 11.129/2022, incluindo a Tabela 5, com o escalonamento dos percentuais de devolução espontânea e ressarcimento (art. 23, II).</w:t>
            </w:r>
          </w:p>
        </w:tc>
        <w:tc>
          <w:tcPr>
            <w:tcW w:type="dxa" w:w="1500"/>
            <w:tcMar>
              <w:top w:type="dxa" w:w="60"/>
              <w:left w:type="dxa" w:w="100"/>
              <w:bottom w:type="dxa" w:w="60"/>
              <w:right w:type="dxa" w:w="100"/>
            </w:tcMar>
          </w:tcPr>
          <w:p>
            <w:r>
              <w:rPr>
                <w:rFonts w:ascii="Calibri" w:cs="Calibri" w:eastAsia="Calibri" w:hAnsi="Calibri"/>
                <w:sz w:val="19"/>
                <w:szCs w:val="19"/>
              </w:rPr>
              <w:t xml:space="preserve">Parte II, Etapa 9</w:t>
            </w:r>
          </w:p>
        </w:tc>
      </w:tr>
      <w:tr>
        <w:tc>
          <w:tcPr>
            <w:tcW w:type="dxa" w:w="2350"/>
            <w:tcMar>
              <w:top w:type="dxa" w:w="60"/>
              <w:left w:type="dxa" w:w="100"/>
              <w:bottom w:type="dxa" w:w="60"/>
              <w:right w:type="dxa" w:w="100"/>
            </w:tcMar>
          </w:tcPr>
          <w:p>
            <w:r>
              <w:rPr>
                <w:rFonts w:ascii="Calibri" w:cs="Calibri" w:eastAsia="Calibri" w:hAnsi="Calibri"/>
                <w:sz w:val="19"/>
                <w:szCs w:val="19"/>
              </w:rPr>
              <w:t xml:space="preserve">Entendimento da CGU sobre o critério de colaboração</w:t>
            </w:r>
          </w:p>
        </w:tc>
        <w:tc>
          <w:tcPr>
            <w:tcW w:type="dxa" w:w="1900"/>
            <w:tcMar>
              <w:top w:type="dxa" w:w="60"/>
              <w:left w:type="dxa" w:w="100"/>
              <w:bottom w:type="dxa" w:w="60"/>
              <w:right w:type="dxa" w:w="100"/>
            </w:tcMar>
          </w:tcPr>
          <w:p>
            <w:r>
              <w:rPr>
                <w:rFonts w:ascii="Calibri" w:cs="Calibri" w:eastAsia="Calibri" w:hAnsi="Calibri"/>
                <w:sz w:val="19"/>
                <w:szCs w:val="19"/>
              </w:rPr>
              <w:t xml:space="preserve">Alcance do art. 23, III</w:t>
            </w:r>
          </w:p>
        </w:tc>
        <w:tc>
          <w:tcPr>
            <w:tcW w:type="dxa" w:w="3600"/>
            <w:tcMar>
              <w:top w:type="dxa" w:w="60"/>
              <w:left w:type="dxa" w:w="100"/>
              <w:bottom w:type="dxa" w:w="60"/>
              <w:right w:type="dxa" w:w="100"/>
            </w:tcMar>
          </w:tcPr>
          <w:p>
            <w:r>
              <w:rPr>
                <w:rFonts w:ascii="Calibri" w:cs="Calibri" w:eastAsia="Calibri" w:hAnsi="Calibri"/>
                <w:sz w:val="19"/>
                <w:szCs w:val="19"/>
              </w:rPr>
              <w:t xml:space="preserve">A colaboração pode ser reconhecida quando a pessoa jurídica admite os fatos sob apuração mas não reconhece sua responsabilidade jurídica — por exemplo, por entender que a conduta não é fato típico da LAC —, distinguindo-se da admissão voluntária do art. 23, IV.</w:t>
            </w:r>
          </w:p>
        </w:tc>
        <w:tc>
          <w:tcPr>
            <w:tcW w:type="dxa" w:w="1500"/>
            <w:tcMar>
              <w:top w:type="dxa" w:w="60"/>
              <w:left w:type="dxa" w:w="100"/>
              <w:bottom w:type="dxa" w:w="60"/>
              <w:right w:type="dxa" w:w="100"/>
            </w:tcMar>
          </w:tcPr>
          <w:p>
            <w:r>
              <w:rPr>
                <w:rFonts w:ascii="Calibri" w:cs="Calibri" w:eastAsia="Calibri" w:hAnsi="Calibri"/>
                <w:sz w:val="19"/>
                <w:szCs w:val="19"/>
              </w:rPr>
              <w:t xml:space="preserve">Parte II, Etapa 10</w:t>
            </w:r>
          </w:p>
        </w:tc>
      </w:tr>
      <w:tr>
        <w:tc>
          <w:tcPr>
            <w:tcW w:type="dxa" w:w="2350"/>
            <w:tcMar>
              <w:top w:type="dxa" w:w="60"/>
              <w:left w:type="dxa" w:w="100"/>
              <w:bottom w:type="dxa" w:w="60"/>
              <w:right w:type="dxa" w:w="100"/>
            </w:tcMar>
          </w:tcPr>
          <w:p>
            <w:r>
              <w:rPr>
                <w:rFonts w:ascii="Calibri" w:cs="Calibri" w:eastAsia="Calibri" w:hAnsi="Calibri"/>
                <w:sz w:val="19"/>
                <w:szCs w:val="19"/>
              </w:rPr>
              <w:t xml:space="preserve">Modelo de Nota Técnica de Análise de Regularidade (Manual Prático de PAR)</w:t>
            </w:r>
          </w:p>
        </w:tc>
        <w:tc>
          <w:tcPr>
            <w:tcW w:type="dxa" w:w="1900"/>
            <w:tcMar>
              <w:top w:type="dxa" w:w="60"/>
              <w:left w:type="dxa" w:w="100"/>
              <w:bottom w:type="dxa" w:w="60"/>
              <w:right w:type="dxa" w:w="100"/>
            </w:tcMar>
          </w:tcPr>
          <w:p>
            <w:r>
              <w:rPr>
                <w:rFonts w:ascii="Calibri" w:cs="Calibri" w:eastAsia="Calibri" w:hAnsi="Calibri"/>
                <w:sz w:val="19"/>
                <w:szCs w:val="19"/>
              </w:rPr>
              <w:t xml:space="preserve">Controle interno de regularidade processual</w:t>
            </w:r>
          </w:p>
        </w:tc>
        <w:tc>
          <w:tcPr>
            <w:tcW w:type="dxa" w:w="3600"/>
            <w:tcMar>
              <w:top w:type="dxa" w:w="60"/>
              <w:left w:type="dxa" w:w="100"/>
              <w:bottom w:type="dxa" w:w="60"/>
              <w:right w:type="dxa" w:w="100"/>
            </w:tcMar>
          </w:tcPr>
          <w:p>
            <w:r>
              <w:rPr>
                <w:rFonts w:ascii="Calibri" w:cs="Calibri" w:eastAsia="Calibri" w:hAnsi="Calibri"/>
                <w:sz w:val="19"/>
                <w:szCs w:val="19"/>
              </w:rPr>
              <w:t xml:space="preserve">A CGU disponibiliza modelo padronizado para a análise de regularidade do PAR, utilizável pela unidade de correição antes do julgamento, com repositório de precedentes de Notas Técnicas já produzidas.</w:t>
            </w:r>
          </w:p>
        </w:tc>
        <w:tc>
          <w:tcPr>
            <w:tcW w:type="dxa" w:w="1500"/>
            <w:tcMar>
              <w:top w:type="dxa" w:w="60"/>
              <w:left w:type="dxa" w:w="100"/>
              <w:bottom w:type="dxa" w:w="60"/>
              <w:right w:type="dxa" w:w="100"/>
            </w:tcMar>
          </w:tcPr>
          <w:p>
            <w:r>
              <w:rPr>
                <w:rFonts w:ascii="Calibri" w:cs="Calibri" w:eastAsia="Calibri" w:hAnsi="Calibri"/>
                <w:sz w:val="19"/>
                <w:szCs w:val="19"/>
              </w:rPr>
              <w:t xml:space="preserve">item 6.2 (remissão)</w:t>
            </w:r>
          </w:p>
        </w:tc>
      </w:tr>
    </w:tbl>
    <w:p>
      <w:pPr>
        <w:spacing w:after="160"/>
      </w:pPr>
    </w:p>
    <w:p>
      <w:pPr>
        <w:pStyle w:val="Heading1"/>
        <w:spacing w:after="180" w:before="380"/>
      </w:pPr>
      <w:r>
        <w:t xml:space="preserve">Observação de Uso</w:t>
      </w:r>
    </w:p>
    <w:p>
      <w:pPr>
        <w:spacing w:after="140" w:line="270"/>
      </w:pPr>
      <w:r>
        <w:rPr>
          <w:rFonts w:ascii="Calibri" w:cs="Calibri" w:eastAsia="Calibri" w:hAnsi="Calibri"/>
          <w:b w:val="false"/>
          <w:bCs w:val="false"/>
          <w:i w:val="false"/>
          <w:iCs w:val="false"/>
          <w:sz w:val="21"/>
          <w:szCs w:val="21"/>
        </w:rPr>
        <w:t xml:space="preserve">Diferentemente do Quadro de Vigência Normativa (Anexo 3), que trata de normas com força cogente (leis, decretos, portarias e instruções normativas), este anexo reúne instrumentos de natureza interpretativa — que orientam a aplicação da lei e do decreto, mas não os substituem. Em caso de conflito aparente entre um entendimento aqui listado e o texto expresso da LAC ou do Decreto nº 11.129/2022, prevalece sempre a norma — o entendimento administrativo cede ou deve ser reinterpretado à luz do texto legal.</w:t>
      </w:r>
    </w:p>
    <w:p>
      <w:pPr>
        <w:spacing w:after="140" w:line="270"/>
      </w:pPr>
      <w:r>
        <w:rPr>
          <w:rFonts w:ascii="Calibri" w:cs="Calibri" w:eastAsia="Calibri" w:hAnsi="Calibri"/>
          <w:b w:val="false"/>
          <w:bCs w:val="false"/>
          <w:i/>
          <w:iCs/>
          <w:sz w:val="21"/>
          <w:szCs w:val="21"/>
        </w:rPr>
        <w:t xml:space="preserve">Este anexo deve ser atualizado sempre que uma nova Nota Técnica, Enunciado ou entendimento consolidado da CGU for identificado ao longo da leitura ou revisão deste Manual — a mesma rotina de atualização contínua sugerida para o Quadro de Vigência Normativa (Anexo 3) se aplica aqui.</w:t>
      </w:r>
    </w:p>
    <w:p>
      <w:pPr>
        <w:spacing w:before="300"/>
      </w:pPr>
      <w:r>
        <w:rPr>
          <w:rFonts w:ascii="Calibri" w:cs="Calibri" w:eastAsia="Calibri" w:hAnsi="Calibri"/>
          <w:i/>
          <w:iCs/>
          <w:color w:val="555555"/>
          <w:sz w:val="20"/>
          <w:szCs w:val="20"/>
        </w:rPr>
        <w:t xml:space="preserve">Com este anexo, os quatro entregáveis da Fase 3 (glossário, índice remissivo, quadro de vigência normativa e tabela de enunciados) estão concluídos.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