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0205B"/>
          <w:sz w:val="26"/>
        </w:rPr>
        <w:t>CORREGEDORIA DA RECEITA FEDERAL DO BRASIL</w:t>
      </w:r>
    </w:p>
    <w:p>
      <w:pPr>
        <w:spacing w:before="800"/>
        <w:jc w:val="center"/>
      </w:pPr>
      <w:r>
        <w:rPr>
          <w:rFonts w:ascii="Arial" w:hAnsi="Arial"/>
          <w:b/>
          <w:color w:val="00205B"/>
          <w:sz w:val="44"/>
        </w:rPr>
        <w:t>MANUAL TEÓRICO-PRÁTICO</w:t>
      </w:r>
    </w:p>
    <w:p>
      <w:pPr>
        <w:jc w:val="center"/>
      </w:pPr>
      <w:r>
        <w:rPr>
          <w:rFonts w:ascii="Arial" w:hAnsi="Arial"/>
          <w:b/>
          <w:color w:val="64A70B"/>
          <w:sz w:val="36"/>
        </w:rPr>
        <w:t>Calculadora de Multa PAR</w:t>
      </w:r>
    </w:p>
    <w:tbl>
      <w:tblPr>
        <w:tblW w:type="auto" w:w="0"/>
        <w:jc w:val="center"/>
        <w:tblLook w:firstColumn="1" w:firstRow="1" w:lastColumn="0" w:lastRow="0" w:noHBand="0" w:noVBand="1" w:val="04A0"/>
      </w:tblPr>
      <w:tblGrid>
        <w:gridCol w:w="9405"/>
      </w:tblGrid>
      <w:tr>
        <w:tc>
          <w:tcPr>
            <w:tcW w:type="dxa" w:w="6803"/>
            <w:shd w:val="clear" w:color="auto" w:fill="64A70B"/>
          </w:tcPr>
          <w:p>
            <w:r>
              <w:t xml:space="preserve"> </w:t>
            </w:r>
          </w:p>
        </w:tc>
      </w:tr>
    </w:tbl>
    <w:p>
      <w:pPr>
        <w:spacing w:before="600"/>
        <w:jc w:val="center"/>
      </w:pPr>
      <w:r>
        <w:rPr>
          <w:rFonts w:ascii="Arial" w:hAnsi="Arial"/>
          <w:color w:val="1D3A78"/>
          <w:sz w:val="24"/>
        </w:rPr>
        <w:t>Processo Administrativo de Responsabilização — PAR</w:t>
        <w:br/>
        <w:t>Lei nº 12.846/2013 | Decreto nº 11.129/2022</w:t>
      </w:r>
    </w:p>
    <w:p>
      <w:pPr>
        <w:spacing w:before="1200"/>
        <w:jc w:val="center"/>
      </w:pPr>
      <w:r>
        <w:rPr>
          <w:rFonts w:ascii="Arial" w:hAnsi="Arial"/>
          <w:color w:val="444444"/>
          <w:sz w:val="22"/>
        </w:rPr>
        <w:t>Versão 2025</w:t>
      </w:r>
    </w:p>
    <w:p>
      <w:r>
        <w:br w:type="page"/>
      </w:r>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1. INTRODUÇÃO E FINALIDADE</w:t>
            </w:r>
          </w:p>
        </w:tc>
      </w:tr>
    </w:tbl>
    <w:p/>
    <w:p>
      <w:pPr>
        <w:spacing w:before="0" w:after="80"/>
      </w:pPr>
      <w:r>
        <w:rPr>
          <w:rFonts w:ascii="Arial" w:hAnsi="Arial"/>
          <w:i w:val="0"/>
          <w:sz w:val="22"/>
        </w:rPr>
        <w:t>A Calculadora de Multa PAR é uma ferramenta de apoio à decisão desenvolvida pela Corregedoria da Receita Federal do Brasil para uso nos Processos Administrativos de Responsabilização (PAR) instaurados com base na Lei Anticorrupção (Lei nº 12.846/2013) e seu decreto regulamentador (Decreto nº 11.129/2022).</w:t>
      </w:r>
    </w:p>
    <w:p>
      <w:pPr>
        <w:spacing w:before="0" w:after="80"/>
      </w:pPr>
      <w:r>
        <w:rPr>
          <w:rFonts w:ascii="Arial" w:hAnsi="Arial"/>
          <w:i w:val="0"/>
          <w:sz w:val="22"/>
        </w:rPr>
        <w:t>A ferramenta tem como objetivos:</w:t>
      </w:r>
    </w:p>
    <w:p>
      <w:pPr>
        <w:pStyle w:val="ListBullet"/>
        <w:spacing w:before="0" w:after="40"/>
        <w:ind w:left="283"/>
      </w:pPr>
      <w:r>
        <w:rPr>
          <w:rFonts w:ascii="Arial" w:hAnsi="Arial"/>
          <w:sz w:val="22"/>
        </w:rPr>
        <w:t>Padronizar a dosimetria das sanções pecuniárias aplicadas às pessoas jurídicas;</w:t>
      </w:r>
    </w:p>
    <w:p>
      <w:pPr>
        <w:pStyle w:val="ListBullet"/>
        <w:spacing w:before="0" w:after="40"/>
        <w:ind w:left="283"/>
      </w:pPr>
      <w:r>
        <w:rPr>
          <w:rFonts w:ascii="Arial" w:hAnsi="Arial"/>
          <w:sz w:val="22"/>
        </w:rPr>
        <w:t>Transparência — cada percentual aplicado está vinculado a um dispositivo legal específico;</w:t>
      </w:r>
    </w:p>
    <w:p>
      <w:pPr>
        <w:pStyle w:val="ListBullet"/>
        <w:spacing w:before="0" w:after="40"/>
        <w:ind w:left="283"/>
      </w:pPr>
      <w:r>
        <w:rPr>
          <w:rFonts w:ascii="Arial" w:hAnsi="Arial"/>
          <w:sz w:val="22"/>
        </w:rPr>
        <w:t>Rastreabilidade — o relatório final gerado documenta todos os parâmetros utilizados, servindo como instrumento de instrução processual;</w:t>
      </w:r>
    </w:p>
    <w:p>
      <w:pPr>
        <w:pStyle w:val="ListBullet"/>
        <w:spacing w:before="0" w:after="40"/>
        <w:ind w:left="283"/>
      </w:pPr>
      <w:r>
        <w:rPr>
          <w:rFonts w:ascii="Arial" w:hAnsi="Arial"/>
          <w:sz w:val="22"/>
        </w:rPr>
        <w:t>Reduzir erros de cálculo, especialmente nas interações entre os limites mínimo, máximo, vantagem auferida e alíquota preliminar.</w:t>
      </w:r>
    </w:p>
    <w:p>
      <w:pPr>
        <w:spacing w:before="0" w:after="80"/>
      </w:pPr>
      <w:r>
        <w:rPr>
          <w:rFonts w:ascii="Arial" w:hAnsi="Arial"/>
          <w:i w:val="0"/>
          <w:sz w:val="22"/>
        </w:rPr>
        <w:t>A calculadora funciona integralmente offline (sem dependência de servidores externos), sendo adequada para uso em ambientes com restrições de conectividade.</w:t>
      </w:r>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2. FUNDAMENTO LEGAL</w:t>
            </w:r>
          </w:p>
        </w:tc>
      </w:tr>
    </w:tbl>
    <w:p/>
    <w:p>
      <w:pPr>
        <w:spacing w:before="240" w:after="80"/>
        <w:pBdr>
          <w:bottom w:val="single" w:sz="6" w:space="1" w:color="64A70B"/>
        </w:pBdr>
      </w:pPr>
      <w:r>
        <w:rPr>
          <w:rFonts w:ascii="Arial" w:hAnsi="Arial"/>
          <w:b/>
          <w:color w:val="1D3A78"/>
          <w:sz w:val="23"/>
        </w:rPr>
        <w:t>2.1 Lei nº 12.846/2013 — Lei Anticorrupção (LAC)</w:t>
      </w:r>
    </w:p>
    <w:tbl>
      <w:tblPr>
        <w:tblStyle w:val="TableGrid"/>
        <w:tblW w:type="auto" w:w="0"/>
        <w:jc w:val="left"/>
        <w:tblLook w:firstColumn="1" w:firstRow="1" w:lastColumn="0" w:lastRow="0" w:noHBand="0" w:noVBand="1" w:val="04A0"/>
      </w:tblPr>
      <w:tblGrid>
        <w:gridCol w:w="4702"/>
        <w:gridCol w:w="4702"/>
      </w:tblGrid>
      <w:tr>
        <w:tc>
          <w:tcPr>
            <w:tcW w:type="dxa" w:w="2268"/>
            <w:shd w:val="clear" w:color="auto" w:fill="00205B"/>
          </w:tcPr>
          <w:p>
            <w:pPr>
              <w:jc w:val="center"/>
            </w:pPr>
            <w:r>
              <w:rPr>
                <w:rFonts w:ascii="Arial" w:hAnsi="Arial"/>
                <w:b/>
                <w:color w:val="FFFFFF"/>
                <w:sz w:val="20"/>
              </w:rPr>
              <w:t>Dispositivo</w:t>
            </w:r>
          </w:p>
        </w:tc>
        <w:tc>
          <w:tcPr>
            <w:tcW w:type="dxa" w:w="6803"/>
            <w:shd w:val="clear" w:color="auto" w:fill="00205B"/>
          </w:tcPr>
          <w:p>
            <w:pPr>
              <w:jc w:val="center"/>
            </w:pPr>
            <w:r>
              <w:rPr>
                <w:rFonts w:ascii="Arial" w:hAnsi="Arial"/>
                <w:b/>
                <w:color w:val="FFFFFF"/>
                <w:sz w:val="20"/>
              </w:rPr>
              <w:t>Conteúdo</w:t>
            </w:r>
          </w:p>
        </w:tc>
      </w:tr>
      <w:tr>
        <w:tc>
          <w:tcPr>
            <w:tcW w:type="dxa" w:w="2268"/>
            <w:shd w:val="clear" w:color="auto" w:fill="F2F2F2"/>
          </w:tcPr>
          <w:p>
            <w:pPr>
              <w:jc w:val="left"/>
            </w:pPr>
            <w:r>
              <w:rPr>
                <w:rFonts w:ascii="Arial" w:hAnsi="Arial"/>
                <w:sz w:val="20"/>
              </w:rPr>
              <w:t>Art. 5º</w:t>
            </w:r>
          </w:p>
        </w:tc>
        <w:tc>
          <w:tcPr>
            <w:tcW w:type="dxa" w:w="6803"/>
            <w:shd w:val="clear" w:color="auto" w:fill="F2F2F2"/>
          </w:tcPr>
          <w:p>
            <w:pPr>
              <w:jc w:val="center"/>
            </w:pPr>
            <w:r>
              <w:rPr>
                <w:rFonts w:ascii="Arial" w:hAnsi="Arial"/>
                <w:sz w:val="20"/>
              </w:rPr>
              <w:t>Tipificação dos atos lesivos à administração pública</w:t>
            </w:r>
          </w:p>
        </w:tc>
      </w:tr>
      <w:tr>
        <w:tc>
          <w:tcPr>
            <w:tcW w:type="dxa" w:w="2268"/>
            <w:shd w:val="clear" w:color="auto" w:fill="FFFFFF"/>
          </w:tcPr>
          <w:p>
            <w:pPr>
              <w:jc w:val="left"/>
            </w:pPr>
            <w:r>
              <w:rPr>
                <w:rFonts w:ascii="Arial" w:hAnsi="Arial"/>
                <w:sz w:val="20"/>
              </w:rPr>
              <w:t>Art. 6º, I</w:t>
            </w:r>
          </w:p>
        </w:tc>
        <w:tc>
          <w:tcPr>
            <w:tcW w:type="dxa" w:w="6803"/>
            <w:shd w:val="clear" w:color="auto" w:fill="FFFFFF"/>
          </w:tcPr>
          <w:p>
            <w:pPr>
              <w:jc w:val="center"/>
            </w:pPr>
            <w:r>
              <w:rPr>
                <w:rFonts w:ascii="Arial" w:hAnsi="Arial"/>
                <w:sz w:val="20"/>
              </w:rPr>
              <w:t>Multa de 0,1% a 20% do faturamento bruto da pessoa jurídica</w:t>
            </w:r>
          </w:p>
        </w:tc>
      </w:tr>
      <w:tr>
        <w:tc>
          <w:tcPr>
            <w:tcW w:type="dxa" w:w="2268"/>
            <w:shd w:val="clear" w:color="auto" w:fill="F2F2F2"/>
          </w:tcPr>
          <w:p>
            <w:pPr>
              <w:jc w:val="left"/>
            </w:pPr>
            <w:r>
              <w:rPr>
                <w:rFonts w:ascii="Arial" w:hAnsi="Arial"/>
                <w:sz w:val="20"/>
              </w:rPr>
              <w:t>Art. 6º, II</w:t>
            </w:r>
          </w:p>
        </w:tc>
        <w:tc>
          <w:tcPr>
            <w:tcW w:type="dxa" w:w="6803"/>
            <w:shd w:val="clear" w:color="auto" w:fill="F2F2F2"/>
          </w:tcPr>
          <w:p>
            <w:pPr>
              <w:jc w:val="center"/>
            </w:pPr>
            <w:r>
              <w:rPr>
                <w:rFonts w:ascii="Arial" w:hAnsi="Arial"/>
                <w:sz w:val="20"/>
              </w:rPr>
              <w:t>Publicação extraordinária da decisão condenatória</w:t>
            </w:r>
          </w:p>
        </w:tc>
      </w:tr>
    </w:tbl>
    <w:p/>
    <w:p>
      <w:pPr>
        <w:spacing w:before="240" w:after="80"/>
        <w:pBdr>
          <w:bottom w:val="single" w:sz="6" w:space="1" w:color="64A70B"/>
        </w:pBdr>
      </w:pPr>
      <w:r>
        <w:rPr>
          <w:rFonts w:ascii="Arial" w:hAnsi="Arial"/>
          <w:b/>
          <w:color w:val="1D3A78"/>
          <w:sz w:val="23"/>
        </w:rPr>
        <w:t>2.2 Decreto nº 11.129/2022</w:t>
      </w:r>
    </w:p>
    <w:tbl>
      <w:tblPr>
        <w:tblStyle w:val="TableGrid"/>
        <w:tblW w:type="auto" w:w="0"/>
        <w:jc w:val="left"/>
        <w:tblLook w:firstColumn="1" w:firstRow="1" w:lastColumn="0" w:lastRow="0" w:noHBand="0" w:noVBand="1" w:val="04A0"/>
      </w:tblPr>
      <w:tblGrid>
        <w:gridCol w:w="4702"/>
        <w:gridCol w:w="4702"/>
      </w:tblGrid>
      <w:tr>
        <w:tc>
          <w:tcPr>
            <w:tcW w:type="dxa" w:w="2268"/>
            <w:shd w:val="clear" w:color="auto" w:fill="00205B"/>
          </w:tcPr>
          <w:p>
            <w:pPr>
              <w:jc w:val="center"/>
            </w:pPr>
            <w:r>
              <w:rPr>
                <w:rFonts w:ascii="Arial" w:hAnsi="Arial"/>
                <w:b/>
                <w:color w:val="FFFFFF"/>
                <w:sz w:val="20"/>
              </w:rPr>
              <w:t>Dispositivo</w:t>
            </w:r>
          </w:p>
        </w:tc>
        <w:tc>
          <w:tcPr>
            <w:tcW w:type="dxa" w:w="6803"/>
            <w:shd w:val="clear" w:color="auto" w:fill="00205B"/>
          </w:tcPr>
          <w:p>
            <w:pPr>
              <w:jc w:val="center"/>
            </w:pPr>
            <w:r>
              <w:rPr>
                <w:rFonts w:ascii="Arial" w:hAnsi="Arial"/>
                <w:b/>
                <w:color w:val="FFFFFF"/>
                <w:sz w:val="20"/>
              </w:rPr>
              <w:t>Conteúdo</w:t>
            </w:r>
          </w:p>
        </w:tc>
      </w:tr>
      <w:tr>
        <w:tc>
          <w:tcPr>
            <w:tcW w:type="dxa" w:w="2268"/>
            <w:shd w:val="clear" w:color="auto" w:fill="F2F2F2"/>
          </w:tcPr>
          <w:p>
            <w:pPr>
              <w:jc w:val="left"/>
            </w:pPr>
            <w:r>
              <w:rPr>
                <w:rFonts w:ascii="Arial" w:hAnsi="Arial"/>
                <w:sz w:val="20"/>
              </w:rPr>
              <w:t>Art. 20</w:t>
            </w:r>
          </w:p>
        </w:tc>
        <w:tc>
          <w:tcPr>
            <w:tcW w:type="dxa" w:w="6803"/>
            <w:shd w:val="clear" w:color="auto" w:fill="F2F2F2"/>
          </w:tcPr>
          <w:p>
            <w:pPr>
              <w:jc w:val="center"/>
            </w:pPr>
            <w:r>
              <w:rPr>
                <w:rFonts w:ascii="Arial" w:hAnsi="Arial"/>
                <w:sz w:val="20"/>
              </w:rPr>
              <w:t>Base de cálculo: faturamento bruto do último exercício anterior ao PAR</w:t>
            </w:r>
          </w:p>
        </w:tc>
      </w:tr>
      <w:tr>
        <w:tc>
          <w:tcPr>
            <w:tcW w:type="dxa" w:w="2268"/>
            <w:shd w:val="clear" w:color="auto" w:fill="FFFFFF"/>
          </w:tcPr>
          <w:p>
            <w:pPr>
              <w:jc w:val="left"/>
            </w:pPr>
            <w:r>
              <w:rPr>
                <w:rFonts w:ascii="Arial" w:hAnsi="Arial"/>
                <w:sz w:val="20"/>
              </w:rPr>
              <w:t>Art. 21</w:t>
            </w:r>
          </w:p>
        </w:tc>
        <w:tc>
          <w:tcPr>
            <w:tcW w:type="dxa" w:w="6803"/>
            <w:shd w:val="clear" w:color="auto" w:fill="FFFFFF"/>
          </w:tcPr>
          <w:p>
            <w:pPr>
              <w:jc w:val="center"/>
            </w:pPr>
            <w:r>
              <w:rPr>
                <w:rFonts w:ascii="Arial" w:hAnsi="Arial"/>
                <w:sz w:val="20"/>
              </w:rPr>
              <w:t>Hipótese subsidiária: ausência de faturamento no exercício anterior</w:t>
            </w:r>
          </w:p>
        </w:tc>
      </w:tr>
      <w:tr>
        <w:tc>
          <w:tcPr>
            <w:tcW w:type="dxa" w:w="2268"/>
            <w:shd w:val="clear" w:color="auto" w:fill="F2F2F2"/>
          </w:tcPr>
          <w:p>
            <w:pPr>
              <w:jc w:val="left"/>
            </w:pPr>
            <w:r>
              <w:rPr>
                <w:rFonts w:ascii="Arial" w:hAnsi="Arial"/>
                <w:sz w:val="20"/>
              </w:rPr>
              <w:t>Art. 22</w:t>
            </w:r>
          </w:p>
        </w:tc>
        <w:tc>
          <w:tcPr>
            <w:tcW w:type="dxa" w:w="6803"/>
            <w:shd w:val="clear" w:color="auto" w:fill="F2F2F2"/>
          </w:tcPr>
          <w:p>
            <w:pPr>
              <w:jc w:val="center"/>
            </w:pPr>
            <w:r>
              <w:rPr>
                <w:rFonts w:ascii="Arial" w:hAnsi="Arial"/>
                <w:sz w:val="20"/>
              </w:rPr>
              <w:t>Fatores agravantes (I a VI)</w:t>
            </w:r>
          </w:p>
        </w:tc>
      </w:tr>
      <w:tr>
        <w:tc>
          <w:tcPr>
            <w:tcW w:type="dxa" w:w="2268"/>
            <w:shd w:val="clear" w:color="auto" w:fill="FFFFFF"/>
          </w:tcPr>
          <w:p>
            <w:pPr>
              <w:jc w:val="left"/>
            </w:pPr>
            <w:r>
              <w:rPr>
                <w:rFonts w:ascii="Arial" w:hAnsi="Arial"/>
                <w:sz w:val="20"/>
              </w:rPr>
              <w:t>Art. 23</w:t>
            </w:r>
          </w:p>
        </w:tc>
        <w:tc>
          <w:tcPr>
            <w:tcW w:type="dxa" w:w="6803"/>
            <w:shd w:val="clear" w:color="auto" w:fill="FFFFFF"/>
          </w:tcPr>
          <w:p>
            <w:pPr>
              <w:jc w:val="center"/>
            </w:pPr>
            <w:r>
              <w:rPr>
                <w:rFonts w:ascii="Arial" w:hAnsi="Arial"/>
                <w:sz w:val="20"/>
              </w:rPr>
              <w:t>Fatores atenuantes (I a V)</w:t>
            </w:r>
          </w:p>
        </w:tc>
      </w:tr>
      <w:tr>
        <w:tc>
          <w:tcPr>
            <w:tcW w:type="dxa" w:w="2268"/>
            <w:shd w:val="clear" w:color="auto" w:fill="F2F2F2"/>
          </w:tcPr>
          <w:p>
            <w:pPr>
              <w:jc w:val="left"/>
            </w:pPr>
            <w:r>
              <w:rPr>
                <w:rFonts w:ascii="Arial" w:hAnsi="Arial"/>
                <w:sz w:val="20"/>
              </w:rPr>
              <w:t>Art. 24</w:t>
            </w:r>
          </w:p>
        </w:tc>
        <w:tc>
          <w:tcPr>
            <w:tcW w:type="dxa" w:w="6803"/>
            <w:shd w:val="clear" w:color="auto" w:fill="F2F2F2"/>
          </w:tcPr>
          <w:p>
            <w:pPr>
              <w:jc w:val="center"/>
            </w:pPr>
            <w:r>
              <w:rPr>
                <w:rFonts w:ascii="Arial" w:hAnsi="Arial"/>
                <w:sz w:val="20"/>
              </w:rPr>
              <w:t>Publicação extraordinária e critérios de prazo</w:t>
            </w:r>
          </w:p>
        </w:tc>
      </w:tr>
      <w:tr>
        <w:tc>
          <w:tcPr>
            <w:tcW w:type="dxa" w:w="2268"/>
            <w:shd w:val="clear" w:color="auto" w:fill="FFFFFF"/>
          </w:tcPr>
          <w:p>
            <w:pPr>
              <w:jc w:val="left"/>
            </w:pPr>
            <w:r>
              <w:rPr>
                <w:rFonts w:ascii="Arial" w:hAnsi="Arial"/>
                <w:sz w:val="20"/>
              </w:rPr>
              <w:t>Art. 25</w:t>
            </w:r>
          </w:p>
        </w:tc>
        <w:tc>
          <w:tcPr>
            <w:tcW w:type="dxa" w:w="6803"/>
            <w:shd w:val="clear" w:color="auto" w:fill="FFFFFF"/>
          </w:tcPr>
          <w:p>
            <w:pPr>
              <w:jc w:val="center"/>
            </w:pPr>
            <w:r>
              <w:rPr>
                <w:rFonts w:ascii="Arial" w:hAnsi="Arial"/>
                <w:sz w:val="20"/>
              </w:rPr>
              <w:t>Limites mínimo e máximo da multa</w:t>
            </w:r>
          </w:p>
        </w:tc>
      </w:tr>
      <w:tr>
        <w:tc>
          <w:tcPr>
            <w:tcW w:type="dxa" w:w="2268"/>
            <w:shd w:val="clear" w:color="auto" w:fill="F2F2F2"/>
          </w:tcPr>
          <w:p>
            <w:pPr>
              <w:jc w:val="left"/>
            </w:pPr>
            <w:r>
              <w:rPr>
                <w:rFonts w:ascii="Arial" w:hAnsi="Arial"/>
                <w:sz w:val="20"/>
              </w:rPr>
              <w:t>Art. 26</w:t>
            </w:r>
          </w:p>
        </w:tc>
        <w:tc>
          <w:tcPr>
            <w:tcW w:type="dxa" w:w="6803"/>
            <w:shd w:val="clear" w:color="auto" w:fill="F2F2F2"/>
          </w:tcPr>
          <w:p>
            <w:pPr>
              <w:jc w:val="center"/>
            </w:pPr>
            <w:r>
              <w:rPr>
                <w:rFonts w:ascii="Arial" w:hAnsi="Arial"/>
                <w:sz w:val="20"/>
              </w:rPr>
              <w:t>Métodos de apuração da vantagem auferida (I a III)</w:t>
            </w:r>
          </w:p>
        </w:tc>
      </w:tr>
    </w:tbl>
    <w:p/>
    <w:p>
      <w:pPr>
        <w:spacing w:before="240" w:after="80"/>
        <w:pBdr>
          <w:bottom w:val="single" w:sz="6" w:space="1" w:color="64A70B"/>
        </w:pBdr>
      </w:pPr>
      <w:r>
        <w:rPr>
          <w:rFonts w:ascii="Arial" w:hAnsi="Arial"/>
          <w:b/>
          <w:color w:val="1D3A78"/>
          <w:sz w:val="23"/>
        </w:rPr>
        <w:t>2.3 Orientações complementares</w:t>
      </w:r>
    </w:p>
    <w:p>
      <w:pPr>
        <w:pStyle w:val="ListBullet"/>
        <w:spacing w:before="0" w:after="40"/>
        <w:ind w:left="283"/>
      </w:pPr>
      <w:r>
        <w:rPr>
          <w:rFonts w:ascii="Arial" w:hAnsi="Arial"/>
          <w:sz w:val="22"/>
        </w:rPr>
        <w:t>IN CGU nº 1/2015 — metodologia de avaliação do programa de integridade;</w:t>
      </w:r>
    </w:p>
    <w:p>
      <w:pPr>
        <w:pStyle w:val="ListBullet"/>
        <w:spacing w:before="0" w:after="40"/>
        <w:ind w:left="283"/>
      </w:pPr>
      <w:r>
        <w:rPr>
          <w:rFonts w:ascii="Arial" w:hAnsi="Arial"/>
          <w:sz w:val="22"/>
        </w:rPr>
        <w:t>Guia CGU de Responsabilização de Pessoas Jurídicas — parâmetros interpretativos e tabelas de referência;</w:t>
      </w:r>
    </w:p>
    <w:p>
      <w:pPr>
        <w:pStyle w:val="ListBullet"/>
        <w:spacing w:before="0" w:after="40"/>
        <w:ind w:left="283"/>
      </w:pPr>
      <w:r>
        <w:rPr>
          <w:rFonts w:ascii="Arial" w:hAnsi="Arial"/>
          <w:sz w:val="22"/>
        </w:rPr>
        <w:t>Tabela 5 do Guia CGU — escalonamento dos percentuais de ressarcimento (Art. 23, II).</w:t>
      </w:r>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3. ESTRUTURA GERAL DA CALCULADORA</w:t>
            </w:r>
          </w:p>
        </w:tc>
      </w:tr>
    </w:tbl>
    <w:p/>
    <w:p>
      <w:pPr>
        <w:spacing w:before="0" w:after="80"/>
      </w:pPr>
      <w:r>
        <w:rPr>
          <w:rFonts w:ascii="Arial" w:hAnsi="Arial"/>
          <w:i w:val="0"/>
          <w:sz w:val="22"/>
        </w:rPr>
        <w:t>A calculadora é organizada em 14 etapas sequenciais (Steps 0 a 13), agrupadas em três blocos funcionais: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0205B"/>
          </w:tcPr>
          <w:p>
            <w:pPr>
              <w:jc w:val="center"/>
            </w:pPr>
            <w:r>
              <w:rPr>
                <w:rFonts w:ascii="Arial" w:hAnsi="Arial"/>
                <w:b/>
                <w:color w:val="FFFFFF"/>
                <w:sz w:val="20"/>
              </w:rPr>
              <w:t>Bloco</w:t>
            </w:r>
          </w:p>
        </w:tc>
        <w:tc>
          <w:tcPr>
            <w:tcW w:type="dxa" w:w="2268"/>
            <w:shd w:val="clear" w:color="auto" w:fill="00205B"/>
          </w:tcPr>
          <w:p>
            <w:pPr>
              <w:jc w:val="center"/>
            </w:pPr>
            <w:r>
              <w:rPr>
                <w:rFonts w:ascii="Arial" w:hAnsi="Arial"/>
                <w:b/>
                <w:color w:val="FFFFFF"/>
                <w:sz w:val="20"/>
              </w:rPr>
              <w:t>Etapas</w:t>
            </w:r>
          </w:p>
        </w:tc>
        <w:tc>
          <w:tcPr>
            <w:tcW w:type="dxa" w:w="4535"/>
            <w:shd w:val="clear" w:color="auto" w:fill="00205B"/>
          </w:tcPr>
          <w:p>
            <w:pPr>
              <w:jc w:val="center"/>
            </w:pPr>
            <w:r>
              <w:rPr>
                <w:rFonts w:ascii="Arial" w:hAnsi="Arial"/>
                <w:b/>
                <w:color w:val="FFFFFF"/>
                <w:sz w:val="20"/>
              </w:rPr>
              <w:t>Conteúdo</w:t>
            </w:r>
          </w:p>
        </w:tc>
      </w:tr>
      <w:tr>
        <w:tc>
          <w:tcPr>
            <w:tcW w:type="dxa" w:w="2835"/>
            <w:shd w:val="clear" w:color="auto" w:fill="F2F2F2"/>
          </w:tcPr>
          <w:p>
            <w:pPr>
              <w:jc w:val="left"/>
            </w:pPr>
            <w:r>
              <w:rPr>
                <w:rFonts w:ascii="Arial" w:hAnsi="Arial"/>
                <w:sz w:val="20"/>
              </w:rPr>
              <w:t>A — Base de Cálculo</w:t>
            </w:r>
          </w:p>
        </w:tc>
        <w:tc>
          <w:tcPr>
            <w:tcW w:type="dxa" w:w="2268"/>
            <w:shd w:val="clear" w:color="auto" w:fill="F2F2F2"/>
          </w:tcPr>
          <w:p>
            <w:pPr>
              <w:jc w:val="center"/>
            </w:pPr>
            <w:r>
              <w:rPr>
                <w:rFonts w:ascii="Arial" w:hAnsi="Arial"/>
                <w:sz w:val="20"/>
              </w:rPr>
              <w:t>Etapas 0 e 1</w:t>
            </w:r>
          </w:p>
        </w:tc>
        <w:tc>
          <w:tcPr>
            <w:tcW w:type="dxa" w:w="4535"/>
            <w:shd w:val="clear" w:color="auto" w:fill="F2F2F2"/>
          </w:tcPr>
          <w:p>
            <w:pPr>
              <w:jc w:val="center"/>
            </w:pPr>
            <w:r>
              <w:rPr>
                <w:rFonts w:ascii="Arial" w:hAnsi="Arial"/>
                <w:sz w:val="20"/>
              </w:rPr>
              <w:t>Faturamento Bruto e Vantagens Auferida/Pretendida</w:t>
            </w:r>
          </w:p>
        </w:tc>
      </w:tr>
      <w:tr>
        <w:tc>
          <w:tcPr>
            <w:tcW w:type="dxa" w:w="2835"/>
            <w:shd w:val="clear" w:color="auto" w:fill="FFFFFF"/>
          </w:tcPr>
          <w:p>
            <w:pPr>
              <w:jc w:val="left"/>
            </w:pPr>
            <w:r>
              <w:rPr>
                <w:rFonts w:ascii="Arial" w:hAnsi="Arial"/>
                <w:sz w:val="20"/>
              </w:rPr>
              <w:t>B — Dosimetria</w:t>
            </w:r>
          </w:p>
        </w:tc>
        <w:tc>
          <w:tcPr>
            <w:tcW w:type="dxa" w:w="2268"/>
            <w:shd w:val="clear" w:color="auto" w:fill="FFFFFF"/>
          </w:tcPr>
          <w:p>
            <w:pPr>
              <w:jc w:val="center"/>
            </w:pPr>
            <w:r>
              <w:rPr>
                <w:rFonts w:ascii="Arial" w:hAnsi="Arial"/>
                <w:sz w:val="20"/>
              </w:rPr>
              <w:t>Etapas 2 a 12</w:t>
            </w:r>
          </w:p>
        </w:tc>
        <w:tc>
          <w:tcPr>
            <w:tcW w:type="dxa" w:w="4535"/>
            <w:shd w:val="clear" w:color="auto" w:fill="FFFFFF"/>
          </w:tcPr>
          <w:p>
            <w:pPr>
              <w:jc w:val="center"/>
            </w:pPr>
            <w:r>
              <w:rPr>
                <w:rFonts w:ascii="Arial" w:hAnsi="Arial"/>
                <w:sz w:val="20"/>
              </w:rPr>
              <w:t>Agravantes (Art. 22) e Atenuantes (Art. 23)</w:t>
            </w:r>
          </w:p>
        </w:tc>
      </w:tr>
      <w:tr>
        <w:tc>
          <w:tcPr>
            <w:tcW w:type="dxa" w:w="2835"/>
            <w:shd w:val="clear" w:color="auto" w:fill="F2F2F2"/>
          </w:tcPr>
          <w:p>
            <w:pPr>
              <w:jc w:val="left"/>
            </w:pPr>
            <w:r>
              <w:rPr>
                <w:rFonts w:ascii="Arial" w:hAnsi="Arial"/>
                <w:sz w:val="20"/>
              </w:rPr>
              <w:t>C — Resultado</w:t>
            </w:r>
          </w:p>
        </w:tc>
        <w:tc>
          <w:tcPr>
            <w:tcW w:type="dxa" w:w="2268"/>
            <w:shd w:val="clear" w:color="auto" w:fill="F2F2F2"/>
          </w:tcPr>
          <w:p>
            <w:pPr>
              <w:jc w:val="center"/>
            </w:pPr>
            <w:r>
              <w:rPr>
                <w:rFonts w:ascii="Arial" w:hAnsi="Arial"/>
                <w:sz w:val="20"/>
              </w:rPr>
              <w:t>Etapa 13</w:t>
            </w:r>
          </w:p>
        </w:tc>
        <w:tc>
          <w:tcPr>
            <w:tcW w:type="dxa" w:w="4535"/>
            <w:shd w:val="clear" w:color="auto" w:fill="F2F2F2"/>
          </w:tcPr>
          <w:p>
            <w:pPr>
              <w:jc w:val="center"/>
            </w:pPr>
            <w:r>
              <w:rPr>
                <w:rFonts w:ascii="Arial" w:hAnsi="Arial"/>
                <w:sz w:val="20"/>
              </w:rPr>
              <w:t>Publicação Extraordinária e Resultado Final (Art. 25)</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4. ETAPA 0 — BASE DE CÁLCULO: FATURAMENTO BRUTO</w:t>
            </w:r>
          </w:p>
        </w:tc>
      </w:tr>
    </w:tbl>
    <w:p/>
    <w:p>
      <w:pPr>
        <w:spacing w:before="240" w:after="80"/>
        <w:pBdr>
          <w:bottom w:val="single" w:sz="6" w:space="1" w:color="64A70B"/>
        </w:pBdr>
      </w:pPr>
      <w:r>
        <w:rPr>
          <w:rFonts w:ascii="Arial" w:hAnsi="Arial"/>
          <w:b/>
          <w:color w:val="1D3A78"/>
          <w:sz w:val="23"/>
        </w:rPr>
        <w:t>4.1 Fundamento Legal</w:t>
      </w:r>
    </w:p>
    <w:p>
      <w:pPr>
        <w:spacing w:before="80" w:after="80"/>
        <w:ind w:left="850" w:right="567"/>
      </w:pPr>
      <w:r>
        <w:rPr>
          <w:rFonts w:ascii="Arial" w:hAnsi="Arial"/>
          <w:i/>
          <w:color w:val="333366"/>
          <w:sz w:val="20"/>
        </w:rPr>
        <w:t>Art. 20 do Decreto nº 11.129/2022. A multa prevista no inciso I do caput do art. 6º da Lei nº 12.846/2013 terá como base de cálculo o faturamento bruto da pessoa jurídica no último exercício anterior ao da instauração do PAR, excluídos os tributos.</w:t>
      </w:r>
    </w:p>
    <w:p>
      <w:pPr>
        <w:spacing w:before="80" w:after="80"/>
        <w:ind w:left="850" w:right="567"/>
      </w:pPr>
      <w:r>
        <w:rPr>
          <w:rFonts w:ascii="Arial" w:hAnsi="Arial"/>
          <w:i/>
          <w:color w:val="333366"/>
          <w:sz w:val="20"/>
        </w:rPr>
        <w:t>Art. 21. Caso a pessoa jurídica comprovadamente não tenha tido faturamento no último exercício anterior ao da instauração do PAR, deve-se considerar como base de cálculo da multa o valor do último faturamento bruto apurado pela pessoa jurídica, excluídos os tributos incidentes sobre vendas, que terá seu valor atualizado pelo IPCA até o último dia do exercício anterior ao da instauração do PAR.</w:t>
      </w:r>
    </w:p>
    <w:p>
      <w:pPr>
        <w:spacing w:before="240" w:after="80"/>
        <w:pBdr>
          <w:bottom w:val="single" w:sz="6" w:space="1" w:color="64A70B"/>
        </w:pBdr>
      </w:pPr>
      <w:r>
        <w:rPr>
          <w:rFonts w:ascii="Arial" w:hAnsi="Arial"/>
          <w:b/>
          <w:color w:val="1D3A78"/>
          <w:sz w:val="23"/>
        </w:rPr>
        <w:t>4.2 Fluxo de Decisão</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00205B"/>
          </w:tcPr>
          <w:p>
            <w:pPr>
              <w:jc w:val="center"/>
            </w:pPr>
            <w:r>
              <w:rPr>
                <w:rFonts w:ascii="Arial" w:hAnsi="Arial"/>
                <w:b/>
                <w:color w:val="FFFFFF"/>
                <w:sz w:val="20"/>
              </w:rPr>
              <w:t>Situação</w:t>
            </w:r>
          </w:p>
        </w:tc>
        <w:tc>
          <w:tcPr>
            <w:tcW w:type="dxa" w:w="3969"/>
            <w:shd w:val="clear" w:color="auto" w:fill="00205B"/>
          </w:tcPr>
          <w:p>
            <w:pPr>
              <w:jc w:val="center"/>
            </w:pPr>
            <w:r>
              <w:rPr>
                <w:rFonts w:ascii="Arial" w:hAnsi="Arial"/>
                <w:b/>
                <w:color w:val="FFFFFF"/>
                <w:sz w:val="20"/>
              </w:rPr>
              <w:t>Regra Aplicável</w:t>
            </w:r>
          </w:p>
        </w:tc>
        <w:tc>
          <w:tcPr>
            <w:tcW w:type="dxa" w:w="2268"/>
            <w:shd w:val="clear" w:color="auto" w:fill="00205B"/>
          </w:tcPr>
          <w:p>
            <w:pPr>
              <w:jc w:val="center"/>
            </w:pPr>
            <w:r>
              <w:rPr>
                <w:rFonts w:ascii="Arial" w:hAnsi="Arial"/>
                <w:b/>
                <w:color w:val="FFFFFF"/>
                <w:sz w:val="20"/>
              </w:rPr>
              <w:t>Fundamento</w:t>
            </w:r>
          </w:p>
        </w:tc>
      </w:tr>
      <w:tr>
        <w:tc>
          <w:tcPr>
            <w:tcW w:type="dxa" w:w="3402"/>
            <w:shd w:val="clear" w:color="auto" w:fill="F2F2F2"/>
          </w:tcPr>
          <w:p>
            <w:pPr>
              <w:jc w:val="left"/>
            </w:pPr>
            <w:r>
              <w:rPr>
                <w:rFonts w:ascii="Arial" w:hAnsi="Arial"/>
                <w:sz w:val="20"/>
              </w:rPr>
              <w:t>PJ teve faturamento no exercício anterior ao PAR</w:t>
            </w:r>
          </w:p>
        </w:tc>
        <w:tc>
          <w:tcPr>
            <w:tcW w:type="dxa" w:w="3969"/>
            <w:shd w:val="clear" w:color="auto" w:fill="F2F2F2"/>
          </w:tcPr>
          <w:p>
            <w:pPr>
              <w:jc w:val="center"/>
            </w:pPr>
            <w:r>
              <w:rPr>
                <w:rFonts w:ascii="Arial" w:hAnsi="Arial"/>
                <w:sz w:val="20"/>
              </w:rPr>
              <w:t>Usar faturamento do exercício de referência (Ano PAR − 1)</w:t>
            </w:r>
          </w:p>
        </w:tc>
        <w:tc>
          <w:tcPr>
            <w:tcW w:type="dxa" w:w="2268"/>
            <w:shd w:val="clear" w:color="auto" w:fill="F2F2F2"/>
          </w:tcPr>
          <w:p>
            <w:pPr>
              <w:jc w:val="center"/>
            </w:pPr>
            <w:r>
              <w:rPr>
                <w:rFonts w:ascii="Arial" w:hAnsi="Arial"/>
                <w:sz w:val="20"/>
              </w:rPr>
              <w:t>Art. 20</w:t>
            </w:r>
          </w:p>
        </w:tc>
      </w:tr>
      <w:tr>
        <w:tc>
          <w:tcPr>
            <w:tcW w:type="dxa" w:w="3402"/>
            <w:shd w:val="clear" w:color="auto" w:fill="FFFFFF"/>
          </w:tcPr>
          <w:p>
            <w:pPr>
              <w:jc w:val="left"/>
            </w:pPr>
            <w:r>
              <w:rPr>
                <w:rFonts w:ascii="Arial" w:hAnsi="Arial"/>
                <w:sz w:val="20"/>
              </w:rPr>
              <w:t>PJ não teve faturamento no exercício anterior</w:t>
            </w:r>
          </w:p>
        </w:tc>
        <w:tc>
          <w:tcPr>
            <w:tcW w:type="dxa" w:w="3969"/>
            <w:shd w:val="clear" w:color="auto" w:fill="FFFFFF"/>
          </w:tcPr>
          <w:p>
            <w:pPr>
              <w:jc w:val="center"/>
            </w:pPr>
            <w:r>
              <w:rPr>
                <w:rFonts w:ascii="Arial" w:hAnsi="Arial"/>
                <w:sz w:val="20"/>
              </w:rPr>
              <w:t>Usar o último faturamento bruto apurado, atualizado pelo IPCA</w:t>
            </w:r>
          </w:p>
        </w:tc>
        <w:tc>
          <w:tcPr>
            <w:tcW w:type="dxa" w:w="2268"/>
            <w:shd w:val="clear" w:color="auto" w:fill="FFFFFF"/>
          </w:tcPr>
          <w:p>
            <w:pPr>
              <w:jc w:val="center"/>
            </w:pPr>
            <w:r>
              <w:rPr>
                <w:rFonts w:ascii="Arial" w:hAnsi="Arial"/>
                <w:sz w:val="20"/>
              </w:rPr>
              <w:t>Art. 21</w:t>
            </w:r>
          </w:p>
        </w:tc>
      </w:tr>
    </w:tbl>
    <w:p/>
    <w:p>
      <w:pPr>
        <w:spacing w:before="240" w:after="80"/>
        <w:pBdr>
          <w:bottom w:val="single" w:sz="6" w:space="1" w:color="64A70B"/>
        </w:pBdr>
      </w:pPr>
      <w:r>
        <w:rPr>
          <w:rFonts w:ascii="Arial" w:hAnsi="Arial"/>
          <w:b/>
          <w:color w:val="1D3A78"/>
          <w:sz w:val="23"/>
        </w:rPr>
        <w:t>4.3 Modos de Apuração</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0205B"/>
          </w:tcPr>
          <w:p>
            <w:pPr>
              <w:jc w:val="center"/>
            </w:pPr>
            <w:r>
              <w:rPr>
                <w:rFonts w:ascii="Arial" w:hAnsi="Arial"/>
                <w:b/>
                <w:color w:val="FFFFFF"/>
                <w:sz w:val="20"/>
              </w:rPr>
              <w:t>Modo</w:t>
            </w:r>
          </w:p>
        </w:tc>
        <w:tc>
          <w:tcPr>
            <w:tcW w:type="dxa" w:w="4535"/>
            <w:shd w:val="clear" w:color="auto" w:fill="00205B"/>
          </w:tcPr>
          <w:p>
            <w:pPr>
              <w:jc w:val="center"/>
            </w:pPr>
            <w:r>
              <w:rPr>
                <w:rFonts w:ascii="Arial" w:hAnsi="Arial"/>
                <w:b/>
                <w:color w:val="FFFFFF"/>
                <w:sz w:val="20"/>
              </w:rPr>
              <w:t>Descrição</w:t>
            </w:r>
          </w:p>
        </w:tc>
        <w:tc>
          <w:tcPr>
            <w:tcW w:type="dxa" w:w="2268"/>
            <w:shd w:val="clear" w:color="auto" w:fill="00205B"/>
          </w:tcPr>
          <w:p>
            <w:pPr>
              <w:jc w:val="center"/>
            </w:pPr>
            <w:r>
              <w:rPr>
                <w:rFonts w:ascii="Arial" w:hAnsi="Arial"/>
                <w:b/>
                <w:color w:val="FFFFFF"/>
                <w:sz w:val="20"/>
              </w:rPr>
              <w:t>Fundamento</w:t>
            </w:r>
          </w:p>
        </w:tc>
      </w:tr>
      <w:tr>
        <w:tc>
          <w:tcPr>
            <w:tcW w:type="dxa" w:w="2835"/>
            <w:shd w:val="clear" w:color="auto" w:fill="F2F2F2"/>
          </w:tcPr>
          <w:p>
            <w:pPr>
              <w:jc w:val="left"/>
            </w:pPr>
            <w:r>
              <w:rPr>
                <w:rFonts w:ascii="Arial" w:hAnsi="Arial"/>
                <w:sz w:val="20"/>
              </w:rPr>
              <w:t>DRE (Regime Geral)</w:t>
            </w:r>
          </w:p>
        </w:tc>
        <w:tc>
          <w:tcPr>
            <w:tcW w:type="dxa" w:w="4535"/>
            <w:shd w:val="clear" w:color="auto" w:fill="F2F2F2"/>
          </w:tcPr>
          <w:p>
            <w:pPr>
              <w:jc w:val="center"/>
            </w:pPr>
            <w:r>
              <w:rPr>
                <w:rFonts w:ascii="Arial" w:hAnsi="Arial"/>
                <w:sz w:val="20"/>
              </w:rPr>
              <w:t>Receita Bruta − Tributos sobre Vendas</w:t>
            </w:r>
          </w:p>
        </w:tc>
        <w:tc>
          <w:tcPr>
            <w:tcW w:type="dxa" w:w="2268"/>
            <w:shd w:val="clear" w:color="auto" w:fill="F2F2F2"/>
          </w:tcPr>
          <w:p>
            <w:pPr>
              <w:jc w:val="center"/>
            </w:pPr>
            <w:r>
              <w:rPr>
                <w:rFonts w:ascii="Arial" w:hAnsi="Arial"/>
                <w:sz w:val="20"/>
              </w:rPr>
              <w:t>Art. 20, caput</w:t>
            </w:r>
          </w:p>
        </w:tc>
      </w:tr>
      <w:tr>
        <w:tc>
          <w:tcPr>
            <w:tcW w:type="dxa" w:w="2835"/>
            <w:shd w:val="clear" w:color="auto" w:fill="FFFFFF"/>
          </w:tcPr>
          <w:p>
            <w:pPr>
              <w:jc w:val="left"/>
            </w:pPr>
            <w:r>
              <w:rPr>
                <w:rFonts w:ascii="Arial" w:hAnsi="Arial"/>
                <w:sz w:val="20"/>
              </w:rPr>
              <w:t>Simples Nacional (ME/EPP)</w:t>
            </w:r>
          </w:p>
        </w:tc>
        <w:tc>
          <w:tcPr>
            <w:tcW w:type="dxa" w:w="4535"/>
            <w:shd w:val="clear" w:color="auto" w:fill="FFFFFF"/>
          </w:tcPr>
          <w:p>
            <w:pPr>
              <w:jc w:val="center"/>
            </w:pPr>
            <w:r>
              <w:rPr>
                <w:rFonts w:ascii="Arial" w:hAnsi="Arial"/>
                <w:sz w:val="20"/>
              </w:rPr>
              <w:t>Receita bruta total apurada nas declarações do Simples</w:t>
            </w:r>
          </w:p>
        </w:tc>
        <w:tc>
          <w:tcPr>
            <w:tcW w:type="dxa" w:w="2268"/>
            <w:shd w:val="clear" w:color="auto" w:fill="FFFFFF"/>
          </w:tcPr>
          <w:p>
            <w:pPr>
              <w:jc w:val="center"/>
            </w:pPr>
            <w:r>
              <w:rPr>
                <w:rFonts w:ascii="Arial" w:hAnsi="Arial"/>
                <w:sz w:val="20"/>
              </w:rPr>
              <w:t>LC nº 123/2006, art. 3º, §1º</w:t>
            </w:r>
          </w:p>
        </w:tc>
      </w:tr>
      <w:tr>
        <w:tc>
          <w:tcPr>
            <w:tcW w:type="dxa" w:w="2835"/>
            <w:shd w:val="clear" w:color="auto" w:fill="F2F2F2"/>
          </w:tcPr>
          <w:p>
            <w:pPr>
              <w:jc w:val="left"/>
            </w:pPr>
            <w:r>
              <w:rPr>
                <w:rFonts w:ascii="Arial" w:hAnsi="Arial"/>
                <w:sz w:val="20"/>
              </w:rPr>
              <w:t>Estimativa pela autoridade</w:t>
            </w:r>
          </w:p>
        </w:tc>
        <w:tc>
          <w:tcPr>
            <w:tcW w:type="dxa" w:w="4535"/>
            <w:shd w:val="clear" w:color="auto" w:fill="F2F2F2"/>
          </w:tcPr>
          <w:p>
            <w:pPr>
              <w:jc w:val="center"/>
            </w:pPr>
            <w:r>
              <w:rPr>
                <w:rFonts w:ascii="Arial" w:hAnsi="Arial"/>
                <w:sz w:val="20"/>
              </w:rPr>
              <w:t>Hipótese residual — outros elementos quando não há dados contábeis</w:t>
            </w:r>
          </w:p>
        </w:tc>
        <w:tc>
          <w:tcPr>
            <w:tcW w:type="dxa" w:w="2268"/>
            <w:shd w:val="clear" w:color="auto" w:fill="F2F2F2"/>
          </w:tcPr>
          <w:p>
            <w:pPr>
              <w:jc w:val="center"/>
            </w:pPr>
            <w:r>
              <w:rPr>
                <w:rFonts w:ascii="Arial" w:hAnsi="Arial"/>
                <w:sz w:val="20"/>
              </w:rPr>
              <w:t>Art. 20, §1º, III</w:t>
            </w:r>
          </w:p>
        </w:tc>
      </w:tr>
    </w:tbl>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Como a calculadora funciona offline, a atualização pelo IPCA (Art. 21) deve ser realizada previamente na Calculadora do Cidadão (BCB/IPCA), disponível no site do Banco Central do Brasil. Informe o valor já corrigido no campo correspondente.</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5. ETAPA 1 — VANTAGENS AUFERIDA E PRETENDIDA (Art. 26)</w:t>
            </w:r>
          </w:p>
        </w:tc>
      </w:tr>
    </w:tbl>
    <w:p/>
    <w:p>
      <w:pPr>
        <w:spacing w:before="240" w:after="80"/>
        <w:pBdr>
          <w:bottom w:val="single" w:sz="6" w:space="1" w:color="64A70B"/>
        </w:pBdr>
      </w:pPr>
      <w:r>
        <w:rPr>
          <w:rFonts w:ascii="Arial" w:hAnsi="Arial"/>
          <w:b/>
          <w:color w:val="1D3A78"/>
          <w:sz w:val="23"/>
        </w:rPr>
        <w:t>5.1 Distinção Legal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00205B"/>
          </w:tcPr>
          <w:p>
            <w:pPr>
              <w:jc w:val="center"/>
            </w:pPr>
            <w:r>
              <w:rPr>
                <w:rFonts w:ascii="Arial" w:hAnsi="Arial"/>
                <w:b/>
                <w:color w:val="FFFFFF"/>
                <w:sz w:val="20"/>
              </w:rPr>
              <w:t>Conceito</w:t>
            </w:r>
          </w:p>
        </w:tc>
        <w:tc>
          <w:tcPr>
            <w:tcW w:type="dxa" w:w="3402"/>
            <w:shd w:val="clear" w:color="auto" w:fill="00205B"/>
          </w:tcPr>
          <w:p>
            <w:pPr>
              <w:jc w:val="center"/>
            </w:pPr>
            <w:r>
              <w:rPr>
                <w:rFonts w:ascii="Arial" w:hAnsi="Arial"/>
                <w:b/>
                <w:color w:val="FFFFFF"/>
                <w:sz w:val="20"/>
              </w:rPr>
              <w:t>Definição</w:t>
            </w:r>
          </w:p>
        </w:tc>
        <w:tc>
          <w:tcPr>
            <w:tcW w:type="dxa" w:w="3118"/>
            <w:shd w:val="clear" w:color="auto" w:fill="00205B"/>
          </w:tcPr>
          <w:p>
            <w:pPr>
              <w:jc w:val="center"/>
            </w:pPr>
            <w:r>
              <w:rPr>
                <w:rFonts w:ascii="Arial" w:hAnsi="Arial"/>
                <w:b/>
                <w:color w:val="FFFFFF"/>
                <w:sz w:val="20"/>
              </w:rPr>
              <w:t>Função na Multa</w:t>
            </w:r>
          </w:p>
        </w:tc>
        <w:tc>
          <w:tcPr>
            <w:tcW w:type="dxa" w:w="1701"/>
            <w:shd w:val="clear" w:color="auto" w:fill="00205B"/>
          </w:tcPr>
          <w:p>
            <w:pPr>
              <w:jc w:val="center"/>
            </w:pPr>
            <w:r>
              <w:rPr>
                <w:rFonts w:ascii="Arial" w:hAnsi="Arial"/>
                <w:b/>
                <w:color w:val="FFFFFF"/>
                <w:sz w:val="20"/>
              </w:rPr>
              <w:t>Fundamento</w:t>
            </w:r>
          </w:p>
        </w:tc>
      </w:tr>
      <w:tr>
        <w:tc>
          <w:tcPr>
            <w:tcW w:type="dxa" w:w="2551"/>
            <w:shd w:val="clear" w:color="auto" w:fill="F2F2F2"/>
          </w:tcPr>
          <w:p>
            <w:pPr>
              <w:jc w:val="left"/>
            </w:pPr>
            <w:r>
              <w:rPr>
                <w:rFonts w:ascii="Arial" w:hAnsi="Arial"/>
                <w:sz w:val="20"/>
              </w:rPr>
              <w:t>Vantagem Auferida</w:t>
            </w:r>
          </w:p>
        </w:tc>
        <w:tc>
          <w:tcPr>
            <w:tcW w:type="dxa" w:w="3402"/>
            <w:shd w:val="clear" w:color="auto" w:fill="F2F2F2"/>
          </w:tcPr>
          <w:p>
            <w:pPr>
              <w:jc w:val="center"/>
            </w:pPr>
            <w:r>
              <w:rPr>
                <w:rFonts w:ascii="Arial" w:hAnsi="Arial"/>
                <w:sz w:val="20"/>
              </w:rPr>
              <w:t>Ganho real e efetivamente obtido com o ato lesivo</w:t>
            </w:r>
          </w:p>
        </w:tc>
        <w:tc>
          <w:tcPr>
            <w:tcW w:type="dxa" w:w="3118"/>
            <w:shd w:val="clear" w:color="auto" w:fill="F2F2F2"/>
          </w:tcPr>
          <w:p>
            <w:pPr>
              <w:jc w:val="center"/>
            </w:pPr>
            <w:r>
              <w:rPr>
                <w:rFonts w:ascii="Arial" w:hAnsi="Arial"/>
                <w:sz w:val="20"/>
              </w:rPr>
              <w:t>Piso mínimo inafastável da multa</w:t>
            </w:r>
          </w:p>
        </w:tc>
        <w:tc>
          <w:tcPr>
            <w:tcW w:type="dxa" w:w="1701"/>
            <w:shd w:val="clear" w:color="auto" w:fill="F2F2F2"/>
          </w:tcPr>
          <w:p>
            <w:pPr>
              <w:jc w:val="center"/>
            </w:pPr>
            <w:r>
              <w:rPr>
                <w:rFonts w:ascii="Arial" w:hAnsi="Arial"/>
                <w:sz w:val="20"/>
              </w:rPr>
              <w:t>Art. 25, I</w:t>
            </w:r>
          </w:p>
        </w:tc>
      </w:tr>
      <w:tr>
        <w:tc>
          <w:tcPr>
            <w:tcW w:type="dxa" w:w="2551"/>
            <w:shd w:val="clear" w:color="auto" w:fill="FFFFFF"/>
          </w:tcPr>
          <w:p>
            <w:pPr>
              <w:jc w:val="left"/>
            </w:pPr>
            <w:r>
              <w:rPr>
                <w:rFonts w:ascii="Arial" w:hAnsi="Arial"/>
                <w:sz w:val="20"/>
              </w:rPr>
              <w:t>Vantagem Pretendida</w:t>
            </w:r>
          </w:p>
        </w:tc>
        <w:tc>
          <w:tcPr>
            <w:tcW w:type="dxa" w:w="3402"/>
            <w:shd w:val="clear" w:color="auto" w:fill="FFFFFF"/>
          </w:tcPr>
          <w:p>
            <w:pPr>
              <w:jc w:val="center"/>
            </w:pPr>
            <w:r>
              <w:rPr>
                <w:rFonts w:ascii="Arial" w:hAnsi="Arial"/>
                <w:sz w:val="20"/>
              </w:rPr>
              <w:t>Ganho planejado/visado, ainda que não concretizado</w:t>
            </w:r>
          </w:p>
        </w:tc>
        <w:tc>
          <w:tcPr>
            <w:tcW w:type="dxa" w:w="3118"/>
            <w:shd w:val="clear" w:color="auto" w:fill="FFFFFF"/>
          </w:tcPr>
          <w:p>
            <w:pPr>
              <w:jc w:val="center"/>
            </w:pPr>
            <w:r>
              <w:rPr>
                <w:rFonts w:ascii="Arial" w:hAnsi="Arial"/>
                <w:sz w:val="20"/>
              </w:rPr>
              <w:t>Referência para o teto máximo (maior entre as duas)</w:t>
            </w:r>
          </w:p>
        </w:tc>
        <w:tc>
          <w:tcPr>
            <w:tcW w:type="dxa" w:w="1701"/>
            <w:shd w:val="clear" w:color="auto" w:fill="FFFFFF"/>
          </w:tcPr>
          <w:p>
            <w:pPr>
              <w:jc w:val="center"/>
            </w:pPr>
            <w:r>
              <w:rPr>
                <w:rFonts w:ascii="Arial" w:hAnsi="Arial"/>
                <w:sz w:val="20"/>
              </w:rPr>
              <w:t>Art. 25, II</w:t>
            </w:r>
          </w:p>
        </w:tc>
      </w:tr>
    </w:tbl>
    <w:p/>
    <w:p>
      <w:pPr>
        <w:spacing w:before="240" w:after="80"/>
        <w:pBdr>
          <w:bottom w:val="single" w:sz="6" w:space="1" w:color="64A70B"/>
        </w:pBdr>
      </w:pPr>
      <w:r>
        <w:rPr>
          <w:rFonts w:ascii="Arial" w:hAnsi="Arial"/>
          <w:b/>
          <w:color w:val="1D3A78"/>
          <w:sz w:val="23"/>
        </w:rPr>
        <w:t>5.2 Métodos de Apuração da Vantagem Auferida</w:t>
      </w:r>
    </w:p>
    <w:p>
      <w:pPr>
        <w:spacing w:before="160" w:after="40"/>
      </w:pPr>
      <w:r>
        <w:rPr>
          <w:rFonts w:ascii="Arial" w:hAnsi="Arial"/>
          <w:b/>
          <w:color w:val="1D3A78"/>
          <w:sz w:val="22"/>
        </w:rPr>
        <w:t>Modo Direto</w:t>
      </w:r>
    </w:p>
    <w:p>
      <w:pPr>
        <w:spacing w:before="0" w:after="80"/>
      </w:pPr>
      <w:r>
        <w:rPr>
          <w:rFonts w:ascii="Arial" w:hAnsi="Arial"/>
          <w:i w:val="0"/>
          <w:sz w:val="22"/>
        </w:rPr>
        <w:t>Informar o valor já apurado externamente. Utilizar zero quando a vantagem não é estimável.</w:t>
      </w:r>
    </w:p>
    <w:p>
      <w:pPr>
        <w:spacing w:before="160" w:after="40"/>
      </w:pPr>
      <w:r>
        <w:rPr>
          <w:rFonts w:ascii="Arial" w:hAnsi="Arial"/>
          <w:b/>
          <w:color w:val="1D3A78"/>
          <w:sz w:val="22"/>
        </w:rPr>
        <w:t>Art. 26, I — Diferença entre receita auferida e custos lícitos</w:t>
      </w:r>
    </w:p>
    <w:p>
      <w:pPr>
        <w:spacing w:before="0" w:after="80"/>
      </w:pPr>
      <w:r>
        <w:rPr>
          <w:rFonts w:ascii="Arial" w:hAnsi="Arial"/>
          <w:i w:val="0"/>
          <w:sz w:val="22"/>
        </w:rPr>
        <w:t>Aplicável quando há receita auferida indevidamente (ex.: contratos obtidos por ato ilícito).</w:t>
      </w:r>
    </w:p>
    <w:p>
      <w:pPr>
        <w:spacing w:before="80" w:after="80"/>
        <w:ind w:left="850" w:right="567"/>
      </w:pPr>
      <w:r>
        <w:rPr>
          <w:rFonts w:ascii="Arial" w:hAnsi="Arial"/>
          <w:i/>
          <w:color w:val="333366"/>
          <w:sz w:val="20"/>
        </w:rPr>
        <w:t>Vantagem = Receita Auferida − CMV/CSP − Despesas Lícitas − IRPJ/CSLL</w:t>
      </w:r>
    </w:p>
    <w:p>
      <w:pPr>
        <w:spacing w:before="0" w:after="80"/>
      </w:pPr>
      <w:r>
        <w:rPr>
          <w:rFonts w:ascii="Arial" w:hAnsi="Arial"/>
          <w:i w:val="0"/>
          <w:sz w:val="22"/>
        </w:rPr>
        <w:t>Suporta múltiplos exercícios com tratamento de prejuízos acumulados.</w:t>
      </w:r>
    </w:p>
    <w:p>
      <w:pPr>
        <w:spacing w:before="160" w:after="40"/>
      </w:pPr>
      <w:r>
        <w:rPr>
          <w:rFonts w:ascii="Arial" w:hAnsi="Arial"/>
          <w:b/>
          <w:color w:val="1D3A78"/>
          <w:sz w:val="22"/>
        </w:rPr>
        <w:t>Art. 26, II — Custos e despesas não suportados</w:t>
      </w:r>
    </w:p>
    <w:p>
      <w:pPr>
        <w:spacing w:before="0" w:after="80"/>
      </w:pPr>
      <w:r>
        <w:rPr>
          <w:rFonts w:ascii="Arial" w:hAnsi="Arial"/>
          <w:i w:val="0"/>
          <w:sz w:val="22"/>
        </w:rPr>
        <w:t>Valor correspondente aos custos e despesas que a PJ deixou de suportar. Exemplos: tributos não recolhidos, multas regulatórias evitadas, encargos não pagos.</w:t>
      </w:r>
    </w:p>
    <w:p>
      <w:pPr>
        <w:spacing w:before="160" w:after="40"/>
      </w:pPr>
      <w:r>
        <w:rPr>
          <w:rFonts w:ascii="Arial" w:hAnsi="Arial"/>
          <w:b/>
          <w:color w:val="1D3A78"/>
          <w:sz w:val="22"/>
        </w:rPr>
        <w:t>Art. 26, III — Acréscimo patrimonial por ação/omissão do Poder Público</w:t>
      </w:r>
    </w:p>
    <w:p>
      <w:pPr>
        <w:spacing w:before="0" w:after="80"/>
      </w:pPr>
      <w:r>
        <w:rPr>
          <w:rFonts w:ascii="Arial" w:hAnsi="Arial"/>
          <w:i w:val="0"/>
          <w:sz w:val="22"/>
        </w:rPr>
        <w:t>Acréscimo patrimonial que não teria ocorrido sem o ato lesivo. Exemplos: juros subsidiados obtidos indevidamente, uso de informação privilegiada.</w:t>
      </w:r>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Não confundir vantagem auferida com pretendida. Inflar o piso mínimo com a vantagem pretendida é erro metodológico. A calculadora trata cada valor na função legal correta.</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6. AGRAVANTES — ART. 22, I A VI</w:t>
            </w:r>
          </w:p>
        </w:tc>
      </w:tr>
    </w:tbl>
    <w:p/>
    <w:p>
      <w:pPr>
        <w:spacing w:before="240" w:after="80"/>
        <w:pBdr>
          <w:bottom w:val="single" w:sz="6" w:space="1" w:color="64A70B"/>
        </w:pBdr>
      </w:pPr>
      <w:r>
        <w:rPr>
          <w:rFonts w:ascii="Arial" w:hAnsi="Arial"/>
          <w:b/>
          <w:color w:val="C0392B"/>
          <w:sz w:val="23"/>
        </w:rPr>
        <w:t>6.1 Art. 22, I — Concurso de Atos Lesivos</w:t>
      </w:r>
    </w:p>
    <w:p>
      <w:pPr>
        <w:spacing w:before="0" w:after="80"/>
      </w:pPr>
      <w:r>
        <w:rPr>
          <w:rFonts w:ascii="Arial" w:hAnsi="Arial"/>
          <w:i w:val="0"/>
          <w:sz w:val="22"/>
        </w:rPr>
        <w:t>Cruzamento entre quantidade de condutas ilícitas (linhas) e número de espécies distintas de atos lesivos do art. 5º da LAC (colunas). Aplica-se o percentual da célula correspondente ao caso concreto.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118"/>
            <w:shd w:val="clear" w:color="auto" w:fill="C0392B"/>
          </w:tcPr>
          <w:p>
            <w:pPr>
              <w:jc w:val="center"/>
            </w:pPr>
            <w:r>
              <w:rPr>
                <w:rFonts w:ascii="Arial" w:hAnsi="Arial"/>
                <w:b/>
                <w:color w:val="FFFFFF"/>
                <w:sz w:val="20"/>
              </w:rPr>
              <w:t>Condutas ↓ / Espécies →</w:t>
            </w:r>
          </w:p>
        </w:tc>
        <w:tc>
          <w:tcPr>
            <w:tcW w:type="dxa" w:w="1701"/>
            <w:shd w:val="clear" w:color="auto" w:fill="C0392B"/>
          </w:tcPr>
          <w:p>
            <w:pPr>
              <w:jc w:val="center"/>
            </w:pPr>
            <w:r>
              <w:rPr>
                <w:rFonts w:ascii="Arial" w:hAnsi="Arial"/>
                <w:b/>
                <w:color w:val="FFFFFF"/>
                <w:sz w:val="20"/>
              </w:rPr>
              <w:t>1 espécie</w:t>
            </w:r>
          </w:p>
        </w:tc>
        <w:tc>
          <w:tcPr>
            <w:tcW w:type="dxa" w:w="1701"/>
            <w:shd w:val="clear" w:color="auto" w:fill="C0392B"/>
          </w:tcPr>
          <w:p>
            <w:pPr>
              <w:jc w:val="center"/>
            </w:pPr>
            <w:r>
              <w:rPr>
                <w:rFonts w:ascii="Arial" w:hAnsi="Arial"/>
                <w:b/>
                <w:color w:val="FFFFFF"/>
                <w:sz w:val="20"/>
              </w:rPr>
              <w:t>2 espécies</w:t>
            </w:r>
          </w:p>
        </w:tc>
        <w:tc>
          <w:tcPr>
            <w:tcW w:type="dxa" w:w="1701"/>
            <w:shd w:val="clear" w:color="auto" w:fill="C0392B"/>
          </w:tcPr>
          <w:p>
            <w:pPr>
              <w:jc w:val="center"/>
            </w:pPr>
            <w:r>
              <w:rPr>
                <w:rFonts w:ascii="Arial" w:hAnsi="Arial"/>
                <w:b/>
                <w:color w:val="FFFFFF"/>
                <w:sz w:val="20"/>
              </w:rPr>
              <w:t>3 espécies</w:t>
            </w:r>
          </w:p>
        </w:tc>
        <w:tc>
          <w:tcPr>
            <w:tcW w:type="dxa" w:w="1701"/>
            <w:shd w:val="clear" w:color="auto" w:fill="C0392B"/>
          </w:tcPr>
          <w:p>
            <w:pPr>
              <w:jc w:val="center"/>
            </w:pPr>
            <w:r>
              <w:rPr>
                <w:rFonts w:ascii="Arial" w:hAnsi="Arial"/>
                <w:b/>
                <w:color w:val="FFFFFF"/>
                <w:sz w:val="20"/>
              </w:rPr>
              <w:t>4 ou mais</w:t>
            </w:r>
          </w:p>
        </w:tc>
      </w:tr>
      <w:tr>
        <w:tc>
          <w:tcPr>
            <w:tcW w:type="dxa" w:w="3118"/>
            <w:shd w:val="clear" w:color="auto" w:fill="F2F2F2"/>
          </w:tcPr>
          <w:p>
            <w:pPr>
              <w:jc w:val="left"/>
            </w:pPr>
            <w:r>
              <w:rPr>
                <w:rFonts w:ascii="Arial" w:hAnsi="Arial"/>
                <w:sz w:val="20"/>
              </w:rPr>
              <w:t>1 conduta (ato isolado)</w:t>
            </w:r>
          </w:p>
        </w:tc>
        <w:tc>
          <w:tcPr>
            <w:tcW w:type="dxa" w:w="1701"/>
            <w:shd w:val="clear" w:color="auto" w:fill="F2F2F2"/>
          </w:tcPr>
          <w:p>
            <w:pPr>
              <w:jc w:val="center"/>
            </w:pPr>
            <w:r>
              <w:rPr>
                <w:rFonts w:ascii="Arial" w:hAnsi="Arial"/>
                <w:sz w:val="20"/>
              </w:rPr>
              <w:t>—</w:t>
            </w:r>
          </w:p>
        </w:tc>
        <w:tc>
          <w:tcPr>
            <w:tcW w:type="dxa" w:w="1701"/>
            <w:shd w:val="clear" w:color="auto" w:fill="F2F2F2"/>
          </w:tcPr>
          <w:p>
            <w:pPr>
              <w:jc w:val="center"/>
            </w:pPr>
            <w:r>
              <w:rPr>
                <w:rFonts w:ascii="Arial" w:hAnsi="Arial"/>
                <w:sz w:val="20"/>
              </w:rPr>
              <w:t>0,5%</w:t>
            </w:r>
          </w:p>
        </w:tc>
        <w:tc>
          <w:tcPr>
            <w:tcW w:type="dxa" w:w="1701"/>
            <w:shd w:val="clear" w:color="auto" w:fill="F2F2F2"/>
          </w:tcPr>
          <w:p>
            <w:pPr>
              <w:jc w:val="center"/>
            </w:pPr>
            <w:r>
              <w:rPr>
                <w:rFonts w:ascii="Arial" w:hAnsi="Arial"/>
                <w:sz w:val="20"/>
              </w:rPr>
              <w:t>1,0%</w:t>
            </w:r>
          </w:p>
        </w:tc>
        <w:tc>
          <w:tcPr>
            <w:tcW w:type="dxa" w:w="1701"/>
            <w:shd w:val="clear" w:color="auto" w:fill="F2F2F2"/>
          </w:tcPr>
          <w:p>
            <w:pPr>
              <w:jc w:val="center"/>
            </w:pPr>
            <w:r>
              <w:rPr>
                <w:rFonts w:ascii="Arial" w:hAnsi="Arial"/>
                <w:sz w:val="20"/>
              </w:rPr>
              <w:t>1,5%</w:t>
            </w:r>
          </w:p>
        </w:tc>
      </w:tr>
      <w:tr>
        <w:tc>
          <w:tcPr>
            <w:tcW w:type="dxa" w:w="3118"/>
            <w:shd w:val="clear" w:color="auto" w:fill="FFFFFF"/>
          </w:tcPr>
          <w:p>
            <w:pPr>
              <w:jc w:val="left"/>
            </w:pPr>
            <w:r>
              <w:rPr>
                <w:rFonts w:ascii="Arial" w:hAnsi="Arial"/>
                <w:sz w:val="20"/>
              </w:rPr>
              <w:t>2 condutas</w:t>
            </w:r>
          </w:p>
        </w:tc>
        <w:tc>
          <w:tcPr>
            <w:tcW w:type="dxa" w:w="1701"/>
            <w:shd w:val="clear" w:color="auto" w:fill="FFFFFF"/>
          </w:tcPr>
          <w:p>
            <w:pPr>
              <w:jc w:val="center"/>
            </w:pPr>
            <w:r>
              <w:rPr>
                <w:rFonts w:ascii="Arial" w:hAnsi="Arial"/>
                <w:sz w:val="20"/>
              </w:rPr>
              <w:t>0,5%</w:t>
            </w:r>
          </w:p>
        </w:tc>
        <w:tc>
          <w:tcPr>
            <w:tcW w:type="dxa" w:w="1701"/>
            <w:shd w:val="clear" w:color="auto" w:fill="FFFFFF"/>
          </w:tcPr>
          <w:p>
            <w:pPr>
              <w:jc w:val="center"/>
            </w:pPr>
            <w:r>
              <w:rPr>
                <w:rFonts w:ascii="Arial" w:hAnsi="Arial"/>
                <w:sz w:val="20"/>
              </w:rPr>
              <w:t>1,0%</w:t>
            </w:r>
          </w:p>
        </w:tc>
        <w:tc>
          <w:tcPr>
            <w:tcW w:type="dxa" w:w="1701"/>
            <w:shd w:val="clear" w:color="auto" w:fill="FFFFFF"/>
          </w:tcPr>
          <w:p>
            <w:pPr>
              <w:jc w:val="center"/>
            </w:pPr>
            <w:r>
              <w:rPr>
                <w:rFonts w:ascii="Arial" w:hAnsi="Arial"/>
                <w:sz w:val="20"/>
              </w:rPr>
              <w:t>1,5%</w:t>
            </w:r>
          </w:p>
        </w:tc>
        <w:tc>
          <w:tcPr>
            <w:tcW w:type="dxa" w:w="1701"/>
            <w:shd w:val="clear" w:color="auto" w:fill="FFFFFF"/>
          </w:tcPr>
          <w:p>
            <w:pPr>
              <w:jc w:val="center"/>
            </w:pPr>
            <w:r>
              <w:rPr>
                <w:rFonts w:ascii="Arial" w:hAnsi="Arial"/>
                <w:sz w:val="20"/>
              </w:rPr>
              <w:t>2,0%</w:t>
            </w:r>
          </w:p>
        </w:tc>
      </w:tr>
      <w:tr>
        <w:tc>
          <w:tcPr>
            <w:tcW w:type="dxa" w:w="3118"/>
            <w:shd w:val="clear" w:color="auto" w:fill="F2F2F2"/>
          </w:tcPr>
          <w:p>
            <w:pPr>
              <w:jc w:val="left"/>
            </w:pPr>
            <w:r>
              <w:rPr>
                <w:rFonts w:ascii="Arial" w:hAnsi="Arial"/>
                <w:sz w:val="20"/>
              </w:rPr>
              <w:t>3 condutas</w:t>
            </w:r>
          </w:p>
        </w:tc>
        <w:tc>
          <w:tcPr>
            <w:tcW w:type="dxa" w:w="1701"/>
            <w:shd w:val="clear" w:color="auto" w:fill="F2F2F2"/>
          </w:tcPr>
          <w:p>
            <w:pPr>
              <w:jc w:val="center"/>
            </w:pPr>
            <w:r>
              <w:rPr>
                <w:rFonts w:ascii="Arial" w:hAnsi="Arial"/>
                <w:sz w:val="20"/>
              </w:rPr>
              <w:t>1,0%</w:t>
            </w:r>
          </w:p>
        </w:tc>
        <w:tc>
          <w:tcPr>
            <w:tcW w:type="dxa" w:w="1701"/>
            <w:shd w:val="clear" w:color="auto" w:fill="F2F2F2"/>
          </w:tcPr>
          <w:p>
            <w:pPr>
              <w:jc w:val="center"/>
            </w:pPr>
            <w:r>
              <w:rPr>
                <w:rFonts w:ascii="Arial" w:hAnsi="Arial"/>
                <w:sz w:val="20"/>
              </w:rPr>
              <w:t>1,5%</w:t>
            </w:r>
          </w:p>
        </w:tc>
        <w:tc>
          <w:tcPr>
            <w:tcW w:type="dxa" w:w="1701"/>
            <w:shd w:val="clear" w:color="auto" w:fill="F2F2F2"/>
          </w:tcPr>
          <w:p>
            <w:pPr>
              <w:jc w:val="center"/>
            </w:pPr>
            <w:r>
              <w:rPr>
                <w:rFonts w:ascii="Arial" w:hAnsi="Arial"/>
                <w:sz w:val="20"/>
              </w:rPr>
              <w:t>2,0%</w:t>
            </w:r>
          </w:p>
        </w:tc>
        <w:tc>
          <w:tcPr>
            <w:tcW w:type="dxa" w:w="1701"/>
            <w:shd w:val="clear" w:color="auto" w:fill="F2F2F2"/>
          </w:tcPr>
          <w:p>
            <w:pPr>
              <w:jc w:val="center"/>
            </w:pPr>
            <w:r>
              <w:rPr>
                <w:rFonts w:ascii="Arial" w:hAnsi="Arial"/>
                <w:sz w:val="20"/>
              </w:rPr>
              <w:t>2,5%</w:t>
            </w:r>
          </w:p>
        </w:tc>
      </w:tr>
      <w:tr>
        <w:tc>
          <w:tcPr>
            <w:tcW w:type="dxa" w:w="3118"/>
            <w:shd w:val="clear" w:color="auto" w:fill="FFFFFF"/>
          </w:tcPr>
          <w:p>
            <w:pPr>
              <w:jc w:val="left"/>
            </w:pPr>
            <w:r>
              <w:rPr>
                <w:rFonts w:ascii="Arial" w:hAnsi="Arial"/>
                <w:sz w:val="20"/>
              </w:rPr>
              <w:t>4 condutas</w:t>
            </w:r>
          </w:p>
        </w:tc>
        <w:tc>
          <w:tcPr>
            <w:tcW w:type="dxa" w:w="1701"/>
            <w:shd w:val="clear" w:color="auto" w:fill="FFFFFF"/>
          </w:tcPr>
          <w:p>
            <w:pPr>
              <w:jc w:val="center"/>
            </w:pPr>
            <w:r>
              <w:rPr>
                <w:rFonts w:ascii="Arial" w:hAnsi="Arial"/>
                <w:sz w:val="20"/>
              </w:rPr>
              <w:t>1,5%</w:t>
            </w:r>
          </w:p>
        </w:tc>
        <w:tc>
          <w:tcPr>
            <w:tcW w:type="dxa" w:w="1701"/>
            <w:shd w:val="clear" w:color="auto" w:fill="FFFFFF"/>
          </w:tcPr>
          <w:p>
            <w:pPr>
              <w:jc w:val="center"/>
            </w:pPr>
            <w:r>
              <w:rPr>
                <w:rFonts w:ascii="Arial" w:hAnsi="Arial"/>
                <w:sz w:val="20"/>
              </w:rPr>
              <w:t>2,0%</w:t>
            </w:r>
          </w:p>
        </w:tc>
        <w:tc>
          <w:tcPr>
            <w:tcW w:type="dxa" w:w="1701"/>
            <w:shd w:val="clear" w:color="auto" w:fill="FFFFFF"/>
          </w:tcPr>
          <w:p>
            <w:pPr>
              <w:jc w:val="center"/>
            </w:pPr>
            <w:r>
              <w:rPr>
                <w:rFonts w:ascii="Arial" w:hAnsi="Arial"/>
                <w:sz w:val="20"/>
              </w:rPr>
              <w:t>2,5%</w:t>
            </w:r>
          </w:p>
        </w:tc>
        <w:tc>
          <w:tcPr>
            <w:tcW w:type="dxa" w:w="1701"/>
            <w:shd w:val="clear" w:color="auto" w:fill="FFFFFF"/>
          </w:tcPr>
          <w:p>
            <w:pPr>
              <w:jc w:val="center"/>
            </w:pPr>
            <w:r>
              <w:rPr>
                <w:rFonts w:ascii="Arial" w:hAnsi="Arial"/>
                <w:sz w:val="20"/>
              </w:rPr>
              <w:t>3,0%</w:t>
            </w:r>
          </w:p>
        </w:tc>
      </w:tr>
      <w:tr>
        <w:tc>
          <w:tcPr>
            <w:tcW w:type="dxa" w:w="3118"/>
            <w:shd w:val="clear" w:color="auto" w:fill="F2F2F2"/>
          </w:tcPr>
          <w:p>
            <w:pPr>
              <w:jc w:val="left"/>
            </w:pPr>
            <w:r>
              <w:rPr>
                <w:rFonts w:ascii="Arial" w:hAnsi="Arial"/>
                <w:sz w:val="20"/>
              </w:rPr>
              <w:t>5 condutas</w:t>
            </w:r>
          </w:p>
        </w:tc>
        <w:tc>
          <w:tcPr>
            <w:tcW w:type="dxa" w:w="1701"/>
            <w:shd w:val="clear" w:color="auto" w:fill="F2F2F2"/>
          </w:tcPr>
          <w:p>
            <w:pPr>
              <w:jc w:val="center"/>
            </w:pPr>
            <w:r>
              <w:rPr>
                <w:rFonts w:ascii="Arial" w:hAnsi="Arial"/>
                <w:sz w:val="20"/>
              </w:rPr>
              <w:t>2,0%</w:t>
            </w:r>
          </w:p>
        </w:tc>
        <w:tc>
          <w:tcPr>
            <w:tcW w:type="dxa" w:w="1701"/>
            <w:shd w:val="clear" w:color="auto" w:fill="F2F2F2"/>
          </w:tcPr>
          <w:p>
            <w:pPr>
              <w:jc w:val="center"/>
            </w:pPr>
            <w:r>
              <w:rPr>
                <w:rFonts w:ascii="Arial" w:hAnsi="Arial"/>
                <w:sz w:val="20"/>
              </w:rPr>
              <w:t>2,5%</w:t>
            </w:r>
          </w:p>
        </w:tc>
        <w:tc>
          <w:tcPr>
            <w:tcW w:type="dxa" w:w="1701"/>
            <w:shd w:val="clear" w:color="auto" w:fill="F2F2F2"/>
          </w:tcPr>
          <w:p>
            <w:pPr>
              <w:jc w:val="center"/>
            </w:pPr>
            <w:r>
              <w:rPr>
                <w:rFonts w:ascii="Arial" w:hAnsi="Arial"/>
                <w:sz w:val="20"/>
              </w:rPr>
              <w:t>3,0%</w:t>
            </w:r>
          </w:p>
        </w:tc>
        <w:tc>
          <w:tcPr>
            <w:tcW w:type="dxa" w:w="1701"/>
            <w:shd w:val="clear" w:color="auto" w:fill="F2F2F2"/>
          </w:tcPr>
          <w:p>
            <w:pPr>
              <w:jc w:val="center"/>
            </w:pPr>
            <w:r>
              <w:rPr>
                <w:rFonts w:ascii="Arial" w:hAnsi="Arial"/>
                <w:sz w:val="20"/>
              </w:rPr>
              <w:t>3,5%</w:t>
            </w:r>
          </w:p>
        </w:tc>
      </w:tr>
      <w:tr>
        <w:tc>
          <w:tcPr>
            <w:tcW w:type="dxa" w:w="3118"/>
            <w:shd w:val="clear" w:color="auto" w:fill="FFFFFF"/>
          </w:tcPr>
          <w:p>
            <w:pPr>
              <w:jc w:val="left"/>
            </w:pPr>
            <w:r>
              <w:rPr>
                <w:rFonts w:ascii="Arial" w:hAnsi="Arial"/>
                <w:sz w:val="20"/>
              </w:rPr>
              <w:t>6 condutas</w:t>
            </w:r>
          </w:p>
        </w:tc>
        <w:tc>
          <w:tcPr>
            <w:tcW w:type="dxa" w:w="1701"/>
            <w:shd w:val="clear" w:color="auto" w:fill="FFFFFF"/>
          </w:tcPr>
          <w:p>
            <w:pPr>
              <w:jc w:val="center"/>
            </w:pPr>
            <w:r>
              <w:rPr>
                <w:rFonts w:ascii="Arial" w:hAnsi="Arial"/>
                <w:sz w:val="20"/>
              </w:rPr>
              <w:t>2,5%</w:t>
            </w:r>
          </w:p>
        </w:tc>
        <w:tc>
          <w:tcPr>
            <w:tcW w:type="dxa" w:w="1701"/>
            <w:shd w:val="clear" w:color="auto" w:fill="FFFFFF"/>
          </w:tcPr>
          <w:p>
            <w:pPr>
              <w:jc w:val="center"/>
            </w:pPr>
            <w:r>
              <w:rPr>
                <w:rFonts w:ascii="Arial" w:hAnsi="Arial"/>
                <w:sz w:val="20"/>
              </w:rPr>
              <w:t>3,0%</w:t>
            </w:r>
          </w:p>
        </w:tc>
        <w:tc>
          <w:tcPr>
            <w:tcW w:type="dxa" w:w="1701"/>
            <w:shd w:val="clear" w:color="auto" w:fill="FFFFFF"/>
          </w:tcPr>
          <w:p>
            <w:pPr>
              <w:jc w:val="center"/>
            </w:pPr>
            <w:r>
              <w:rPr>
                <w:rFonts w:ascii="Arial" w:hAnsi="Arial"/>
                <w:sz w:val="20"/>
              </w:rPr>
              <w:t>3,5%</w:t>
            </w:r>
          </w:p>
        </w:tc>
        <w:tc>
          <w:tcPr>
            <w:tcW w:type="dxa" w:w="1701"/>
            <w:shd w:val="clear" w:color="auto" w:fill="FFFFFF"/>
          </w:tcPr>
          <w:p>
            <w:pPr>
              <w:jc w:val="center"/>
            </w:pPr>
            <w:r>
              <w:rPr>
                <w:rFonts w:ascii="Arial" w:hAnsi="Arial"/>
                <w:sz w:val="20"/>
              </w:rPr>
              <w:t>4,0%</w:t>
            </w:r>
          </w:p>
        </w:tc>
      </w:tr>
      <w:tr>
        <w:tc>
          <w:tcPr>
            <w:tcW w:type="dxa" w:w="3118"/>
            <w:shd w:val="clear" w:color="auto" w:fill="F2F2F2"/>
          </w:tcPr>
          <w:p>
            <w:pPr>
              <w:jc w:val="left"/>
            </w:pPr>
            <w:r>
              <w:rPr>
                <w:rFonts w:ascii="Arial" w:hAnsi="Arial"/>
                <w:sz w:val="20"/>
              </w:rPr>
              <w:t>7 ou mais</w:t>
            </w:r>
          </w:p>
        </w:tc>
        <w:tc>
          <w:tcPr>
            <w:tcW w:type="dxa" w:w="1701"/>
            <w:shd w:val="clear" w:color="auto" w:fill="F2F2F2"/>
          </w:tcPr>
          <w:p>
            <w:pPr>
              <w:jc w:val="center"/>
            </w:pPr>
            <w:r>
              <w:rPr>
                <w:rFonts w:ascii="Arial" w:hAnsi="Arial"/>
                <w:sz w:val="20"/>
              </w:rPr>
              <w:t>3,0%</w:t>
            </w:r>
          </w:p>
        </w:tc>
        <w:tc>
          <w:tcPr>
            <w:tcW w:type="dxa" w:w="1701"/>
            <w:shd w:val="clear" w:color="auto" w:fill="F2F2F2"/>
          </w:tcPr>
          <w:p>
            <w:pPr>
              <w:jc w:val="center"/>
            </w:pPr>
            <w:r>
              <w:rPr>
                <w:rFonts w:ascii="Arial" w:hAnsi="Arial"/>
                <w:sz w:val="20"/>
              </w:rPr>
              <w:t>3,5%</w:t>
            </w:r>
          </w:p>
        </w:tc>
        <w:tc>
          <w:tcPr>
            <w:tcW w:type="dxa" w:w="1701"/>
            <w:shd w:val="clear" w:color="auto" w:fill="F2F2F2"/>
          </w:tcPr>
          <w:p>
            <w:pPr>
              <w:jc w:val="center"/>
            </w:pPr>
            <w:r>
              <w:rPr>
                <w:rFonts w:ascii="Arial" w:hAnsi="Arial"/>
                <w:sz w:val="20"/>
              </w:rPr>
              <w:t>4,0%</w:t>
            </w:r>
          </w:p>
        </w:tc>
        <w:tc>
          <w:tcPr>
            <w:tcW w:type="dxa" w:w="1701"/>
            <w:shd w:val="clear" w:color="auto" w:fill="F2F2F2"/>
          </w:tcPr>
          <w:p>
            <w:pPr>
              <w:jc w:val="center"/>
            </w:pPr>
            <w:r>
              <w:rPr>
                <w:rFonts w:ascii="Arial" w:hAnsi="Arial"/>
                <w:sz w:val="20"/>
              </w:rPr>
              <w:t>4,0%</w:t>
            </w:r>
          </w:p>
        </w:tc>
      </w:tr>
    </w:tbl>
    <w:p/>
    <w:p>
      <w:pPr>
        <w:spacing w:before="240" w:after="80"/>
        <w:pBdr>
          <w:bottom w:val="single" w:sz="6" w:space="1" w:color="64A70B"/>
        </w:pBdr>
      </w:pPr>
      <w:r>
        <w:rPr>
          <w:rFonts w:ascii="Arial" w:hAnsi="Arial"/>
          <w:b/>
          <w:color w:val="C0392B"/>
          <w:sz w:val="23"/>
        </w:rPr>
        <w:t>6.2 Art. 22, II — Ciência/Tolerância Hierárquica</w:t>
      </w:r>
    </w:p>
    <w:p>
      <w:pPr>
        <w:spacing w:before="0" w:after="80"/>
      </w:pPr>
      <w:r>
        <w:rPr>
          <w:rFonts w:ascii="Arial" w:hAnsi="Arial"/>
          <w:i w:val="0"/>
          <w:sz w:val="22"/>
        </w:rPr>
        <w:t>O percentual varia conforme a posição hierárquica do agente com conhecimento ou tolerância, medida a partir do topo da estrutura.</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C0392B"/>
          </w:tcPr>
          <w:p>
            <w:pPr>
              <w:jc w:val="center"/>
            </w:pPr>
            <w:r>
              <w:rPr>
                <w:rFonts w:ascii="Arial" w:hAnsi="Arial"/>
                <w:b/>
                <w:color w:val="FFFFFF"/>
                <w:sz w:val="20"/>
              </w:rPr>
              <w:t>Nível hierárquico</w:t>
            </w:r>
          </w:p>
        </w:tc>
        <w:tc>
          <w:tcPr>
            <w:tcW w:type="dxa" w:w="1701"/>
            <w:shd w:val="clear" w:color="auto" w:fill="C0392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Ausência de conhecimento pelo corpo diretivo e gerencial</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Tolerância/ciência do 5º nível abaixo dos administradores</w:t>
            </w:r>
          </w:p>
        </w:tc>
        <w:tc>
          <w:tcPr>
            <w:tcW w:type="dxa" w:w="1701"/>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Tolerância/ciência do 4º nível abaixo dos administradores</w:t>
            </w:r>
          </w:p>
        </w:tc>
        <w:tc>
          <w:tcPr>
            <w:tcW w:type="dxa" w:w="1701"/>
            <w:shd w:val="clear" w:color="auto" w:fill="F2F2F2"/>
          </w:tcPr>
          <w:p>
            <w:pPr>
              <w:jc w:val="center"/>
            </w:pPr>
            <w:r>
              <w:rPr>
                <w:rFonts w:ascii="Arial" w:hAnsi="Arial"/>
                <w:sz w:val="20"/>
              </w:rPr>
              <w:t>1,5%</w:t>
            </w:r>
          </w:p>
        </w:tc>
      </w:tr>
      <w:tr>
        <w:tc>
          <w:tcPr>
            <w:tcW w:type="dxa" w:w="7370"/>
            <w:shd w:val="clear" w:color="auto" w:fill="FFFFFF"/>
          </w:tcPr>
          <w:p>
            <w:pPr>
              <w:jc w:val="left"/>
            </w:pPr>
            <w:r>
              <w:rPr>
                <w:rFonts w:ascii="Arial" w:hAnsi="Arial"/>
                <w:sz w:val="20"/>
              </w:rPr>
              <w:t>Tolerância/ciência do 3º nível abaixo dos administradores</w:t>
            </w:r>
          </w:p>
        </w:tc>
        <w:tc>
          <w:tcPr>
            <w:tcW w:type="dxa" w:w="1701"/>
            <w:shd w:val="clear" w:color="auto" w:fill="FFFFFF"/>
          </w:tcPr>
          <w:p>
            <w:pPr>
              <w:jc w:val="center"/>
            </w:pPr>
            <w:r>
              <w:rPr>
                <w:rFonts w:ascii="Arial" w:hAnsi="Arial"/>
                <w:sz w:val="20"/>
              </w:rPr>
              <w:t>2,0%</w:t>
            </w:r>
          </w:p>
        </w:tc>
      </w:tr>
      <w:tr>
        <w:tc>
          <w:tcPr>
            <w:tcW w:type="dxa" w:w="7370"/>
            <w:shd w:val="clear" w:color="auto" w:fill="F2F2F2"/>
          </w:tcPr>
          <w:p>
            <w:pPr>
              <w:jc w:val="left"/>
            </w:pPr>
            <w:r>
              <w:rPr>
                <w:rFonts w:ascii="Arial" w:hAnsi="Arial"/>
                <w:sz w:val="20"/>
              </w:rPr>
              <w:t>Tolerância/ciência do 2º nível (imediatamente abaixo)</w:t>
            </w:r>
          </w:p>
        </w:tc>
        <w:tc>
          <w:tcPr>
            <w:tcW w:type="dxa" w:w="1701"/>
            <w:shd w:val="clear" w:color="auto" w:fill="F2F2F2"/>
          </w:tcPr>
          <w:p>
            <w:pPr>
              <w:jc w:val="center"/>
            </w:pPr>
            <w:r>
              <w:rPr>
                <w:rFonts w:ascii="Arial" w:hAnsi="Arial"/>
                <w:sz w:val="20"/>
              </w:rPr>
              <w:t>2,5%</w:t>
            </w:r>
          </w:p>
        </w:tc>
      </w:tr>
      <w:tr>
        <w:tc>
          <w:tcPr>
            <w:tcW w:type="dxa" w:w="7370"/>
            <w:shd w:val="clear" w:color="auto" w:fill="FFFFFF"/>
          </w:tcPr>
          <w:p>
            <w:pPr>
              <w:jc w:val="left"/>
            </w:pPr>
            <w:r>
              <w:rPr>
                <w:rFonts w:ascii="Arial" w:hAnsi="Arial"/>
                <w:sz w:val="20"/>
              </w:rPr>
              <w:t>Tolerância/ciência dos sócios, acionistas ou administradores</w:t>
            </w:r>
          </w:p>
        </w:tc>
        <w:tc>
          <w:tcPr>
            <w:tcW w:type="dxa" w:w="1701"/>
            <w:shd w:val="clear" w:color="auto" w:fill="FFFFFF"/>
          </w:tcPr>
          <w:p>
            <w:pPr>
              <w:jc w:val="center"/>
            </w:pPr>
            <w:r>
              <w:rPr>
                <w:rFonts w:ascii="Arial" w:hAnsi="Arial"/>
                <w:sz w:val="20"/>
              </w:rPr>
              <w:t>3,0%</w:t>
            </w:r>
          </w:p>
        </w:tc>
      </w:tr>
    </w:tbl>
    <w:p/>
    <w:p>
      <w:pPr>
        <w:spacing w:before="240" w:after="80"/>
        <w:pBdr>
          <w:bottom w:val="single" w:sz="6" w:space="1" w:color="64A70B"/>
        </w:pBdr>
      </w:pPr>
      <w:r>
        <w:rPr>
          <w:rFonts w:ascii="Arial" w:hAnsi="Arial"/>
          <w:b/>
          <w:color w:val="C0392B"/>
          <w:sz w:val="23"/>
        </w:rPr>
        <w:t>6.3 Art. 22, III — Interrupção/Descumprimento (três hipóteses)</w:t>
      </w:r>
    </w:p>
    <w:p>
      <w:pPr>
        <w:spacing w:before="0" w:after="80"/>
      </w:pPr>
      <w:r>
        <w:rPr>
          <w:rFonts w:ascii="Arial" w:hAnsi="Arial"/>
          <w:i w:val="0"/>
          <w:sz w:val="22"/>
        </w:rPr>
        <w:t>Avalie cada uma das três hipóteses abaixo. Aplica-se automaticamente o maior percentual entre elas.</w:t>
      </w:r>
    </w:p>
    <w:p>
      <w:pPr>
        <w:spacing w:before="160" w:after="40"/>
      </w:pPr>
      <w:r>
        <w:rPr>
          <w:rFonts w:ascii="Arial" w:hAnsi="Arial"/>
          <w:b/>
          <w:color w:val="1D3A78"/>
          <w:sz w:val="22"/>
        </w:rPr>
        <w:t>a) Interrupção no Fornecimento de Serviço Público</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C0392B"/>
          </w:tcPr>
          <w:p>
            <w:pPr>
              <w:jc w:val="center"/>
            </w:pPr>
            <w:r>
              <w:rPr>
                <w:rFonts w:ascii="Arial" w:hAnsi="Arial"/>
                <w:b/>
                <w:color w:val="FFFFFF"/>
                <w:sz w:val="20"/>
              </w:rPr>
              <w:t>Situação</w:t>
            </w:r>
          </w:p>
        </w:tc>
        <w:tc>
          <w:tcPr>
            <w:tcW w:type="dxa" w:w="1701"/>
            <w:shd w:val="clear" w:color="auto" w:fill="C0392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Ausência de interrupção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Até 1 semana ou vila/povoado</w:t>
            </w:r>
          </w:p>
        </w:tc>
        <w:tc>
          <w:tcPr>
            <w:tcW w:type="dxa" w:w="1701"/>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Até 2 semanas ou cidade até 500 mil hab.</w:t>
            </w:r>
          </w:p>
        </w:tc>
        <w:tc>
          <w:tcPr>
            <w:tcW w:type="dxa" w:w="1701"/>
            <w:shd w:val="clear" w:color="auto" w:fill="F2F2F2"/>
          </w:tcPr>
          <w:p>
            <w:pPr>
              <w:jc w:val="center"/>
            </w:pPr>
            <w:r>
              <w:rPr>
                <w:rFonts w:ascii="Arial" w:hAnsi="Arial"/>
                <w:sz w:val="20"/>
              </w:rPr>
              <w:t>2,0%</w:t>
            </w:r>
          </w:p>
        </w:tc>
      </w:tr>
      <w:tr>
        <w:tc>
          <w:tcPr>
            <w:tcW w:type="dxa" w:w="7370"/>
            <w:shd w:val="clear" w:color="auto" w:fill="FFFFFF"/>
          </w:tcPr>
          <w:p>
            <w:pPr>
              <w:jc w:val="left"/>
            </w:pPr>
            <w:r>
              <w:rPr>
                <w:rFonts w:ascii="Arial" w:hAnsi="Arial"/>
                <w:sz w:val="20"/>
              </w:rPr>
              <w:t>Até 3 semanas ou cidade +500 mil hab./Estado</w:t>
            </w:r>
          </w:p>
        </w:tc>
        <w:tc>
          <w:tcPr>
            <w:tcW w:type="dxa" w:w="1701"/>
            <w:shd w:val="clear" w:color="auto" w:fill="FFFFFF"/>
          </w:tcPr>
          <w:p>
            <w:pPr>
              <w:jc w:val="center"/>
            </w:pPr>
            <w:r>
              <w:rPr>
                <w:rFonts w:ascii="Arial" w:hAnsi="Arial"/>
                <w:sz w:val="20"/>
              </w:rPr>
              <w:t>3,0%</w:t>
            </w:r>
          </w:p>
        </w:tc>
      </w:tr>
      <w:tr>
        <w:tc>
          <w:tcPr>
            <w:tcW w:type="dxa" w:w="7370"/>
            <w:shd w:val="clear" w:color="auto" w:fill="F2F2F2"/>
          </w:tcPr>
          <w:p>
            <w:pPr>
              <w:jc w:val="left"/>
            </w:pPr>
            <w:r>
              <w:rPr>
                <w:rFonts w:ascii="Arial" w:hAnsi="Arial"/>
                <w:sz w:val="20"/>
              </w:rPr>
              <w:t>Mais de 4 semanas ou 2 ou mais Estados</w:t>
            </w:r>
          </w:p>
        </w:tc>
        <w:tc>
          <w:tcPr>
            <w:tcW w:type="dxa" w:w="1701"/>
            <w:shd w:val="clear" w:color="auto" w:fill="F2F2F2"/>
          </w:tcPr>
          <w:p>
            <w:pPr>
              <w:jc w:val="center"/>
            </w:pPr>
            <w:r>
              <w:rPr>
                <w:rFonts w:ascii="Arial" w:hAnsi="Arial"/>
                <w:sz w:val="20"/>
              </w:rPr>
              <w:t>4,0%</w:t>
            </w:r>
          </w:p>
        </w:tc>
      </w:tr>
    </w:tbl>
    <w:p/>
    <w:p>
      <w:pPr>
        <w:spacing w:before="160" w:after="40"/>
      </w:pPr>
      <w:r>
        <w:rPr>
          <w:rFonts w:ascii="Arial" w:hAnsi="Arial"/>
          <w:b/>
          <w:color w:val="1D3A78"/>
          <w:sz w:val="22"/>
        </w:rPr>
        <w:t>b) Interrupção na Execução de Obra Contratada</w:t>
      </w:r>
    </w:p>
    <w:tbl>
      <w:tblPr>
        <w:tblStyle w:val="TableGrid"/>
        <w:tblW w:type="auto" w:w="0"/>
        <w:jc w:val="left"/>
        <w:tblLook w:firstColumn="1" w:firstRow="1" w:lastColumn="0" w:lastRow="0" w:noHBand="0" w:noVBand="1" w:val="04A0"/>
      </w:tblPr>
      <w:tblGrid>
        <w:gridCol w:w="1567"/>
        <w:gridCol w:w="1567"/>
        <w:gridCol w:w="1567"/>
        <w:gridCol w:w="1567"/>
        <w:gridCol w:w="1567"/>
        <w:gridCol w:w="1567"/>
      </w:tblGrid>
      <w:tr>
        <w:tc>
          <w:tcPr>
            <w:tcW w:type="dxa" w:w="2551"/>
            <w:shd w:val="clear" w:color="auto" w:fill="C0392B"/>
          </w:tcPr>
          <w:p>
            <w:pPr>
              <w:jc w:val="center"/>
            </w:pPr>
            <w:r>
              <w:rPr>
                <w:rFonts w:ascii="Arial" w:hAnsi="Arial"/>
                <w:b/>
                <w:color w:val="FFFFFF"/>
                <w:sz w:val="20"/>
              </w:rPr>
              <w:t>Período ↓ / Residual →</w:t>
            </w:r>
          </w:p>
        </w:tc>
        <w:tc>
          <w:tcPr>
            <w:tcW w:type="dxa" w:w="1417"/>
            <w:shd w:val="clear" w:color="auto" w:fill="C0392B"/>
          </w:tcPr>
          <w:p>
            <w:pPr>
              <w:jc w:val="center"/>
            </w:pPr>
            <w:r>
              <w:rPr>
                <w:rFonts w:ascii="Arial" w:hAnsi="Arial"/>
                <w:b/>
                <w:color w:val="FFFFFF"/>
                <w:sz w:val="20"/>
              </w:rPr>
              <w:t>&lt; 10%</w:t>
            </w:r>
          </w:p>
        </w:tc>
        <w:tc>
          <w:tcPr>
            <w:tcW w:type="dxa" w:w="1417"/>
            <w:shd w:val="clear" w:color="auto" w:fill="C0392B"/>
          </w:tcPr>
          <w:p>
            <w:pPr>
              <w:jc w:val="center"/>
            </w:pPr>
            <w:r>
              <w:rPr>
                <w:rFonts w:ascii="Arial" w:hAnsi="Arial"/>
                <w:b/>
                <w:color w:val="FFFFFF"/>
                <w:sz w:val="20"/>
              </w:rPr>
              <w:t>Até 30%</w:t>
            </w:r>
          </w:p>
        </w:tc>
        <w:tc>
          <w:tcPr>
            <w:tcW w:type="dxa" w:w="1417"/>
            <w:shd w:val="clear" w:color="auto" w:fill="C0392B"/>
          </w:tcPr>
          <w:p>
            <w:pPr>
              <w:jc w:val="center"/>
            </w:pPr>
            <w:r>
              <w:rPr>
                <w:rFonts w:ascii="Arial" w:hAnsi="Arial"/>
                <w:b/>
                <w:color w:val="FFFFFF"/>
                <w:sz w:val="20"/>
              </w:rPr>
              <w:t>Até 50%</w:t>
            </w:r>
          </w:p>
        </w:tc>
        <w:tc>
          <w:tcPr>
            <w:tcW w:type="dxa" w:w="1417"/>
            <w:shd w:val="clear" w:color="auto" w:fill="C0392B"/>
          </w:tcPr>
          <w:p>
            <w:pPr>
              <w:jc w:val="center"/>
            </w:pPr>
            <w:r>
              <w:rPr>
                <w:rFonts w:ascii="Arial" w:hAnsi="Arial"/>
                <w:b/>
                <w:color w:val="FFFFFF"/>
                <w:sz w:val="20"/>
              </w:rPr>
              <w:t>Até 70%</w:t>
            </w:r>
          </w:p>
        </w:tc>
        <w:tc>
          <w:tcPr>
            <w:tcW w:type="dxa" w:w="1417"/>
            <w:shd w:val="clear" w:color="auto" w:fill="C0392B"/>
          </w:tcPr>
          <w:p>
            <w:pPr>
              <w:jc w:val="center"/>
            </w:pPr>
            <w:r>
              <w:rPr>
                <w:rFonts w:ascii="Arial" w:hAnsi="Arial"/>
                <w:b/>
                <w:color w:val="FFFFFF"/>
                <w:sz w:val="20"/>
              </w:rPr>
              <w:t>&gt; 70%</w:t>
            </w:r>
          </w:p>
        </w:tc>
      </w:tr>
      <w:tr>
        <w:tc>
          <w:tcPr>
            <w:tcW w:type="dxa" w:w="2551"/>
            <w:shd w:val="clear" w:color="auto" w:fill="F2F2F2"/>
          </w:tcPr>
          <w:p>
            <w:pPr>
              <w:jc w:val="left"/>
            </w:pPr>
            <w:r>
              <w:rPr>
                <w:rFonts w:ascii="Arial" w:hAnsi="Arial"/>
                <w:sz w:val="20"/>
              </w:rPr>
              <w:t>Até 6 meses</w:t>
            </w:r>
          </w:p>
        </w:tc>
        <w:tc>
          <w:tcPr>
            <w:tcW w:type="dxa" w:w="1417"/>
            <w:shd w:val="clear" w:color="auto" w:fill="F2F2F2"/>
          </w:tcPr>
          <w:p>
            <w:pPr>
              <w:jc w:val="center"/>
            </w:pPr>
            <w:r>
              <w:rPr>
                <w:rFonts w:ascii="Arial" w:hAnsi="Arial"/>
                <w:sz w:val="20"/>
              </w:rPr>
              <w:t>0,5%</w:t>
            </w:r>
          </w:p>
        </w:tc>
        <w:tc>
          <w:tcPr>
            <w:tcW w:type="dxa" w:w="1417"/>
            <w:shd w:val="clear" w:color="auto" w:fill="F2F2F2"/>
          </w:tcPr>
          <w:p>
            <w:pPr>
              <w:jc w:val="center"/>
            </w:pPr>
            <w:r>
              <w:rPr>
                <w:rFonts w:ascii="Arial" w:hAnsi="Arial"/>
                <w:sz w:val="20"/>
              </w:rPr>
              <w:t>1,0%</w:t>
            </w:r>
          </w:p>
        </w:tc>
        <w:tc>
          <w:tcPr>
            <w:tcW w:type="dxa" w:w="1417"/>
            <w:shd w:val="clear" w:color="auto" w:fill="F2F2F2"/>
          </w:tcPr>
          <w:p>
            <w:pPr>
              <w:jc w:val="center"/>
            </w:pPr>
            <w:r>
              <w:rPr>
                <w:rFonts w:ascii="Arial" w:hAnsi="Arial"/>
                <w:sz w:val="20"/>
              </w:rPr>
              <w:t>1,5%</w:t>
            </w:r>
          </w:p>
        </w:tc>
        <w:tc>
          <w:tcPr>
            <w:tcW w:type="dxa" w:w="1417"/>
            <w:shd w:val="clear" w:color="auto" w:fill="F2F2F2"/>
          </w:tcPr>
          <w:p>
            <w:pPr>
              <w:jc w:val="center"/>
            </w:pPr>
            <w:r>
              <w:rPr>
                <w:rFonts w:ascii="Arial" w:hAnsi="Arial"/>
                <w:sz w:val="20"/>
              </w:rPr>
              <w:t>2,0%</w:t>
            </w:r>
          </w:p>
        </w:tc>
        <w:tc>
          <w:tcPr>
            <w:tcW w:type="dxa" w:w="1417"/>
            <w:shd w:val="clear" w:color="auto" w:fill="F2F2F2"/>
          </w:tcPr>
          <w:p>
            <w:pPr>
              <w:jc w:val="center"/>
            </w:pPr>
            <w:r>
              <w:rPr>
                <w:rFonts w:ascii="Arial" w:hAnsi="Arial"/>
                <w:sz w:val="20"/>
              </w:rPr>
              <w:t>2,5%</w:t>
            </w:r>
          </w:p>
        </w:tc>
      </w:tr>
      <w:tr>
        <w:tc>
          <w:tcPr>
            <w:tcW w:type="dxa" w:w="2551"/>
            <w:shd w:val="clear" w:color="auto" w:fill="FFFFFF"/>
          </w:tcPr>
          <w:p>
            <w:pPr>
              <w:jc w:val="left"/>
            </w:pPr>
            <w:r>
              <w:rPr>
                <w:rFonts w:ascii="Arial" w:hAnsi="Arial"/>
                <w:sz w:val="20"/>
              </w:rPr>
              <w:t>Até 1 ano</w:t>
            </w:r>
          </w:p>
        </w:tc>
        <w:tc>
          <w:tcPr>
            <w:tcW w:type="dxa" w:w="1417"/>
            <w:shd w:val="clear" w:color="auto" w:fill="FFFFFF"/>
          </w:tcPr>
          <w:p>
            <w:pPr>
              <w:jc w:val="center"/>
            </w:pPr>
            <w:r>
              <w:rPr>
                <w:rFonts w:ascii="Arial" w:hAnsi="Arial"/>
                <w:sz w:val="20"/>
              </w:rPr>
              <w:t>1,0%</w:t>
            </w:r>
          </w:p>
        </w:tc>
        <w:tc>
          <w:tcPr>
            <w:tcW w:type="dxa" w:w="1417"/>
            <w:shd w:val="clear" w:color="auto" w:fill="FFFFFF"/>
          </w:tcPr>
          <w:p>
            <w:pPr>
              <w:jc w:val="center"/>
            </w:pPr>
            <w:r>
              <w:rPr>
                <w:rFonts w:ascii="Arial" w:hAnsi="Arial"/>
                <w:sz w:val="20"/>
              </w:rPr>
              <w:t>1,5%</w:t>
            </w:r>
          </w:p>
        </w:tc>
        <w:tc>
          <w:tcPr>
            <w:tcW w:type="dxa" w:w="1417"/>
            <w:shd w:val="clear" w:color="auto" w:fill="FFFFFF"/>
          </w:tcPr>
          <w:p>
            <w:pPr>
              <w:jc w:val="center"/>
            </w:pPr>
            <w:r>
              <w:rPr>
                <w:rFonts w:ascii="Arial" w:hAnsi="Arial"/>
                <w:sz w:val="20"/>
              </w:rPr>
              <w:t>2,0%</w:t>
            </w:r>
          </w:p>
        </w:tc>
        <w:tc>
          <w:tcPr>
            <w:tcW w:type="dxa" w:w="1417"/>
            <w:shd w:val="clear" w:color="auto" w:fill="FFFFFF"/>
          </w:tcPr>
          <w:p>
            <w:pPr>
              <w:jc w:val="center"/>
            </w:pPr>
            <w:r>
              <w:rPr>
                <w:rFonts w:ascii="Arial" w:hAnsi="Arial"/>
                <w:sz w:val="20"/>
              </w:rPr>
              <w:t>2,5%</w:t>
            </w:r>
          </w:p>
        </w:tc>
        <w:tc>
          <w:tcPr>
            <w:tcW w:type="dxa" w:w="1417"/>
            <w:shd w:val="clear" w:color="auto" w:fill="FFFFFF"/>
          </w:tcPr>
          <w:p>
            <w:pPr>
              <w:jc w:val="center"/>
            </w:pPr>
            <w:r>
              <w:rPr>
                <w:rFonts w:ascii="Arial" w:hAnsi="Arial"/>
                <w:sz w:val="20"/>
              </w:rPr>
              <w:t>3,0%</w:t>
            </w:r>
          </w:p>
        </w:tc>
      </w:tr>
      <w:tr>
        <w:tc>
          <w:tcPr>
            <w:tcW w:type="dxa" w:w="2551"/>
            <w:shd w:val="clear" w:color="auto" w:fill="F2F2F2"/>
          </w:tcPr>
          <w:p>
            <w:pPr>
              <w:jc w:val="left"/>
            </w:pPr>
            <w:r>
              <w:rPr>
                <w:rFonts w:ascii="Arial" w:hAnsi="Arial"/>
                <w:sz w:val="20"/>
              </w:rPr>
              <w:t>Até 2 anos</w:t>
            </w:r>
          </w:p>
        </w:tc>
        <w:tc>
          <w:tcPr>
            <w:tcW w:type="dxa" w:w="1417"/>
            <w:shd w:val="clear" w:color="auto" w:fill="F2F2F2"/>
          </w:tcPr>
          <w:p>
            <w:pPr>
              <w:jc w:val="center"/>
            </w:pPr>
            <w:r>
              <w:rPr>
                <w:rFonts w:ascii="Arial" w:hAnsi="Arial"/>
                <w:sz w:val="20"/>
              </w:rPr>
              <w:t>1,5%</w:t>
            </w:r>
          </w:p>
        </w:tc>
        <w:tc>
          <w:tcPr>
            <w:tcW w:type="dxa" w:w="1417"/>
            <w:shd w:val="clear" w:color="auto" w:fill="F2F2F2"/>
          </w:tcPr>
          <w:p>
            <w:pPr>
              <w:jc w:val="center"/>
            </w:pPr>
            <w:r>
              <w:rPr>
                <w:rFonts w:ascii="Arial" w:hAnsi="Arial"/>
                <w:sz w:val="20"/>
              </w:rPr>
              <w:t>2,0%</w:t>
            </w:r>
          </w:p>
        </w:tc>
        <w:tc>
          <w:tcPr>
            <w:tcW w:type="dxa" w:w="1417"/>
            <w:shd w:val="clear" w:color="auto" w:fill="F2F2F2"/>
          </w:tcPr>
          <w:p>
            <w:pPr>
              <w:jc w:val="center"/>
            </w:pPr>
            <w:r>
              <w:rPr>
                <w:rFonts w:ascii="Arial" w:hAnsi="Arial"/>
                <w:sz w:val="20"/>
              </w:rPr>
              <w:t>2,5%</w:t>
            </w:r>
          </w:p>
        </w:tc>
        <w:tc>
          <w:tcPr>
            <w:tcW w:type="dxa" w:w="1417"/>
            <w:shd w:val="clear" w:color="auto" w:fill="F2F2F2"/>
          </w:tcPr>
          <w:p>
            <w:pPr>
              <w:jc w:val="center"/>
            </w:pPr>
            <w:r>
              <w:rPr>
                <w:rFonts w:ascii="Arial" w:hAnsi="Arial"/>
                <w:sz w:val="20"/>
              </w:rPr>
              <w:t>3,0%</w:t>
            </w:r>
          </w:p>
        </w:tc>
        <w:tc>
          <w:tcPr>
            <w:tcW w:type="dxa" w:w="1417"/>
            <w:shd w:val="clear" w:color="auto" w:fill="F2F2F2"/>
          </w:tcPr>
          <w:p>
            <w:pPr>
              <w:jc w:val="center"/>
            </w:pPr>
            <w:r>
              <w:rPr>
                <w:rFonts w:ascii="Arial" w:hAnsi="Arial"/>
                <w:sz w:val="20"/>
              </w:rPr>
              <w:t>3,5%</w:t>
            </w:r>
          </w:p>
        </w:tc>
      </w:tr>
      <w:tr>
        <w:tc>
          <w:tcPr>
            <w:tcW w:type="dxa" w:w="2551"/>
            <w:shd w:val="clear" w:color="auto" w:fill="FFFFFF"/>
          </w:tcPr>
          <w:p>
            <w:pPr>
              <w:jc w:val="left"/>
            </w:pPr>
            <w:r>
              <w:rPr>
                <w:rFonts w:ascii="Arial" w:hAnsi="Arial"/>
                <w:sz w:val="20"/>
              </w:rPr>
              <w:t>+ 2 anos</w:t>
            </w:r>
          </w:p>
        </w:tc>
        <w:tc>
          <w:tcPr>
            <w:tcW w:type="dxa" w:w="1417"/>
            <w:shd w:val="clear" w:color="auto" w:fill="FFFFFF"/>
          </w:tcPr>
          <w:p>
            <w:pPr>
              <w:jc w:val="center"/>
            </w:pPr>
            <w:r>
              <w:rPr>
                <w:rFonts w:ascii="Arial" w:hAnsi="Arial"/>
                <w:sz w:val="20"/>
              </w:rPr>
              <w:t>2,0%</w:t>
            </w:r>
          </w:p>
        </w:tc>
        <w:tc>
          <w:tcPr>
            <w:tcW w:type="dxa" w:w="1417"/>
            <w:shd w:val="clear" w:color="auto" w:fill="FFFFFF"/>
          </w:tcPr>
          <w:p>
            <w:pPr>
              <w:jc w:val="center"/>
            </w:pPr>
            <w:r>
              <w:rPr>
                <w:rFonts w:ascii="Arial" w:hAnsi="Arial"/>
                <w:sz w:val="20"/>
              </w:rPr>
              <w:t>2,5%</w:t>
            </w:r>
          </w:p>
        </w:tc>
        <w:tc>
          <w:tcPr>
            <w:tcW w:type="dxa" w:w="1417"/>
            <w:shd w:val="clear" w:color="auto" w:fill="FFFFFF"/>
          </w:tcPr>
          <w:p>
            <w:pPr>
              <w:jc w:val="center"/>
            </w:pPr>
            <w:r>
              <w:rPr>
                <w:rFonts w:ascii="Arial" w:hAnsi="Arial"/>
                <w:sz w:val="20"/>
              </w:rPr>
              <w:t>3,0%</w:t>
            </w:r>
          </w:p>
        </w:tc>
        <w:tc>
          <w:tcPr>
            <w:tcW w:type="dxa" w:w="1417"/>
            <w:shd w:val="clear" w:color="auto" w:fill="FFFFFF"/>
          </w:tcPr>
          <w:p>
            <w:pPr>
              <w:jc w:val="center"/>
            </w:pPr>
            <w:r>
              <w:rPr>
                <w:rFonts w:ascii="Arial" w:hAnsi="Arial"/>
                <w:sz w:val="20"/>
              </w:rPr>
              <w:t>3,5%</w:t>
            </w:r>
          </w:p>
        </w:tc>
        <w:tc>
          <w:tcPr>
            <w:tcW w:type="dxa" w:w="1417"/>
            <w:shd w:val="clear" w:color="auto" w:fill="FFFFFF"/>
          </w:tcPr>
          <w:p>
            <w:pPr>
              <w:jc w:val="center"/>
            </w:pPr>
            <w:r>
              <w:rPr>
                <w:rFonts w:ascii="Arial" w:hAnsi="Arial"/>
                <w:sz w:val="20"/>
              </w:rPr>
              <w:t>4,0%</w:t>
            </w:r>
          </w:p>
        </w:tc>
      </w:tr>
    </w:tbl>
    <w:p/>
    <w:p>
      <w:pPr>
        <w:spacing w:before="160" w:after="40"/>
      </w:pPr>
      <w:r>
        <w:rPr>
          <w:rFonts w:ascii="Arial" w:hAnsi="Arial"/>
          <w:b/>
          <w:color w:val="1D3A78"/>
          <w:sz w:val="22"/>
        </w:rPr>
        <w:t>c) Descumprimento de Requisitos Regulatórios</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C0392B"/>
          </w:tcPr>
          <w:p>
            <w:pPr>
              <w:jc w:val="center"/>
            </w:pPr>
            <w:r>
              <w:rPr>
                <w:rFonts w:ascii="Arial" w:hAnsi="Arial"/>
                <w:b/>
                <w:color w:val="FFFFFF"/>
                <w:sz w:val="20"/>
              </w:rPr>
              <w:t>Situação</w:t>
            </w:r>
          </w:p>
        </w:tc>
        <w:tc>
          <w:tcPr>
            <w:tcW w:type="dxa" w:w="1701"/>
            <w:shd w:val="clear" w:color="auto" w:fill="C0392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Ausência de descumprimento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Parcial, com prestação do serviço</w:t>
            </w:r>
          </w:p>
        </w:tc>
        <w:tc>
          <w:tcPr>
            <w:tcW w:type="dxa" w:w="1701"/>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Total, com prestação do serviço</w:t>
            </w:r>
          </w:p>
        </w:tc>
        <w:tc>
          <w:tcPr>
            <w:tcW w:type="dxa" w:w="1701"/>
            <w:shd w:val="clear" w:color="auto" w:fill="F2F2F2"/>
          </w:tcPr>
          <w:p>
            <w:pPr>
              <w:jc w:val="center"/>
            </w:pPr>
            <w:r>
              <w:rPr>
                <w:rFonts w:ascii="Arial" w:hAnsi="Arial"/>
                <w:sz w:val="20"/>
              </w:rPr>
              <w:t>2,0%</w:t>
            </w:r>
          </w:p>
        </w:tc>
      </w:tr>
      <w:tr>
        <w:tc>
          <w:tcPr>
            <w:tcW w:type="dxa" w:w="7370"/>
            <w:shd w:val="clear" w:color="auto" w:fill="FFFFFF"/>
          </w:tcPr>
          <w:p>
            <w:pPr>
              <w:jc w:val="left"/>
            </w:pPr>
            <w:r>
              <w:rPr>
                <w:rFonts w:ascii="Arial" w:hAnsi="Arial"/>
                <w:sz w:val="20"/>
              </w:rPr>
              <w:t>Parcial, sem prestação do serviço</w:t>
            </w:r>
          </w:p>
        </w:tc>
        <w:tc>
          <w:tcPr>
            <w:tcW w:type="dxa" w:w="1701"/>
            <w:shd w:val="clear" w:color="auto" w:fill="FFFFFF"/>
          </w:tcPr>
          <w:p>
            <w:pPr>
              <w:jc w:val="center"/>
            </w:pPr>
            <w:r>
              <w:rPr>
                <w:rFonts w:ascii="Arial" w:hAnsi="Arial"/>
                <w:sz w:val="20"/>
              </w:rPr>
              <w:t>3,0%</w:t>
            </w:r>
          </w:p>
        </w:tc>
      </w:tr>
      <w:tr>
        <w:tc>
          <w:tcPr>
            <w:tcW w:type="dxa" w:w="7370"/>
            <w:shd w:val="clear" w:color="auto" w:fill="F2F2F2"/>
          </w:tcPr>
          <w:p>
            <w:pPr>
              <w:jc w:val="left"/>
            </w:pPr>
            <w:r>
              <w:rPr>
                <w:rFonts w:ascii="Arial" w:hAnsi="Arial"/>
                <w:sz w:val="20"/>
              </w:rPr>
              <w:t>Total, sem prestação do serviço</w:t>
            </w:r>
          </w:p>
        </w:tc>
        <w:tc>
          <w:tcPr>
            <w:tcW w:type="dxa" w:w="1701"/>
            <w:shd w:val="clear" w:color="auto" w:fill="F2F2F2"/>
          </w:tcPr>
          <w:p>
            <w:pPr>
              <w:jc w:val="center"/>
            </w:pPr>
            <w:r>
              <w:rPr>
                <w:rFonts w:ascii="Arial" w:hAnsi="Arial"/>
                <w:sz w:val="20"/>
              </w:rPr>
              <w:t>4,0%</w:t>
            </w:r>
          </w:p>
        </w:tc>
      </w:tr>
    </w:tbl>
    <w:p/>
    <w:p>
      <w:pPr>
        <w:spacing w:before="240" w:after="80"/>
        <w:pBdr>
          <w:bottom w:val="single" w:sz="6" w:space="1" w:color="64A70B"/>
        </w:pBdr>
      </w:pPr>
      <w:r>
        <w:rPr>
          <w:rFonts w:ascii="Arial" w:hAnsi="Arial"/>
          <w:b/>
          <w:color w:val="C0392B"/>
          <w:sz w:val="23"/>
        </w:rPr>
        <w:t>6.4 Art. 22, IV — Situação Econômica do Infrator</w:t>
      </w:r>
    </w:p>
    <w:p>
      <w:pPr>
        <w:spacing w:before="0" w:after="80"/>
      </w:pPr>
      <w:r>
        <w:rPr>
          <w:rFonts w:ascii="Arial" w:hAnsi="Arial"/>
          <w:i w:val="0"/>
          <w:sz w:val="22"/>
        </w:rPr>
        <w:t>Aplica-se 1% fixo quando a PJ apresenta, cumulativamente, os três indicadores:</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0205B"/>
          </w:tcPr>
          <w:p>
            <w:pPr>
              <w:jc w:val="center"/>
            </w:pPr>
            <w:r>
              <w:rPr>
                <w:rFonts w:ascii="Arial" w:hAnsi="Arial"/>
                <w:b/>
                <w:color w:val="FFFFFF"/>
                <w:sz w:val="20"/>
              </w:rPr>
              <w:t>Indicador</w:t>
            </w:r>
          </w:p>
        </w:tc>
        <w:tc>
          <w:tcPr>
            <w:tcW w:type="dxa" w:w="6803"/>
            <w:shd w:val="clear" w:color="auto" w:fill="00205B"/>
          </w:tcPr>
          <w:p>
            <w:pPr>
              <w:jc w:val="center"/>
            </w:pPr>
            <w:r>
              <w:rPr>
                <w:rFonts w:ascii="Arial" w:hAnsi="Arial"/>
                <w:b/>
                <w:color w:val="FFFFFF"/>
                <w:sz w:val="20"/>
              </w:rPr>
              <w:t>Fórmula</w:t>
            </w:r>
          </w:p>
        </w:tc>
      </w:tr>
      <w:tr>
        <w:tc>
          <w:tcPr>
            <w:tcW w:type="dxa" w:w="2835"/>
            <w:shd w:val="clear" w:color="auto" w:fill="F2F2F2"/>
          </w:tcPr>
          <w:p>
            <w:pPr>
              <w:jc w:val="left"/>
            </w:pPr>
            <w:r>
              <w:rPr>
                <w:rFonts w:ascii="Arial" w:hAnsi="Arial"/>
                <w:sz w:val="20"/>
              </w:rPr>
              <w:t>Solvência geral &gt; 1</w:t>
            </w:r>
          </w:p>
        </w:tc>
        <w:tc>
          <w:tcPr>
            <w:tcW w:type="dxa" w:w="6803"/>
            <w:shd w:val="clear" w:color="auto" w:fill="F2F2F2"/>
          </w:tcPr>
          <w:p>
            <w:pPr>
              <w:jc w:val="center"/>
            </w:pPr>
            <w:r>
              <w:rPr>
                <w:rFonts w:ascii="Arial" w:hAnsi="Arial"/>
                <w:sz w:val="20"/>
              </w:rPr>
              <w:t>(Ativo Circulante + Ativo Não Circulante) ÷ (Passivo Circulante + Passivo Não Circulante)</w:t>
            </w:r>
          </w:p>
        </w:tc>
      </w:tr>
      <w:tr>
        <w:tc>
          <w:tcPr>
            <w:tcW w:type="dxa" w:w="2835"/>
            <w:shd w:val="clear" w:color="auto" w:fill="FFFFFF"/>
          </w:tcPr>
          <w:p>
            <w:pPr>
              <w:jc w:val="left"/>
            </w:pPr>
            <w:r>
              <w:rPr>
                <w:rFonts w:ascii="Arial" w:hAnsi="Arial"/>
                <w:sz w:val="20"/>
              </w:rPr>
              <w:t>Liquidez geral &gt; 1</w:t>
            </w:r>
          </w:p>
        </w:tc>
        <w:tc>
          <w:tcPr>
            <w:tcW w:type="dxa" w:w="6803"/>
            <w:shd w:val="clear" w:color="auto" w:fill="FFFFFF"/>
          </w:tcPr>
          <w:p>
            <w:pPr>
              <w:jc w:val="center"/>
            </w:pPr>
            <w:r>
              <w:rPr>
                <w:rFonts w:ascii="Arial" w:hAnsi="Arial"/>
                <w:sz w:val="20"/>
              </w:rPr>
              <w:t>(Ativo Circulante + Ativo Realizável a LP) ÷ (Passivo Circulante + Passivo Não Circulante)</w:t>
            </w:r>
          </w:p>
        </w:tc>
      </w:tr>
      <w:tr>
        <w:tc>
          <w:tcPr>
            <w:tcW w:type="dxa" w:w="2835"/>
            <w:shd w:val="clear" w:color="auto" w:fill="F2F2F2"/>
          </w:tcPr>
          <w:p>
            <w:pPr>
              <w:jc w:val="left"/>
            </w:pPr>
            <w:r>
              <w:rPr>
                <w:rFonts w:ascii="Arial" w:hAnsi="Arial"/>
                <w:sz w:val="20"/>
              </w:rPr>
              <w:t>Lucro líquido positivo</w:t>
            </w:r>
          </w:p>
        </w:tc>
        <w:tc>
          <w:tcPr>
            <w:tcW w:type="dxa" w:w="6803"/>
            <w:shd w:val="clear" w:color="auto" w:fill="F2F2F2"/>
          </w:tcPr>
          <w:p>
            <w:pPr>
              <w:jc w:val="center"/>
            </w:pPr>
            <w:r>
              <w:rPr>
                <w:rFonts w:ascii="Arial" w:hAnsi="Arial"/>
                <w:sz w:val="20"/>
              </w:rPr>
              <w:t>Último exercício anterior ao PAR</w:t>
            </w:r>
          </w:p>
        </w:tc>
      </w:tr>
    </w:tbl>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C0392B"/>
          </w:tcPr>
          <w:p>
            <w:pPr>
              <w:jc w:val="center"/>
            </w:pPr>
            <w:r>
              <w:rPr>
                <w:rFonts w:ascii="Arial" w:hAnsi="Arial"/>
                <w:b/>
                <w:color w:val="FFFFFF"/>
                <w:sz w:val="20"/>
              </w:rPr>
              <w:t>Situação</w:t>
            </w:r>
          </w:p>
        </w:tc>
        <w:tc>
          <w:tcPr>
            <w:tcW w:type="dxa" w:w="1701"/>
            <w:shd w:val="clear" w:color="auto" w:fill="C0392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Algum indicador não atendido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Todos os três atendidos cumulativamente</w:t>
            </w:r>
          </w:p>
        </w:tc>
        <w:tc>
          <w:tcPr>
            <w:tcW w:type="dxa" w:w="1701"/>
            <w:shd w:val="clear" w:color="auto" w:fill="FFFFFF"/>
          </w:tcPr>
          <w:p>
            <w:pPr>
              <w:jc w:val="center"/>
            </w:pPr>
            <w:r>
              <w:rPr>
                <w:rFonts w:ascii="Arial" w:hAnsi="Arial"/>
                <w:sz w:val="20"/>
              </w:rPr>
              <w:t>1,0%</w:t>
            </w:r>
          </w:p>
        </w:tc>
      </w:tr>
    </w:tbl>
    <w:p/>
    <w:p>
      <w:pPr>
        <w:spacing w:before="240" w:after="80"/>
        <w:pBdr>
          <w:bottom w:val="single" w:sz="6" w:space="1" w:color="64A70B"/>
        </w:pBdr>
      </w:pPr>
      <w:r>
        <w:rPr>
          <w:rFonts w:ascii="Arial" w:hAnsi="Arial"/>
          <w:b/>
          <w:color w:val="C0392B"/>
          <w:sz w:val="23"/>
        </w:rPr>
        <w:t>6.5 Art. 22, V — Reincidência</w:t>
      </w:r>
    </w:p>
    <w:p>
      <w:pPr>
        <w:spacing w:before="0" w:after="80"/>
      </w:pPr>
      <w:r>
        <w:rPr>
          <w:rFonts w:ascii="Arial" w:hAnsi="Arial"/>
          <w:i w:val="0"/>
          <w:sz w:val="22"/>
        </w:rPr>
        <w:t>Ocorrência de nova infração tipificada como ato lesivo (art. 5º da LAC), idêntica ou não, em menos de cinco anos contados da publicação do julgamento anterior. No caso de acordo de leniência, o prazo conta da data da celebração até cinco anos após a declaração de cumprimento.</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C0392B"/>
          </w:tcPr>
          <w:p>
            <w:pPr>
              <w:jc w:val="center"/>
            </w:pPr>
            <w:r>
              <w:rPr>
                <w:rFonts w:ascii="Arial" w:hAnsi="Arial"/>
                <w:b/>
                <w:color w:val="FFFFFF"/>
                <w:sz w:val="20"/>
              </w:rPr>
              <w:t>Situação</w:t>
            </w:r>
          </w:p>
        </w:tc>
        <w:tc>
          <w:tcPr>
            <w:tcW w:type="dxa" w:w="1701"/>
            <w:shd w:val="clear" w:color="auto" w:fill="C0392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Não reincidente</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Sim — nova infração em menos de 5 anos</w:t>
            </w:r>
          </w:p>
        </w:tc>
        <w:tc>
          <w:tcPr>
            <w:tcW w:type="dxa" w:w="1701"/>
            <w:shd w:val="clear" w:color="auto" w:fill="FFFFFF"/>
          </w:tcPr>
          <w:p>
            <w:pPr>
              <w:jc w:val="center"/>
            </w:pPr>
            <w:r>
              <w:rPr>
                <w:rFonts w:ascii="Arial" w:hAnsi="Arial"/>
                <w:sz w:val="20"/>
              </w:rPr>
              <w:t>3,0%</w:t>
            </w:r>
          </w:p>
        </w:tc>
      </w:tr>
    </w:tbl>
    <w:p/>
    <w:p>
      <w:pPr>
        <w:spacing w:before="240" w:after="80"/>
        <w:pBdr>
          <w:bottom w:val="single" w:sz="6" w:space="1" w:color="64A70B"/>
        </w:pBdr>
      </w:pPr>
      <w:r>
        <w:rPr>
          <w:rFonts w:ascii="Arial" w:hAnsi="Arial"/>
          <w:b/>
          <w:color w:val="C0392B"/>
          <w:sz w:val="23"/>
        </w:rPr>
        <w:t>6.6 Art. 22, VI — Valor dos Contratos com o Ente Lesado</w:t>
      </w:r>
    </w:p>
    <w:p>
      <w:pPr>
        <w:spacing w:before="0" w:after="80"/>
      </w:pPr>
      <w:r>
        <w:rPr>
          <w:rFonts w:ascii="Arial" w:hAnsi="Arial"/>
          <w:i w:val="0"/>
          <w:sz w:val="22"/>
        </w:rPr>
        <w:t>Somatório dos contratos, convênios, acordos e demais instrumentos mantidos ou pretendidos com o órgão/entidade lesado nos anos da prática do ato lesivo.</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C0392B"/>
          </w:tcPr>
          <w:p>
            <w:pPr>
              <w:jc w:val="center"/>
            </w:pPr>
            <w:r>
              <w:rPr>
                <w:rFonts w:ascii="Arial" w:hAnsi="Arial"/>
                <w:b/>
                <w:color w:val="FFFFFF"/>
                <w:sz w:val="20"/>
              </w:rPr>
              <w:t>Somatório dos instrumentos</w:t>
            </w:r>
          </w:p>
        </w:tc>
        <w:tc>
          <w:tcPr>
            <w:tcW w:type="dxa" w:w="1701"/>
            <w:shd w:val="clear" w:color="auto" w:fill="C0392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Até R$ 500 mil</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Superior a R$ 500 mil até R$ 1,5 milhão</w:t>
            </w:r>
          </w:p>
        </w:tc>
        <w:tc>
          <w:tcPr>
            <w:tcW w:type="dxa" w:w="1701"/>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Superior a R$ 1,5 milhão até R$ 10 milhões</w:t>
            </w:r>
          </w:p>
        </w:tc>
        <w:tc>
          <w:tcPr>
            <w:tcW w:type="dxa" w:w="1701"/>
            <w:shd w:val="clear" w:color="auto" w:fill="F2F2F2"/>
          </w:tcPr>
          <w:p>
            <w:pPr>
              <w:jc w:val="center"/>
            </w:pPr>
            <w:r>
              <w:rPr>
                <w:rFonts w:ascii="Arial" w:hAnsi="Arial"/>
                <w:sz w:val="20"/>
              </w:rPr>
              <w:t>2,0%</w:t>
            </w:r>
          </w:p>
        </w:tc>
      </w:tr>
      <w:tr>
        <w:tc>
          <w:tcPr>
            <w:tcW w:type="dxa" w:w="7370"/>
            <w:shd w:val="clear" w:color="auto" w:fill="FFFFFF"/>
          </w:tcPr>
          <w:p>
            <w:pPr>
              <w:jc w:val="left"/>
            </w:pPr>
            <w:r>
              <w:rPr>
                <w:rFonts w:ascii="Arial" w:hAnsi="Arial"/>
                <w:sz w:val="20"/>
              </w:rPr>
              <w:t>Superior a R$ 10 milhões até R$ 50 milhões</w:t>
            </w:r>
          </w:p>
        </w:tc>
        <w:tc>
          <w:tcPr>
            <w:tcW w:type="dxa" w:w="1701"/>
            <w:shd w:val="clear" w:color="auto" w:fill="FFFFFF"/>
          </w:tcPr>
          <w:p>
            <w:pPr>
              <w:jc w:val="center"/>
            </w:pPr>
            <w:r>
              <w:rPr>
                <w:rFonts w:ascii="Arial" w:hAnsi="Arial"/>
                <w:sz w:val="20"/>
              </w:rPr>
              <w:t>3,0%</w:t>
            </w:r>
          </w:p>
        </w:tc>
      </w:tr>
      <w:tr>
        <w:tc>
          <w:tcPr>
            <w:tcW w:type="dxa" w:w="7370"/>
            <w:shd w:val="clear" w:color="auto" w:fill="F2F2F2"/>
          </w:tcPr>
          <w:p>
            <w:pPr>
              <w:jc w:val="left"/>
            </w:pPr>
            <w:r>
              <w:rPr>
                <w:rFonts w:ascii="Arial" w:hAnsi="Arial"/>
                <w:sz w:val="20"/>
              </w:rPr>
              <w:t>Superior a R$ 50 milhões até R$ 250 milhões</w:t>
            </w:r>
          </w:p>
        </w:tc>
        <w:tc>
          <w:tcPr>
            <w:tcW w:type="dxa" w:w="1701"/>
            <w:shd w:val="clear" w:color="auto" w:fill="F2F2F2"/>
          </w:tcPr>
          <w:p>
            <w:pPr>
              <w:jc w:val="center"/>
            </w:pPr>
            <w:r>
              <w:rPr>
                <w:rFonts w:ascii="Arial" w:hAnsi="Arial"/>
                <w:sz w:val="20"/>
              </w:rPr>
              <w:t>4,0%</w:t>
            </w:r>
          </w:p>
        </w:tc>
      </w:tr>
      <w:tr>
        <w:tc>
          <w:tcPr>
            <w:tcW w:type="dxa" w:w="7370"/>
            <w:shd w:val="clear" w:color="auto" w:fill="FFFFFF"/>
          </w:tcPr>
          <w:p>
            <w:pPr>
              <w:jc w:val="left"/>
            </w:pPr>
            <w:r>
              <w:rPr>
                <w:rFonts w:ascii="Arial" w:hAnsi="Arial"/>
                <w:sz w:val="20"/>
              </w:rPr>
              <w:t>Superior a R$ 250 milhões</w:t>
            </w:r>
          </w:p>
        </w:tc>
        <w:tc>
          <w:tcPr>
            <w:tcW w:type="dxa" w:w="1701"/>
            <w:shd w:val="clear" w:color="auto" w:fill="FFFFFF"/>
          </w:tcPr>
          <w:p>
            <w:pPr>
              <w:jc w:val="center"/>
            </w:pPr>
            <w:r>
              <w:rPr>
                <w:rFonts w:ascii="Arial" w:hAnsi="Arial"/>
                <w:sz w:val="20"/>
              </w:rPr>
              <w:t>5,0%</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7. ATENUANTES — ART. 23, I A V</w:t>
            </w:r>
          </w:p>
        </w:tc>
      </w:tr>
    </w:tbl>
    <w:p/>
    <w:p>
      <w:pPr>
        <w:spacing w:before="240" w:after="80"/>
        <w:pBdr>
          <w:bottom w:val="single" w:sz="6" w:space="1" w:color="64A70B"/>
        </w:pBdr>
      </w:pPr>
      <w:r>
        <w:rPr>
          <w:rFonts w:ascii="Arial" w:hAnsi="Arial"/>
          <w:b/>
          <w:color w:val="27AE60"/>
          <w:sz w:val="23"/>
        </w:rPr>
        <w:t>7.1 Art. 23, I — Não Consumação</w:t>
      </w:r>
    </w:p>
    <w:p>
      <w:pPr>
        <w:spacing w:before="0" w:after="80"/>
      </w:pPr>
      <w:r>
        <w:rPr>
          <w:rFonts w:ascii="Arial" w:hAnsi="Arial"/>
          <w:i w:val="0"/>
          <w:sz w:val="22"/>
        </w:rPr>
        <w:t>Aplica-se quando o ato lesivo não chegou a produzir seus efeitos plenos (tentativa).</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27AE60"/>
          </w:tcPr>
          <w:p>
            <w:pPr>
              <w:jc w:val="center"/>
            </w:pPr>
            <w:r>
              <w:rPr>
                <w:rFonts w:ascii="Arial" w:hAnsi="Arial"/>
                <w:b/>
                <w:color w:val="FFFFFF"/>
                <w:sz w:val="20"/>
              </w:rPr>
              <w:t>Situação</w:t>
            </w:r>
          </w:p>
        </w:tc>
        <w:tc>
          <w:tcPr>
            <w:tcW w:type="dxa" w:w="1701"/>
            <w:shd w:val="clear" w:color="auto" w:fill="27AE60"/>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Ato lesivo consumado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Ato lesivo não consumado (tentativa)</w:t>
            </w:r>
          </w:p>
        </w:tc>
        <w:tc>
          <w:tcPr>
            <w:tcW w:type="dxa" w:w="1701"/>
            <w:shd w:val="clear" w:color="auto" w:fill="FFFFFF"/>
          </w:tcPr>
          <w:p>
            <w:pPr>
              <w:jc w:val="center"/>
            </w:pPr>
            <w:r>
              <w:rPr>
                <w:rFonts w:ascii="Arial" w:hAnsi="Arial"/>
                <w:sz w:val="20"/>
              </w:rPr>
              <w:t>−0,5%</w:t>
            </w:r>
          </w:p>
        </w:tc>
      </w:tr>
    </w:tbl>
    <w:p/>
    <w:p>
      <w:pPr>
        <w:spacing w:before="240" w:after="80"/>
        <w:pBdr>
          <w:bottom w:val="single" w:sz="6" w:space="1" w:color="64A70B"/>
        </w:pBdr>
      </w:pPr>
      <w:r>
        <w:rPr>
          <w:rFonts w:ascii="Arial" w:hAnsi="Arial"/>
          <w:b/>
          <w:color w:val="27AE60"/>
          <w:sz w:val="23"/>
        </w:rPr>
        <w:t>7.2 Art. 23, II — Ressarcimento e Devolução Espontânea</w:t>
      </w:r>
    </w:p>
    <w:p>
      <w:pPr>
        <w:spacing w:before="0" w:after="80"/>
      </w:pPr>
      <w:r>
        <w:rPr>
          <w:rFonts w:ascii="Arial" w:hAnsi="Arial"/>
          <w:i w:val="0"/>
          <w:sz w:val="22"/>
        </w:rPr>
        <w:t>Atenuante de até 1,0% pela devolução espontânea da vantagem auferida e/ou ressarcimento dos danos, conforme Tabela 5 do Guia CGU.</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27AE60"/>
          </w:tcPr>
          <w:p>
            <w:pPr>
              <w:jc w:val="center"/>
            </w:pPr>
            <w:r>
              <w:rPr>
                <w:rFonts w:ascii="Arial" w:hAnsi="Arial"/>
                <w:b/>
                <w:color w:val="FFFFFF"/>
                <w:sz w:val="20"/>
              </w:rPr>
              <w:t>Situação</w:t>
            </w:r>
          </w:p>
        </w:tc>
        <w:tc>
          <w:tcPr>
            <w:tcW w:type="dxa" w:w="1701"/>
            <w:shd w:val="clear" w:color="auto" w:fill="27AE60"/>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Ausência de devolução e de ressarcimento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Devolução da vantagem sem ressarcimento dos danos; ou ressarcimento sem devolução da vantagem</w:t>
            </w:r>
          </w:p>
        </w:tc>
        <w:tc>
          <w:tcPr>
            <w:tcW w:type="dxa" w:w="1701"/>
            <w:shd w:val="clear" w:color="auto" w:fill="FFFFFF"/>
          </w:tcPr>
          <w:p>
            <w:pPr>
              <w:jc w:val="center"/>
            </w:pPr>
            <w:r>
              <w:rPr>
                <w:rFonts w:ascii="Arial" w:hAnsi="Arial"/>
                <w:sz w:val="20"/>
              </w:rPr>
              <w:t>−0,5%</w:t>
            </w:r>
          </w:p>
        </w:tc>
      </w:tr>
      <w:tr>
        <w:tc>
          <w:tcPr>
            <w:tcW w:type="dxa" w:w="7370"/>
            <w:shd w:val="clear" w:color="auto" w:fill="F2F2F2"/>
          </w:tcPr>
          <w:p>
            <w:pPr>
              <w:jc w:val="left"/>
            </w:pPr>
            <w:r>
              <w:rPr>
                <w:rFonts w:ascii="Arial" w:hAnsi="Arial"/>
                <w:sz w:val="20"/>
              </w:rPr>
              <w:t>Devolução da vantagem e ressarcimento dos danos</w:t>
            </w:r>
          </w:p>
        </w:tc>
        <w:tc>
          <w:tcPr>
            <w:tcW w:type="dxa" w:w="1701"/>
            <w:shd w:val="clear" w:color="auto" w:fill="F2F2F2"/>
          </w:tcPr>
          <w:p>
            <w:pPr>
              <w:jc w:val="center"/>
            </w:pPr>
            <w:r>
              <w:rPr>
                <w:rFonts w:ascii="Arial" w:hAnsi="Arial"/>
                <w:sz w:val="20"/>
              </w:rPr>
              <w:t>−1,0%</w:t>
            </w:r>
          </w:p>
        </w:tc>
      </w:tr>
      <w:tr>
        <w:tc>
          <w:tcPr>
            <w:tcW w:type="dxa" w:w="7370"/>
            <w:shd w:val="clear" w:color="auto" w:fill="FFFFFF"/>
          </w:tcPr>
          <w:p>
            <w:pPr>
              <w:jc w:val="left"/>
            </w:pPr>
            <w:r>
              <w:rPr>
                <w:rFonts w:ascii="Arial" w:hAnsi="Arial"/>
                <w:sz w:val="20"/>
              </w:rPr>
              <w:t>Devolução e inexistência/falta de comprovação de danos; ou ressarcimento e ausência de estimativa da vantagem</w:t>
            </w:r>
          </w:p>
        </w:tc>
        <w:tc>
          <w:tcPr>
            <w:tcW w:type="dxa" w:w="1701"/>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Inexistência ou falta de comprovação de vantagem e de danos</w:t>
            </w:r>
          </w:p>
        </w:tc>
        <w:tc>
          <w:tcPr>
            <w:tcW w:type="dxa" w:w="1701"/>
            <w:shd w:val="clear" w:color="auto" w:fill="F2F2F2"/>
          </w:tcPr>
          <w:p>
            <w:pPr>
              <w:jc w:val="center"/>
            </w:pPr>
            <w:r>
              <w:rPr>
                <w:rFonts w:ascii="Arial" w:hAnsi="Arial"/>
                <w:sz w:val="20"/>
              </w:rPr>
              <w:t>−1,0%</w:t>
            </w:r>
          </w:p>
        </w:tc>
      </w:tr>
    </w:tbl>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O percentual máximo de 1,0% exige confirmação expressa de devolução integral. Devolução parcial reduz o percentual para 0,5%.</w:t>
            </w:r>
          </w:p>
        </w:tc>
      </w:tr>
    </w:tbl>
    <w:p/>
    <w:p>
      <w:pPr>
        <w:spacing w:before="240" w:after="80"/>
        <w:pBdr>
          <w:bottom w:val="single" w:sz="6" w:space="1" w:color="64A70B"/>
        </w:pBdr>
      </w:pPr>
      <w:r>
        <w:rPr>
          <w:rFonts w:ascii="Arial" w:hAnsi="Arial"/>
          <w:b/>
          <w:color w:val="27AE60"/>
          <w:sz w:val="23"/>
        </w:rPr>
        <w:t>7.3 Art. 23, III — Colaboração</w:t>
      </w:r>
    </w:p>
    <w:p>
      <w:pPr>
        <w:spacing w:before="0" w:after="80"/>
      </w:pPr>
      <w:r>
        <w:rPr>
          <w:rFonts w:ascii="Arial" w:hAnsi="Arial"/>
          <w:i w:val="0"/>
          <w:sz w:val="22"/>
        </w:rPr>
        <w:t>Reconhecida ainda que não haja admissão de responsabilidade. Cada condição acrescenta 0,5%, com teto de 1,5% (condições cumuláveis):</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27AE60"/>
          </w:tcPr>
          <w:p>
            <w:pPr>
              <w:jc w:val="center"/>
            </w:pPr>
            <w:r>
              <w:rPr>
                <w:rFonts w:ascii="Arial" w:hAnsi="Arial"/>
                <w:b/>
                <w:color w:val="FFFFFF"/>
                <w:sz w:val="20"/>
              </w:rPr>
              <w:t>Condição (cumulável)</w:t>
            </w:r>
          </w:p>
        </w:tc>
        <w:tc>
          <w:tcPr>
            <w:tcW w:type="dxa" w:w="1701"/>
            <w:shd w:val="clear" w:color="auto" w:fill="27AE60"/>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Ausência de colaboração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Admitiu a prática do ato</w:t>
            </w:r>
          </w:p>
        </w:tc>
        <w:tc>
          <w:tcPr>
            <w:tcW w:type="dxa" w:w="1701"/>
            <w:shd w:val="clear" w:color="auto" w:fill="FFFFFF"/>
          </w:tcPr>
          <w:p>
            <w:pPr>
              <w:jc w:val="center"/>
            </w:pPr>
            <w:r>
              <w:rPr>
                <w:rFonts w:ascii="Arial" w:hAnsi="Arial"/>
                <w:sz w:val="20"/>
              </w:rPr>
              <w:t>+0,5%</w:t>
            </w:r>
          </w:p>
        </w:tc>
      </w:tr>
      <w:tr>
        <w:tc>
          <w:tcPr>
            <w:tcW w:type="dxa" w:w="7370"/>
            <w:shd w:val="clear" w:color="auto" w:fill="F2F2F2"/>
          </w:tcPr>
          <w:p>
            <w:pPr>
              <w:jc w:val="left"/>
            </w:pPr>
            <w:r>
              <w:rPr>
                <w:rFonts w:ascii="Arial" w:hAnsi="Arial"/>
                <w:sz w:val="20"/>
              </w:rPr>
              <w:t>Forneceu elementos para a apuração</w:t>
            </w:r>
          </w:p>
        </w:tc>
        <w:tc>
          <w:tcPr>
            <w:tcW w:type="dxa" w:w="1701"/>
            <w:shd w:val="clear" w:color="auto" w:fill="F2F2F2"/>
          </w:tcPr>
          <w:p>
            <w:pPr>
              <w:jc w:val="center"/>
            </w:pPr>
            <w:r>
              <w:rPr>
                <w:rFonts w:ascii="Arial" w:hAnsi="Arial"/>
                <w:sz w:val="20"/>
              </w:rPr>
              <w:t>+0,5%</w:t>
            </w:r>
          </w:p>
        </w:tc>
      </w:tr>
      <w:tr>
        <w:tc>
          <w:tcPr>
            <w:tcW w:type="dxa" w:w="7370"/>
            <w:shd w:val="clear" w:color="auto" w:fill="FFFFFF"/>
          </w:tcPr>
          <w:p>
            <w:pPr>
              <w:jc w:val="left"/>
            </w:pPr>
            <w:r>
              <w:rPr>
                <w:rFonts w:ascii="Arial" w:hAnsi="Arial"/>
                <w:sz w:val="20"/>
              </w:rPr>
              <w:t>Renunciou aos prazos processuais</w:t>
            </w:r>
          </w:p>
        </w:tc>
        <w:tc>
          <w:tcPr>
            <w:tcW w:type="dxa" w:w="1701"/>
            <w:shd w:val="clear" w:color="auto" w:fill="FFFFFF"/>
          </w:tcPr>
          <w:p>
            <w:pPr>
              <w:jc w:val="center"/>
            </w:pPr>
            <w:r>
              <w:rPr>
                <w:rFonts w:ascii="Arial" w:hAnsi="Arial"/>
                <w:sz w:val="20"/>
              </w:rPr>
              <w:t>+0,5%</w:t>
            </w:r>
          </w:p>
        </w:tc>
      </w:tr>
    </w:tbl>
    <w:p/>
    <w:p>
      <w:pPr>
        <w:spacing w:before="240" w:after="80"/>
        <w:pBdr>
          <w:bottom w:val="single" w:sz="6" w:space="1" w:color="64A70B"/>
        </w:pBdr>
      </w:pPr>
      <w:r>
        <w:rPr>
          <w:rFonts w:ascii="Arial" w:hAnsi="Arial"/>
          <w:b/>
          <w:color w:val="27AE60"/>
          <w:sz w:val="23"/>
        </w:rPr>
        <w:t>7.4 Art. 23, IV — Admissão Voluntária da Responsabilidade</w:t>
      </w:r>
    </w:p>
    <w:p>
      <w:pPr>
        <w:spacing w:before="0" w:after="80"/>
      </w:pPr>
      <w:r>
        <w:rPr>
          <w:rFonts w:ascii="Arial" w:hAnsi="Arial"/>
          <w:i w:val="0"/>
          <w:sz w:val="22"/>
        </w:rPr>
        <w:t>Avaliada em dois eixos: conteúdo (parcial/total) × tempestividade (4 momentos processuais).</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27AE60"/>
          </w:tcPr>
          <w:p>
            <w:pPr>
              <w:jc w:val="center"/>
            </w:pPr>
            <w:r>
              <w:rPr>
                <w:rFonts w:ascii="Arial" w:hAnsi="Arial"/>
                <w:b/>
                <w:color w:val="FFFFFF"/>
                <w:sz w:val="20"/>
              </w:rPr>
              <w:t>Condição</w:t>
            </w:r>
          </w:p>
        </w:tc>
        <w:tc>
          <w:tcPr>
            <w:tcW w:type="dxa" w:w="1701"/>
            <w:shd w:val="clear" w:color="auto" w:fill="27AE60"/>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Sem admissão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Parcial — após alegações finais</w:t>
            </w:r>
          </w:p>
        </w:tc>
        <w:tc>
          <w:tcPr>
            <w:tcW w:type="dxa" w:w="1701"/>
            <w:shd w:val="clear" w:color="auto" w:fill="FFFFFF"/>
          </w:tcPr>
          <w:p>
            <w:pPr>
              <w:jc w:val="center"/>
            </w:pPr>
            <w:r>
              <w:rPr>
                <w:rFonts w:ascii="Arial" w:hAnsi="Arial"/>
                <w:sz w:val="20"/>
              </w:rPr>
              <w:t>−0,25%</w:t>
            </w:r>
          </w:p>
        </w:tc>
      </w:tr>
      <w:tr>
        <w:tc>
          <w:tcPr>
            <w:tcW w:type="dxa" w:w="7370"/>
            <w:shd w:val="clear" w:color="auto" w:fill="F2F2F2"/>
          </w:tcPr>
          <w:p>
            <w:pPr>
              <w:jc w:val="left"/>
            </w:pPr>
            <w:r>
              <w:rPr>
                <w:rFonts w:ascii="Arial" w:hAnsi="Arial"/>
                <w:sz w:val="20"/>
              </w:rPr>
              <w:t>Total — após alegações finais</w:t>
            </w:r>
          </w:p>
        </w:tc>
        <w:tc>
          <w:tcPr>
            <w:tcW w:type="dxa" w:w="1701"/>
            <w:shd w:val="clear" w:color="auto" w:fill="F2F2F2"/>
          </w:tcPr>
          <w:p>
            <w:pPr>
              <w:jc w:val="center"/>
            </w:pPr>
            <w:r>
              <w:rPr>
                <w:rFonts w:ascii="Arial" w:hAnsi="Arial"/>
                <w:sz w:val="20"/>
              </w:rPr>
              <w:t>−0,5%</w:t>
            </w:r>
          </w:p>
        </w:tc>
      </w:tr>
      <w:tr>
        <w:tc>
          <w:tcPr>
            <w:tcW w:type="dxa" w:w="7370"/>
            <w:shd w:val="clear" w:color="auto" w:fill="FFFFFF"/>
          </w:tcPr>
          <w:p>
            <w:pPr>
              <w:jc w:val="left"/>
            </w:pPr>
            <w:r>
              <w:rPr>
                <w:rFonts w:ascii="Arial" w:hAnsi="Arial"/>
                <w:sz w:val="20"/>
              </w:rPr>
              <w:t>Parcial — no prazo das alegações finais</w:t>
            </w:r>
          </w:p>
        </w:tc>
        <w:tc>
          <w:tcPr>
            <w:tcW w:type="dxa" w:w="1701"/>
            <w:shd w:val="clear" w:color="auto" w:fill="FFFFFF"/>
          </w:tcPr>
          <w:p>
            <w:pPr>
              <w:jc w:val="center"/>
            </w:pPr>
            <w:r>
              <w:rPr>
                <w:rFonts w:ascii="Arial" w:hAnsi="Arial"/>
                <w:sz w:val="20"/>
              </w:rPr>
              <w:t>−0,5%</w:t>
            </w:r>
          </w:p>
        </w:tc>
      </w:tr>
      <w:tr>
        <w:tc>
          <w:tcPr>
            <w:tcW w:type="dxa" w:w="7370"/>
            <w:shd w:val="clear" w:color="auto" w:fill="F2F2F2"/>
          </w:tcPr>
          <w:p>
            <w:pPr>
              <w:jc w:val="left"/>
            </w:pPr>
            <w:r>
              <w:rPr>
                <w:rFonts w:ascii="Arial" w:hAnsi="Arial"/>
                <w:sz w:val="20"/>
              </w:rPr>
              <w:t>Total — no prazo das alegações finais</w:t>
            </w:r>
          </w:p>
        </w:tc>
        <w:tc>
          <w:tcPr>
            <w:tcW w:type="dxa" w:w="1701"/>
            <w:shd w:val="clear" w:color="auto" w:fill="F2F2F2"/>
          </w:tcPr>
          <w:p>
            <w:pPr>
              <w:jc w:val="center"/>
            </w:pPr>
            <w:r>
              <w:rPr>
                <w:rFonts w:ascii="Arial" w:hAnsi="Arial"/>
                <w:sz w:val="20"/>
              </w:rPr>
              <w:t>−1,0%</w:t>
            </w:r>
          </w:p>
        </w:tc>
      </w:tr>
      <w:tr>
        <w:tc>
          <w:tcPr>
            <w:tcW w:type="dxa" w:w="7370"/>
            <w:shd w:val="clear" w:color="auto" w:fill="FFFFFF"/>
          </w:tcPr>
          <w:p>
            <w:pPr>
              <w:jc w:val="left"/>
            </w:pPr>
            <w:r>
              <w:rPr>
                <w:rFonts w:ascii="Arial" w:hAnsi="Arial"/>
                <w:sz w:val="20"/>
              </w:rPr>
              <w:t>Parcial — no prazo de defesa</w:t>
            </w:r>
          </w:p>
        </w:tc>
        <w:tc>
          <w:tcPr>
            <w:tcW w:type="dxa" w:w="1701"/>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Total — no prazo de defesa</w:t>
            </w:r>
          </w:p>
        </w:tc>
        <w:tc>
          <w:tcPr>
            <w:tcW w:type="dxa" w:w="1701"/>
            <w:shd w:val="clear" w:color="auto" w:fill="F2F2F2"/>
          </w:tcPr>
          <w:p>
            <w:pPr>
              <w:jc w:val="center"/>
            </w:pPr>
            <w:r>
              <w:rPr>
                <w:rFonts w:ascii="Arial" w:hAnsi="Arial"/>
                <w:sz w:val="20"/>
              </w:rPr>
              <w:t>−1,5%</w:t>
            </w:r>
          </w:p>
        </w:tc>
      </w:tr>
      <w:tr>
        <w:tc>
          <w:tcPr>
            <w:tcW w:type="dxa" w:w="7370"/>
            <w:shd w:val="clear" w:color="auto" w:fill="FFFFFF"/>
          </w:tcPr>
          <w:p>
            <w:pPr>
              <w:jc w:val="left"/>
            </w:pPr>
            <w:r>
              <w:rPr>
                <w:rFonts w:ascii="Arial" w:hAnsi="Arial"/>
                <w:sz w:val="20"/>
              </w:rPr>
              <w:t>Parcial — antes da instauração do PAR</w:t>
            </w:r>
          </w:p>
        </w:tc>
        <w:tc>
          <w:tcPr>
            <w:tcW w:type="dxa" w:w="1701"/>
            <w:shd w:val="clear" w:color="auto" w:fill="FFFFFF"/>
          </w:tcPr>
          <w:p>
            <w:pPr>
              <w:jc w:val="center"/>
            </w:pPr>
            <w:r>
              <w:rPr>
                <w:rFonts w:ascii="Arial" w:hAnsi="Arial"/>
                <w:sz w:val="20"/>
              </w:rPr>
              <w:t>−1,5%</w:t>
            </w:r>
          </w:p>
        </w:tc>
      </w:tr>
      <w:tr>
        <w:tc>
          <w:tcPr>
            <w:tcW w:type="dxa" w:w="7370"/>
            <w:shd w:val="clear" w:color="auto" w:fill="F2F2F2"/>
          </w:tcPr>
          <w:p>
            <w:pPr>
              <w:jc w:val="left"/>
            </w:pPr>
            <w:r>
              <w:rPr>
                <w:rFonts w:ascii="Arial" w:hAnsi="Arial"/>
                <w:sz w:val="20"/>
              </w:rPr>
              <w:t>Total — antes da instauração do PAR</w:t>
            </w:r>
          </w:p>
        </w:tc>
        <w:tc>
          <w:tcPr>
            <w:tcW w:type="dxa" w:w="1701"/>
            <w:shd w:val="clear" w:color="auto" w:fill="F2F2F2"/>
          </w:tcPr>
          <w:p>
            <w:pPr>
              <w:jc w:val="center"/>
            </w:pPr>
            <w:r>
              <w:rPr>
                <w:rFonts w:ascii="Arial" w:hAnsi="Arial"/>
                <w:sz w:val="20"/>
              </w:rPr>
              <w:t>−2,0%</w:t>
            </w:r>
          </w:p>
        </w:tc>
      </w:tr>
    </w:tbl>
    <w:p/>
    <w:p>
      <w:pPr>
        <w:spacing w:before="240" w:after="80"/>
        <w:pBdr>
          <w:bottom w:val="single" w:sz="6" w:space="1" w:color="64A70B"/>
        </w:pBdr>
      </w:pPr>
      <w:r>
        <w:rPr>
          <w:rFonts w:ascii="Arial" w:hAnsi="Arial"/>
          <w:b/>
          <w:color w:val="27AE60"/>
          <w:sz w:val="23"/>
        </w:rPr>
        <w:t>7.5 Art. 23, V — Programa de Integridade</w:t>
      </w:r>
    </w:p>
    <w:p>
      <w:pPr>
        <w:spacing w:before="0" w:after="80"/>
      </w:pPr>
      <w:r>
        <w:rPr>
          <w:rFonts w:ascii="Arial" w:hAnsi="Arial"/>
          <w:i w:val="0"/>
          <w:sz w:val="22"/>
        </w:rPr>
        <w:t>Atenuante de até 5% pela comprovada existência e efetiva aplicação de programa de integridade. O percentual máximo somente é atribuível quando o programa for anterior à prática do ato lesivo (Art. 23, parágrafo único, III).</w:t>
      </w:r>
    </w:p>
    <w:p>
      <w:pPr>
        <w:spacing w:before="80" w:after="80"/>
        <w:ind w:left="850" w:right="567"/>
      </w:pPr>
      <w:r>
        <w:rPr>
          <w:rFonts w:ascii="Arial" w:hAnsi="Arial"/>
          <w:i/>
          <w:color w:val="333366"/>
          <w:sz w:val="20"/>
        </w:rPr>
        <w:t>Fórmula: [COI × MPI] + APJ   —   teto: 5%</w:t>
      </w:r>
    </w:p>
    <w:p>
      <w:pPr>
        <w:spacing w:before="0" w:after="80"/>
      </w:pPr>
      <w:r>
        <w:rPr>
          <w:rFonts w:ascii="Arial" w:hAnsi="Arial"/>
          <w:i w:val="0"/>
          <w:sz w:val="22"/>
        </w:rPr>
        <w:t>Onde: COI = Cultura Organizacional e Instâncias de Governança; MPI = Mecanismos, Políticas e Procedimentos de Integridade; APJ = Atuação da Pessoa Jurídica em relação ao ato lesivo.</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27AE60"/>
          </w:tcPr>
          <w:p>
            <w:pPr>
              <w:jc w:val="center"/>
            </w:pPr>
            <w:r>
              <w:rPr>
                <w:rFonts w:ascii="Arial" w:hAnsi="Arial"/>
                <w:b/>
                <w:color w:val="FFFFFF"/>
                <w:sz w:val="20"/>
              </w:rPr>
              <w:t>Situação</w:t>
            </w:r>
          </w:p>
        </w:tc>
        <w:tc>
          <w:tcPr>
            <w:tcW w:type="dxa" w:w="1701"/>
            <w:shd w:val="clear" w:color="auto" w:fill="27AE60"/>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Sem programa ou não comprovado</w:t>
            </w:r>
          </w:p>
        </w:tc>
        <w:tc>
          <w:tcPr>
            <w:tcW w:type="dxa" w:w="1701"/>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Programa apresentado e avaliado (bloco APJ-Anterior)</w:t>
            </w:r>
          </w:p>
        </w:tc>
        <w:tc>
          <w:tcPr>
            <w:tcW w:type="dxa" w:w="1701"/>
            <w:shd w:val="clear" w:color="auto" w:fill="FFFFFF"/>
          </w:tcPr>
          <w:p>
            <w:pPr>
              <w:jc w:val="center"/>
            </w:pPr>
            <w:r>
              <w:rPr>
                <w:rFonts w:ascii="Arial" w:hAnsi="Arial"/>
                <w:sz w:val="20"/>
              </w:rPr>
              <w:t>até −5,0%</w:t>
            </w:r>
          </w:p>
        </w:tc>
      </w:tr>
      <w:tr>
        <w:tc>
          <w:tcPr>
            <w:tcW w:type="dxa" w:w="7370"/>
            <w:shd w:val="clear" w:color="auto" w:fill="F2F2F2"/>
          </w:tcPr>
          <w:p>
            <w:pPr>
              <w:jc w:val="left"/>
            </w:pPr>
            <w:r>
              <w:rPr>
                <w:rFonts w:ascii="Arial" w:hAnsi="Arial"/>
                <w:sz w:val="20"/>
              </w:rPr>
              <w:t>Programa instituído após o ato lesivo (bloco APJ-Posterior)</w:t>
            </w:r>
          </w:p>
        </w:tc>
        <w:tc>
          <w:tcPr>
            <w:tcW w:type="dxa" w:w="1701"/>
            <w:shd w:val="clear" w:color="auto" w:fill="F2F2F2"/>
          </w:tcPr>
          <w:p>
            <w:pPr>
              <w:jc w:val="center"/>
            </w:pPr>
            <w:r>
              <w:rPr>
                <w:rFonts w:ascii="Arial" w:hAnsi="Arial"/>
                <w:sz w:val="20"/>
              </w:rPr>
              <w:t>reduzido</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8. CÁLCULO FINAL E LIMITES LEGAIS (Art. 25)</w:t>
            </w:r>
          </w:p>
        </w:tc>
      </w:tr>
    </w:tbl>
    <w:p/>
    <w:p>
      <w:pPr>
        <w:spacing w:before="240" w:after="80"/>
        <w:pBdr>
          <w:bottom w:val="single" w:sz="6" w:space="1" w:color="64A70B"/>
        </w:pBdr>
      </w:pPr>
      <w:r>
        <w:rPr>
          <w:rFonts w:ascii="Arial" w:hAnsi="Arial"/>
          <w:b/>
          <w:color w:val="1D3A78"/>
          <w:sz w:val="23"/>
        </w:rPr>
        <w:t>8.1 Fórmula da Multa</w:t>
      </w:r>
    </w:p>
    <w:p>
      <w:pPr>
        <w:spacing w:before="80" w:after="80"/>
        <w:ind w:left="850" w:right="567"/>
      </w:pPr>
      <w:r>
        <w:rPr>
          <w:rFonts w:ascii="Arial" w:hAnsi="Arial"/>
          <w:i/>
          <w:color w:val="333366"/>
          <w:sz w:val="20"/>
        </w:rPr>
        <w:t>Índice de Dosimetria  =  Σ Agravantes (Art. 22)  −  Σ Atenuantes (Art. 23)</w:t>
      </w:r>
    </w:p>
    <w:p>
      <w:pPr>
        <w:spacing w:before="80" w:after="80"/>
        <w:ind w:left="850" w:right="567"/>
      </w:pPr>
      <w:r>
        <w:rPr>
          <w:rFonts w:ascii="Arial" w:hAnsi="Arial"/>
          <w:i/>
          <w:color w:val="333366"/>
          <w:sz w:val="20"/>
        </w:rPr>
        <w:t>Multa Bruta  =  Faturamento Bruto  ×  Índice de Dosimetria</w:t>
      </w:r>
    </w:p>
    <w:p>
      <w:pPr>
        <w:spacing w:before="240" w:after="80"/>
        <w:pBdr>
          <w:bottom w:val="single" w:sz="6" w:space="1" w:color="64A70B"/>
        </w:pBdr>
      </w:pPr>
      <w:r>
        <w:rPr>
          <w:rFonts w:ascii="Arial" w:hAnsi="Arial"/>
          <w:b/>
          <w:color w:val="1D3A78"/>
          <w:sz w:val="23"/>
        </w:rPr>
        <w:t>8.2 Verificação dos Limites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205B"/>
          </w:tcPr>
          <w:p>
            <w:pPr>
              <w:jc w:val="center"/>
            </w:pPr>
            <w:r>
              <w:rPr>
                <w:rFonts w:ascii="Arial" w:hAnsi="Arial"/>
                <w:b/>
                <w:color w:val="FFFFFF"/>
                <w:sz w:val="20"/>
              </w:rPr>
              <w:t>Limite</w:t>
            </w:r>
          </w:p>
        </w:tc>
        <w:tc>
          <w:tcPr>
            <w:tcW w:type="dxa" w:w="3118"/>
            <w:shd w:val="clear" w:color="auto" w:fill="00205B"/>
          </w:tcPr>
          <w:p>
            <w:pPr>
              <w:jc w:val="center"/>
            </w:pPr>
            <w:r>
              <w:rPr>
                <w:rFonts w:ascii="Arial" w:hAnsi="Arial"/>
                <w:b/>
                <w:color w:val="FFFFFF"/>
                <w:sz w:val="20"/>
              </w:rPr>
              <w:t>Regra</w:t>
            </w:r>
          </w:p>
        </w:tc>
        <w:tc>
          <w:tcPr>
            <w:tcW w:type="dxa" w:w="2835"/>
            <w:shd w:val="clear" w:color="auto" w:fill="00205B"/>
          </w:tcPr>
          <w:p>
            <w:pPr>
              <w:jc w:val="center"/>
            </w:pPr>
            <w:r>
              <w:rPr>
                <w:rFonts w:ascii="Arial" w:hAnsi="Arial"/>
                <w:b/>
                <w:color w:val="FFFFFF"/>
                <w:sz w:val="20"/>
              </w:rPr>
              <w:t>Efeito</w:t>
            </w:r>
          </w:p>
        </w:tc>
        <w:tc>
          <w:tcPr>
            <w:tcW w:type="dxa" w:w="1701"/>
            <w:shd w:val="clear" w:color="auto" w:fill="00205B"/>
          </w:tcPr>
          <w:p>
            <w:pPr>
              <w:jc w:val="center"/>
            </w:pPr>
            <w:r>
              <w:rPr>
                <w:rFonts w:ascii="Arial" w:hAnsi="Arial"/>
                <w:b/>
                <w:color w:val="FFFFFF"/>
                <w:sz w:val="20"/>
              </w:rPr>
              <w:t>Fundamento</w:t>
            </w:r>
          </w:p>
        </w:tc>
      </w:tr>
      <w:tr>
        <w:tc>
          <w:tcPr>
            <w:tcW w:type="dxa" w:w="2268"/>
            <w:shd w:val="clear" w:color="auto" w:fill="F2F2F2"/>
          </w:tcPr>
          <w:p>
            <w:pPr>
              <w:jc w:val="left"/>
            </w:pPr>
            <w:r>
              <w:rPr>
                <w:rFonts w:ascii="Arial" w:hAnsi="Arial"/>
                <w:sz w:val="20"/>
              </w:rPr>
              <w:t>Piso — Vantagem Auferida</w:t>
            </w:r>
          </w:p>
        </w:tc>
        <w:tc>
          <w:tcPr>
            <w:tcW w:type="dxa" w:w="3118"/>
            <w:shd w:val="clear" w:color="auto" w:fill="F2F2F2"/>
          </w:tcPr>
          <w:p>
            <w:pPr>
              <w:jc w:val="center"/>
            </w:pPr>
            <w:r>
              <w:rPr>
                <w:rFonts w:ascii="Arial" w:hAnsi="Arial"/>
                <w:sz w:val="20"/>
              </w:rPr>
              <w:t>Multa não pode ser inferior à vantagem auferida</w:t>
            </w:r>
          </w:p>
        </w:tc>
        <w:tc>
          <w:tcPr>
            <w:tcW w:type="dxa" w:w="2835"/>
            <w:shd w:val="clear" w:color="auto" w:fill="F2F2F2"/>
          </w:tcPr>
          <w:p>
            <w:pPr>
              <w:jc w:val="center"/>
            </w:pPr>
            <w:r>
              <w:rPr>
                <w:rFonts w:ascii="Arial" w:hAnsi="Arial"/>
                <w:sz w:val="20"/>
              </w:rPr>
              <w:t>Se Multa Bruta &lt; VA → Multa = VA</w:t>
            </w:r>
          </w:p>
        </w:tc>
        <w:tc>
          <w:tcPr>
            <w:tcW w:type="dxa" w:w="1701"/>
            <w:shd w:val="clear" w:color="auto" w:fill="F2F2F2"/>
          </w:tcPr>
          <w:p>
            <w:pPr>
              <w:jc w:val="center"/>
            </w:pPr>
            <w:r>
              <w:rPr>
                <w:rFonts w:ascii="Arial" w:hAnsi="Arial"/>
                <w:sz w:val="20"/>
              </w:rPr>
              <w:t>Art. 25, I</w:t>
            </w:r>
          </w:p>
        </w:tc>
      </w:tr>
      <w:tr>
        <w:tc>
          <w:tcPr>
            <w:tcW w:type="dxa" w:w="2268"/>
            <w:shd w:val="clear" w:color="auto" w:fill="FFFFFF"/>
          </w:tcPr>
          <w:p>
            <w:pPr>
              <w:jc w:val="left"/>
            </w:pPr>
            <w:r>
              <w:rPr>
                <w:rFonts w:ascii="Arial" w:hAnsi="Arial"/>
                <w:sz w:val="20"/>
              </w:rPr>
              <w:t>Teto — Maior Vantagem</w:t>
            </w:r>
          </w:p>
        </w:tc>
        <w:tc>
          <w:tcPr>
            <w:tcW w:type="dxa" w:w="3118"/>
            <w:shd w:val="clear" w:color="auto" w:fill="FFFFFF"/>
          </w:tcPr>
          <w:p>
            <w:pPr>
              <w:jc w:val="center"/>
            </w:pPr>
            <w:r>
              <w:rPr>
                <w:rFonts w:ascii="Arial" w:hAnsi="Arial"/>
                <w:sz w:val="20"/>
              </w:rPr>
              <w:t>Multa não pode exceder o maior valor entre VA e VP</w:t>
            </w:r>
          </w:p>
        </w:tc>
        <w:tc>
          <w:tcPr>
            <w:tcW w:type="dxa" w:w="2835"/>
            <w:shd w:val="clear" w:color="auto" w:fill="FFFFFF"/>
          </w:tcPr>
          <w:p>
            <w:pPr>
              <w:jc w:val="center"/>
            </w:pPr>
            <w:r>
              <w:rPr>
                <w:rFonts w:ascii="Arial" w:hAnsi="Arial"/>
                <w:sz w:val="20"/>
              </w:rPr>
              <w:t>Se Multa Bruta &gt; max(VA,VP) → Multa = max(VA,VP)</w:t>
            </w:r>
          </w:p>
        </w:tc>
        <w:tc>
          <w:tcPr>
            <w:tcW w:type="dxa" w:w="1701"/>
            <w:shd w:val="clear" w:color="auto" w:fill="FFFFFF"/>
          </w:tcPr>
          <w:p>
            <w:pPr>
              <w:jc w:val="center"/>
            </w:pPr>
            <w:r>
              <w:rPr>
                <w:rFonts w:ascii="Arial" w:hAnsi="Arial"/>
                <w:sz w:val="20"/>
              </w:rPr>
              <w:t>Art. 25, II</w:t>
            </w:r>
          </w:p>
        </w:tc>
      </w:tr>
      <w:tr>
        <w:tc>
          <w:tcPr>
            <w:tcW w:type="dxa" w:w="2268"/>
            <w:shd w:val="clear" w:color="auto" w:fill="F2F2F2"/>
          </w:tcPr>
          <w:p>
            <w:pPr>
              <w:jc w:val="left"/>
            </w:pPr>
            <w:r>
              <w:rPr>
                <w:rFonts w:ascii="Arial" w:hAnsi="Arial"/>
                <w:sz w:val="20"/>
              </w:rPr>
              <w:t>Índice ≤ 0</w:t>
            </w:r>
          </w:p>
        </w:tc>
        <w:tc>
          <w:tcPr>
            <w:tcW w:type="dxa" w:w="3118"/>
            <w:shd w:val="clear" w:color="auto" w:fill="F2F2F2"/>
          </w:tcPr>
          <w:p>
            <w:pPr>
              <w:jc w:val="center"/>
            </w:pPr>
            <w:r>
              <w:rPr>
                <w:rFonts w:ascii="Arial" w:hAnsi="Arial"/>
                <w:sz w:val="20"/>
              </w:rPr>
              <w:t>Resultado negativo ou zero na dosimetria</w:t>
            </w:r>
          </w:p>
        </w:tc>
        <w:tc>
          <w:tcPr>
            <w:tcW w:type="dxa" w:w="2835"/>
            <w:shd w:val="clear" w:color="auto" w:fill="F2F2F2"/>
          </w:tcPr>
          <w:p>
            <w:pPr>
              <w:jc w:val="center"/>
            </w:pPr>
            <w:r>
              <w:rPr>
                <w:rFonts w:ascii="Arial" w:hAnsi="Arial"/>
                <w:sz w:val="20"/>
              </w:rPr>
              <w:t>Multa = valor mínimo (vantagem auferida)</w:t>
            </w:r>
          </w:p>
        </w:tc>
        <w:tc>
          <w:tcPr>
            <w:tcW w:type="dxa" w:w="1701"/>
            <w:shd w:val="clear" w:color="auto" w:fill="F2F2F2"/>
          </w:tcPr>
          <w:p>
            <w:pPr>
              <w:jc w:val="center"/>
            </w:pPr>
            <w:r>
              <w:rPr>
                <w:rFonts w:ascii="Arial" w:hAnsi="Arial"/>
                <w:sz w:val="20"/>
              </w:rPr>
              <w:t>Art. 25, §2º</w:t>
            </w:r>
          </w:p>
        </w:tc>
      </w:tr>
    </w:tbl>
    <w:p/>
    <w:p>
      <w:r>
        <w:br w:type="page"/>
      </w:r>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9. PUBLICAÇÃO EXTRAORDINÁRIA DA DECISÃO CONDENATÓRIA</w:t>
            </w:r>
          </w:p>
        </w:tc>
      </w:tr>
    </w:tbl>
    <w:p/>
    <w:p>
      <w:pPr>
        <w:spacing w:before="240" w:after="80"/>
        <w:pBdr>
          <w:bottom w:val="single" w:sz="6" w:space="1" w:color="64A70B"/>
        </w:pBdr>
      </w:pPr>
      <w:r>
        <w:rPr>
          <w:rFonts w:ascii="Arial" w:hAnsi="Arial"/>
          <w:b/>
          <w:color w:val="1D3A78"/>
          <w:sz w:val="23"/>
        </w:rPr>
        <w:t>9.1 Natureza Jurídica e Fundamento</w:t>
      </w:r>
    </w:p>
    <w:p>
      <w:pPr>
        <w:spacing w:before="0" w:after="80"/>
      </w:pPr>
      <w:r>
        <w:rPr>
          <w:rFonts w:ascii="Arial" w:hAnsi="Arial"/>
          <w:i w:val="0"/>
          <w:sz w:val="22"/>
        </w:rPr>
        <w:t>A publicação extraordinária da decisão condenatória é uma sanção autônoma prevista no art. 6º, inciso II, da Lei nº 12.846/2013, aplicada conjuntamente com a multa pecuniária. Não se trata de mera divulgação de ato processual — constitui penalidade independente, com caráter pedagógico e dissuasório, voltada a expor publicamente a conduta ilícita da pessoa jurídica e sua responsabilização formal pelo Estado.</w:t>
      </w:r>
    </w:p>
    <w:p>
      <w:pPr>
        <w:spacing w:before="80" w:after="80"/>
        <w:ind w:left="850" w:right="567"/>
      </w:pPr>
      <w:r>
        <w:rPr>
          <w:rFonts w:ascii="Arial" w:hAnsi="Arial"/>
          <w:i/>
          <w:color w:val="333366"/>
          <w:sz w:val="20"/>
        </w:rPr>
        <w:t>Art. 6º, II, Lei nº 12.846/2013. A publicação extraordinária da decisão condenatória ocorrerá na forma de extrato de sentença, a expensas da pessoa jurídica, em meios de comunicação de grande circulação na área da prática da infração e de atuação da pessoa jurídica ou, na sua falta, em publicação de circulação nacional, bem como por meio de afixação de edital no próprio estabelecimento ou no local de exercício da atividade, de modo visível ao público, e no sítio eletrônico na rede mundial de computadores, respeitando o prazo determinado nesta dosimetria.</w:t>
      </w:r>
    </w:p>
    <w:p>
      <w:pPr>
        <w:spacing w:before="80" w:after="80"/>
        <w:ind w:left="850" w:right="567"/>
      </w:pPr>
      <w:r>
        <w:rPr>
          <w:rFonts w:ascii="Arial" w:hAnsi="Arial"/>
          <w:i/>
          <w:color w:val="333366"/>
          <w:sz w:val="20"/>
        </w:rPr>
        <w:t>Art. 24, Decreto nº 11.129/2022. A publicação extraordinária da decisão condenatória observará o prazo fixado a partir da Alíquota de Referência apurada na dosimetria.</w:t>
      </w:r>
    </w:p>
    <w:p>
      <w:pPr>
        <w:spacing w:before="240" w:after="80"/>
        <w:pBdr>
          <w:bottom w:val="single" w:sz="6" w:space="1" w:color="64A70B"/>
        </w:pBdr>
      </w:pPr>
      <w:r>
        <w:rPr>
          <w:rFonts w:ascii="Arial" w:hAnsi="Arial"/>
          <w:b/>
          <w:color w:val="1D3A78"/>
          <w:sz w:val="23"/>
        </w:rPr>
        <w:t>9.2 Modalidades e Meios de Veiculação</w:t>
      </w:r>
    </w:p>
    <w:p>
      <w:pPr>
        <w:spacing w:before="0" w:after="80"/>
      </w:pPr>
      <w:r>
        <w:rPr>
          <w:rFonts w:ascii="Arial" w:hAnsi="Arial"/>
          <w:i w:val="0"/>
          <w:sz w:val="22"/>
        </w:rPr>
        <w:t>A publicação extraordinária deve ser realizada, cumulativamente, nas seguintes formas:</w:t>
      </w:r>
    </w:p>
    <w:tbl>
      <w:tblPr>
        <w:tblStyle w:val="TableGrid"/>
        <w:tblW w:type="auto" w:w="0"/>
        <w:jc w:val="left"/>
        <w:tblLook w:firstColumn="1" w:firstRow="1" w:lastColumn="0" w:lastRow="0" w:noHBand="0" w:noVBand="1" w:val="04A0"/>
      </w:tblPr>
      <w:tblGrid>
        <w:gridCol w:w="4702"/>
        <w:gridCol w:w="4702"/>
      </w:tblGrid>
      <w:tr>
        <w:tc>
          <w:tcPr>
            <w:tcW w:type="dxa" w:w="3118"/>
            <w:shd w:val="clear" w:color="auto" w:fill="00205B"/>
          </w:tcPr>
          <w:p>
            <w:pPr>
              <w:jc w:val="center"/>
            </w:pPr>
            <w:r>
              <w:rPr>
                <w:rFonts w:ascii="Arial" w:hAnsi="Arial"/>
                <w:b/>
                <w:color w:val="FFFFFF"/>
                <w:sz w:val="20"/>
              </w:rPr>
              <w:t>Modalidade</w:t>
            </w:r>
          </w:p>
        </w:tc>
        <w:tc>
          <w:tcPr>
            <w:tcW w:type="dxa" w:w="6236"/>
            <w:shd w:val="clear" w:color="auto" w:fill="00205B"/>
          </w:tcPr>
          <w:p>
            <w:pPr>
              <w:jc w:val="center"/>
            </w:pPr>
            <w:r>
              <w:rPr>
                <w:rFonts w:ascii="Arial" w:hAnsi="Arial"/>
                <w:b/>
                <w:color w:val="FFFFFF"/>
                <w:sz w:val="20"/>
              </w:rPr>
              <w:t>Descrição</w:t>
            </w:r>
          </w:p>
        </w:tc>
      </w:tr>
      <w:tr>
        <w:tc>
          <w:tcPr>
            <w:tcW w:type="dxa" w:w="3118"/>
            <w:shd w:val="clear" w:color="auto" w:fill="F2F2F2"/>
          </w:tcPr>
          <w:p>
            <w:pPr>
              <w:jc w:val="left"/>
            </w:pPr>
            <w:r>
              <w:rPr>
                <w:rFonts w:ascii="Arial" w:hAnsi="Arial"/>
                <w:sz w:val="20"/>
              </w:rPr>
              <w:t>Extrato de sentença em mídia</w:t>
            </w:r>
          </w:p>
        </w:tc>
        <w:tc>
          <w:tcPr>
            <w:tcW w:type="dxa" w:w="6236"/>
            <w:shd w:val="clear" w:color="auto" w:fill="F2F2F2"/>
          </w:tcPr>
          <w:p>
            <w:pPr>
              <w:jc w:val="center"/>
            </w:pPr>
            <w:r>
              <w:rPr>
                <w:rFonts w:ascii="Arial" w:hAnsi="Arial"/>
                <w:sz w:val="20"/>
              </w:rPr>
              <w:t>Meios de comunicação de grande circulação na área da prática da infração e de atuação da PJ. Na ausência, publicação de circulação nacional</w:t>
            </w:r>
          </w:p>
        </w:tc>
      </w:tr>
      <w:tr>
        <w:tc>
          <w:tcPr>
            <w:tcW w:type="dxa" w:w="3118"/>
            <w:shd w:val="clear" w:color="auto" w:fill="FFFFFF"/>
          </w:tcPr>
          <w:p>
            <w:pPr>
              <w:jc w:val="left"/>
            </w:pPr>
            <w:r>
              <w:rPr>
                <w:rFonts w:ascii="Arial" w:hAnsi="Arial"/>
                <w:sz w:val="20"/>
              </w:rPr>
              <w:t>Edital no estabelecimento</w:t>
            </w:r>
          </w:p>
        </w:tc>
        <w:tc>
          <w:tcPr>
            <w:tcW w:type="dxa" w:w="6236"/>
            <w:shd w:val="clear" w:color="auto" w:fill="FFFFFF"/>
          </w:tcPr>
          <w:p>
            <w:pPr>
              <w:jc w:val="center"/>
            </w:pPr>
            <w:r>
              <w:rPr>
                <w:rFonts w:ascii="Arial" w:hAnsi="Arial"/>
                <w:sz w:val="20"/>
              </w:rPr>
              <w:t>Afixação em local visível ao público no próprio estabelecimento ou no local de exercício da atividade</w:t>
            </w:r>
          </w:p>
        </w:tc>
      </w:tr>
      <w:tr>
        <w:tc>
          <w:tcPr>
            <w:tcW w:type="dxa" w:w="3118"/>
            <w:shd w:val="clear" w:color="auto" w:fill="F2F2F2"/>
          </w:tcPr>
          <w:p>
            <w:pPr>
              <w:jc w:val="left"/>
            </w:pPr>
            <w:r>
              <w:rPr>
                <w:rFonts w:ascii="Arial" w:hAnsi="Arial"/>
                <w:sz w:val="20"/>
              </w:rPr>
              <w:t>Sítio eletrônico</w:t>
            </w:r>
          </w:p>
        </w:tc>
        <w:tc>
          <w:tcPr>
            <w:tcW w:type="dxa" w:w="6236"/>
            <w:shd w:val="clear" w:color="auto" w:fill="F2F2F2"/>
          </w:tcPr>
          <w:p>
            <w:pPr>
              <w:jc w:val="center"/>
            </w:pPr>
            <w:r>
              <w:rPr>
                <w:rFonts w:ascii="Arial" w:hAnsi="Arial"/>
                <w:sz w:val="20"/>
              </w:rPr>
              <w:t>Publicação no site da PJ na rede mundial de computadores (internet)</w:t>
            </w:r>
          </w:p>
        </w:tc>
      </w:tr>
    </w:tbl>
    <w:p/>
    <w:p>
      <w:pPr>
        <w:spacing w:before="0" w:after="80"/>
      </w:pPr>
      <w:r>
        <w:rPr>
          <w:rFonts w:ascii="Arial" w:hAnsi="Arial"/>
          <w:i w:val="0"/>
          <w:sz w:val="22"/>
        </w:rPr>
        <w:t>Todos os custos de publicação correm por conta da pessoa jurídica condenada ("a expensas da PJ"), não gerando ônus ao erário.</w:t>
      </w:r>
    </w:p>
    <w:p>
      <w:pPr>
        <w:spacing w:before="240" w:after="80"/>
        <w:pBdr>
          <w:bottom w:val="single" w:sz="6" w:space="1" w:color="64A70B"/>
        </w:pBdr>
      </w:pPr>
      <w:r>
        <w:rPr>
          <w:rFonts w:ascii="Arial" w:hAnsi="Arial"/>
          <w:b/>
          <w:color w:val="1D3A78"/>
          <w:sz w:val="23"/>
        </w:rPr>
        <w:t>9.3 A Alíquota de Referência</w:t>
      </w:r>
    </w:p>
    <w:p>
      <w:pPr>
        <w:spacing w:before="0" w:after="80"/>
      </w:pPr>
      <w:r>
        <w:rPr>
          <w:rFonts w:ascii="Arial" w:hAnsi="Arial"/>
          <w:i w:val="0"/>
          <w:sz w:val="22"/>
        </w:rPr>
        <w:t>O prazo da publicação extraordinária é dosimetrado a partir de uma grandeza denominada Alíquota de Referência, que traduz em percentual do faturamento bruto o peso efetivo da sanção aplicada. Sua apuração segue dois cenários distintos, conforme o mecanismo que determinou o valor final da multa:</w:t>
      </w:r>
    </w:p>
    <w:p>
      <w:pPr>
        <w:spacing w:before="160" w:after="40"/>
      </w:pPr>
      <w:r>
        <w:rPr>
          <w:rFonts w:ascii="Arial" w:hAnsi="Arial"/>
          <w:b/>
          <w:color w:val="1D3A78"/>
          <w:sz w:val="22"/>
        </w:rPr>
        <w:t>Cenário A — Regra Geral</w:t>
      </w:r>
    </w:p>
    <w:p>
      <w:pPr>
        <w:spacing w:before="0" w:after="80"/>
      </w:pPr>
      <w:r>
        <w:rPr>
          <w:rFonts w:ascii="Arial" w:hAnsi="Arial"/>
          <w:i w:val="0"/>
          <w:sz w:val="22"/>
        </w:rPr>
        <w:t>Aplica-se quando a multa final decorreu diretamente da aplicação da alíquota preliminar resultante da dosimetria dos arts. 22 e 23, sem interferência dos limites do art. 25 (piso, teto ou vantagem auferida). Nesse caso, a Alíquota de Referência é a própria alíquota preliminar da dosimetria.</w:t>
      </w:r>
    </w:p>
    <w:p>
      <w:pPr>
        <w:spacing w:before="80" w:after="80"/>
        <w:ind w:left="850" w:right="567"/>
      </w:pPr>
      <w:r>
        <w:rPr>
          <w:rFonts w:ascii="Arial" w:hAnsi="Arial"/>
          <w:i/>
          <w:color w:val="333366"/>
          <w:sz w:val="20"/>
        </w:rPr>
        <w:t>Alíquota de Referência  =  Índice de Dosimetria  =  Σ Agravantes − Σ Atenuantes</w:t>
      </w:r>
    </w:p>
    <w:p>
      <w:pPr>
        <w:spacing w:before="160" w:after="40"/>
      </w:pPr>
      <w:r>
        <w:rPr>
          <w:rFonts w:ascii="Arial" w:hAnsi="Arial"/>
          <w:b/>
          <w:color w:val="1D3A78"/>
          <w:sz w:val="22"/>
        </w:rPr>
        <w:t>Cenário B — Regra de Exceção (Limites Legais)</w:t>
      </w:r>
    </w:p>
    <w:p>
      <w:pPr>
        <w:spacing w:before="0" w:after="80"/>
      </w:pPr>
      <w:r>
        <w:rPr>
          <w:rFonts w:ascii="Arial" w:hAnsi="Arial"/>
          <w:i w:val="0"/>
          <w:sz w:val="22"/>
        </w:rPr>
        <w:t>Aplica-se quando o valor final da multa foi alterado pelos limites legais — seja porque a dosimetria resultou em índice negativo ou zero (art. 25, §2º), seja porque incidiu o piso da vantagem auferida (art. 25, I) ou o teto da maior vantagem (art. 25, II). Como a alíquota preliminar não corresponde ao valor efetivamente aplicado, ela é substituída pela alíquota recalculada:</w:t>
      </w:r>
    </w:p>
    <w:p>
      <w:pPr>
        <w:spacing w:before="80" w:after="80"/>
        <w:ind w:left="850" w:right="567"/>
      </w:pPr>
      <w:r>
        <w:rPr>
          <w:rFonts w:ascii="Arial" w:hAnsi="Arial"/>
          <w:i/>
          <w:color w:val="333366"/>
          <w:sz w:val="20"/>
        </w:rPr>
        <w:t>Alíquota de Referência  =  (Valor Final da Multa  ÷  Faturamento Bruto)  ×  100</w:t>
      </w:r>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O sistema identifica automaticamente o cenário aplicável (A ou B) a partir dos dados inseridos nas etapas anteriores. A identificação e o cálculo são transparentes e constam do relatório gerado.</w:t>
            </w:r>
          </w:p>
        </w:tc>
      </w:tr>
    </w:tbl>
    <w:p/>
    <w:p>
      <w:pPr>
        <w:spacing w:before="240" w:after="80"/>
        <w:pBdr>
          <w:bottom w:val="single" w:sz="6" w:space="1" w:color="64A70B"/>
        </w:pBdr>
      </w:pPr>
      <w:r>
        <w:rPr>
          <w:rFonts w:ascii="Arial" w:hAnsi="Arial"/>
          <w:b/>
          <w:color w:val="1D3A78"/>
          <w:sz w:val="23"/>
        </w:rPr>
        <w:t>9.4 Tabela de Escalonamento do Prazo</w:t>
      </w:r>
    </w:p>
    <w:p>
      <w:pPr>
        <w:spacing w:before="0" w:after="80"/>
      </w:pPr>
      <w:r>
        <w:rPr>
          <w:rFonts w:ascii="Arial" w:hAnsi="Arial"/>
          <w:i w:val="0"/>
          <w:sz w:val="22"/>
        </w:rPr>
        <w:t>A partir da Alíquota de Referência apurada, o prazo da publicação extraordinária é determinado pela seguinte tabela de escalonamento, conforme art. 24 do Decreto nº 11.129/2022:</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00205B"/>
          </w:tcPr>
          <w:p>
            <w:pPr>
              <w:jc w:val="center"/>
            </w:pPr>
            <w:r>
              <w:rPr>
                <w:rFonts w:ascii="Arial" w:hAnsi="Arial"/>
                <w:b/>
                <w:color w:val="FFFFFF"/>
                <w:sz w:val="20"/>
              </w:rPr>
              <w:t>Alíquota de Referência</w:t>
            </w:r>
          </w:p>
        </w:tc>
        <w:tc>
          <w:tcPr>
            <w:tcW w:type="dxa" w:w="2551"/>
            <w:shd w:val="clear" w:color="auto" w:fill="00205B"/>
          </w:tcPr>
          <w:p>
            <w:pPr>
              <w:jc w:val="center"/>
            </w:pPr>
            <w:r>
              <w:rPr>
                <w:rFonts w:ascii="Arial" w:hAnsi="Arial"/>
                <w:b/>
                <w:color w:val="FFFFFF"/>
                <w:sz w:val="20"/>
              </w:rPr>
              <w:t>Prazo (dias corridos)</w:t>
            </w:r>
          </w:p>
        </w:tc>
        <w:tc>
          <w:tcPr>
            <w:tcW w:type="dxa" w:w="3402"/>
            <w:shd w:val="clear" w:color="auto" w:fill="00205B"/>
          </w:tcPr>
          <w:p>
            <w:pPr>
              <w:jc w:val="center"/>
            </w:pPr>
            <w:r>
              <w:rPr>
                <w:rFonts w:ascii="Arial" w:hAnsi="Arial"/>
                <w:b/>
                <w:color w:val="FFFFFF"/>
                <w:sz w:val="20"/>
              </w:rPr>
              <w:t>Prazo por extenso</w:t>
            </w:r>
          </w:p>
        </w:tc>
      </w:tr>
      <w:tr>
        <w:tc>
          <w:tcPr>
            <w:tcW w:type="dxa" w:w="3402"/>
            <w:shd w:val="clear" w:color="auto" w:fill="F2F2F2"/>
          </w:tcPr>
          <w:p>
            <w:pPr>
              <w:jc w:val="left"/>
            </w:pPr>
            <w:r>
              <w:rPr>
                <w:rFonts w:ascii="Arial" w:hAnsi="Arial"/>
                <w:sz w:val="20"/>
              </w:rPr>
              <w:t>Até 2,5%</w:t>
            </w:r>
          </w:p>
        </w:tc>
        <w:tc>
          <w:tcPr>
            <w:tcW w:type="dxa" w:w="2551"/>
            <w:shd w:val="clear" w:color="auto" w:fill="F2F2F2"/>
          </w:tcPr>
          <w:p>
            <w:pPr>
              <w:jc w:val="center"/>
            </w:pPr>
            <w:r>
              <w:rPr>
                <w:rFonts w:ascii="Arial" w:hAnsi="Arial"/>
                <w:sz w:val="20"/>
              </w:rPr>
              <w:t>30</w:t>
            </w:r>
          </w:p>
        </w:tc>
        <w:tc>
          <w:tcPr>
            <w:tcW w:type="dxa" w:w="3402"/>
            <w:shd w:val="clear" w:color="auto" w:fill="F2F2F2"/>
          </w:tcPr>
          <w:p>
            <w:pPr>
              <w:jc w:val="center"/>
            </w:pPr>
            <w:r>
              <w:rPr>
                <w:rFonts w:ascii="Arial" w:hAnsi="Arial"/>
                <w:sz w:val="20"/>
              </w:rPr>
              <w:t>trinta dias</w:t>
            </w:r>
          </w:p>
        </w:tc>
      </w:tr>
      <w:tr>
        <w:tc>
          <w:tcPr>
            <w:tcW w:type="dxa" w:w="3402"/>
            <w:shd w:val="clear" w:color="auto" w:fill="FFFFFF"/>
          </w:tcPr>
          <w:p>
            <w:pPr>
              <w:jc w:val="left"/>
            </w:pPr>
            <w:r>
              <w:rPr>
                <w:rFonts w:ascii="Arial" w:hAnsi="Arial"/>
                <w:sz w:val="20"/>
              </w:rPr>
              <w:t>Maior que 2,5% até 5,0%</w:t>
            </w:r>
          </w:p>
        </w:tc>
        <w:tc>
          <w:tcPr>
            <w:tcW w:type="dxa" w:w="2551"/>
            <w:shd w:val="clear" w:color="auto" w:fill="FFFFFF"/>
          </w:tcPr>
          <w:p>
            <w:pPr>
              <w:jc w:val="center"/>
            </w:pPr>
            <w:r>
              <w:rPr>
                <w:rFonts w:ascii="Arial" w:hAnsi="Arial"/>
                <w:sz w:val="20"/>
              </w:rPr>
              <w:t>45</w:t>
            </w:r>
          </w:p>
        </w:tc>
        <w:tc>
          <w:tcPr>
            <w:tcW w:type="dxa" w:w="3402"/>
            <w:shd w:val="clear" w:color="auto" w:fill="FFFFFF"/>
          </w:tcPr>
          <w:p>
            <w:pPr>
              <w:jc w:val="center"/>
            </w:pPr>
            <w:r>
              <w:rPr>
                <w:rFonts w:ascii="Arial" w:hAnsi="Arial"/>
                <w:sz w:val="20"/>
              </w:rPr>
              <w:t>quarenta e cinco dias</w:t>
            </w:r>
          </w:p>
        </w:tc>
      </w:tr>
      <w:tr>
        <w:tc>
          <w:tcPr>
            <w:tcW w:type="dxa" w:w="3402"/>
            <w:shd w:val="clear" w:color="auto" w:fill="F2F2F2"/>
          </w:tcPr>
          <w:p>
            <w:pPr>
              <w:jc w:val="left"/>
            </w:pPr>
            <w:r>
              <w:rPr>
                <w:rFonts w:ascii="Arial" w:hAnsi="Arial"/>
                <w:sz w:val="20"/>
              </w:rPr>
              <w:t>Maior que 5,0% até 7,5%</w:t>
            </w:r>
          </w:p>
        </w:tc>
        <w:tc>
          <w:tcPr>
            <w:tcW w:type="dxa" w:w="2551"/>
            <w:shd w:val="clear" w:color="auto" w:fill="F2F2F2"/>
          </w:tcPr>
          <w:p>
            <w:pPr>
              <w:jc w:val="center"/>
            </w:pPr>
            <w:r>
              <w:rPr>
                <w:rFonts w:ascii="Arial" w:hAnsi="Arial"/>
                <w:sz w:val="20"/>
              </w:rPr>
              <w:t>60</w:t>
            </w:r>
          </w:p>
        </w:tc>
        <w:tc>
          <w:tcPr>
            <w:tcW w:type="dxa" w:w="3402"/>
            <w:shd w:val="clear" w:color="auto" w:fill="F2F2F2"/>
          </w:tcPr>
          <w:p>
            <w:pPr>
              <w:jc w:val="center"/>
            </w:pPr>
            <w:r>
              <w:rPr>
                <w:rFonts w:ascii="Arial" w:hAnsi="Arial"/>
                <w:sz w:val="20"/>
              </w:rPr>
              <w:t>sessenta dias</w:t>
            </w:r>
          </w:p>
        </w:tc>
      </w:tr>
      <w:tr>
        <w:tc>
          <w:tcPr>
            <w:tcW w:type="dxa" w:w="3402"/>
            <w:shd w:val="clear" w:color="auto" w:fill="FFFFFF"/>
          </w:tcPr>
          <w:p>
            <w:pPr>
              <w:jc w:val="left"/>
            </w:pPr>
            <w:r>
              <w:rPr>
                <w:rFonts w:ascii="Arial" w:hAnsi="Arial"/>
                <w:sz w:val="20"/>
              </w:rPr>
              <w:t>Maior que 7,5% até 10,0%</w:t>
            </w:r>
          </w:p>
        </w:tc>
        <w:tc>
          <w:tcPr>
            <w:tcW w:type="dxa" w:w="2551"/>
            <w:shd w:val="clear" w:color="auto" w:fill="FFFFFF"/>
          </w:tcPr>
          <w:p>
            <w:pPr>
              <w:jc w:val="center"/>
            </w:pPr>
            <w:r>
              <w:rPr>
                <w:rFonts w:ascii="Arial" w:hAnsi="Arial"/>
                <w:sz w:val="20"/>
              </w:rPr>
              <w:t>75</w:t>
            </w:r>
          </w:p>
        </w:tc>
        <w:tc>
          <w:tcPr>
            <w:tcW w:type="dxa" w:w="3402"/>
            <w:shd w:val="clear" w:color="auto" w:fill="FFFFFF"/>
          </w:tcPr>
          <w:p>
            <w:pPr>
              <w:jc w:val="center"/>
            </w:pPr>
            <w:r>
              <w:rPr>
                <w:rFonts w:ascii="Arial" w:hAnsi="Arial"/>
                <w:sz w:val="20"/>
              </w:rPr>
              <w:t>setenta e cinco dias</w:t>
            </w:r>
          </w:p>
        </w:tc>
      </w:tr>
      <w:tr>
        <w:tc>
          <w:tcPr>
            <w:tcW w:type="dxa" w:w="3402"/>
            <w:shd w:val="clear" w:color="auto" w:fill="F2F2F2"/>
          </w:tcPr>
          <w:p>
            <w:pPr>
              <w:jc w:val="left"/>
            </w:pPr>
            <w:r>
              <w:rPr>
                <w:rFonts w:ascii="Arial" w:hAnsi="Arial"/>
                <w:sz w:val="20"/>
              </w:rPr>
              <w:t>Maior que 10,0% até 12,5%</w:t>
            </w:r>
          </w:p>
        </w:tc>
        <w:tc>
          <w:tcPr>
            <w:tcW w:type="dxa" w:w="2551"/>
            <w:shd w:val="clear" w:color="auto" w:fill="F2F2F2"/>
          </w:tcPr>
          <w:p>
            <w:pPr>
              <w:jc w:val="center"/>
            </w:pPr>
            <w:r>
              <w:rPr>
                <w:rFonts w:ascii="Arial" w:hAnsi="Arial"/>
                <w:sz w:val="20"/>
              </w:rPr>
              <w:t>90</w:t>
            </w:r>
          </w:p>
        </w:tc>
        <w:tc>
          <w:tcPr>
            <w:tcW w:type="dxa" w:w="3402"/>
            <w:shd w:val="clear" w:color="auto" w:fill="F2F2F2"/>
          </w:tcPr>
          <w:p>
            <w:pPr>
              <w:jc w:val="center"/>
            </w:pPr>
            <w:r>
              <w:rPr>
                <w:rFonts w:ascii="Arial" w:hAnsi="Arial"/>
                <w:sz w:val="20"/>
              </w:rPr>
              <w:t>noventa dias</w:t>
            </w:r>
          </w:p>
        </w:tc>
      </w:tr>
      <w:tr>
        <w:tc>
          <w:tcPr>
            <w:tcW w:type="dxa" w:w="3402"/>
            <w:shd w:val="clear" w:color="auto" w:fill="FFFFFF"/>
          </w:tcPr>
          <w:p>
            <w:pPr>
              <w:jc w:val="left"/>
            </w:pPr>
            <w:r>
              <w:rPr>
                <w:rFonts w:ascii="Arial" w:hAnsi="Arial"/>
                <w:sz w:val="20"/>
              </w:rPr>
              <w:t>Maior que 12,5% até 15,0%</w:t>
            </w:r>
          </w:p>
        </w:tc>
        <w:tc>
          <w:tcPr>
            <w:tcW w:type="dxa" w:w="2551"/>
            <w:shd w:val="clear" w:color="auto" w:fill="FFFFFF"/>
          </w:tcPr>
          <w:p>
            <w:pPr>
              <w:jc w:val="center"/>
            </w:pPr>
            <w:r>
              <w:rPr>
                <w:rFonts w:ascii="Arial" w:hAnsi="Arial"/>
                <w:sz w:val="20"/>
              </w:rPr>
              <w:t>105</w:t>
            </w:r>
          </w:p>
        </w:tc>
        <w:tc>
          <w:tcPr>
            <w:tcW w:type="dxa" w:w="3402"/>
            <w:shd w:val="clear" w:color="auto" w:fill="FFFFFF"/>
          </w:tcPr>
          <w:p>
            <w:pPr>
              <w:jc w:val="center"/>
            </w:pPr>
            <w:r>
              <w:rPr>
                <w:rFonts w:ascii="Arial" w:hAnsi="Arial"/>
                <w:sz w:val="20"/>
              </w:rPr>
              <w:t>cento e cinco dias</w:t>
            </w:r>
          </w:p>
        </w:tc>
      </w:tr>
      <w:tr>
        <w:tc>
          <w:tcPr>
            <w:tcW w:type="dxa" w:w="3402"/>
            <w:shd w:val="clear" w:color="auto" w:fill="F2F2F2"/>
          </w:tcPr>
          <w:p>
            <w:pPr>
              <w:jc w:val="left"/>
            </w:pPr>
            <w:r>
              <w:rPr>
                <w:rFonts w:ascii="Arial" w:hAnsi="Arial"/>
                <w:sz w:val="20"/>
              </w:rPr>
              <w:t>Maior que 15,0% até 17,5%</w:t>
            </w:r>
          </w:p>
        </w:tc>
        <w:tc>
          <w:tcPr>
            <w:tcW w:type="dxa" w:w="2551"/>
            <w:shd w:val="clear" w:color="auto" w:fill="F2F2F2"/>
          </w:tcPr>
          <w:p>
            <w:pPr>
              <w:jc w:val="center"/>
            </w:pPr>
            <w:r>
              <w:rPr>
                <w:rFonts w:ascii="Arial" w:hAnsi="Arial"/>
                <w:sz w:val="20"/>
              </w:rPr>
              <w:t>120</w:t>
            </w:r>
          </w:p>
        </w:tc>
        <w:tc>
          <w:tcPr>
            <w:tcW w:type="dxa" w:w="3402"/>
            <w:shd w:val="clear" w:color="auto" w:fill="F2F2F2"/>
          </w:tcPr>
          <w:p>
            <w:pPr>
              <w:jc w:val="center"/>
            </w:pPr>
            <w:r>
              <w:rPr>
                <w:rFonts w:ascii="Arial" w:hAnsi="Arial"/>
                <w:sz w:val="20"/>
              </w:rPr>
              <w:t>cento e vinte dias</w:t>
            </w:r>
          </w:p>
        </w:tc>
      </w:tr>
      <w:tr>
        <w:tc>
          <w:tcPr>
            <w:tcW w:type="dxa" w:w="3402"/>
            <w:shd w:val="clear" w:color="auto" w:fill="FFFFFF"/>
          </w:tcPr>
          <w:p>
            <w:pPr>
              <w:jc w:val="left"/>
            </w:pPr>
            <w:r>
              <w:rPr>
                <w:rFonts w:ascii="Arial" w:hAnsi="Arial"/>
                <w:sz w:val="20"/>
              </w:rPr>
              <w:t>Maior que 17,5%</w:t>
            </w:r>
          </w:p>
        </w:tc>
        <w:tc>
          <w:tcPr>
            <w:tcW w:type="dxa" w:w="2551"/>
            <w:shd w:val="clear" w:color="auto" w:fill="FFFFFF"/>
          </w:tcPr>
          <w:p>
            <w:pPr>
              <w:jc w:val="center"/>
            </w:pPr>
            <w:r>
              <w:rPr>
                <w:rFonts w:ascii="Arial" w:hAnsi="Arial"/>
                <w:sz w:val="20"/>
              </w:rPr>
              <w:t>135</w:t>
            </w:r>
          </w:p>
        </w:tc>
        <w:tc>
          <w:tcPr>
            <w:tcW w:type="dxa" w:w="3402"/>
            <w:shd w:val="clear" w:color="auto" w:fill="FFFFFF"/>
          </w:tcPr>
          <w:p>
            <w:pPr>
              <w:jc w:val="center"/>
            </w:pPr>
            <w:r>
              <w:rPr>
                <w:rFonts w:ascii="Arial" w:hAnsi="Arial"/>
                <w:sz w:val="20"/>
              </w:rPr>
              <w:t>cento e trinta e cinco dias</w:t>
            </w:r>
          </w:p>
        </w:tc>
      </w:tr>
    </w:tbl>
    <w:p/>
    <w:p>
      <w:pPr>
        <w:spacing w:before="0" w:after="80"/>
      </w:pPr>
      <w:r>
        <w:rPr>
          <w:rFonts w:ascii="Arial" w:hAnsi="Arial"/>
          <w:i w:val="0"/>
          <w:sz w:val="22"/>
        </w:rPr>
        <w:t>O prazo é contado em dias corridos a partir da publicação da decisão condenatória no órgão oficial correspondente.</w:t>
      </w:r>
    </w:p>
    <w:p>
      <w:pPr>
        <w:spacing w:before="240" w:after="80"/>
        <w:pBdr>
          <w:bottom w:val="single" w:sz="6" w:space="1" w:color="64A70B"/>
        </w:pBdr>
      </w:pPr>
      <w:r>
        <w:rPr>
          <w:rFonts w:ascii="Arial" w:hAnsi="Arial"/>
          <w:b/>
          <w:color w:val="1D3A78"/>
          <w:sz w:val="23"/>
        </w:rPr>
        <w:t>9.5 Casos Especiais na Apuração da Alíquota de Referência</w:t>
      </w:r>
    </w:p>
    <w:p>
      <w:pPr>
        <w:spacing w:before="160" w:after="40"/>
      </w:pPr>
      <w:r>
        <w:rPr>
          <w:rFonts w:ascii="Arial" w:hAnsi="Arial"/>
          <w:b/>
          <w:color w:val="1D3A78"/>
          <w:sz w:val="22"/>
        </w:rPr>
        <w:t>Faturamento igual a zero ou não estimável</w:t>
      </w:r>
    </w:p>
    <w:p>
      <w:pPr>
        <w:spacing w:before="0" w:after="80"/>
      </w:pPr>
      <w:r>
        <w:rPr>
          <w:rFonts w:ascii="Arial" w:hAnsi="Arial"/>
          <w:i w:val="0"/>
          <w:sz w:val="22"/>
        </w:rPr>
        <w:t>Quando a base de cálculo (faturamento bruto) for igual a zero ou não puder ser estimada, o Cenário B não pode ser aplicado pela impossibilidade aritmética da divisão. Nessa hipótese, adota-se como Alíquota de Referência o índice da dosimetria preliminar:</w:t>
      </w:r>
    </w:p>
    <w:p>
      <w:pPr>
        <w:spacing w:before="80" w:after="80"/>
        <w:ind w:left="850" w:right="567"/>
      </w:pPr>
      <w:r>
        <w:rPr>
          <w:rFonts w:ascii="Arial" w:hAnsi="Arial"/>
          <w:i/>
          <w:color w:val="333366"/>
          <w:sz w:val="20"/>
        </w:rPr>
        <w:t>Alíquota de Referência  =  max(Índice de Dosimetria, 0)  ×  100</w:t>
      </w:r>
    </w:p>
    <w:p>
      <w:pPr>
        <w:spacing w:before="160" w:after="40"/>
      </w:pPr>
      <w:r>
        <w:rPr>
          <w:rFonts w:ascii="Arial" w:hAnsi="Arial"/>
          <w:b/>
          <w:color w:val="1D3A78"/>
          <w:sz w:val="22"/>
        </w:rPr>
        <w:t>Índice de Dosimetria negativo ou zero (art. 25, §2º)</w:t>
      </w:r>
    </w:p>
    <w:p>
      <w:pPr>
        <w:spacing w:before="0" w:after="80"/>
      </w:pPr>
      <w:r>
        <w:rPr>
          <w:rFonts w:ascii="Arial" w:hAnsi="Arial"/>
          <w:i w:val="0"/>
          <w:sz w:val="22"/>
        </w:rPr>
        <w:t>Quando a dosimetria resultar em índice negativo ou zero, a multa é fixada no piso mínimo (vantagem auferida). Nessa situação, o Cenário B se aplica necessariamente, pois o valor final da multa difere da aplicação direta da alíquota preliminar. A Alíquota de Referência passa a ser calculada como o quociente entre o valor da vantagem auferida e o faturamento bruto.</w:t>
      </w:r>
    </w:p>
    <w:p>
      <w:pPr>
        <w:spacing w:before="160" w:after="40"/>
      </w:pPr>
      <w:r>
        <w:rPr>
          <w:rFonts w:ascii="Arial" w:hAnsi="Arial"/>
          <w:b/>
          <w:color w:val="1D3A78"/>
          <w:sz w:val="22"/>
        </w:rPr>
        <w:t>Vantagem auferida superior à multa bruta (piso)</w:t>
      </w:r>
    </w:p>
    <w:p>
      <w:pPr>
        <w:spacing w:before="0" w:after="80"/>
      </w:pPr>
      <w:r>
        <w:rPr>
          <w:rFonts w:ascii="Arial" w:hAnsi="Arial"/>
          <w:i w:val="0"/>
          <w:sz w:val="22"/>
        </w:rPr>
        <w:t>Quando a vantagem auferida supera a multa bruta calculada pela dosimetria, a multa é elevada ao valor da vantagem auferida (piso legal, art. 25, I). O Cenário B é aplicado, e a Alíquota de Referência é recalculada pelo valor efetivamente aplicado.</w:t>
      </w:r>
    </w:p>
    <w:p>
      <w:pPr>
        <w:spacing w:before="160" w:after="40"/>
      </w:pPr>
      <w:r>
        <w:rPr>
          <w:rFonts w:ascii="Arial" w:hAnsi="Arial"/>
          <w:b/>
          <w:color w:val="1D3A78"/>
          <w:sz w:val="22"/>
        </w:rPr>
        <w:t>Teto da maior vantagem (art. 25, II)</w:t>
      </w:r>
    </w:p>
    <w:p>
      <w:pPr>
        <w:spacing w:before="0" w:after="80"/>
      </w:pPr>
      <w:r>
        <w:rPr>
          <w:rFonts w:ascii="Arial" w:hAnsi="Arial"/>
          <w:i w:val="0"/>
          <w:sz w:val="22"/>
        </w:rPr>
        <w:t>Quando a multa bruta excede o maior valor entre a vantagem auferida e a pretendida, ela é reduzida a esse teto. O Cenário B é aplicado, e a Alíquota de Referência reflete o valor do teto aplicado.</w:t>
      </w:r>
    </w:p>
    <w:p>
      <w:pPr>
        <w:spacing w:before="240" w:after="80"/>
        <w:pBdr>
          <w:bottom w:val="single" w:sz="6" w:space="1" w:color="64A70B"/>
        </w:pBdr>
      </w:pPr>
      <w:r>
        <w:rPr>
          <w:rFonts w:ascii="Arial" w:hAnsi="Arial"/>
          <w:b/>
          <w:color w:val="1D3A78"/>
          <w:sz w:val="23"/>
        </w:rPr>
        <w:t>9.6 Redação da Decisão — Elementos Obrigatórios</w:t>
      </w:r>
    </w:p>
    <w:p>
      <w:pPr>
        <w:spacing w:before="0" w:after="80"/>
      </w:pPr>
      <w:r>
        <w:rPr>
          <w:rFonts w:ascii="Arial" w:hAnsi="Arial"/>
          <w:i w:val="0"/>
          <w:sz w:val="22"/>
        </w:rPr>
        <w:t>A seção de publicação extraordinária na peça processual deve conter, no mínimo:</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0205B"/>
          </w:tcPr>
          <w:p>
            <w:pPr>
              <w:jc w:val="center"/>
            </w:pPr>
            <w:r>
              <w:rPr>
                <w:rFonts w:ascii="Arial" w:hAnsi="Arial"/>
                <w:b/>
                <w:color w:val="FFFFFF"/>
                <w:sz w:val="20"/>
              </w:rPr>
              <w:t>Elemento</w:t>
            </w:r>
          </w:p>
        </w:tc>
        <w:tc>
          <w:tcPr>
            <w:tcW w:type="dxa" w:w="6803"/>
            <w:shd w:val="clear" w:color="auto" w:fill="00205B"/>
          </w:tcPr>
          <w:p>
            <w:pPr>
              <w:jc w:val="center"/>
            </w:pPr>
            <w:r>
              <w:rPr>
                <w:rFonts w:ascii="Arial" w:hAnsi="Arial"/>
                <w:b/>
                <w:color w:val="FFFFFF"/>
                <w:sz w:val="20"/>
              </w:rPr>
              <w:t>Conteúdo exigido</w:t>
            </w:r>
          </w:p>
        </w:tc>
      </w:tr>
      <w:tr>
        <w:tc>
          <w:tcPr>
            <w:tcW w:type="dxa" w:w="2835"/>
            <w:shd w:val="clear" w:color="auto" w:fill="F2F2F2"/>
          </w:tcPr>
          <w:p>
            <w:pPr>
              <w:jc w:val="left"/>
            </w:pPr>
            <w:r>
              <w:rPr>
                <w:rFonts w:ascii="Arial" w:hAnsi="Arial"/>
                <w:sz w:val="20"/>
              </w:rPr>
              <w:t>Fundamento legal</w:t>
            </w:r>
          </w:p>
        </w:tc>
        <w:tc>
          <w:tcPr>
            <w:tcW w:type="dxa" w:w="6803"/>
            <w:shd w:val="clear" w:color="auto" w:fill="F2F2F2"/>
          </w:tcPr>
          <w:p>
            <w:pPr>
              <w:jc w:val="center"/>
            </w:pPr>
            <w:r>
              <w:rPr>
                <w:rFonts w:ascii="Arial" w:hAnsi="Arial"/>
                <w:sz w:val="20"/>
              </w:rPr>
              <w:t>Art. 6º, II, da Lei nº 12.846/2013 c/c art. 24 do Decreto nº 11.129/2022</w:t>
            </w:r>
          </w:p>
        </w:tc>
      </w:tr>
      <w:tr>
        <w:tc>
          <w:tcPr>
            <w:tcW w:type="dxa" w:w="2835"/>
            <w:shd w:val="clear" w:color="auto" w:fill="FFFFFF"/>
          </w:tcPr>
          <w:p>
            <w:pPr>
              <w:jc w:val="left"/>
            </w:pPr>
            <w:r>
              <w:rPr>
                <w:rFonts w:ascii="Arial" w:hAnsi="Arial"/>
                <w:sz w:val="20"/>
              </w:rPr>
              <w:t>Cenário adotado</w:t>
            </w:r>
          </w:p>
        </w:tc>
        <w:tc>
          <w:tcPr>
            <w:tcW w:type="dxa" w:w="6803"/>
            <w:shd w:val="clear" w:color="auto" w:fill="FFFFFF"/>
          </w:tcPr>
          <w:p>
            <w:pPr>
              <w:jc w:val="center"/>
            </w:pPr>
            <w:r>
              <w:rPr>
                <w:rFonts w:ascii="Arial" w:hAnsi="Arial"/>
                <w:sz w:val="20"/>
              </w:rPr>
              <w:t>A (regra geral) ou B (regra de exceção), com memória de cálculo</w:t>
            </w:r>
          </w:p>
        </w:tc>
      </w:tr>
      <w:tr>
        <w:tc>
          <w:tcPr>
            <w:tcW w:type="dxa" w:w="2835"/>
            <w:shd w:val="clear" w:color="auto" w:fill="F2F2F2"/>
          </w:tcPr>
          <w:p>
            <w:pPr>
              <w:jc w:val="left"/>
            </w:pPr>
            <w:r>
              <w:rPr>
                <w:rFonts w:ascii="Arial" w:hAnsi="Arial"/>
                <w:sz w:val="20"/>
              </w:rPr>
              <w:t>Alíquota de Referência</w:t>
            </w:r>
          </w:p>
        </w:tc>
        <w:tc>
          <w:tcPr>
            <w:tcW w:type="dxa" w:w="6803"/>
            <w:shd w:val="clear" w:color="auto" w:fill="F2F2F2"/>
          </w:tcPr>
          <w:p>
            <w:pPr>
              <w:jc w:val="center"/>
            </w:pPr>
            <w:r>
              <w:rPr>
                <w:rFonts w:ascii="Arial" w:hAnsi="Arial"/>
                <w:sz w:val="20"/>
              </w:rPr>
              <w:t>Percentual apurado, com 2 casas decimais</w:t>
            </w:r>
          </w:p>
        </w:tc>
      </w:tr>
      <w:tr>
        <w:tc>
          <w:tcPr>
            <w:tcW w:type="dxa" w:w="2835"/>
            <w:shd w:val="clear" w:color="auto" w:fill="FFFFFF"/>
          </w:tcPr>
          <w:p>
            <w:pPr>
              <w:jc w:val="left"/>
            </w:pPr>
            <w:r>
              <w:rPr>
                <w:rFonts w:ascii="Arial" w:hAnsi="Arial"/>
                <w:sz w:val="20"/>
              </w:rPr>
              <w:t>Prazo</w:t>
            </w:r>
          </w:p>
        </w:tc>
        <w:tc>
          <w:tcPr>
            <w:tcW w:type="dxa" w:w="6803"/>
            <w:shd w:val="clear" w:color="auto" w:fill="FFFFFF"/>
          </w:tcPr>
          <w:p>
            <w:pPr>
              <w:jc w:val="center"/>
            </w:pPr>
            <w:r>
              <w:rPr>
                <w:rFonts w:ascii="Arial" w:hAnsi="Arial"/>
                <w:sz w:val="20"/>
              </w:rPr>
              <w:t>Número de dias corridos, por algarismo e por extenso</w:t>
            </w:r>
          </w:p>
        </w:tc>
      </w:tr>
      <w:tr>
        <w:tc>
          <w:tcPr>
            <w:tcW w:type="dxa" w:w="2835"/>
            <w:shd w:val="clear" w:color="auto" w:fill="F2F2F2"/>
          </w:tcPr>
          <w:p>
            <w:pPr>
              <w:jc w:val="left"/>
            </w:pPr>
            <w:r>
              <w:rPr>
                <w:rFonts w:ascii="Arial" w:hAnsi="Arial"/>
                <w:sz w:val="20"/>
              </w:rPr>
              <w:t>Forma de veiculação</w:t>
            </w:r>
          </w:p>
        </w:tc>
        <w:tc>
          <w:tcPr>
            <w:tcW w:type="dxa" w:w="6803"/>
            <w:shd w:val="clear" w:color="auto" w:fill="F2F2F2"/>
          </w:tcPr>
          <w:p>
            <w:pPr>
              <w:jc w:val="center"/>
            </w:pPr>
            <w:r>
              <w:rPr>
                <w:rFonts w:ascii="Arial" w:hAnsi="Arial"/>
                <w:sz w:val="20"/>
              </w:rPr>
              <w:t>Meios de comunicação, edital no estabelecimento e sítio eletrônico</w:t>
            </w:r>
          </w:p>
        </w:tc>
      </w:tr>
      <w:tr>
        <w:tc>
          <w:tcPr>
            <w:tcW w:type="dxa" w:w="2835"/>
            <w:shd w:val="clear" w:color="auto" w:fill="FFFFFF"/>
          </w:tcPr>
          <w:p>
            <w:pPr>
              <w:jc w:val="left"/>
            </w:pPr>
            <w:r>
              <w:rPr>
                <w:rFonts w:ascii="Arial" w:hAnsi="Arial"/>
                <w:sz w:val="20"/>
              </w:rPr>
              <w:t>Ônus financeiro</w:t>
            </w:r>
          </w:p>
        </w:tc>
        <w:tc>
          <w:tcPr>
            <w:tcW w:type="dxa" w:w="6803"/>
            <w:shd w:val="clear" w:color="auto" w:fill="FFFFFF"/>
          </w:tcPr>
          <w:p>
            <w:pPr>
              <w:jc w:val="center"/>
            </w:pPr>
            <w:r>
              <w:rPr>
                <w:rFonts w:ascii="Arial" w:hAnsi="Arial"/>
                <w:sz w:val="20"/>
              </w:rPr>
              <w:t>Expressão de que os custos correm a expensas da pessoa jurídica</w:t>
            </w:r>
          </w:p>
        </w:tc>
      </w:tr>
    </w:tbl>
    <w:p/>
    <w:p>
      <w:pPr>
        <w:spacing w:before="240" w:after="80"/>
        <w:pBdr>
          <w:bottom w:val="single" w:sz="6" w:space="1" w:color="64A70B"/>
        </w:pBdr>
      </w:pPr>
      <w:r>
        <w:rPr>
          <w:rFonts w:ascii="Arial" w:hAnsi="Arial"/>
          <w:b/>
          <w:color w:val="1D3A78"/>
          <w:sz w:val="23"/>
        </w:rPr>
        <w:t>9.7 Geração Automática pela Calculadora</w:t>
      </w:r>
    </w:p>
    <w:p>
      <w:pPr>
        <w:spacing w:before="0" w:after="80"/>
      </w:pPr>
      <w:r>
        <w:rPr>
          <w:rFonts w:ascii="Arial" w:hAnsi="Arial"/>
          <w:i w:val="0"/>
          <w:sz w:val="22"/>
        </w:rPr>
        <w:t>A Etapa 13 da calculadora processa automaticamente todos os dados inseridos nas etapas anteriores e determina: (i) o cenário aplicável (A ou B); (ii) a Alíquota de Referência; (iii) o prazo correspondente na tabela de escalonamento; e (iv) o texto dissertativo da memória de cálculo para integrar a minuta processual.</w:t>
      </w:r>
    </w:p>
    <w:p>
      <w:pPr>
        <w:spacing w:before="0" w:after="80"/>
      </w:pPr>
      <w:r>
        <w:rPr>
          <w:rFonts w:ascii="Arial" w:hAnsi="Arial"/>
          <w:i w:val="0"/>
          <w:sz w:val="22"/>
        </w:rPr>
        <w:t>O relatório final impresso registra:</w:t>
      </w:r>
    </w:p>
    <w:p>
      <w:pPr>
        <w:pStyle w:val="ListBullet"/>
        <w:spacing w:before="0" w:after="40"/>
        <w:ind w:left="283"/>
      </w:pPr>
      <w:r>
        <w:rPr>
          <w:rFonts w:ascii="Arial" w:hAnsi="Arial"/>
          <w:sz w:val="22"/>
        </w:rPr>
        <w:t>Cenário adotado (A ou B) com fundamentação;</w:t>
      </w:r>
    </w:p>
    <w:p>
      <w:pPr>
        <w:pStyle w:val="ListBullet"/>
        <w:spacing w:before="0" w:after="40"/>
        <w:ind w:left="283"/>
      </w:pPr>
      <w:r>
        <w:rPr>
          <w:rFonts w:ascii="Arial" w:hAnsi="Arial"/>
          <w:sz w:val="22"/>
        </w:rPr>
        <w:t>Memória de cálculo da Alíquota de Referência;</w:t>
      </w:r>
    </w:p>
    <w:p>
      <w:pPr>
        <w:pStyle w:val="ListBullet"/>
        <w:spacing w:before="0" w:after="40"/>
        <w:ind w:left="283"/>
      </w:pPr>
      <w:r>
        <w:rPr>
          <w:rFonts w:ascii="Arial" w:hAnsi="Arial"/>
          <w:sz w:val="22"/>
        </w:rPr>
        <w:t>Prazo determinado em dias corridos e por extenso;</w:t>
      </w:r>
    </w:p>
    <w:p>
      <w:pPr>
        <w:pStyle w:val="ListBullet"/>
        <w:spacing w:before="0" w:after="40"/>
        <w:ind w:left="283"/>
      </w:pPr>
      <w:r>
        <w:rPr>
          <w:rFonts w:ascii="Arial" w:hAnsi="Arial"/>
          <w:sz w:val="22"/>
        </w:rPr>
        <w:t>Texto padrão para a cláusula de publicação na decisão condenatória.</w:t>
      </w:r>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A dosimetria da publicação extraordinária é consequência direta do valor final da multa. Qualquer alteração nos parâmetros de dosimetria (agravantes, atenuantes, limites) afetará automaticamente o prazo da publicação. Por isso, a Etapa 13 deve sempre ser revisada após qualquer modificação nas etapas anteriores.</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10. RELATÓRIO FINAL E IMPRESSÃO</w:t>
            </w:r>
          </w:p>
        </w:tc>
      </w:tr>
    </w:tbl>
    <w:p/>
    <w:p>
      <w:pPr>
        <w:spacing w:before="240" w:after="80"/>
        <w:pBdr>
          <w:bottom w:val="single" w:sz="6" w:space="1" w:color="64A70B"/>
        </w:pBdr>
      </w:pPr>
      <w:r>
        <w:rPr>
          <w:rFonts w:ascii="Arial" w:hAnsi="Arial"/>
          <w:b/>
          <w:color w:val="1D3A78"/>
          <w:sz w:val="23"/>
        </w:rPr>
        <w:t>10.1 Impressão do Relatório Final (PDF)</w:t>
      </w:r>
    </w:p>
    <w:p>
      <w:pPr>
        <w:spacing w:before="0" w:after="80"/>
      </w:pPr>
      <w:r>
        <w:rPr>
          <w:rFonts w:ascii="Arial" w:hAnsi="Arial"/>
          <w:i w:val="0"/>
          <w:sz w:val="22"/>
        </w:rPr>
        <w:t>O botão "Imprimir Relatório Final (PDF)" aciona o modo de impressão do navegador. O documento gerado tem fundo branco, identidade visual institucional, e reúne todos os parâmetros da dosimetria.</w:t>
      </w:r>
    </w:p>
    <w:p>
      <w:pPr>
        <w:spacing w:before="0" w:after="80"/>
      </w:pPr>
      <w:r>
        <w:rPr>
          <w:rFonts w:ascii="Arial" w:hAnsi="Arial"/>
          <w:i w:val="0"/>
          <w:sz w:val="22"/>
        </w:rPr>
        <w:t>Para gerar o PDF: pressione o botão → selecione "Salvar como PDF" na janela de impressão → ajuste a escala para 80–100% → salve com nome identificador do PAR.</w:t>
      </w:r>
    </w:p>
    <w:p>
      <w:pPr>
        <w:spacing w:before="240" w:after="80"/>
        <w:pBdr>
          <w:bottom w:val="single" w:sz="6" w:space="1" w:color="64A70B"/>
        </w:pBdr>
      </w:pPr>
      <w:r>
        <w:rPr>
          <w:rFonts w:ascii="Arial" w:hAnsi="Arial"/>
          <w:b/>
          <w:color w:val="1D3A78"/>
          <w:sz w:val="23"/>
        </w:rPr>
        <w:t>10.2 Botões Adicionais</w:t>
      </w:r>
    </w:p>
    <w:tbl>
      <w:tblPr>
        <w:tblStyle w:val="TableGrid"/>
        <w:tblW w:type="auto" w:w="0"/>
        <w:jc w:val="left"/>
        <w:tblLook w:firstColumn="1" w:firstRow="1" w:lastColumn="0" w:lastRow="0" w:noHBand="0" w:noVBand="1" w:val="04A0"/>
      </w:tblPr>
      <w:tblGrid>
        <w:gridCol w:w="4702"/>
        <w:gridCol w:w="4702"/>
      </w:tblGrid>
      <w:tr>
        <w:tc>
          <w:tcPr>
            <w:tcW w:type="dxa" w:w="3118"/>
            <w:shd w:val="clear" w:color="auto" w:fill="00205B"/>
          </w:tcPr>
          <w:p>
            <w:pPr>
              <w:jc w:val="center"/>
            </w:pPr>
            <w:r>
              <w:rPr>
                <w:rFonts w:ascii="Arial" w:hAnsi="Arial"/>
                <w:b/>
                <w:color w:val="FFFFFF"/>
                <w:sz w:val="20"/>
              </w:rPr>
              <w:t>Botão</w:t>
            </w:r>
          </w:p>
        </w:tc>
        <w:tc>
          <w:tcPr>
            <w:tcW w:type="dxa" w:w="6236"/>
            <w:shd w:val="clear" w:color="auto" w:fill="00205B"/>
          </w:tcPr>
          <w:p>
            <w:pPr>
              <w:jc w:val="center"/>
            </w:pPr>
            <w:r>
              <w:rPr>
                <w:rFonts w:ascii="Arial" w:hAnsi="Arial"/>
                <w:b/>
                <w:color w:val="FFFFFF"/>
                <w:sz w:val="20"/>
              </w:rPr>
              <w:t>Função</w:t>
            </w:r>
          </w:p>
        </w:tc>
      </w:tr>
      <w:tr>
        <w:tc>
          <w:tcPr>
            <w:tcW w:type="dxa" w:w="3118"/>
            <w:shd w:val="clear" w:color="auto" w:fill="F2F2F2"/>
          </w:tcPr>
          <w:p>
            <w:pPr>
              <w:jc w:val="left"/>
            </w:pPr>
            <w:r>
              <w:rPr>
                <w:rFonts w:ascii="Arial" w:hAnsi="Arial"/>
                <w:sz w:val="20"/>
              </w:rPr>
              <w:t>Imprimir Avaliação PI</w:t>
            </w:r>
          </w:p>
        </w:tc>
        <w:tc>
          <w:tcPr>
            <w:tcW w:type="dxa" w:w="6236"/>
            <w:shd w:val="clear" w:color="auto" w:fill="F2F2F2"/>
          </w:tcPr>
          <w:p>
            <w:pPr>
              <w:jc w:val="center"/>
            </w:pPr>
            <w:r>
              <w:rPr>
                <w:rFonts w:ascii="Arial" w:hAnsi="Arial"/>
                <w:sz w:val="20"/>
              </w:rPr>
              <w:t>Imprime somente a avaliação do programa de integridade (Etapa 12)</w:t>
            </w:r>
          </w:p>
        </w:tc>
      </w:tr>
      <w:tr>
        <w:tc>
          <w:tcPr>
            <w:tcW w:type="dxa" w:w="3118"/>
            <w:shd w:val="clear" w:color="auto" w:fill="FFFFFF"/>
          </w:tcPr>
          <w:p>
            <w:pPr>
              <w:jc w:val="left"/>
            </w:pPr>
            <w:r>
              <w:rPr>
                <w:rFonts w:ascii="Arial" w:hAnsi="Arial"/>
                <w:sz w:val="20"/>
              </w:rPr>
              <w:t>Gerar Minuta de Relatório</w:t>
            </w:r>
          </w:p>
        </w:tc>
        <w:tc>
          <w:tcPr>
            <w:tcW w:type="dxa" w:w="6236"/>
            <w:shd w:val="clear" w:color="auto" w:fill="FFFFFF"/>
          </w:tcPr>
          <w:p>
            <w:pPr>
              <w:jc w:val="center"/>
            </w:pPr>
            <w:r>
              <w:rPr>
                <w:rFonts w:ascii="Arial" w:hAnsi="Arial"/>
                <w:sz w:val="20"/>
              </w:rPr>
              <w:t>Gera texto dissertativo para inserção direta na peça processual</w:t>
            </w:r>
          </w:p>
        </w:tc>
      </w:tr>
      <w:tr>
        <w:tc>
          <w:tcPr>
            <w:tcW w:type="dxa" w:w="3118"/>
            <w:shd w:val="clear" w:color="auto" w:fill="F2F2F2"/>
          </w:tcPr>
          <w:p>
            <w:pPr>
              <w:jc w:val="left"/>
            </w:pPr>
            <w:r>
              <w:rPr>
                <w:rFonts w:ascii="Arial" w:hAnsi="Arial"/>
                <w:sz w:val="20"/>
              </w:rPr>
              <w:t>Recomeçar</w:t>
            </w:r>
          </w:p>
        </w:tc>
        <w:tc>
          <w:tcPr>
            <w:tcW w:type="dxa" w:w="6236"/>
            <w:shd w:val="clear" w:color="auto" w:fill="F2F2F2"/>
          </w:tcPr>
          <w:p>
            <w:pPr>
              <w:jc w:val="center"/>
            </w:pPr>
            <w:r>
              <w:rPr>
                <w:rFonts w:ascii="Arial" w:hAnsi="Arial"/>
                <w:sz w:val="20"/>
              </w:rPr>
              <w:t>Reinicia o formulário (todos os campos são zerados)</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11. FLUXO RESUMIDO DO CÁLCULO</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00205B"/>
          </w:tcPr>
          <w:p>
            <w:pPr>
              <w:jc w:val="center"/>
            </w:pPr>
            <w:r>
              <w:rPr>
                <w:rFonts w:ascii="Arial" w:hAnsi="Arial"/>
                <w:b/>
                <w:color w:val="FFFFFF"/>
                <w:sz w:val="20"/>
              </w:rPr>
              <w:t>Etapa</w:t>
            </w:r>
          </w:p>
        </w:tc>
        <w:tc>
          <w:tcPr>
            <w:tcW w:type="dxa" w:w="5669"/>
            <w:shd w:val="clear" w:color="auto" w:fill="00205B"/>
          </w:tcPr>
          <w:p>
            <w:pPr>
              <w:jc w:val="center"/>
            </w:pPr>
            <w:r>
              <w:rPr>
                <w:rFonts w:ascii="Arial" w:hAnsi="Arial"/>
                <w:b/>
                <w:color w:val="FFFFFF"/>
                <w:sz w:val="20"/>
              </w:rPr>
              <w:t>Conteúdo</w:t>
            </w:r>
          </w:p>
        </w:tc>
        <w:tc>
          <w:tcPr>
            <w:tcW w:type="dxa" w:w="2835"/>
            <w:shd w:val="clear" w:color="auto" w:fill="00205B"/>
          </w:tcPr>
          <w:p>
            <w:pPr>
              <w:jc w:val="center"/>
            </w:pPr>
            <w:r>
              <w:rPr>
                <w:rFonts w:ascii="Arial" w:hAnsi="Arial"/>
                <w:b/>
                <w:color w:val="FFFFFF"/>
                <w:sz w:val="20"/>
              </w:rPr>
              <w:t>Faixa de %</w:t>
            </w:r>
          </w:p>
        </w:tc>
      </w:tr>
      <w:tr>
        <w:tc>
          <w:tcPr>
            <w:tcW w:type="dxa" w:w="850"/>
            <w:shd w:val="clear" w:color="auto" w:fill="F2F2F2"/>
          </w:tcPr>
          <w:p>
            <w:pPr>
              <w:jc w:val="left"/>
            </w:pPr>
            <w:r>
              <w:rPr>
                <w:rFonts w:ascii="Arial" w:hAnsi="Arial"/>
                <w:sz w:val="20"/>
              </w:rPr>
              <w:t>0</w:t>
            </w:r>
          </w:p>
        </w:tc>
        <w:tc>
          <w:tcPr>
            <w:tcW w:type="dxa" w:w="5669"/>
            <w:shd w:val="clear" w:color="auto" w:fill="F2F2F2"/>
          </w:tcPr>
          <w:p>
            <w:pPr>
              <w:jc w:val="center"/>
            </w:pPr>
            <w:r>
              <w:rPr>
                <w:rFonts w:ascii="Arial" w:hAnsi="Arial"/>
                <w:sz w:val="20"/>
              </w:rPr>
              <w:t>Faturamento Bruto (base de cálculo)</w:t>
            </w:r>
          </w:p>
        </w:tc>
        <w:tc>
          <w:tcPr>
            <w:tcW w:type="dxa" w:w="2835"/>
            <w:shd w:val="clear" w:color="auto" w:fill="F2F2F2"/>
          </w:tcPr>
          <w:p>
            <w:pPr>
              <w:jc w:val="center"/>
            </w:pPr>
            <w:r>
              <w:rPr>
                <w:rFonts w:ascii="Arial" w:hAnsi="Arial"/>
                <w:sz w:val="20"/>
              </w:rPr>
              <w:t>Base R$</w:t>
            </w:r>
          </w:p>
        </w:tc>
      </w:tr>
      <w:tr>
        <w:tc>
          <w:tcPr>
            <w:tcW w:type="dxa" w:w="850"/>
            <w:shd w:val="clear" w:color="auto" w:fill="FFFFFF"/>
          </w:tcPr>
          <w:p>
            <w:pPr>
              <w:jc w:val="left"/>
            </w:pPr>
            <w:r>
              <w:rPr>
                <w:rFonts w:ascii="Arial" w:hAnsi="Arial"/>
                <w:sz w:val="20"/>
              </w:rPr>
              <w:t>1</w:t>
            </w:r>
          </w:p>
        </w:tc>
        <w:tc>
          <w:tcPr>
            <w:tcW w:type="dxa" w:w="5669"/>
            <w:shd w:val="clear" w:color="auto" w:fill="FFFFFF"/>
          </w:tcPr>
          <w:p>
            <w:pPr>
              <w:jc w:val="center"/>
            </w:pPr>
            <w:r>
              <w:rPr>
                <w:rFonts w:ascii="Arial" w:hAnsi="Arial"/>
                <w:sz w:val="20"/>
              </w:rPr>
              <w:t>Vantagens Auferida e Pretendida</w:t>
            </w:r>
          </w:p>
        </w:tc>
        <w:tc>
          <w:tcPr>
            <w:tcW w:type="dxa" w:w="2835"/>
            <w:shd w:val="clear" w:color="auto" w:fill="FFFFFF"/>
          </w:tcPr>
          <w:p>
            <w:pPr>
              <w:jc w:val="center"/>
            </w:pPr>
            <w:r>
              <w:rPr>
                <w:rFonts w:ascii="Arial" w:hAnsi="Arial"/>
                <w:sz w:val="20"/>
              </w:rPr>
              <w:t>Piso e Teto</w:t>
            </w:r>
          </w:p>
        </w:tc>
      </w:tr>
      <w:tr>
        <w:tc>
          <w:tcPr>
            <w:tcW w:type="dxa" w:w="850"/>
            <w:shd w:val="clear" w:color="auto" w:fill="F2F2F2"/>
          </w:tcPr>
          <w:p>
            <w:pPr>
              <w:jc w:val="left"/>
            </w:pPr>
            <w:r>
              <w:rPr>
                <w:rFonts w:ascii="Arial" w:hAnsi="Arial"/>
                <w:sz w:val="20"/>
              </w:rPr>
              <w:t>2</w:t>
            </w:r>
          </w:p>
        </w:tc>
        <w:tc>
          <w:tcPr>
            <w:tcW w:type="dxa" w:w="5669"/>
            <w:shd w:val="clear" w:color="auto" w:fill="F2F2F2"/>
          </w:tcPr>
          <w:p>
            <w:pPr>
              <w:jc w:val="center"/>
            </w:pPr>
            <w:r>
              <w:rPr>
                <w:rFonts w:ascii="Arial" w:hAnsi="Arial"/>
                <w:sz w:val="20"/>
              </w:rPr>
              <w:t>Agrav. I — Concurso de atos lesivos</w:t>
            </w:r>
          </w:p>
        </w:tc>
        <w:tc>
          <w:tcPr>
            <w:tcW w:type="dxa" w:w="2835"/>
            <w:shd w:val="clear" w:color="auto" w:fill="F2F2F2"/>
          </w:tcPr>
          <w:p>
            <w:pPr>
              <w:jc w:val="center"/>
            </w:pPr>
            <w:r>
              <w:rPr>
                <w:rFonts w:ascii="Arial" w:hAnsi="Arial"/>
                <w:sz w:val="20"/>
              </w:rPr>
              <w:t>0% a 4,0%</w:t>
            </w:r>
          </w:p>
        </w:tc>
      </w:tr>
      <w:tr>
        <w:tc>
          <w:tcPr>
            <w:tcW w:type="dxa" w:w="850"/>
            <w:shd w:val="clear" w:color="auto" w:fill="FFFFFF"/>
          </w:tcPr>
          <w:p>
            <w:pPr>
              <w:jc w:val="left"/>
            </w:pPr>
            <w:r>
              <w:rPr>
                <w:rFonts w:ascii="Arial" w:hAnsi="Arial"/>
                <w:sz w:val="20"/>
              </w:rPr>
              <w:t>3</w:t>
            </w:r>
          </w:p>
        </w:tc>
        <w:tc>
          <w:tcPr>
            <w:tcW w:type="dxa" w:w="5669"/>
            <w:shd w:val="clear" w:color="auto" w:fill="FFFFFF"/>
          </w:tcPr>
          <w:p>
            <w:pPr>
              <w:jc w:val="center"/>
            </w:pPr>
            <w:r>
              <w:rPr>
                <w:rFonts w:ascii="Arial" w:hAnsi="Arial"/>
                <w:sz w:val="20"/>
              </w:rPr>
              <w:t>Agrav. II — Ciência/Tolerância hierárquica</w:t>
            </w:r>
          </w:p>
        </w:tc>
        <w:tc>
          <w:tcPr>
            <w:tcW w:type="dxa" w:w="2835"/>
            <w:shd w:val="clear" w:color="auto" w:fill="FFFFFF"/>
          </w:tcPr>
          <w:p>
            <w:pPr>
              <w:jc w:val="center"/>
            </w:pPr>
            <w:r>
              <w:rPr>
                <w:rFonts w:ascii="Arial" w:hAnsi="Arial"/>
                <w:sz w:val="20"/>
              </w:rPr>
              <w:t>0% a 3,0%</w:t>
            </w:r>
          </w:p>
        </w:tc>
      </w:tr>
      <w:tr>
        <w:tc>
          <w:tcPr>
            <w:tcW w:type="dxa" w:w="850"/>
            <w:shd w:val="clear" w:color="auto" w:fill="F2F2F2"/>
          </w:tcPr>
          <w:p>
            <w:pPr>
              <w:jc w:val="left"/>
            </w:pPr>
            <w:r>
              <w:rPr>
                <w:rFonts w:ascii="Arial" w:hAnsi="Arial"/>
                <w:sz w:val="20"/>
              </w:rPr>
              <w:t>4</w:t>
            </w:r>
          </w:p>
        </w:tc>
        <w:tc>
          <w:tcPr>
            <w:tcW w:type="dxa" w:w="5669"/>
            <w:shd w:val="clear" w:color="auto" w:fill="F2F2F2"/>
          </w:tcPr>
          <w:p>
            <w:pPr>
              <w:jc w:val="center"/>
            </w:pPr>
            <w:r>
              <w:rPr>
                <w:rFonts w:ascii="Arial" w:hAnsi="Arial"/>
                <w:sz w:val="20"/>
              </w:rPr>
              <w:t>Agrav. III — Interrupção/Descumprimento (maior das 3)</w:t>
            </w:r>
          </w:p>
        </w:tc>
        <w:tc>
          <w:tcPr>
            <w:tcW w:type="dxa" w:w="2835"/>
            <w:shd w:val="clear" w:color="auto" w:fill="F2F2F2"/>
          </w:tcPr>
          <w:p>
            <w:pPr>
              <w:jc w:val="center"/>
            </w:pPr>
            <w:r>
              <w:rPr>
                <w:rFonts w:ascii="Arial" w:hAnsi="Arial"/>
                <w:sz w:val="20"/>
              </w:rPr>
              <w:t>0% a 4,0%</w:t>
            </w:r>
          </w:p>
        </w:tc>
      </w:tr>
      <w:tr>
        <w:tc>
          <w:tcPr>
            <w:tcW w:type="dxa" w:w="850"/>
            <w:shd w:val="clear" w:color="auto" w:fill="FFFFFF"/>
          </w:tcPr>
          <w:p>
            <w:pPr>
              <w:jc w:val="left"/>
            </w:pPr>
            <w:r>
              <w:rPr>
                <w:rFonts w:ascii="Arial" w:hAnsi="Arial"/>
                <w:sz w:val="20"/>
              </w:rPr>
              <w:t>5</w:t>
            </w:r>
          </w:p>
        </w:tc>
        <w:tc>
          <w:tcPr>
            <w:tcW w:type="dxa" w:w="5669"/>
            <w:shd w:val="clear" w:color="auto" w:fill="FFFFFF"/>
          </w:tcPr>
          <w:p>
            <w:pPr>
              <w:jc w:val="center"/>
            </w:pPr>
            <w:r>
              <w:rPr>
                <w:rFonts w:ascii="Arial" w:hAnsi="Arial"/>
                <w:sz w:val="20"/>
              </w:rPr>
              <w:t>Agrav. IV — Situação econômica</w:t>
            </w:r>
          </w:p>
        </w:tc>
        <w:tc>
          <w:tcPr>
            <w:tcW w:type="dxa" w:w="2835"/>
            <w:shd w:val="clear" w:color="auto" w:fill="FFFFFF"/>
          </w:tcPr>
          <w:p>
            <w:pPr>
              <w:jc w:val="center"/>
            </w:pPr>
            <w:r>
              <w:rPr>
                <w:rFonts w:ascii="Arial" w:hAnsi="Arial"/>
                <w:sz w:val="20"/>
              </w:rPr>
              <w:t>0% ou 1,0%</w:t>
            </w:r>
          </w:p>
        </w:tc>
      </w:tr>
      <w:tr>
        <w:tc>
          <w:tcPr>
            <w:tcW w:type="dxa" w:w="850"/>
            <w:shd w:val="clear" w:color="auto" w:fill="F2F2F2"/>
          </w:tcPr>
          <w:p>
            <w:pPr>
              <w:jc w:val="left"/>
            </w:pPr>
            <w:r>
              <w:rPr>
                <w:rFonts w:ascii="Arial" w:hAnsi="Arial"/>
                <w:sz w:val="20"/>
              </w:rPr>
              <w:t>6</w:t>
            </w:r>
          </w:p>
        </w:tc>
        <w:tc>
          <w:tcPr>
            <w:tcW w:type="dxa" w:w="5669"/>
            <w:shd w:val="clear" w:color="auto" w:fill="F2F2F2"/>
          </w:tcPr>
          <w:p>
            <w:pPr>
              <w:jc w:val="center"/>
            </w:pPr>
            <w:r>
              <w:rPr>
                <w:rFonts w:ascii="Arial" w:hAnsi="Arial"/>
                <w:sz w:val="20"/>
              </w:rPr>
              <w:t>Agrav. V — Reincidência</w:t>
            </w:r>
          </w:p>
        </w:tc>
        <w:tc>
          <w:tcPr>
            <w:tcW w:type="dxa" w:w="2835"/>
            <w:shd w:val="clear" w:color="auto" w:fill="F2F2F2"/>
          </w:tcPr>
          <w:p>
            <w:pPr>
              <w:jc w:val="center"/>
            </w:pPr>
            <w:r>
              <w:rPr>
                <w:rFonts w:ascii="Arial" w:hAnsi="Arial"/>
                <w:sz w:val="20"/>
              </w:rPr>
              <w:t>0% ou 3,0%</w:t>
            </w:r>
          </w:p>
        </w:tc>
      </w:tr>
      <w:tr>
        <w:tc>
          <w:tcPr>
            <w:tcW w:type="dxa" w:w="850"/>
            <w:shd w:val="clear" w:color="auto" w:fill="FFFFFF"/>
          </w:tcPr>
          <w:p>
            <w:pPr>
              <w:jc w:val="left"/>
            </w:pPr>
            <w:r>
              <w:rPr>
                <w:rFonts w:ascii="Arial" w:hAnsi="Arial"/>
                <w:sz w:val="20"/>
              </w:rPr>
              <w:t>7</w:t>
            </w:r>
          </w:p>
        </w:tc>
        <w:tc>
          <w:tcPr>
            <w:tcW w:type="dxa" w:w="5669"/>
            <w:shd w:val="clear" w:color="auto" w:fill="FFFFFF"/>
          </w:tcPr>
          <w:p>
            <w:pPr>
              <w:jc w:val="center"/>
            </w:pPr>
            <w:r>
              <w:rPr>
                <w:rFonts w:ascii="Arial" w:hAnsi="Arial"/>
                <w:sz w:val="20"/>
              </w:rPr>
              <w:t>Agrav. VI — Contratos com o ente lesado</w:t>
            </w:r>
          </w:p>
        </w:tc>
        <w:tc>
          <w:tcPr>
            <w:tcW w:type="dxa" w:w="2835"/>
            <w:shd w:val="clear" w:color="auto" w:fill="FFFFFF"/>
          </w:tcPr>
          <w:p>
            <w:pPr>
              <w:jc w:val="center"/>
            </w:pPr>
            <w:r>
              <w:rPr>
                <w:rFonts w:ascii="Arial" w:hAnsi="Arial"/>
                <w:sz w:val="20"/>
              </w:rPr>
              <w:t>0% a 5,0%</w:t>
            </w:r>
          </w:p>
        </w:tc>
      </w:tr>
      <w:tr>
        <w:tc>
          <w:tcPr>
            <w:tcW w:type="dxa" w:w="850"/>
            <w:shd w:val="clear" w:color="auto" w:fill="F2F2F2"/>
          </w:tcPr>
          <w:p>
            <w:pPr>
              <w:jc w:val="left"/>
            </w:pPr>
            <w:r>
              <w:rPr>
                <w:rFonts w:ascii="Arial" w:hAnsi="Arial"/>
                <w:sz w:val="20"/>
              </w:rPr>
              <w:t>8</w:t>
            </w:r>
          </w:p>
        </w:tc>
        <w:tc>
          <w:tcPr>
            <w:tcW w:type="dxa" w:w="5669"/>
            <w:shd w:val="clear" w:color="auto" w:fill="F2F2F2"/>
          </w:tcPr>
          <w:p>
            <w:pPr>
              <w:jc w:val="center"/>
            </w:pPr>
            <w:r>
              <w:rPr>
                <w:rFonts w:ascii="Arial" w:hAnsi="Arial"/>
                <w:sz w:val="20"/>
              </w:rPr>
              <w:t>Aten. I — Não consumação</w:t>
            </w:r>
          </w:p>
        </w:tc>
        <w:tc>
          <w:tcPr>
            <w:tcW w:type="dxa" w:w="2835"/>
            <w:shd w:val="clear" w:color="auto" w:fill="F2F2F2"/>
          </w:tcPr>
          <w:p>
            <w:pPr>
              <w:jc w:val="center"/>
            </w:pPr>
            <w:r>
              <w:rPr>
                <w:rFonts w:ascii="Arial" w:hAnsi="Arial"/>
                <w:sz w:val="20"/>
              </w:rPr>
              <w:t>0% ou −0,5%</w:t>
            </w:r>
          </w:p>
        </w:tc>
      </w:tr>
      <w:tr>
        <w:tc>
          <w:tcPr>
            <w:tcW w:type="dxa" w:w="850"/>
            <w:shd w:val="clear" w:color="auto" w:fill="FFFFFF"/>
          </w:tcPr>
          <w:p>
            <w:pPr>
              <w:jc w:val="left"/>
            </w:pPr>
            <w:r>
              <w:rPr>
                <w:rFonts w:ascii="Arial" w:hAnsi="Arial"/>
                <w:sz w:val="20"/>
              </w:rPr>
              <w:t>9</w:t>
            </w:r>
          </w:p>
        </w:tc>
        <w:tc>
          <w:tcPr>
            <w:tcW w:type="dxa" w:w="5669"/>
            <w:shd w:val="clear" w:color="auto" w:fill="FFFFFF"/>
          </w:tcPr>
          <w:p>
            <w:pPr>
              <w:jc w:val="center"/>
            </w:pPr>
            <w:r>
              <w:rPr>
                <w:rFonts w:ascii="Arial" w:hAnsi="Arial"/>
                <w:sz w:val="20"/>
              </w:rPr>
              <w:t>Aten. II — Ressarcimento/Devolução</w:t>
            </w:r>
          </w:p>
        </w:tc>
        <w:tc>
          <w:tcPr>
            <w:tcW w:type="dxa" w:w="2835"/>
            <w:shd w:val="clear" w:color="auto" w:fill="FFFFFF"/>
          </w:tcPr>
          <w:p>
            <w:pPr>
              <w:jc w:val="center"/>
            </w:pPr>
            <w:r>
              <w:rPr>
                <w:rFonts w:ascii="Arial" w:hAnsi="Arial"/>
                <w:sz w:val="20"/>
              </w:rPr>
              <w:t>0% a −1,0%</w:t>
            </w:r>
          </w:p>
        </w:tc>
      </w:tr>
      <w:tr>
        <w:tc>
          <w:tcPr>
            <w:tcW w:type="dxa" w:w="850"/>
            <w:shd w:val="clear" w:color="auto" w:fill="F2F2F2"/>
          </w:tcPr>
          <w:p>
            <w:pPr>
              <w:jc w:val="left"/>
            </w:pPr>
            <w:r>
              <w:rPr>
                <w:rFonts w:ascii="Arial" w:hAnsi="Arial"/>
                <w:sz w:val="20"/>
              </w:rPr>
              <w:t>10</w:t>
            </w:r>
          </w:p>
        </w:tc>
        <w:tc>
          <w:tcPr>
            <w:tcW w:type="dxa" w:w="5669"/>
            <w:shd w:val="clear" w:color="auto" w:fill="F2F2F2"/>
          </w:tcPr>
          <w:p>
            <w:pPr>
              <w:jc w:val="center"/>
            </w:pPr>
            <w:r>
              <w:rPr>
                <w:rFonts w:ascii="Arial" w:hAnsi="Arial"/>
                <w:sz w:val="20"/>
              </w:rPr>
              <w:t>Aten. III — Colaboração</w:t>
            </w:r>
          </w:p>
        </w:tc>
        <w:tc>
          <w:tcPr>
            <w:tcW w:type="dxa" w:w="2835"/>
            <w:shd w:val="clear" w:color="auto" w:fill="F2F2F2"/>
          </w:tcPr>
          <w:p>
            <w:pPr>
              <w:jc w:val="center"/>
            </w:pPr>
            <w:r>
              <w:rPr>
                <w:rFonts w:ascii="Arial" w:hAnsi="Arial"/>
                <w:sz w:val="20"/>
              </w:rPr>
              <w:t>0% a −1,5%</w:t>
            </w:r>
          </w:p>
        </w:tc>
      </w:tr>
      <w:tr>
        <w:tc>
          <w:tcPr>
            <w:tcW w:type="dxa" w:w="850"/>
            <w:shd w:val="clear" w:color="auto" w:fill="FFFFFF"/>
          </w:tcPr>
          <w:p>
            <w:pPr>
              <w:jc w:val="left"/>
            </w:pPr>
            <w:r>
              <w:rPr>
                <w:rFonts w:ascii="Arial" w:hAnsi="Arial"/>
                <w:sz w:val="20"/>
              </w:rPr>
              <w:t>11</w:t>
            </w:r>
          </w:p>
        </w:tc>
        <w:tc>
          <w:tcPr>
            <w:tcW w:type="dxa" w:w="5669"/>
            <w:shd w:val="clear" w:color="auto" w:fill="FFFFFF"/>
          </w:tcPr>
          <w:p>
            <w:pPr>
              <w:jc w:val="center"/>
            </w:pPr>
            <w:r>
              <w:rPr>
                <w:rFonts w:ascii="Arial" w:hAnsi="Arial"/>
                <w:sz w:val="20"/>
              </w:rPr>
              <w:t>Aten. IV — Admissão voluntária</w:t>
            </w:r>
          </w:p>
        </w:tc>
        <w:tc>
          <w:tcPr>
            <w:tcW w:type="dxa" w:w="2835"/>
            <w:shd w:val="clear" w:color="auto" w:fill="FFFFFF"/>
          </w:tcPr>
          <w:p>
            <w:pPr>
              <w:jc w:val="center"/>
            </w:pPr>
            <w:r>
              <w:rPr>
                <w:rFonts w:ascii="Arial" w:hAnsi="Arial"/>
                <w:sz w:val="20"/>
              </w:rPr>
              <w:t>0% a −2,0%</w:t>
            </w:r>
          </w:p>
        </w:tc>
      </w:tr>
      <w:tr>
        <w:tc>
          <w:tcPr>
            <w:tcW w:type="dxa" w:w="850"/>
            <w:shd w:val="clear" w:color="auto" w:fill="F2F2F2"/>
          </w:tcPr>
          <w:p>
            <w:pPr>
              <w:jc w:val="left"/>
            </w:pPr>
            <w:r>
              <w:rPr>
                <w:rFonts w:ascii="Arial" w:hAnsi="Arial"/>
                <w:sz w:val="20"/>
              </w:rPr>
              <w:t>12</w:t>
            </w:r>
          </w:p>
        </w:tc>
        <w:tc>
          <w:tcPr>
            <w:tcW w:type="dxa" w:w="5669"/>
            <w:shd w:val="clear" w:color="auto" w:fill="F2F2F2"/>
          </w:tcPr>
          <w:p>
            <w:pPr>
              <w:jc w:val="center"/>
            </w:pPr>
            <w:r>
              <w:rPr>
                <w:rFonts w:ascii="Arial" w:hAnsi="Arial"/>
                <w:sz w:val="20"/>
              </w:rPr>
              <w:t>Aten. V — Programa de integridade</w:t>
            </w:r>
          </w:p>
        </w:tc>
        <w:tc>
          <w:tcPr>
            <w:tcW w:type="dxa" w:w="2835"/>
            <w:shd w:val="clear" w:color="auto" w:fill="F2F2F2"/>
          </w:tcPr>
          <w:p>
            <w:pPr>
              <w:jc w:val="center"/>
            </w:pPr>
            <w:r>
              <w:rPr>
                <w:rFonts w:ascii="Arial" w:hAnsi="Arial"/>
                <w:sz w:val="20"/>
              </w:rPr>
              <w:t>0% a −5,0%</w:t>
            </w:r>
          </w:p>
        </w:tc>
      </w:tr>
      <w:tr>
        <w:tc>
          <w:tcPr>
            <w:tcW w:type="dxa" w:w="850"/>
            <w:shd w:val="clear" w:color="auto" w:fill="FFFFFF"/>
          </w:tcPr>
          <w:p>
            <w:pPr>
              <w:jc w:val="left"/>
            </w:pPr>
            <w:r>
              <w:rPr>
                <w:rFonts w:ascii="Arial" w:hAnsi="Arial"/>
                <w:sz w:val="20"/>
              </w:rPr>
              <w:t>13</w:t>
            </w:r>
          </w:p>
        </w:tc>
        <w:tc>
          <w:tcPr>
            <w:tcW w:type="dxa" w:w="5669"/>
            <w:shd w:val="clear" w:color="auto" w:fill="FFFFFF"/>
          </w:tcPr>
          <w:p>
            <w:pPr>
              <w:jc w:val="center"/>
            </w:pPr>
            <w:r>
              <w:rPr>
                <w:rFonts w:ascii="Arial" w:hAnsi="Arial"/>
                <w:sz w:val="20"/>
              </w:rPr>
              <w:t>Publicação Extraordinária + Resultado Final</w:t>
            </w:r>
          </w:p>
        </w:tc>
        <w:tc>
          <w:tcPr>
            <w:tcW w:type="dxa" w:w="2835"/>
            <w:shd w:val="clear" w:color="auto" w:fill="FFFFFF"/>
          </w:tcPr>
          <w:p>
            <w:pPr>
              <w:jc w:val="center"/>
            </w:pPr>
            <w:r>
              <w:rPr>
                <w:rFonts w:ascii="Arial" w:hAnsi="Arial"/>
                <w:sz w:val="20"/>
              </w:rPr>
              <w:t>Prazo 30–135 dias</w:t>
            </w:r>
          </w:p>
        </w:tc>
      </w:tr>
    </w:tbl>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12. PERGUNTAS FREQUENTES E PONTOS DE ATENÇÃO</w:t>
            </w:r>
          </w:p>
        </w:tc>
      </w:tr>
    </w:tbl>
    <w:p/>
    <w:p>
      <w:pPr>
        <w:spacing w:before="240" w:after="80"/>
        <w:pBdr>
          <w:bottom w:val="single" w:sz="6" w:space="1" w:color="64A70B"/>
        </w:pBdr>
      </w:pPr>
      <w:r>
        <w:rPr>
          <w:rFonts w:ascii="Arial" w:hAnsi="Arial"/>
          <w:b/>
          <w:color w:val="1D3A78"/>
          <w:sz w:val="23"/>
        </w:rPr>
        <w:t>O sistema é validado por órgão oficial?</w:t>
      </w:r>
    </w:p>
    <w:p>
      <w:pPr>
        <w:spacing w:before="0" w:after="80"/>
      </w:pPr>
      <w:r>
        <w:rPr>
          <w:rFonts w:ascii="Arial" w:hAnsi="Arial"/>
          <w:i w:val="0"/>
          <w:sz w:val="22"/>
        </w:rPr>
        <w:t>A calculadora foi desenvolvida pela Corregedoria da RFB como ferramenta de apoio. Os parâmetros refletem o Decreto nº 11.129/2022, a IN CGU nº 1/2015 e o Guia CGU. O resultado é uma proposta fundamentada, sujeita à deliberação da autoridade competente.</w:t>
      </w:r>
    </w:p>
    <w:p>
      <w:pPr>
        <w:spacing w:before="240" w:after="80"/>
        <w:pBdr>
          <w:bottom w:val="single" w:sz="6" w:space="1" w:color="64A70B"/>
        </w:pBdr>
      </w:pPr>
      <w:r>
        <w:rPr>
          <w:rFonts w:ascii="Arial" w:hAnsi="Arial"/>
          <w:b/>
          <w:color w:val="1D3A78"/>
          <w:sz w:val="23"/>
        </w:rPr>
        <w:t>Como tratar a atualização pelo IPCA?</w:t>
      </w:r>
    </w:p>
    <w:p>
      <w:pPr>
        <w:spacing w:before="0" w:after="80"/>
      </w:pPr>
      <w:r>
        <w:rPr>
          <w:rFonts w:ascii="Arial" w:hAnsi="Arial"/>
          <w:i w:val="0"/>
          <w:sz w:val="22"/>
        </w:rPr>
        <w:t>A calculadora não realiza atualização automática pelo IPCA por funcionar offline. Quando necessário (Art. 21), corrija o valor previamente na Calculadora do Cidadão (BCB/IPCA) e informe o resultado corrigido no campo correspondente.</w:t>
      </w:r>
    </w:p>
    <w:p>
      <w:pPr>
        <w:spacing w:before="240" w:after="80"/>
        <w:pBdr>
          <w:bottom w:val="single" w:sz="6" w:space="1" w:color="64A70B"/>
        </w:pBdr>
      </w:pPr>
      <w:r>
        <w:rPr>
          <w:rFonts w:ascii="Arial" w:hAnsi="Arial"/>
          <w:b/>
          <w:color w:val="1D3A78"/>
          <w:sz w:val="23"/>
        </w:rPr>
        <w:t>O que acontece se o índice de dosimetria for negativo?</w:t>
      </w:r>
    </w:p>
    <w:p>
      <w:pPr>
        <w:spacing w:before="0" w:after="80"/>
      </w:pPr>
      <w:r>
        <w:rPr>
          <w:rFonts w:ascii="Arial" w:hAnsi="Arial"/>
          <w:i w:val="0"/>
          <w:sz w:val="22"/>
        </w:rPr>
        <w:t>Nos termos do Art. 25, §2º do Decreto nº 11.129/2022, a multa é fixada no valor mínimo (vantagem auferida). Se a vantagem auferida for zero ou não estimável, aplica-se o piso legal de R$ 6 mil nas hipóteses cabíveis.</w:t>
      </w:r>
    </w:p>
    <w:p>
      <w:pPr>
        <w:spacing w:before="240" w:after="80"/>
        <w:pBdr>
          <w:bottom w:val="single" w:sz="6" w:space="1" w:color="64A70B"/>
        </w:pBdr>
      </w:pPr>
      <w:r>
        <w:rPr>
          <w:rFonts w:ascii="Arial" w:hAnsi="Arial"/>
          <w:b/>
          <w:color w:val="1D3A78"/>
          <w:sz w:val="23"/>
        </w:rPr>
        <w:t>Qual a diferença entre vantagem auferida e pretendida na prática?</w:t>
      </w:r>
    </w:p>
    <w:p>
      <w:pPr>
        <w:spacing w:before="0" w:after="80"/>
      </w:pPr>
      <w:r>
        <w:rPr>
          <w:rFonts w:ascii="Arial" w:hAnsi="Arial"/>
          <w:i w:val="0"/>
          <w:sz w:val="22"/>
        </w:rPr>
        <w:t>Auferida: valor efetivamente recebido, economizado ou patrimonializado pela PJ. Pretendida: valor planejado que seria obtido se o ato ilícito fosse plenamente executado — inferido de proposta, contrato ou estimativa.</w:t>
      </w:r>
    </w:p>
    <w:p>
      <w:pPr>
        <w:spacing w:before="240" w:after="80"/>
        <w:pBdr>
          <w:bottom w:val="single" w:sz="6" w:space="1" w:color="64A70B"/>
        </w:pBdr>
      </w:pPr>
      <w:r>
        <w:rPr>
          <w:rFonts w:ascii="Arial" w:hAnsi="Arial"/>
          <w:b/>
          <w:color w:val="1D3A78"/>
          <w:sz w:val="23"/>
        </w:rPr>
        <w:t>O programa de integridade posterior ao ato lesivo pode atenuar?</w:t>
      </w:r>
    </w:p>
    <w:p>
      <w:pPr>
        <w:spacing w:before="0" w:after="80"/>
      </w:pPr>
      <w:r>
        <w:rPr>
          <w:rFonts w:ascii="Arial" w:hAnsi="Arial"/>
          <w:i w:val="0"/>
          <w:sz w:val="22"/>
        </w:rPr>
        <w:t>Sim, mas com percentual reduzido. O bloco APJ-Posterior avalia medidas corretivas adotadas após a descoberta. O percentual máximo de 5% é exclusivo de programas preexistentes ao ato lesivo.</w:t>
      </w:r>
    </w:p>
    <w:p>
      <w:pPr>
        <w:spacing w:before="240" w:after="80"/>
        <w:pBdr>
          <w:bottom w:val="single" w:sz="6" w:space="1" w:color="64A70B"/>
        </w:pBdr>
      </w:pPr>
      <w:r>
        <w:rPr>
          <w:rFonts w:ascii="Arial" w:hAnsi="Arial"/>
          <w:b/>
          <w:color w:val="1D3A78"/>
          <w:sz w:val="23"/>
        </w:rPr>
        <w:t>Quantos dias tem a publicação extraordinária nos casos mais graves?</w:t>
      </w:r>
    </w:p>
    <w:p>
      <w:pPr>
        <w:spacing w:before="0" w:after="80"/>
      </w:pPr>
      <w:r>
        <w:rPr>
          <w:rFonts w:ascii="Arial" w:hAnsi="Arial"/>
          <w:i w:val="0"/>
          <w:sz w:val="22"/>
        </w:rPr>
        <w:t>O prazo máximo é de 135 dias corridos, aplicável quando a Alíquota de Referência superar 17,5%. Para alíquotas até 2,5%, o prazo mínimo é de 30 dias.</w:t>
      </w:r>
    </w:p>
    <w:p>
      <w:pPr>
        <w:spacing w:before="240" w:after="80"/>
        <w:pBdr>
          <w:bottom w:val="single" w:sz="6" w:space="1" w:color="64A70B"/>
        </w:pBdr>
      </w:pPr>
      <w:r>
        <w:rPr>
          <w:rFonts w:ascii="Arial" w:hAnsi="Arial"/>
          <w:b/>
          <w:color w:val="1D3A78"/>
          <w:sz w:val="23"/>
        </w:rPr>
        <w:t>O Art. 22, IV se aplica quando a Liquidez Geral é 0,98 mas os demais indicadores são favoráveis?</w:t>
      </w:r>
    </w:p>
    <w:p>
      <w:pPr>
        <w:spacing w:before="0" w:after="80"/>
      </w:pPr>
      <w:r>
        <w:rPr>
          <w:rFonts w:ascii="Arial" w:hAnsi="Arial"/>
          <w:i w:val="0"/>
          <w:sz w:val="22"/>
        </w:rPr>
        <w:t>Não. O agravante de situação econômica exige os três indicadores cumulativamente: Solvência Geral &gt; 1, Liquidez Geral &gt; 1 e Lucro Líquido positivo. Qualquer indicador abaixo do limiar — ainda que por margem ínfima — zera o agravante.</w:t>
      </w:r>
    </w:p>
    <w:p>
      <w:pPr>
        <w:spacing w:before="240" w:after="80"/>
        <w:pBdr>
          <w:bottom w:val="single" w:sz="6" w:space="1" w:color="64A70B"/>
        </w:pBdr>
      </w:pPr>
      <w:r>
        <w:rPr>
          <w:rFonts w:ascii="Arial" w:hAnsi="Arial"/>
          <w:b/>
          <w:color w:val="1D3A78"/>
          <w:sz w:val="23"/>
        </w:rPr>
        <w:t>Responder a outro PAR em andamento configura reincidência?</w:t>
      </w:r>
    </w:p>
    <w:p>
      <w:pPr>
        <w:spacing w:before="0" w:after="80"/>
      </w:pPr>
      <w:r>
        <w:rPr>
          <w:rFonts w:ascii="Arial" w:hAnsi="Arial"/>
          <w:i w:val="0"/>
          <w:sz w:val="22"/>
        </w:rPr>
        <w:t>Não. A reincidência (Art. 22, V) exige decisão definitiva anterior. Estar respondendo a outro PAR sem julgamento concluído não configura reincidência, pois o marco legal é a publicação do julgamento anterior, não a instauração de novo processo.</w:t>
      </w:r>
    </w:p>
    <w:p>
      <w:pPr>
        <w:spacing w:before="240" w:after="80"/>
        <w:pBdr>
          <w:bottom w:val="single" w:sz="6" w:space="1" w:color="64A70B"/>
        </w:pBdr>
      </w:pPr>
      <w:r>
        <w:rPr>
          <w:rFonts w:ascii="Arial" w:hAnsi="Arial"/>
          <w:b/>
          <w:color w:val="1D3A78"/>
          <w:sz w:val="23"/>
        </w:rPr>
        <w:t>Como é calculada a publicação quando a multa é ajustada pelo piso legal?</w:t>
      </w:r>
    </w:p>
    <w:p>
      <w:pPr>
        <w:spacing w:before="0" w:after="80"/>
      </w:pPr>
      <w:r>
        <w:rPr>
          <w:rFonts w:ascii="Arial" w:hAnsi="Arial"/>
          <w:i w:val="0"/>
          <w:sz w:val="22"/>
        </w:rPr>
        <w:t>Quando a multa final é elevada ao valor da vantagem auferida (piso), aplica-se o Cenário B: Alíquota de Referência = (Multa Final ÷ Faturamento Bruto) × 100. Isso garante que o prazo de publicação reflita a gravidade proporcional real da sanção.</w:t>
      </w:r>
    </w:p>
    <w:p>
      <w:r>
        <w:br w:type="page"/>
      </w:r>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13. CASOS ESPECIAIS E SITUAÇÕES ATÍPICAS</w:t>
            </w:r>
          </w:p>
        </w:tc>
      </w:tr>
    </w:tbl>
    <w:p/>
    <w:p>
      <w:pPr>
        <w:spacing w:before="240" w:after="80"/>
        <w:pBdr>
          <w:bottom w:val="single" w:sz="6" w:space="1" w:color="64A70B"/>
        </w:pBdr>
      </w:pPr>
      <w:r>
        <w:rPr>
          <w:rFonts w:ascii="Arial" w:hAnsi="Arial"/>
          <w:b/>
          <w:color w:val="1D3A78"/>
          <w:sz w:val="23"/>
        </w:rPr>
        <w:t>13.1 Empresa sem Defesa Escrita ou sem Balanço Apresentado</w:t>
      </w:r>
    </w:p>
    <w:p>
      <w:pPr>
        <w:spacing w:before="0" w:after="80"/>
      </w:pPr>
      <w:r>
        <w:rPr>
          <w:rFonts w:ascii="Arial" w:hAnsi="Arial"/>
          <w:i w:val="0"/>
          <w:sz w:val="22"/>
        </w:rPr>
        <w:t>Quando a PJ não apresenta defesa escrita nem documentação contábil, o operador deve buscar dados em sistemas internos antes de qualquer outra medida:</w:t>
      </w:r>
    </w:p>
    <w:tbl>
      <w:tblPr>
        <w:tblStyle w:val="TableGrid"/>
        <w:tblW w:type="auto" w:w="0"/>
        <w:jc w:val="left"/>
        <w:tblLook w:firstColumn="1" w:firstRow="1" w:lastColumn="0" w:lastRow="0" w:noHBand="0" w:noVBand="1" w:val="04A0"/>
      </w:tblPr>
      <w:tblGrid>
        <w:gridCol w:w="4702"/>
        <w:gridCol w:w="4702"/>
      </w:tblGrid>
      <w:tr>
        <w:tc>
          <w:tcPr>
            <w:tcW w:type="dxa" w:w="3402"/>
            <w:shd w:val="clear" w:color="auto" w:fill="00205B"/>
          </w:tcPr>
          <w:p>
            <w:pPr>
              <w:jc w:val="center"/>
            </w:pPr>
            <w:r>
              <w:rPr>
                <w:rFonts w:ascii="Arial" w:hAnsi="Arial"/>
                <w:b/>
                <w:color w:val="FFFFFF"/>
                <w:sz w:val="20"/>
              </w:rPr>
              <w:t>Sistema / Fonte</w:t>
            </w:r>
          </w:p>
        </w:tc>
        <w:tc>
          <w:tcPr>
            <w:tcW w:type="dxa" w:w="6236"/>
            <w:shd w:val="clear" w:color="auto" w:fill="00205B"/>
          </w:tcPr>
          <w:p>
            <w:pPr>
              <w:jc w:val="center"/>
            </w:pPr>
            <w:r>
              <w:rPr>
                <w:rFonts w:ascii="Arial" w:hAnsi="Arial"/>
                <w:b/>
                <w:color w:val="FFFFFF"/>
                <w:sz w:val="20"/>
              </w:rPr>
              <w:t>Informação disponível</w:t>
            </w:r>
          </w:p>
        </w:tc>
      </w:tr>
      <w:tr>
        <w:tc>
          <w:tcPr>
            <w:tcW w:type="dxa" w:w="3402"/>
            <w:shd w:val="clear" w:color="auto" w:fill="F2F2F2"/>
          </w:tcPr>
          <w:p>
            <w:pPr>
              <w:jc w:val="left"/>
            </w:pPr>
            <w:r>
              <w:rPr>
                <w:rFonts w:ascii="Arial" w:hAnsi="Arial"/>
                <w:sz w:val="20"/>
              </w:rPr>
              <w:t>ECF (Escrituração Contábil Fiscal)</w:t>
            </w:r>
          </w:p>
        </w:tc>
        <w:tc>
          <w:tcPr>
            <w:tcW w:type="dxa" w:w="6236"/>
            <w:shd w:val="clear" w:color="auto" w:fill="F2F2F2"/>
          </w:tcPr>
          <w:p>
            <w:pPr>
              <w:jc w:val="center"/>
            </w:pPr>
            <w:r>
              <w:rPr>
                <w:rFonts w:ascii="Arial" w:hAnsi="Arial"/>
                <w:sz w:val="20"/>
              </w:rPr>
              <w:t>Principal fonte para Lucro Real/Presumido — DRE e Balanço</w:t>
            </w:r>
          </w:p>
        </w:tc>
      </w:tr>
      <w:tr>
        <w:tc>
          <w:tcPr>
            <w:tcW w:type="dxa" w:w="3402"/>
            <w:shd w:val="clear" w:color="auto" w:fill="FFFFFF"/>
          </w:tcPr>
          <w:p>
            <w:pPr>
              <w:jc w:val="left"/>
            </w:pPr>
            <w:r>
              <w:rPr>
                <w:rFonts w:ascii="Arial" w:hAnsi="Arial"/>
                <w:sz w:val="20"/>
              </w:rPr>
              <w:t>DIRF / DCTF</w:t>
            </w:r>
          </w:p>
        </w:tc>
        <w:tc>
          <w:tcPr>
            <w:tcW w:type="dxa" w:w="6236"/>
            <w:shd w:val="clear" w:color="auto" w:fill="FFFFFF"/>
          </w:tcPr>
          <w:p>
            <w:pPr>
              <w:jc w:val="center"/>
            </w:pPr>
            <w:r>
              <w:rPr>
                <w:rFonts w:ascii="Arial" w:hAnsi="Arial"/>
                <w:sz w:val="20"/>
              </w:rPr>
              <w:t>Cruzamento de rendimentos e declarações</w:t>
            </w:r>
          </w:p>
        </w:tc>
      </w:tr>
      <w:tr>
        <w:tc>
          <w:tcPr>
            <w:tcW w:type="dxa" w:w="3402"/>
            <w:shd w:val="clear" w:color="auto" w:fill="F2F2F2"/>
          </w:tcPr>
          <w:p>
            <w:pPr>
              <w:jc w:val="left"/>
            </w:pPr>
            <w:r>
              <w:rPr>
                <w:rFonts w:ascii="Arial" w:hAnsi="Arial"/>
                <w:sz w:val="20"/>
              </w:rPr>
              <w:t>SPED</w:t>
            </w:r>
          </w:p>
        </w:tc>
        <w:tc>
          <w:tcPr>
            <w:tcW w:type="dxa" w:w="6236"/>
            <w:shd w:val="clear" w:color="auto" w:fill="F2F2F2"/>
          </w:tcPr>
          <w:p>
            <w:pPr>
              <w:jc w:val="center"/>
            </w:pPr>
            <w:r>
              <w:rPr>
                <w:rFonts w:ascii="Arial" w:hAnsi="Arial"/>
                <w:sz w:val="20"/>
              </w:rPr>
              <w:t>Escrituração contábil e fiscal digital</w:t>
            </w:r>
          </w:p>
        </w:tc>
      </w:tr>
      <w:tr>
        <w:tc>
          <w:tcPr>
            <w:tcW w:type="dxa" w:w="3402"/>
            <w:shd w:val="clear" w:color="auto" w:fill="FFFFFF"/>
          </w:tcPr>
          <w:p>
            <w:pPr>
              <w:jc w:val="left"/>
            </w:pPr>
            <w:r>
              <w:rPr>
                <w:rFonts w:ascii="Arial" w:hAnsi="Arial"/>
                <w:sz w:val="20"/>
              </w:rPr>
              <w:t>DAS / PGDAS</w:t>
            </w:r>
          </w:p>
        </w:tc>
        <w:tc>
          <w:tcPr>
            <w:tcW w:type="dxa" w:w="6236"/>
            <w:shd w:val="clear" w:color="auto" w:fill="FFFFFF"/>
          </w:tcPr>
          <w:p>
            <w:pPr>
              <w:jc w:val="center"/>
            </w:pPr>
            <w:r>
              <w:rPr>
                <w:rFonts w:ascii="Arial" w:hAnsi="Arial"/>
                <w:sz w:val="20"/>
              </w:rPr>
              <w:t>Faturamento para optantes do Simples Nacional</w:t>
            </w:r>
          </w:p>
        </w:tc>
      </w:tr>
      <w:tr>
        <w:tc>
          <w:tcPr>
            <w:tcW w:type="dxa" w:w="3402"/>
            <w:shd w:val="clear" w:color="auto" w:fill="F2F2F2"/>
          </w:tcPr>
          <w:p>
            <w:pPr>
              <w:jc w:val="left"/>
            </w:pPr>
            <w:r>
              <w:rPr>
                <w:rFonts w:ascii="Arial" w:hAnsi="Arial"/>
                <w:sz w:val="20"/>
              </w:rPr>
              <w:t>NF-e / NFS-e</w:t>
            </w:r>
          </w:p>
        </w:tc>
        <w:tc>
          <w:tcPr>
            <w:tcW w:type="dxa" w:w="6236"/>
            <w:shd w:val="clear" w:color="auto" w:fill="F2F2F2"/>
          </w:tcPr>
          <w:p>
            <w:pPr>
              <w:jc w:val="center"/>
            </w:pPr>
            <w:r>
              <w:rPr>
                <w:rFonts w:ascii="Arial" w:hAnsi="Arial"/>
                <w:sz w:val="20"/>
              </w:rPr>
              <w:t>Notas fiscais emitidas — úteis para estimativa</w:t>
            </w:r>
          </w:p>
        </w:tc>
      </w:tr>
    </w:tbl>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A ausência de defesa não impede a dosimetria nem desobriga o operador de buscar exaustivamente os dados antes de recorrer à estimativa.</w:t>
            </w:r>
          </w:p>
        </w:tc>
      </w:tr>
    </w:tbl>
    <w:p/>
    <w:p>
      <w:pPr>
        <w:spacing w:before="240" w:after="80"/>
        <w:pBdr>
          <w:bottom w:val="single" w:sz="6" w:space="1" w:color="64A70B"/>
        </w:pBdr>
      </w:pPr>
      <w:r>
        <w:rPr>
          <w:rFonts w:ascii="Arial" w:hAnsi="Arial"/>
          <w:b/>
          <w:color w:val="1D3A78"/>
          <w:sz w:val="23"/>
        </w:rPr>
        <w:t>13.2 Piso Absoluto de R$ 6.000,00 (Empresa Fantasma ou Noteira)</w:t>
      </w:r>
    </w:p>
    <w:p>
      <w:pPr>
        <w:spacing w:before="0" w:after="80"/>
      </w:pPr>
      <w:r>
        <w:rPr>
          <w:rFonts w:ascii="Arial" w:hAnsi="Arial"/>
          <w:i w:val="0"/>
          <w:sz w:val="22"/>
        </w:rPr>
        <w:t>Quando a PJ é uma empresa-fantasma sem faturamento rastreável e a alíquota resultante é zero ou ínfima, aplica-se o piso absoluto de R$ 6.000,00 (Art. 20, §4º da Lei nº 12.846/2013). A multa final não pode ser inferior a esse valor.</w:t>
      </w:r>
    </w:p>
    <w:tbl>
      <w:tblPr>
        <w:tblStyle w:val="TableGrid"/>
        <w:tblW w:type="auto" w:w="0"/>
        <w:jc w:val="left"/>
        <w:tblLook w:firstColumn="1" w:firstRow="1" w:lastColumn="0" w:lastRow="0" w:noHBand="0" w:noVBand="1" w:val="04A0"/>
      </w:tblPr>
      <w:tblGrid>
        <w:gridCol w:w="4702"/>
        <w:gridCol w:w="4702"/>
      </w:tblGrid>
      <w:tr>
        <w:tc>
          <w:tcPr>
            <w:tcW w:type="dxa" w:w="5669"/>
            <w:shd w:val="clear" w:color="auto" w:fill="00205B"/>
          </w:tcPr>
          <w:p>
            <w:pPr>
              <w:jc w:val="center"/>
            </w:pPr>
            <w:r>
              <w:rPr>
                <w:rFonts w:ascii="Arial" w:hAnsi="Arial"/>
                <w:b/>
                <w:color w:val="FFFFFF"/>
                <w:sz w:val="20"/>
              </w:rPr>
              <w:t>Situação</w:t>
            </w:r>
          </w:p>
        </w:tc>
        <w:tc>
          <w:tcPr>
            <w:tcW w:type="dxa" w:w="3969"/>
            <w:shd w:val="clear" w:color="auto" w:fill="00205B"/>
          </w:tcPr>
          <w:p>
            <w:pPr>
              <w:jc w:val="center"/>
            </w:pPr>
            <w:r>
              <w:rPr>
                <w:rFonts w:ascii="Arial" w:hAnsi="Arial"/>
                <w:b/>
                <w:color w:val="FFFFFF"/>
                <w:sz w:val="20"/>
              </w:rPr>
              <w:t>Multa Final</w:t>
            </w:r>
          </w:p>
        </w:tc>
      </w:tr>
      <w:tr>
        <w:tc>
          <w:tcPr>
            <w:tcW w:type="dxa" w:w="5669"/>
            <w:shd w:val="clear" w:color="auto" w:fill="F2F2F2"/>
          </w:tcPr>
          <w:p>
            <w:pPr>
              <w:jc w:val="left"/>
            </w:pPr>
            <w:r>
              <w:rPr>
                <w:rFonts w:ascii="Arial" w:hAnsi="Arial"/>
                <w:sz w:val="20"/>
              </w:rPr>
              <w:t>Alíquota zero por excesso de atenuantes</w:t>
            </w:r>
          </w:p>
        </w:tc>
        <w:tc>
          <w:tcPr>
            <w:tcW w:type="dxa" w:w="3969"/>
            <w:shd w:val="clear" w:color="auto" w:fill="F2F2F2"/>
          </w:tcPr>
          <w:p>
            <w:pPr>
              <w:jc w:val="center"/>
            </w:pPr>
            <w:r>
              <w:rPr>
                <w:rFonts w:ascii="Arial" w:hAnsi="Arial"/>
                <w:sz w:val="20"/>
              </w:rPr>
              <w:t>R$ 6.000,00 (piso absoluto)</w:t>
            </w:r>
          </w:p>
        </w:tc>
      </w:tr>
      <w:tr>
        <w:tc>
          <w:tcPr>
            <w:tcW w:type="dxa" w:w="5669"/>
            <w:shd w:val="clear" w:color="auto" w:fill="FFFFFF"/>
          </w:tcPr>
          <w:p>
            <w:pPr>
              <w:jc w:val="left"/>
            </w:pPr>
            <w:r>
              <w:rPr>
                <w:rFonts w:ascii="Arial" w:hAnsi="Arial"/>
                <w:sz w:val="20"/>
              </w:rPr>
              <w:t>Faturamento ínfimo + alíquota baixa → resultado &lt; R$ 6k</w:t>
            </w:r>
          </w:p>
        </w:tc>
        <w:tc>
          <w:tcPr>
            <w:tcW w:type="dxa" w:w="3969"/>
            <w:shd w:val="clear" w:color="auto" w:fill="FFFFFF"/>
          </w:tcPr>
          <w:p>
            <w:pPr>
              <w:jc w:val="center"/>
            </w:pPr>
            <w:r>
              <w:rPr>
                <w:rFonts w:ascii="Arial" w:hAnsi="Arial"/>
                <w:sz w:val="20"/>
              </w:rPr>
              <w:t>R$ 6.000,00 (piso absoluto)</w:t>
            </w:r>
          </w:p>
        </w:tc>
      </w:tr>
    </w:tbl>
    <w:p/>
    <w:p>
      <w:pPr>
        <w:spacing w:before="240" w:after="80"/>
        <w:pBdr>
          <w:bottom w:val="single" w:sz="6" w:space="1" w:color="64A70B"/>
        </w:pBdr>
      </w:pPr>
      <w:r>
        <w:rPr>
          <w:rFonts w:ascii="Arial" w:hAnsi="Arial"/>
          <w:b/>
          <w:color w:val="1D3A78"/>
          <w:sz w:val="23"/>
        </w:rPr>
        <w:t>13.3 Estimativa Fundamentada (Art. 20, §1º, III)</w:t>
      </w:r>
    </w:p>
    <w:p>
      <w:pPr>
        <w:spacing w:before="0" w:after="80"/>
      </w:pPr>
      <w:r>
        <w:rPr>
          <w:rFonts w:ascii="Arial" w:hAnsi="Arial"/>
          <w:i w:val="0"/>
          <w:sz w:val="22"/>
        </w:rPr>
        <w:t>Quando não há faturamento histórico em nenhum sistema, a autoridade realiza estimativa técnica com base em elementos objetivos. O procedimento é:</w:t>
      </w:r>
    </w:p>
    <w:p>
      <w:pPr>
        <w:pStyle w:val="ListBullet"/>
        <w:spacing w:before="0" w:after="40"/>
        <w:ind w:left="283"/>
      </w:pPr>
      <w:r>
        <w:rPr>
          <w:rFonts w:ascii="Arial" w:hAnsi="Arial"/>
          <w:sz w:val="22"/>
        </w:rPr>
        <w:t>1. Levantar o capital social ou outros indicadores objetivos (GFIP, compras, valor de repasses ilícitos);</w:t>
      </w:r>
    </w:p>
    <w:p>
      <w:pPr>
        <w:pStyle w:val="ListBullet"/>
        <w:spacing w:before="0" w:after="40"/>
        <w:ind w:left="283"/>
      </w:pPr>
      <w:r>
        <w:rPr>
          <w:rFonts w:ascii="Arial" w:hAnsi="Arial"/>
          <w:sz w:val="22"/>
        </w:rPr>
        <w:t>2. Identificar o CNAE e a carga tributária estimada do regime vigente;</w:t>
      </w:r>
    </w:p>
    <w:p>
      <w:pPr>
        <w:pStyle w:val="ListBullet"/>
        <w:spacing w:before="0" w:after="40"/>
        <w:ind w:left="283"/>
      </w:pPr>
      <w:r>
        <w:rPr>
          <w:rFonts w:ascii="Arial" w:hAnsi="Arial"/>
          <w:sz w:val="22"/>
        </w:rPr>
        <w:t>3. Base histórica líquida = indicador bruto − tributos estimados;</w:t>
      </w:r>
    </w:p>
    <w:p>
      <w:pPr>
        <w:pStyle w:val="ListBullet"/>
        <w:spacing w:before="0" w:after="40"/>
        <w:ind w:left="283"/>
      </w:pPr>
      <w:r>
        <w:rPr>
          <w:rFonts w:ascii="Arial" w:hAnsi="Arial"/>
          <w:sz w:val="22"/>
        </w:rPr>
        <w:t>4. Atualizar pelo IPCA até 31/12 do exercício anterior ao PAR.</w:t>
      </w:r>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Estimativa técnica não é valor arbitrário. Deve ser formalmente fundamentada com os elementos usados. A autoridade documenta cada premissa no processo.</w:t>
            </w:r>
          </w:p>
        </w:tc>
      </w:tr>
    </w:tbl>
    <w:p/>
    <w:p>
      <w:pPr>
        <w:spacing w:before="240" w:after="80"/>
        <w:pBdr>
          <w:bottom w:val="single" w:sz="6" w:space="1" w:color="64A70B"/>
        </w:pBdr>
      </w:pPr>
      <w:r>
        <w:rPr>
          <w:rFonts w:ascii="Arial" w:hAnsi="Arial"/>
          <w:b/>
          <w:color w:val="1D3A78"/>
          <w:sz w:val="23"/>
        </w:rPr>
        <w:t>13.4 Retroação Anual — Art. 21 (Sem Faturamento no Exercício Anterior)</w:t>
      </w:r>
    </w:p>
    <w:p>
      <w:pPr>
        <w:spacing w:before="0" w:after="80"/>
      </w:pPr>
      <w:r>
        <w:rPr>
          <w:rFonts w:ascii="Arial" w:hAnsi="Arial"/>
          <w:i w:val="0"/>
          <w:sz w:val="22"/>
        </w:rPr>
        <w:t>Quando a PJ não teve faturamento no exercício imediatamente anterior ao PAR, recua-se ano a ano até encontrar um período com faturamento válido, e atualiza-se pelo IPCA: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0205B"/>
          </w:tcPr>
          <w:p>
            <w:pPr>
              <w:jc w:val="center"/>
            </w:pPr>
            <w:r>
              <w:rPr>
                <w:rFonts w:ascii="Arial" w:hAnsi="Arial"/>
                <w:b/>
                <w:color w:val="FFFFFF"/>
                <w:sz w:val="20"/>
              </w:rPr>
              <w:t>Exercício</w:t>
            </w:r>
          </w:p>
        </w:tc>
        <w:tc>
          <w:tcPr>
            <w:tcW w:type="dxa" w:w="2835"/>
            <w:shd w:val="clear" w:color="auto" w:fill="00205B"/>
          </w:tcPr>
          <w:p>
            <w:pPr>
              <w:jc w:val="center"/>
            </w:pPr>
            <w:r>
              <w:rPr>
                <w:rFonts w:ascii="Arial" w:hAnsi="Arial"/>
                <w:b/>
                <w:color w:val="FFFFFF"/>
                <w:sz w:val="20"/>
              </w:rPr>
              <w:t>Faturamento Bruto</w:t>
            </w:r>
          </w:p>
        </w:tc>
        <w:tc>
          <w:tcPr>
            <w:tcW w:type="dxa" w:w="3969"/>
            <w:shd w:val="clear" w:color="auto" w:fill="00205B"/>
          </w:tcPr>
          <w:p>
            <w:pPr>
              <w:jc w:val="center"/>
            </w:pPr>
            <w:r>
              <w:rPr>
                <w:rFonts w:ascii="Arial" w:hAnsi="Arial"/>
                <w:b/>
                <w:color w:val="FFFFFF"/>
                <w:sz w:val="20"/>
              </w:rPr>
              <w:t>Situação</w:t>
            </w:r>
          </w:p>
        </w:tc>
      </w:tr>
      <w:tr>
        <w:tc>
          <w:tcPr>
            <w:tcW w:type="dxa" w:w="2835"/>
            <w:shd w:val="clear" w:color="auto" w:fill="F2F2F2"/>
          </w:tcPr>
          <w:p>
            <w:pPr>
              <w:jc w:val="left"/>
            </w:pPr>
            <w:r>
              <w:rPr>
                <w:rFonts w:ascii="Arial" w:hAnsi="Arial"/>
                <w:sz w:val="20"/>
              </w:rPr>
              <w:t>Exercício PAR − 1</w:t>
            </w:r>
          </w:p>
        </w:tc>
        <w:tc>
          <w:tcPr>
            <w:tcW w:type="dxa" w:w="2835"/>
            <w:shd w:val="clear" w:color="auto" w:fill="F2F2F2"/>
          </w:tcPr>
          <w:p>
            <w:pPr>
              <w:jc w:val="center"/>
            </w:pPr>
            <w:r>
              <w:rPr>
                <w:rFonts w:ascii="Arial" w:hAnsi="Arial"/>
                <w:sz w:val="20"/>
              </w:rPr>
              <w:t>R$ 0,00</w:t>
            </w:r>
          </w:p>
        </w:tc>
        <w:tc>
          <w:tcPr>
            <w:tcW w:type="dxa" w:w="3969"/>
            <w:shd w:val="clear" w:color="auto" w:fill="F2F2F2"/>
          </w:tcPr>
          <w:p>
            <w:pPr>
              <w:jc w:val="center"/>
            </w:pPr>
            <w:r>
              <w:rPr>
                <w:rFonts w:ascii="Arial" w:hAnsi="Arial"/>
                <w:sz w:val="20"/>
              </w:rPr>
              <w:t>Sem faturamento — retroage</w:t>
            </w:r>
          </w:p>
        </w:tc>
      </w:tr>
      <w:tr>
        <w:tc>
          <w:tcPr>
            <w:tcW w:type="dxa" w:w="2835"/>
            <w:shd w:val="clear" w:color="auto" w:fill="FFFFFF"/>
          </w:tcPr>
          <w:p>
            <w:pPr>
              <w:jc w:val="left"/>
            </w:pPr>
            <w:r>
              <w:rPr>
                <w:rFonts w:ascii="Arial" w:hAnsi="Arial"/>
                <w:sz w:val="20"/>
              </w:rPr>
              <w:t>Exercício PAR − 2</w:t>
            </w:r>
          </w:p>
        </w:tc>
        <w:tc>
          <w:tcPr>
            <w:tcW w:type="dxa" w:w="2835"/>
            <w:shd w:val="clear" w:color="auto" w:fill="FFFFFF"/>
          </w:tcPr>
          <w:p>
            <w:pPr>
              <w:jc w:val="center"/>
            </w:pPr>
            <w:r>
              <w:rPr>
                <w:rFonts w:ascii="Arial" w:hAnsi="Arial"/>
                <w:sz w:val="20"/>
              </w:rPr>
              <w:t>R$ 0,00</w:t>
            </w:r>
          </w:p>
        </w:tc>
        <w:tc>
          <w:tcPr>
            <w:tcW w:type="dxa" w:w="3969"/>
            <w:shd w:val="clear" w:color="auto" w:fill="FFFFFF"/>
          </w:tcPr>
          <w:p>
            <w:pPr>
              <w:jc w:val="center"/>
            </w:pPr>
            <w:r>
              <w:rPr>
                <w:rFonts w:ascii="Arial" w:hAnsi="Arial"/>
                <w:sz w:val="20"/>
              </w:rPr>
              <w:t>Sem faturamento — retroage</w:t>
            </w:r>
          </w:p>
        </w:tc>
      </w:tr>
      <w:tr>
        <w:tc>
          <w:tcPr>
            <w:tcW w:type="dxa" w:w="2835"/>
            <w:shd w:val="clear" w:color="auto" w:fill="F2F2F2"/>
          </w:tcPr>
          <w:p>
            <w:pPr>
              <w:jc w:val="left"/>
            </w:pPr>
            <w:r>
              <w:rPr>
                <w:rFonts w:ascii="Arial" w:hAnsi="Arial"/>
                <w:sz w:val="20"/>
              </w:rPr>
              <w:t>Exercício PAR − N</w:t>
            </w:r>
          </w:p>
        </w:tc>
        <w:tc>
          <w:tcPr>
            <w:tcW w:type="dxa" w:w="2835"/>
            <w:shd w:val="clear" w:color="auto" w:fill="F2F2F2"/>
          </w:tcPr>
          <w:p>
            <w:pPr>
              <w:jc w:val="center"/>
            </w:pPr>
            <w:r>
              <w:rPr>
                <w:rFonts w:ascii="Arial" w:hAnsi="Arial"/>
                <w:sz w:val="20"/>
              </w:rPr>
              <w:t>Valor encontrado</w:t>
            </w:r>
          </w:p>
        </w:tc>
        <w:tc>
          <w:tcPr>
            <w:tcW w:type="dxa" w:w="3969"/>
            <w:shd w:val="clear" w:color="auto" w:fill="F2F2F2"/>
          </w:tcPr>
          <w:p>
            <w:pPr>
              <w:jc w:val="center"/>
            </w:pPr>
            <w:r>
              <w:rPr>
                <w:rFonts w:ascii="Arial" w:hAnsi="Arial"/>
                <w:sz w:val="20"/>
              </w:rPr>
              <w:t>Base histórica → aplicar IPCA</w:t>
            </w:r>
          </w:p>
        </w:tc>
      </w:tr>
    </w:tbl>
    <w:p/>
    <w:p>
      <w:pPr>
        <w:spacing w:before="0" w:after="80"/>
      </w:pPr>
      <w:r>
        <w:rPr>
          <w:rFonts w:ascii="Arial" w:hAnsi="Arial"/>
          <w:i w:val="0"/>
          <w:sz w:val="22"/>
        </w:rPr>
        <w:t>O valor corrigido pelo IPCA passa a ser a base de cálculo oficial para toda a dosimetria.</w:t>
      </w:r>
    </w:p>
    <w:p>
      <w:pPr>
        <w:spacing w:before="240" w:after="80"/>
        <w:pBdr>
          <w:bottom w:val="single" w:sz="6" w:space="1" w:color="64A70B"/>
        </w:pBdr>
      </w:pPr>
      <w:r>
        <w:rPr>
          <w:rFonts w:ascii="Arial" w:hAnsi="Arial"/>
          <w:b/>
          <w:color w:val="1D3A78"/>
          <w:sz w:val="23"/>
        </w:rPr>
        <w:t>13.5 Sucessão Empresarial (Art. 4º, Lei nº 12.846/2013)</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00205B"/>
          </w:tcPr>
          <w:p>
            <w:pPr>
              <w:jc w:val="center"/>
            </w:pPr>
            <w:r>
              <w:rPr>
                <w:rFonts w:ascii="Arial" w:hAnsi="Arial"/>
                <w:b/>
                <w:color w:val="FFFFFF"/>
                <w:sz w:val="20"/>
              </w:rPr>
              <w:t>Evento Societário</w:t>
            </w:r>
          </w:p>
        </w:tc>
        <w:tc>
          <w:tcPr>
            <w:tcW w:type="dxa" w:w="3402"/>
            <w:shd w:val="clear" w:color="auto" w:fill="00205B"/>
          </w:tcPr>
          <w:p>
            <w:pPr>
              <w:jc w:val="center"/>
            </w:pPr>
            <w:r>
              <w:rPr>
                <w:rFonts w:ascii="Arial" w:hAnsi="Arial"/>
                <w:b/>
                <w:color w:val="FFFFFF"/>
                <w:sz w:val="20"/>
              </w:rPr>
              <w:t>Responsabilidade da Sucessora</w:t>
            </w:r>
          </w:p>
        </w:tc>
        <w:tc>
          <w:tcPr>
            <w:tcW w:type="dxa" w:w="3118"/>
            <w:shd w:val="clear" w:color="auto" w:fill="00205B"/>
          </w:tcPr>
          <w:p>
            <w:pPr>
              <w:jc w:val="center"/>
            </w:pPr>
            <w:r>
              <w:rPr>
                <w:rFonts w:ascii="Arial" w:hAnsi="Arial"/>
                <w:b/>
                <w:color w:val="FFFFFF"/>
                <w:sz w:val="20"/>
              </w:rPr>
              <w:t>Base de Cálculo</w:t>
            </w:r>
          </w:p>
        </w:tc>
      </w:tr>
      <w:tr>
        <w:tc>
          <w:tcPr>
            <w:tcW w:type="dxa" w:w="3118"/>
            <w:shd w:val="clear" w:color="auto" w:fill="F2F2F2"/>
          </w:tcPr>
          <w:p>
            <w:pPr>
              <w:jc w:val="left"/>
            </w:pPr>
            <w:r>
              <w:rPr>
                <w:rFonts w:ascii="Arial" w:hAnsi="Arial"/>
                <w:sz w:val="20"/>
              </w:rPr>
              <w:t>Alteração contratual ou transformação</w:t>
            </w:r>
          </w:p>
        </w:tc>
        <w:tc>
          <w:tcPr>
            <w:tcW w:type="dxa" w:w="3402"/>
            <w:shd w:val="clear" w:color="auto" w:fill="F2F2F2"/>
          </w:tcPr>
          <w:p>
            <w:pPr>
              <w:jc w:val="center"/>
            </w:pPr>
            <w:r>
              <w:rPr>
                <w:rFonts w:ascii="Arial" w:hAnsi="Arial"/>
                <w:sz w:val="20"/>
              </w:rPr>
              <w:t>Mesma PJ — responsabilidade inalterada</w:t>
            </w:r>
          </w:p>
        </w:tc>
        <w:tc>
          <w:tcPr>
            <w:tcW w:type="dxa" w:w="3118"/>
            <w:shd w:val="clear" w:color="auto" w:fill="F2F2F2"/>
          </w:tcPr>
          <w:p>
            <w:pPr>
              <w:jc w:val="center"/>
            </w:pPr>
            <w:r>
              <w:rPr>
                <w:rFonts w:ascii="Arial" w:hAnsi="Arial"/>
                <w:sz w:val="20"/>
              </w:rPr>
              <w:t>Faturamento da própria PJ</w:t>
            </w:r>
          </w:p>
        </w:tc>
      </w:tr>
      <w:tr>
        <w:tc>
          <w:tcPr>
            <w:tcW w:type="dxa" w:w="3118"/>
            <w:shd w:val="clear" w:color="auto" w:fill="FFFFFF"/>
          </w:tcPr>
          <w:p>
            <w:pPr>
              <w:jc w:val="left"/>
            </w:pPr>
            <w:r>
              <w:rPr>
                <w:rFonts w:ascii="Arial" w:hAnsi="Arial"/>
                <w:sz w:val="20"/>
              </w:rPr>
              <w:t>Incorporação ou fusão</w:t>
            </w:r>
          </w:p>
        </w:tc>
        <w:tc>
          <w:tcPr>
            <w:tcW w:type="dxa" w:w="3402"/>
            <w:shd w:val="clear" w:color="auto" w:fill="FFFFFF"/>
          </w:tcPr>
          <w:p>
            <w:pPr>
              <w:jc w:val="center"/>
            </w:pPr>
            <w:r>
              <w:rPr>
                <w:rFonts w:ascii="Arial" w:hAnsi="Arial"/>
                <w:sz w:val="20"/>
              </w:rPr>
              <w:t>Sucessora responde, limitada ao patrimônio transferido</w:t>
            </w:r>
          </w:p>
        </w:tc>
        <w:tc>
          <w:tcPr>
            <w:tcW w:type="dxa" w:w="3118"/>
            <w:shd w:val="clear" w:color="auto" w:fill="FFFFFF"/>
          </w:tcPr>
          <w:p>
            <w:pPr>
              <w:jc w:val="center"/>
            </w:pPr>
            <w:r>
              <w:rPr>
                <w:rFonts w:ascii="Arial" w:hAnsi="Arial"/>
                <w:sz w:val="20"/>
              </w:rPr>
              <w:t>Faturamento da empresa SUCESSORA</w:t>
            </w:r>
          </w:p>
        </w:tc>
      </w:tr>
    </w:tbl>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Se o evento sucessório ocorrer durante o andamento do PAR, o polo passivo é redirecionado na Nota de Indiciação para a empresa sucessora.</w:t>
            </w:r>
          </w:p>
        </w:tc>
      </w:tr>
    </w:tbl>
    <w:p/>
    <w:p>
      <w:pPr>
        <w:spacing w:before="240" w:after="80"/>
        <w:pBdr>
          <w:bottom w:val="single" w:sz="6" w:space="1" w:color="64A70B"/>
        </w:pBdr>
      </w:pPr>
      <w:r>
        <w:rPr>
          <w:rFonts w:ascii="Arial" w:hAnsi="Arial"/>
          <w:b/>
          <w:color w:val="1D3A78"/>
          <w:sz w:val="23"/>
        </w:rPr>
        <w:t>13.6 Grupo Econômico (Art. 20, §2º, Decreto nº 11.129/2022)</w:t>
      </w:r>
    </w:p>
    <w:p>
      <w:pPr>
        <w:spacing w:before="0" w:after="80"/>
      </w:pPr>
      <w:r>
        <w:rPr>
          <w:rFonts w:ascii="Arial" w:hAnsi="Arial"/>
          <w:i w:val="0"/>
          <w:sz w:val="22"/>
        </w:rPr>
        <w:t>Quando há prova de que diferentes empresas agiram em conluio ou fraude estruturada como se fossem uma única entidade, configura-se o grupo econômico para fins de dosimetria. Consequências:</w:t>
      </w:r>
    </w:p>
    <w:p>
      <w:pPr>
        <w:pStyle w:val="ListBullet"/>
        <w:spacing w:before="0" w:after="40"/>
        <w:ind w:left="283"/>
      </w:pPr>
      <w:r>
        <w:rPr>
          <w:rFonts w:ascii="Arial" w:hAnsi="Arial"/>
          <w:sz w:val="22"/>
        </w:rPr>
        <w:t>Consolidação dos faturamentos brutos de todas as PJs participantes para compor a base de cálculo;</w:t>
      </w:r>
    </w:p>
    <w:p>
      <w:pPr>
        <w:pStyle w:val="ListBullet"/>
        <w:spacing w:before="0" w:after="40"/>
        <w:ind w:left="283"/>
      </w:pPr>
      <w:r>
        <w:rPr>
          <w:rFonts w:ascii="Arial" w:hAnsi="Arial"/>
          <w:sz w:val="22"/>
        </w:rPr>
        <w:t>Avaliação conjunta de agravantes e atenuantes;</w:t>
      </w:r>
    </w:p>
    <w:p>
      <w:pPr>
        <w:pStyle w:val="ListBullet"/>
        <w:spacing w:before="0" w:after="40"/>
        <w:ind w:left="283"/>
      </w:pPr>
      <w:r>
        <w:rPr>
          <w:rFonts w:ascii="Arial" w:hAnsi="Arial"/>
          <w:sz w:val="22"/>
        </w:rPr>
        <w:t>Consideração da vantagem auferida por todo o esquema ilícito;</w:t>
      </w:r>
    </w:p>
    <w:p>
      <w:pPr>
        <w:pStyle w:val="ListBullet"/>
        <w:spacing w:before="0" w:after="40"/>
        <w:ind w:left="283"/>
      </w:pPr>
      <w:r>
        <w:rPr>
          <w:rFonts w:ascii="Arial" w:hAnsi="Arial"/>
          <w:sz w:val="22"/>
        </w:rPr>
        <w:t>Solidariedade: todas as PJs integrantes respondem integralmente pelo valor total da multa aplicada.</w:t>
      </w:r>
    </w:p>
    <w:p>
      <w:r>
        <w:br w:type="page"/>
      </w:r>
    </w:p>
    <w:tbl>
      <w:tblPr>
        <w:tblStyle w:val="TableGrid"/>
        <w:tblW w:type="auto" w:w="0"/>
        <w:jc w:val="left"/>
        <w:tblLook w:firstColumn="1" w:firstRow="1" w:lastColumn="0" w:lastRow="0" w:noHBand="0" w:noVBand="1" w:val="04A0"/>
      </w:tblPr>
      <w:tblGrid>
        <w:gridCol w:w="9405"/>
      </w:tblGrid>
      <w:tr>
        <w:tc>
          <w:tcPr>
            <w:tcW w:type="dxa" w:w="9405"/>
            <w:shd w:val="clear" w:color="auto" w:fill="00205B"/>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Borders>
              <w:top w:val="none"/>
              <w:left w:val="none"/>
              <w:bottom w:val="none"/>
              <w:right w:val="none"/>
              <w:insideH w:val="none"/>
              <w:insideV w:val="none"/>
            </w:tcBorders>
          </w:tcPr>
          <w:p>
            <w:pPr>
              <w:spacing w:before="0" w:after="0"/>
              <w:ind w:left="170"/>
            </w:pPr>
            <w:r>
              <w:rPr>
                <w:rFonts w:ascii="Arial" w:hAnsi="Arial"/>
                <w:b/>
                <w:color w:val="FFFFFF"/>
                <w:sz w:val="26"/>
              </w:rPr>
              <w:t>14. ESTUDOS DE CASO COMENTADOS</w:t>
            </w:r>
          </w:p>
        </w:tc>
      </w:tr>
    </w:tbl>
    <w:p/>
    <w:p>
      <w:pPr>
        <w:spacing w:before="0" w:after="80"/>
      </w:pPr>
      <w:r>
        <w:rPr>
          <w:rFonts w:ascii="Arial" w:hAnsi="Arial"/>
          <w:i w:val="0"/>
          <w:sz w:val="22"/>
        </w:rPr>
        <w:t>Os casos a seguir ilustram a aplicação concreta da dosimetria, com dados numéricos reais e as decisões metodológicas tomadas em cada etapa.</w:t>
      </w:r>
    </w:p>
    <w:p>
      <w:pPr>
        <w:spacing w:before="240" w:after="80"/>
        <w:pBdr>
          <w:bottom w:val="single" w:sz="6" w:space="1" w:color="64A70B"/>
        </w:pBdr>
      </w:pPr>
      <w:r>
        <w:rPr>
          <w:rFonts w:ascii="Arial" w:hAnsi="Arial"/>
          <w:b/>
          <w:color w:val="1D3A78"/>
          <w:sz w:val="23"/>
        </w:rPr>
        <w:t>14.1 Caso I — Empresa Alimentos Sabor SA: Fraude em Fiscalização Tributária</w:t>
      </w:r>
    </w:p>
    <w:p>
      <w:pPr>
        <w:spacing w:before="160" w:after="40"/>
      </w:pPr>
      <w:r>
        <w:rPr>
          <w:rFonts w:ascii="Arial" w:hAnsi="Arial"/>
          <w:b/>
          <w:color w:val="1D3A78"/>
          <w:sz w:val="22"/>
        </w:rPr>
        <w:t>Cenário</w:t>
      </w:r>
    </w:p>
    <w:p>
      <w:pPr>
        <w:spacing w:before="0" w:after="80"/>
      </w:pPr>
      <w:r>
        <w:rPr>
          <w:rFonts w:ascii="Arial" w:hAnsi="Arial"/>
          <w:i w:val="0"/>
          <w:sz w:val="22"/>
        </w:rPr>
        <w:t>PAR instaurado em 2025. CNPJ 12.345.678/0001-90. Ato lesivo: fraude em fiscalização tributária. Provas: Operação Policial com quebra de sigilos telemático, telefônico e bancário. Benefício econômico estimado: R$ 90.000.000,00.</w:t>
      </w:r>
    </w:p>
    <w:p>
      <w:pPr>
        <w:spacing w:before="160" w:after="40"/>
      </w:pPr>
      <w:r>
        <w:rPr>
          <w:rFonts w:ascii="Arial" w:hAnsi="Arial"/>
          <w:b/>
          <w:color w:val="1D3A78"/>
          <w:sz w:val="22"/>
        </w:rPr>
        <w:t>Passo 1 — Base de Cálculo (ECF/DRE da Matriz, exercício 2024)</w:t>
      </w:r>
    </w:p>
    <w:tbl>
      <w:tblPr>
        <w:tblStyle w:val="TableGrid"/>
        <w:tblW w:type="auto" w:w="0"/>
        <w:jc w:val="left"/>
        <w:tblLook w:firstColumn="1" w:firstRow="1" w:lastColumn="0" w:lastRow="0" w:noHBand="0" w:noVBand="1" w:val="04A0"/>
      </w:tblPr>
      <w:tblGrid>
        <w:gridCol w:w="4702"/>
        <w:gridCol w:w="4702"/>
      </w:tblGrid>
      <w:tr>
        <w:tc>
          <w:tcPr>
            <w:tcW w:type="dxa" w:w="5102"/>
            <w:shd w:val="clear" w:color="auto" w:fill="00205B"/>
          </w:tcPr>
          <w:p>
            <w:pPr>
              <w:jc w:val="center"/>
            </w:pPr>
            <w:r>
              <w:rPr>
                <w:rFonts w:ascii="Arial" w:hAnsi="Arial"/>
                <w:b/>
                <w:color w:val="FFFFFF"/>
                <w:sz w:val="20"/>
              </w:rPr>
              <w:t>Item</w:t>
            </w:r>
          </w:p>
        </w:tc>
        <w:tc>
          <w:tcPr>
            <w:tcW w:type="dxa" w:w="4535"/>
            <w:shd w:val="clear" w:color="auto" w:fill="00205B"/>
          </w:tcPr>
          <w:p>
            <w:pPr>
              <w:jc w:val="center"/>
            </w:pPr>
            <w:r>
              <w:rPr>
                <w:rFonts w:ascii="Arial" w:hAnsi="Arial"/>
                <w:b/>
                <w:color w:val="FFFFFF"/>
                <w:sz w:val="20"/>
              </w:rPr>
              <w:t>Valor</w:t>
            </w:r>
          </w:p>
        </w:tc>
      </w:tr>
      <w:tr>
        <w:tc>
          <w:tcPr>
            <w:tcW w:type="dxa" w:w="5102"/>
            <w:shd w:val="clear" w:color="auto" w:fill="F2F2F2"/>
          </w:tcPr>
          <w:p>
            <w:pPr>
              <w:jc w:val="left"/>
            </w:pPr>
            <w:r>
              <w:rPr>
                <w:rFonts w:ascii="Arial" w:hAnsi="Arial"/>
                <w:sz w:val="20"/>
              </w:rPr>
              <w:t>Faturamento Bruto</w:t>
            </w:r>
          </w:p>
        </w:tc>
        <w:tc>
          <w:tcPr>
            <w:tcW w:type="dxa" w:w="4535"/>
            <w:shd w:val="clear" w:color="auto" w:fill="F2F2F2"/>
          </w:tcPr>
          <w:p>
            <w:pPr>
              <w:jc w:val="center"/>
            </w:pPr>
            <w:r>
              <w:rPr>
                <w:rFonts w:ascii="Arial" w:hAnsi="Arial"/>
                <w:sz w:val="20"/>
              </w:rPr>
              <w:t>R$ 1.248.765.432,00</w:t>
            </w:r>
          </w:p>
        </w:tc>
      </w:tr>
      <w:tr>
        <w:tc>
          <w:tcPr>
            <w:tcW w:type="dxa" w:w="5102"/>
            <w:shd w:val="clear" w:color="auto" w:fill="FFFFFF"/>
          </w:tcPr>
          <w:p>
            <w:pPr>
              <w:jc w:val="left"/>
            </w:pPr>
            <w:r>
              <w:rPr>
                <w:rFonts w:ascii="Arial" w:hAnsi="Arial"/>
                <w:sz w:val="20"/>
              </w:rPr>
              <w:t>(−) Tributos Incidentes</w:t>
            </w:r>
          </w:p>
        </w:tc>
        <w:tc>
          <w:tcPr>
            <w:tcW w:type="dxa" w:w="4535"/>
            <w:shd w:val="clear" w:color="auto" w:fill="FFFFFF"/>
          </w:tcPr>
          <w:p>
            <w:pPr>
              <w:jc w:val="center"/>
            </w:pPr>
            <w:r>
              <w:rPr>
                <w:rFonts w:ascii="Arial" w:hAnsi="Arial"/>
                <w:sz w:val="20"/>
              </w:rPr>
              <w:t>(R$ 188.653.322,00)</w:t>
            </w:r>
          </w:p>
        </w:tc>
      </w:tr>
      <w:tr>
        <w:tc>
          <w:tcPr>
            <w:tcW w:type="dxa" w:w="5102"/>
            <w:shd w:val="clear" w:color="auto" w:fill="F2F2F2"/>
          </w:tcPr>
          <w:p>
            <w:pPr>
              <w:jc w:val="left"/>
            </w:pPr>
            <w:r>
              <w:rPr>
                <w:rFonts w:ascii="Arial" w:hAnsi="Arial"/>
                <w:sz w:val="20"/>
              </w:rPr>
              <w:t>Base de Cálculo Final</w:t>
            </w:r>
          </w:p>
        </w:tc>
        <w:tc>
          <w:tcPr>
            <w:tcW w:type="dxa" w:w="4535"/>
            <w:shd w:val="clear" w:color="auto" w:fill="F2F2F2"/>
          </w:tcPr>
          <w:p>
            <w:pPr>
              <w:jc w:val="center"/>
            </w:pPr>
            <w:r>
              <w:rPr>
                <w:rFonts w:ascii="Arial" w:hAnsi="Arial"/>
                <w:sz w:val="20"/>
              </w:rPr>
              <w:t>R$ 1.060.112.110,00</w:t>
            </w:r>
          </w:p>
        </w:tc>
      </w:tr>
    </w:tbl>
    <w:p/>
    <w:p>
      <w:pPr>
        <w:spacing w:before="160" w:after="40"/>
      </w:pPr>
      <w:r>
        <w:rPr>
          <w:rFonts w:ascii="Arial" w:hAnsi="Arial"/>
          <w:b/>
          <w:color w:val="1D3A78"/>
          <w:sz w:val="22"/>
        </w:rPr>
        <w:t>Passo 2 — Agravantes e Atenuantes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0205B"/>
          </w:tcPr>
          <w:p>
            <w:pPr>
              <w:jc w:val="center"/>
            </w:pPr>
            <w:r>
              <w:rPr>
                <w:rFonts w:ascii="Arial" w:hAnsi="Arial"/>
                <w:b/>
                <w:color w:val="FFFFFF"/>
                <w:sz w:val="20"/>
              </w:rPr>
              <w:t>Circunstância</w:t>
            </w:r>
          </w:p>
        </w:tc>
        <w:tc>
          <w:tcPr>
            <w:tcW w:type="dxa" w:w="5386"/>
            <w:shd w:val="clear" w:color="auto" w:fill="00205B"/>
          </w:tcPr>
          <w:p>
            <w:pPr>
              <w:jc w:val="center"/>
            </w:pPr>
            <w:r>
              <w:rPr>
                <w:rFonts w:ascii="Arial" w:hAnsi="Arial"/>
                <w:b/>
                <w:color w:val="FFFFFF"/>
                <w:sz w:val="20"/>
              </w:rPr>
              <w:t>Fundamentação</w:t>
            </w:r>
          </w:p>
        </w:tc>
        <w:tc>
          <w:tcPr>
            <w:tcW w:type="dxa" w:w="1417"/>
            <w:shd w:val="clear" w:color="auto" w:fill="00205B"/>
          </w:tcPr>
          <w:p>
            <w:pPr>
              <w:jc w:val="center"/>
            </w:pPr>
            <w:r>
              <w:rPr>
                <w:rFonts w:ascii="Arial" w:hAnsi="Arial"/>
                <w:b/>
                <w:color w:val="FFFFFF"/>
                <w:sz w:val="20"/>
              </w:rPr>
              <w:t>%</w:t>
            </w:r>
          </w:p>
        </w:tc>
      </w:tr>
      <w:tr>
        <w:tc>
          <w:tcPr>
            <w:tcW w:type="dxa" w:w="2835"/>
            <w:shd w:val="clear" w:color="auto" w:fill="F2F2F2"/>
          </w:tcPr>
          <w:p>
            <w:pPr>
              <w:jc w:val="left"/>
            </w:pPr>
            <w:r>
              <w:rPr>
                <w:rFonts w:ascii="Arial" w:hAnsi="Arial"/>
                <w:sz w:val="20"/>
              </w:rPr>
              <w:t>Art. 22, I — Concurso de atos</w:t>
            </w:r>
          </w:p>
        </w:tc>
        <w:tc>
          <w:tcPr>
            <w:tcW w:type="dxa" w:w="5386"/>
            <w:shd w:val="clear" w:color="auto" w:fill="F2F2F2"/>
          </w:tcPr>
          <w:p>
            <w:pPr>
              <w:jc w:val="center"/>
            </w:pPr>
            <w:r>
              <w:rPr>
                <w:rFonts w:ascii="Arial" w:hAnsi="Arial"/>
                <w:sz w:val="20"/>
              </w:rPr>
              <w:t>Múltiplos pagamentos dissimulados (R$ 450k via empresa B, R$ 250k via empresa C, R$ 180k em móveis para o auditor)</w:t>
            </w:r>
          </w:p>
        </w:tc>
        <w:tc>
          <w:tcPr>
            <w:tcW w:type="dxa" w:w="1417"/>
            <w:shd w:val="clear" w:color="auto" w:fill="F2F2F2"/>
          </w:tcPr>
          <w:p>
            <w:pPr>
              <w:jc w:val="center"/>
            </w:pPr>
            <w:r>
              <w:rPr>
                <w:rFonts w:ascii="Arial" w:hAnsi="Arial"/>
                <w:sz w:val="20"/>
              </w:rPr>
              <w:t>3,5%</w:t>
            </w:r>
          </w:p>
        </w:tc>
      </w:tr>
      <w:tr>
        <w:tc>
          <w:tcPr>
            <w:tcW w:type="dxa" w:w="2835"/>
            <w:shd w:val="clear" w:color="auto" w:fill="FFFFFF"/>
          </w:tcPr>
          <w:p>
            <w:pPr>
              <w:jc w:val="left"/>
            </w:pPr>
            <w:r>
              <w:rPr>
                <w:rFonts w:ascii="Arial" w:hAnsi="Arial"/>
                <w:sz w:val="20"/>
              </w:rPr>
              <w:t>Art. 22, II — Ciência do corpo diretivo</w:t>
            </w:r>
          </w:p>
        </w:tc>
        <w:tc>
          <w:tcPr>
            <w:tcW w:type="dxa" w:w="5386"/>
            <w:shd w:val="clear" w:color="auto" w:fill="FFFFFF"/>
          </w:tcPr>
          <w:p>
            <w:pPr>
              <w:jc w:val="center"/>
            </w:pPr>
            <w:r>
              <w:rPr>
                <w:rFonts w:ascii="Arial" w:hAnsi="Arial"/>
                <w:sz w:val="20"/>
              </w:rPr>
              <w:t>WhatsApp do gerente citando o Administrador; e-mails copiados ao contador e auditor → ciência do Administrador (teto)</w:t>
            </w:r>
          </w:p>
        </w:tc>
        <w:tc>
          <w:tcPr>
            <w:tcW w:type="dxa" w:w="1417"/>
            <w:shd w:val="clear" w:color="auto" w:fill="FFFFFF"/>
          </w:tcPr>
          <w:p>
            <w:pPr>
              <w:jc w:val="center"/>
            </w:pPr>
            <w:r>
              <w:rPr>
                <w:rFonts w:ascii="Arial" w:hAnsi="Arial"/>
                <w:sz w:val="20"/>
              </w:rPr>
              <w:t>3,0%</w:t>
            </w:r>
          </w:p>
        </w:tc>
      </w:tr>
      <w:tr>
        <w:tc>
          <w:tcPr>
            <w:tcW w:type="dxa" w:w="2835"/>
            <w:shd w:val="clear" w:color="auto" w:fill="F2F2F2"/>
          </w:tcPr>
          <w:p>
            <w:pPr>
              <w:jc w:val="left"/>
            </w:pPr>
            <w:r>
              <w:rPr>
                <w:rFonts w:ascii="Arial" w:hAnsi="Arial"/>
                <w:sz w:val="20"/>
              </w:rPr>
              <w:t>Art. 22, III — Interrupção</w:t>
            </w:r>
          </w:p>
        </w:tc>
        <w:tc>
          <w:tcPr>
            <w:tcW w:type="dxa" w:w="5386"/>
            <w:shd w:val="clear" w:color="auto" w:fill="F2F2F2"/>
          </w:tcPr>
          <w:p>
            <w:pPr>
              <w:jc w:val="center"/>
            </w:pPr>
            <w:r>
              <w:rPr>
                <w:rFonts w:ascii="Arial" w:hAnsi="Arial"/>
                <w:sz w:val="20"/>
              </w:rPr>
              <w:t>Não aplicável ao caso</w:t>
            </w:r>
          </w:p>
        </w:tc>
        <w:tc>
          <w:tcPr>
            <w:tcW w:type="dxa" w:w="1417"/>
            <w:shd w:val="clear" w:color="auto" w:fill="F2F2F2"/>
          </w:tcPr>
          <w:p>
            <w:pPr>
              <w:jc w:val="center"/>
            </w:pPr>
            <w:r>
              <w:rPr>
                <w:rFonts w:ascii="Arial" w:hAnsi="Arial"/>
                <w:sz w:val="20"/>
              </w:rPr>
              <w:t>0%</w:t>
            </w:r>
          </w:p>
        </w:tc>
      </w:tr>
      <w:tr>
        <w:tc>
          <w:tcPr>
            <w:tcW w:type="dxa" w:w="2835"/>
            <w:shd w:val="clear" w:color="auto" w:fill="FFFFFF"/>
          </w:tcPr>
          <w:p>
            <w:pPr>
              <w:jc w:val="left"/>
            </w:pPr>
            <w:r>
              <w:rPr>
                <w:rFonts w:ascii="Arial" w:hAnsi="Arial"/>
                <w:sz w:val="20"/>
              </w:rPr>
              <w:t>Art. 22, IV — Situação econômica</w:t>
            </w:r>
          </w:p>
        </w:tc>
        <w:tc>
          <w:tcPr>
            <w:tcW w:type="dxa" w:w="5386"/>
            <w:shd w:val="clear" w:color="auto" w:fill="FFFFFF"/>
          </w:tcPr>
          <w:p>
            <w:pPr>
              <w:jc w:val="center"/>
            </w:pPr>
            <w:r>
              <w:rPr>
                <w:rFonts w:ascii="Arial" w:hAnsi="Arial"/>
                <w:sz w:val="20"/>
              </w:rPr>
              <w:t>SG = 1,67 ✓ / LG = 0,98 ✗ / Lucro ✓ — LG &lt; 1, não se aplica</w:t>
            </w:r>
          </w:p>
        </w:tc>
        <w:tc>
          <w:tcPr>
            <w:tcW w:type="dxa" w:w="1417"/>
            <w:shd w:val="clear" w:color="auto" w:fill="FFFFFF"/>
          </w:tcPr>
          <w:p>
            <w:pPr>
              <w:jc w:val="center"/>
            </w:pPr>
            <w:r>
              <w:rPr>
                <w:rFonts w:ascii="Arial" w:hAnsi="Arial"/>
                <w:sz w:val="20"/>
              </w:rPr>
              <w:t>0%</w:t>
            </w:r>
          </w:p>
        </w:tc>
      </w:tr>
      <w:tr>
        <w:tc>
          <w:tcPr>
            <w:tcW w:type="dxa" w:w="2835"/>
            <w:shd w:val="clear" w:color="auto" w:fill="F2F2F2"/>
          </w:tcPr>
          <w:p>
            <w:pPr>
              <w:jc w:val="left"/>
            </w:pPr>
            <w:r>
              <w:rPr>
                <w:rFonts w:ascii="Arial" w:hAnsi="Arial"/>
                <w:sz w:val="20"/>
              </w:rPr>
              <w:t>Art. 22, V — Reincidência</w:t>
            </w:r>
          </w:p>
        </w:tc>
        <w:tc>
          <w:tcPr>
            <w:tcW w:type="dxa" w:w="5386"/>
            <w:shd w:val="clear" w:color="auto" w:fill="F2F2F2"/>
          </w:tcPr>
          <w:p>
            <w:pPr>
              <w:jc w:val="center"/>
            </w:pPr>
            <w:r>
              <w:rPr>
                <w:rFonts w:ascii="Arial" w:hAnsi="Arial"/>
                <w:sz w:val="20"/>
              </w:rPr>
              <w:t>PAR anterior em andamento sem julgamento definitivo — NÃO configura reincidência</w:t>
            </w:r>
          </w:p>
        </w:tc>
        <w:tc>
          <w:tcPr>
            <w:tcW w:type="dxa" w:w="1417"/>
            <w:shd w:val="clear" w:color="auto" w:fill="F2F2F2"/>
          </w:tcPr>
          <w:p>
            <w:pPr>
              <w:jc w:val="center"/>
            </w:pPr>
            <w:r>
              <w:rPr>
                <w:rFonts w:ascii="Arial" w:hAnsi="Arial"/>
                <w:sz w:val="20"/>
              </w:rPr>
              <w:t>0%</w:t>
            </w:r>
          </w:p>
        </w:tc>
      </w:tr>
      <w:tr>
        <w:tc>
          <w:tcPr>
            <w:tcW w:type="dxa" w:w="2835"/>
            <w:shd w:val="clear" w:color="auto" w:fill="FFFFFF"/>
          </w:tcPr>
          <w:p>
            <w:pPr>
              <w:jc w:val="left"/>
            </w:pPr>
            <w:r>
              <w:rPr>
                <w:rFonts w:ascii="Arial" w:hAnsi="Arial"/>
                <w:sz w:val="20"/>
              </w:rPr>
              <w:t>Art. 22, VI — Contratos</w:t>
            </w:r>
          </w:p>
        </w:tc>
        <w:tc>
          <w:tcPr>
            <w:tcW w:type="dxa" w:w="5386"/>
            <w:shd w:val="clear" w:color="auto" w:fill="FFFFFF"/>
          </w:tcPr>
          <w:p>
            <w:pPr>
              <w:jc w:val="center"/>
            </w:pPr>
            <w:r>
              <w:rPr>
                <w:rFonts w:ascii="Arial" w:hAnsi="Arial"/>
                <w:sz w:val="20"/>
              </w:rPr>
              <w:t>Não pontuado no caso</w:t>
            </w:r>
          </w:p>
        </w:tc>
        <w:tc>
          <w:tcPr>
            <w:tcW w:type="dxa" w:w="1417"/>
            <w:shd w:val="clear" w:color="auto" w:fill="FFFFFF"/>
          </w:tcPr>
          <w:p>
            <w:pPr>
              <w:jc w:val="center"/>
            </w:pPr>
            <w:r>
              <w:rPr>
                <w:rFonts w:ascii="Arial" w:hAnsi="Arial"/>
                <w:sz w:val="20"/>
              </w:rPr>
              <w:t>0%</w:t>
            </w:r>
          </w:p>
        </w:tc>
      </w:tr>
      <w:tr>
        <w:tc>
          <w:tcPr>
            <w:tcW w:type="dxa" w:w="2835"/>
            <w:shd w:val="clear" w:color="auto" w:fill="F2F2F2"/>
          </w:tcPr>
          <w:p>
            <w:pPr>
              <w:jc w:val="left"/>
            </w:pPr>
            <w:r>
              <w:rPr>
                <w:rFonts w:ascii="Arial" w:hAnsi="Arial"/>
                <w:sz w:val="20"/>
              </w:rPr>
              <w:t>TOTAL AGRAVANTES</w:t>
            </w:r>
          </w:p>
        </w:tc>
        <w:tc>
          <w:tcPr>
            <w:tcW w:type="dxa" w:w="5386"/>
            <w:shd w:val="clear" w:color="auto" w:fill="F2F2F2"/>
          </w:tcPr>
          <w:p>
            <w:pPr>
              <w:jc w:val="center"/>
            </w:pPr>
            <w:r>
              <w:rPr>
                <w:rFonts w:ascii="Arial" w:hAnsi="Arial"/>
                <w:sz w:val="20"/>
              </w:rPr>
            </w:r>
          </w:p>
        </w:tc>
        <w:tc>
          <w:tcPr>
            <w:tcW w:type="dxa" w:w="1417"/>
            <w:shd w:val="clear" w:color="auto" w:fill="F2F2F2"/>
          </w:tcPr>
          <w:p>
            <w:pPr>
              <w:jc w:val="center"/>
            </w:pPr>
            <w:r>
              <w:rPr>
                <w:rFonts w:ascii="Arial" w:hAnsi="Arial"/>
                <w:sz w:val="20"/>
              </w:rPr>
              <w:t>6,5%</w:t>
            </w:r>
          </w:p>
        </w:tc>
      </w:tr>
      <w:tr>
        <w:tc>
          <w:tcPr>
            <w:tcW w:type="dxa" w:w="2835"/>
            <w:shd w:val="clear" w:color="auto" w:fill="FFFFFF"/>
          </w:tcPr>
          <w:p>
            <w:pPr>
              <w:jc w:val="left"/>
            </w:pPr>
            <w:r>
              <w:rPr>
                <w:rFonts w:ascii="Arial" w:hAnsi="Arial"/>
                <w:sz w:val="20"/>
              </w:rPr>
              <w:t>Art. 23, II — Ressarcimento</w:t>
            </w:r>
          </w:p>
        </w:tc>
        <w:tc>
          <w:tcPr>
            <w:tcW w:type="dxa" w:w="5386"/>
            <w:shd w:val="clear" w:color="auto" w:fill="FFFFFF"/>
          </w:tcPr>
          <w:p>
            <w:pPr>
              <w:jc w:val="center"/>
            </w:pPr>
            <w:r>
              <w:rPr>
                <w:rFonts w:ascii="Arial" w:hAnsi="Arial"/>
                <w:sz w:val="20"/>
              </w:rPr>
              <w:t>Comprovação parcial de devolução espontânea</w:t>
            </w:r>
          </w:p>
        </w:tc>
        <w:tc>
          <w:tcPr>
            <w:tcW w:type="dxa" w:w="1417"/>
            <w:shd w:val="clear" w:color="auto" w:fill="FFFFFF"/>
          </w:tcPr>
          <w:p>
            <w:pPr>
              <w:jc w:val="center"/>
            </w:pPr>
            <w:r>
              <w:rPr>
                <w:rFonts w:ascii="Arial" w:hAnsi="Arial"/>
                <w:sz w:val="20"/>
              </w:rPr>
              <w:t>−0,5%</w:t>
            </w:r>
          </w:p>
        </w:tc>
      </w:tr>
      <w:tr>
        <w:tc>
          <w:tcPr>
            <w:tcW w:type="dxa" w:w="2835"/>
            <w:shd w:val="clear" w:color="auto" w:fill="F2F2F2"/>
          </w:tcPr>
          <w:p>
            <w:pPr>
              <w:jc w:val="left"/>
            </w:pPr>
            <w:r>
              <w:rPr>
                <w:rFonts w:ascii="Arial" w:hAnsi="Arial"/>
                <w:sz w:val="20"/>
              </w:rPr>
              <w:t>TOTAL ATENUANTES</w:t>
            </w:r>
          </w:p>
        </w:tc>
        <w:tc>
          <w:tcPr>
            <w:tcW w:type="dxa" w:w="5386"/>
            <w:shd w:val="clear" w:color="auto" w:fill="F2F2F2"/>
          </w:tcPr>
          <w:p>
            <w:pPr>
              <w:jc w:val="center"/>
            </w:pPr>
            <w:r>
              <w:rPr>
                <w:rFonts w:ascii="Arial" w:hAnsi="Arial"/>
                <w:sz w:val="20"/>
              </w:rPr>
            </w:r>
          </w:p>
        </w:tc>
        <w:tc>
          <w:tcPr>
            <w:tcW w:type="dxa" w:w="1417"/>
            <w:shd w:val="clear" w:color="auto" w:fill="F2F2F2"/>
          </w:tcPr>
          <w:p>
            <w:pPr>
              <w:jc w:val="center"/>
            </w:pPr>
            <w:r>
              <w:rPr>
                <w:rFonts w:ascii="Arial" w:hAnsi="Arial"/>
                <w:sz w:val="20"/>
              </w:rPr>
              <w:t>−0,5%</w:t>
            </w:r>
          </w:p>
        </w:tc>
      </w:tr>
      <w:tr>
        <w:tc>
          <w:tcPr>
            <w:tcW w:type="dxa" w:w="2835"/>
            <w:shd w:val="clear" w:color="auto" w:fill="FFFFFF"/>
          </w:tcPr>
          <w:p>
            <w:pPr>
              <w:jc w:val="left"/>
            </w:pPr>
            <w:r>
              <w:rPr>
                <w:rFonts w:ascii="Arial" w:hAnsi="Arial"/>
                <w:sz w:val="20"/>
              </w:rPr>
              <w:t>ALÍQUOTA FINAL</w:t>
            </w:r>
          </w:p>
        </w:tc>
        <w:tc>
          <w:tcPr>
            <w:tcW w:type="dxa" w:w="5386"/>
            <w:shd w:val="clear" w:color="auto" w:fill="FFFFFF"/>
          </w:tcPr>
          <w:p>
            <w:pPr>
              <w:jc w:val="center"/>
            </w:pPr>
            <w:r>
              <w:rPr>
                <w:rFonts w:ascii="Arial" w:hAnsi="Arial"/>
                <w:sz w:val="20"/>
              </w:rPr>
              <w:t>6,5% − 0,5%</w:t>
            </w:r>
          </w:p>
        </w:tc>
        <w:tc>
          <w:tcPr>
            <w:tcW w:type="dxa" w:w="1417"/>
            <w:shd w:val="clear" w:color="auto" w:fill="FFFFFF"/>
          </w:tcPr>
          <w:p>
            <w:pPr>
              <w:jc w:val="center"/>
            </w:pPr>
            <w:r>
              <w:rPr>
                <w:rFonts w:ascii="Arial" w:hAnsi="Arial"/>
                <w:sz w:val="20"/>
              </w:rPr>
              <w:t>6,0%</w:t>
            </w:r>
          </w:p>
        </w:tc>
      </w:tr>
    </w:tbl>
    <w:p/>
    <w:p>
      <w:pPr>
        <w:spacing w:before="160" w:after="40"/>
      </w:pPr>
      <w:r>
        <w:rPr>
          <w:rFonts w:ascii="Arial" w:hAnsi="Arial"/>
          <w:b/>
          <w:color w:val="1D3A78"/>
          <w:sz w:val="22"/>
        </w:rPr>
        <w:t>Passo 3 — Multa Preliminar</w:t>
      </w:r>
    </w:p>
    <w:p>
      <w:pPr>
        <w:spacing w:before="80" w:after="80"/>
        <w:ind w:left="850" w:right="567"/>
      </w:pPr>
      <w:r>
        <w:rPr>
          <w:rFonts w:ascii="Arial" w:hAnsi="Arial"/>
          <w:i/>
          <w:color w:val="333366"/>
          <w:sz w:val="20"/>
        </w:rPr>
        <w:t>R$ 1.060.112.110,00 × 6,0%  =  R$ 63.606.726,60</w:t>
      </w:r>
    </w:p>
    <w:p>
      <w:pPr>
        <w:spacing w:before="160" w:after="40"/>
      </w:pPr>
      <w:r>
        <w:rPr>
          <w:rFonts w:ascii="Arial" w:hAnsi="Arial"/>
          <w:b/>
          <w:color w:val="1D3A78"/>
          <w:sz w:val="22"/>
        </w:rPr>
        <w:t>Passo 4 — Limites Legais</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00205B"/>
          </w:tcPr>
          <w:p>
            <w:pPr>
              <w:jc w:val="center"/>
            </w:pPr>
            <w:r>
              <w:rPr>
                <w:rFonts w:ascii="Arial" w:hAnsi="Arial"/>
                <w:b/>
                <w:color w:val="FFFFFF"/>
                <w:sz w:val="20"/>
              </w:rPr>
              <w:t>Limite</w:t>
            </w:r>
          </w:p>
        </w:tc>
        <w:tc>
          <w:tcPr>
            <w:tcW w:type="dxa" w:w="3969"/>
            <w:shd w:val="clear" w:color="auto" w:fill="00205B"/>
          </w:tcPr>
          <w:p>
            <w:pPr>
              <w:jc w:val="center"/>
            </w:pPr>
            <w:r>
              <w:rPr>
                <w:rFonts w:ascii="Arial" w:hAnsi="Arial"/>
                <w:b/>
                <w:color w:val="FFFFFF"/>
                <w:sz w:val="20"/>
              </w:rPr>
              <w:t>Fórmula</w:t>
            </w:r>
          </w:p>
        </w:tc>
        <w:tc>
          <w:tcPr>
            <w:tcW w:type="dxa" w:w="2835"/>
            <w:shd w:val="clear" w:color="auto" w:fill="00205B"/>
          </w:tcPr>
          <w:p>
            <w:pPr>
              <w:jc w:val="center"/>
            </w:pPr>
            <w:r>
              <w:rPr>
                <w:rFonts w:ascii="Arial" w:hAnsi="Arial"/>
                <w:b/>
                <w:color w:val="FFFFFF"/>
                <w:sz w:val="20"/>
              </w:rPr>
              <w:t>Valor</w:t>
            </w:r>
          </w:p>
        </w:tc>
      </w:tr>
      <w:tr>
        <w:tc>
          <w:tcPr>
            <w:tcW w:type="dxa" w:w="3118"/>
            <w:shd w:val="clear" w:color="auto" w:fill="F2F2F2"/>
          </w:tcPr>
          <w:p>
            <w:pPr>
              <w:jc w:val="left"/>
            </w:pPr>
            <w:r>
              <w:rPr>
                <w:rFonts w:ascii="Arial" w:hAnsi="Arial"/>
                <w:sz w:val="20"/>
              </w:rPr>
              <w:t>Mínimo (maior entre os dois)</w:t>
            </w:r>
          </w:p>
        </w:tc>
        <w:tc>
          <w:tcPr>
            <w:tcW w:type="dxa" w:w="3969"/>
            <w:shd w:val="clear" w:color="auto" w:fill="F2F2F2"/>
          </w:tcPr>
          <w:p>
            <w:pPr>
              <w:jc w:val="center"/>
            </w:pPr>
            <w:r>
              <w:rPr>
                <w:rFonts w:ascii="Arial" w:hAnsi="Arial"/>
                <w:sz w:val="20"/>
              </w:rPr>
              <w:t>Vantagem Auferida (após refiscalização)</w:t>
            </w:r>
          </w:p>
        </w:tc>
        <w:tc>
          <w:tcPr>
            <w:tcW w:type="dxa" w:w="2835"/>
            <w:shd w:val="clear" w:color="auto" w:fill="F2F2F2"/>
          </w:tcPr>
          <w:p>
            <w:pPr>
              <w:jc w:val="center"/>
            </w:pPr>
            <w:r>
              <w:rPr>
                <w:rFonts w:ascii="Arial" w:hAnsi="Arial"/>
                <w:sz w:val="20"/>
              </w:rPr>
              <w:t>R$ 60.000.000,00</w:t>
            </w:r>
          </w:p>
        </w:tc>
      </w:tr>
      <w:tr>
        <w:tc>
          <w:tcPr>
            <w:tcW w:type="dxa" w:w="3118"/>
            <w:shd w:val="clear" w:color="auto" w:fill="FFFFFF"/>
          </w:tcPr>
          <w:p>
            <w:pPr>
              <w:jc w:val="left"/>
            </w:pPr>
            <w:r>
              <w:rPr>
                <w:rFonts w:ascii="Arial" w:hAnsi="Arial"/>
                <w:sz w:val="20"/>
              </w:rPr>
            </w:r>
          </w:p>
        </w:tc>
        <w:tc>
          <w:tcPr>
            <w:tcW w:type="dxa" w:w="3969"/>
            <w:shd w:val="clear" w:color="auto" w:fill="FFFFFF"/>
          </w:tcPr>
          <w:p>
            <w:pPr>
              <w:jc w:val="center"/>
            </w:pPr>
            <w:r>
              <w:rPr>
                <w:rFonts w:ascii="Arial" w:hAnsi="Arial"/>
                <w:sz w:val="20"/>
              </w:rPr>
              <w:t>0,1% do Faturamento</w:t>
            </w:r>
          </w:p>
        </w:tc>
        <w:tc>
          <w:tcPr>
            <w:tcW w:type="dxa" w:w="2835"/>
            <w:shd w:val="clear" w:color="auto" w:fill="FFFFFF"/>
          </w:tcPr>
          <w:p>
            <w:pPr>
              <w:jc w:val="center"/>
            </w:pPr>
            <w:r>
              <w:rPr>
                <w:rFonts w:ascii="Arial" w:hAnsi="Arial"/>
                <w:sz w:val="20"/>
              </w:rPr>
              <w:t>R$ 1.060.112,11</w:t>
            </w:r>
          </w:p>
        </w:tc>
      </w:tr>
      <w:tr>
        <w:tc>
          <w:tcPr>
            <w:tcW w:type="dxa" w:w="3118"/>
            <w:shd w:val="clear" w:color="auto" w:fill="F2F2F2"/>
          </w:tcPr>
          <w:p>
            <w:pPr>
              <w:jc w:val="left"/>
            </w:pPr>
            <w:r>
              <w:rPr>
                <w:rFonts w:ascii="Arial" w:hAnsi="Arial"/>
                <w:sz w:val="20"/>
              </w:rPr>
              <w:t>Máximo (menor entre os dois)</w:t>
            </w:r>
          </w:p>
        </w:tc>
        <w:tc>
          <w:tcPr>
            <w:tcW w:type="dxa" w:w="3969"/>
            <w:shd w:val="clear" w:color="auto" w:fill="F2F2F2"/>
          </w:tcPr>
          <w:p>
            <w:pPr>
              <w:jc w:val="center"/>
            </w:pPr>
            <w:r>
              <w:rPr>
                <w:rFonts w:ascii="Arial" w:hAnsi="Arial"/>
                <w:sz w:val="20"/>
              </w:rPr>
              <w:t>20% do Faturamento</w:t>
            </w:r>
          </w:p>
        </w:tc>
        <w:tc>
          <w:tcPr>
            <w:tcW w:type="dxa" w:w="2835"/>
            <w:shd w:val="clear" w:color="auto" w:fill="F2F2F2"/>
          </w:tcPr>
          <w:p>
            <w:pPr>
              <w:jc w:val="center"/>
            </w:pPr>
            <w:r>
              <w:rPr>
                <w:rFonts w:ascii="Arial" w:hAnsi="Arial"/>
                <w:sz w:val="20"/>
              </w:rPr>
              <w:t>R$ 212.022.422,00</w:t>
            </w:r>
          </w:p>
        </w:tc>
      </w:tr>
      <w:tr>
        <w:tc>
          <w:tcPr>
            <w:tcW w:type="dxa" w:w="3118"/>
            <w:shd w:val="clear" w:color="auto" w:fill="FFFFFF"/>
          </w:tcPr>
          <w:p>
            <w:pPr>
              <w:jc w:val="left"/>
            </w:pPr>
            <w:r>
              <w:rPr>
                <w:rFonts w:ascii="Arial" w:hAnsi="Arial"/>
                <w:sz w:val="20"/>
              </w:rPr>
            </w:r>
          </w:p>
        </w:tc>
        <w:tc>
          <w:tcPr>
            <w:tcW w:type="dxa" w:w="3969"/>
            <w:shd w:val="clear" w:color="auto" w:fill="FFFFFF"/>
          </w:tcPr>
          <w:p>
            <w:pPr>
              <w:jc w:val="center"/>
            </w:pPr>
            <w:r>
              <w:rPr>
                <w:rFonts w:ascii="Arial" w:hAnsi="Arial"/>
                <w:sz w:val="20"/>
              </w:rPr>
              <w:t>3 × Vantagem Pretendida (R$ 90M)</w:t>
            </w:r>
          </w:p>
        </w:tc>
        <w:tc>
          <w:tcPr>
            <w:tcW w:type="dxa" w:w="2835"/>
            <w:shd w:val="clear" w:color="auto" w:fill="FFFFFF"/>
          </w:tcPr>
          <w:p>
            <w:pPr>
              <w:jc w:val="center"/>
            </w:pPr>
            <w:r>
              <w:rPr>
                <w:rFonts w:ascii="Arial" w:hAnsi="Arial"/>
                <w:sz w:val="20"/>
              </w:rPr>
              <w:t>R$ 270.000.000,00</w:t>
            </w:r>
          </w:p>
        </w:tc>
      </w:tr>
    </w:tbl>
    <w:p/>
    <w:p>
      <w:pPr>
        <w:spacing w:before="160" w:after="40"/>
      </w:pPr>
      <w:r>
        <w:rPr>
          <w:rFonts w:ascii="Arial" w:hAnsi="Arial"/>
          <w:b/>
          <w:color w:val="1D3A78"/>
          <w:sz w:val="22"/>
        </w:rPr>
        <w:t>Passo 5 — Multa Final (Caso I)</w:t>
      </w:r>
    </w:p>
    <w:p>
      <w:pPr>
        <w:spacing w:before="0" w:after="80"/>
      </w:pPr>
      <w:r>
        <w:rPr>
          <w:rFonts w:ascii="Arial" w:hAnsi="Arial"/>
          <w:i w:val="0"/>
          <w:sz w:val="22"/>
        </w:rPr>
        <w:t>A Multa Preliminar de R$ 63.606.726,60 está entre o piso (R$ 60M) e o teto (R$ 212M) — não sofre ajuste.</w:t>
      </w:r>
    </w:p>
    <w:p>
      <w:pPr>
        <w:spacing w:before="80" w:after="80"/>
        <w:ind w:left="850" w:right="567"/>
      </w:pPr>
      <w:r>
        <w:rPr>
          <w:rFonts w:ascii="Arial" w:hAnsi="Arial"/>
          <w:i/>
          <w:color w:val="333366"/>
          <w:sz w:val="20"/>
        </w:rPr>
        <w:t>MULTA FINAL (Caso I)  =  R$ 63.606.726,60</w:t>
      </w:r>
    </w:p>
    <w:p>
      <w:pPr>
        <w:spacing w:before="160" w:after="40"/>
      </w:pPr>
      <w:r>
        <w:rPr>
          <w:rFonts w:ascii="Arial" w:hAnsi="Arial"/>
          <w:b/>
          <w:color w:val="1D3A78"/>
          <w:sz w:val="22"/>
        </w:rPr>
        <w:t>Passo 6 — Publicação Extraordinária</w:t>
      </w:r>
    </w:p>
    <w:p>
      <w:pPr>
        <w:spacing w:before="0" w:after="80"/>
      </w:pPr>
      <w:r>
        <w:rPr>
          <w:rFonts w:ascii="Arial" w:hAnsi="Arial"/>
          <w:i w:val="0"/>
          <w:sz w:val="22"/>
        </w:rPr>
        <w:t>Multa não foi limitada (Cenário A). Alíquota de referência = 6,0% → faixa "maior que 5,0% até 7,5%" → PRAZO: 60 DIAS.</w:t>
      </w:r>
    </w:p>
    <w:p>
      <w:pPr>
        <w:spacing w:before="240" w:after="80"/>
        <w:pBdr>
          <w:bottom w:val="single" w:sz="6" w:space="1" w:color="64A70B"/>
        </w:pBdr>
      </w:pPr>
      <w:r>
        <w:rPr>
          <w:rFonts w:ascii="Arial" w:hAnsi="Arial"/>
          <w:b/>
          <w:color w:val="1D3A78"/>
          <w:sz w:val="23"/>
        </w:rPr>
        <w:t>14.2 Caso II — Mesmo Cenário, Vantagem Auferida Integral (Piso Forçado)</w:t>
      </w:r>
    </w:p>
    <w:p>
      <w:pPr>
        <w:spacing w:before="160" w:after="40"/>
      </w:pPr>
      <w:r>
        <w:rPr>
          <w:rFonts w:ascii="Arial" w:hAnsi="Arial"/>
          <w:b/>
          <w:color w:val="1D3A78"/>
          <w:sz w:val="22"/>
        </w:rPr>
        <w:t>Variante</w:t>
      </w:r>
    </w:p>
    <w:p>
      <w:pPr>
        <w:spacing w:before="0" w:after="80"/>
      </w:pPr>
      <w:r>
        <w:rPr>
          <w:rFonts w:ascii="Arial" w:hAnsi="Arial"/>
          <w:i w:val="0"/>
          <w:sz w:val="22"/>
        </w:rPr>
        <w:t>A vantagem auferida permanece em R$ 90.000.000,00 (sem redução pela refiscalização).</w:t>
      </w:r>
    </w:p>
    <w:tbl>
      <w:tblPr>
        <w:tblStyle w:val="TableGrid"/>
        <w:tblW w:type="auto" w:w="0"/>
        <w:jc w:val="left"/>
        <w:tblLook w:firstColumn="1" w:firstRow="1" w:lastColumn="0" w:lastRow="0" w:noHBand="0" w:noVBand="1" w:val="04A0"/>
      </w:tblPr>
      <w:tblGrid>
        <w:gridCol w:w="4702"/>
        <w:gridCol w:w="4702"/>
      </w:tblGrid>
      <w:tr>
        <w:tc>
          <w:tcPr>
            <w:tcW w:type="dxa" w:w="5102"/>
            <w:shd w:val="clear" w:color="auto" w:fill="00205B"/>
          </w:tcPr>
          <w:p>
            <w:pPr>
              <w:jc w:val="center"/>
            </w:pPr>
            <w:r>
              <w:rPr>
                <w:rFonts w:ascii="Arial" w:hAnsi="Arial"/>
                <w:b/>
                <w:color w:val="FFFFFF"/>
                <w:sz w:val="20"/>
              </w:rPr>
              <w:t>Limite</w:t>
            </w:r>
          </w:p>
        </w:tc>
        <w:tc>
          <w:tcPr>
            <w:tcW w:type="dxa" w:w="4535"/>
            <w:shd w:val="clear" w:color="auto" w:fill="00205B"/>
          </w:tcPr>
          <w:p>
            <w:pPr>
              <w:jc w:val="center"/>
            </w:pPr>
            <w:r>
              <w:rPr>
                <w:rFonts w:ascii="Arial" w:hAnsi="Arial"/>
                <w:b/>
                <w:color w:val="FFFFFF"/>
                <w:sz w:val="20"/>
              </w:rPr>
              <w:t>Valor</w:t>
            </w:r>
          </w:p>
        </w:tc>
      </w:tr>
      <w:tr>
        <w:tc>
          <w:tcPr>
            <w:tcW w:type="dxa" w:w="5102"/>
            <w:shd w:val="clear" w:color="auto" w:fill="F2F2F2"/>
          </w:tcPr>
          <w:p>
            <w:pPr>
              <w:jc w:val="left"/>
            </w:pPr>
            <w:r>
              <w:rPr>
                <w:rFonts w:ascii="Arial" w:hAnsi="Arial"/>
                <w:sz w:val="20"/>
              </w:rPr>
              <w:t>Piso (vantagem auferida integral)</w:t>
            </w:r>
          </w:p>
        </w:tc>
        <w:tc>
          <w:tcPr>
            <w:tcW w:type="dxa" w:w="4535"/>
            <w:shd w:val="clear" w:color="auto" w:fill="F2F2F2"/>
          </w:tcPr>
          <w:p>
            <w:pPr>
              <w:jc w:val="center"/>
            </w:pPr>
            <w:r>
              <w:rPr>
                <w:rFonts w:ascii="Arial" w:hAnsi="Arial"/>
                <w:sz w:val="20"/>
              </w:rPr>
              <w:t>R$ 90.000.000,00</w:t>
            </w:r>
          </w:p>
        </w:tc>
      </w:tr>
      <w:tr>
        <w:tc>
          <w:tcPr>
            <w:tcW w:type="dxa" w:w="5102"/>
            <w:shd w:val="clear" w:color="auto" w:fill="FFFFFF"/>
          </w:tcPr>
          <w:p>
            <w:pPr>
              <w:jc w:val="left"/>
            </w:pPr>
            <w:r>
              <w:rPr>
                <w:rFonts w:ascii="Arial" w:hAnsi="Arial"/>
                <w:sz w:val="20"/>
              </w:rPr>
              <w:t>Teto (20% do Faturamento)</w:t>
            </w:r>
          </w:p>
        </w:tc>
        <w:tc>
          <w:tcPr>
            <w:tcW w:type="dxa" w:w="4535"/>
            <w:shd w:val="clear" w:color="auto" w:fill="FFFFFF"/>
          </w:tcPr>
          <w:p>
            <w:pPr>
              <w:jc w:val="center"/>
            </w:pPr>
            <w:r>
              <w:rPr>
                <w:rFonts w:ascii="Arial" w:hAnsi="Arial"/>
                <w:sz w:val="20"/>
              </w:rPr>
              <w:t>R$ 212.022.422,00</w:t>
            </w:r>
          </w:p>
        </w:tc>
      </w:tr>
    </w:tbl>
    <w:p/>
    <w:p>
      <w:pPr>
        <w:spacing w:before="0" w:after="80"/>
      </w:pPr>
      <w:r>
        <w:rPr>
          <w:rFonts w:ascii="Arial" w:hAnsi="Arial"/>
          <w:i w:val="0"/>
          <w:sz w:val="22"/>
        </w:rPr>
        <w:t>Multa Preliminar de R$ 63.606.726,60 ficou abaixo do piso legal (R$ 90M). A multa é elevada obrigatoriamente ao piso:</w:t>
      </w:r>
    </w:p>
    <w:p>
      <w:pPr>
        <w:spacing w:before="80" w:after="80"/>
        <w:ind w:left="850" w:right="567"/>
      </w:pPr>
      <w:r>
        <w:rPr>
          <w:rFonts w:ascii="Arial" w:hAnsi="Arial"/>
          <w:i/>
          <w:color w:val="333366"/>
          <w:sz w:val="20"/>
        </w:rPr>
        <w:t>MULTA FINAL (Caso II)  =  R$ 90.000.000,00</w:t>
      </w:r>
    </w:p>
    <w:p>
      <w:pPr>
        <w:spacing w:before="160" w:after="40"/>
      </w:pPr>
      <w:r>
        <w:rPr>
          <w:rFonts w:ascii="Arial" w:hAnsi="Arial"/>
          <w:b/>
          <w:color w:val="1D3A78"/>
          <w:sz w:val="22"/>
        </w:rPr>
        <w:t>Publicação com Proporção Recalculada (Cenário B)</w:t>
      </w:r>
    </w:p>
    <w:p>
      <w:pPr>
        <w:spacing w:before="80" w:after="80"/>
        <w:ind w:left="850" w:right="567"/>
      </w:pPr>
      <w:r>
        <w:rPr>
          <w:rFonts w:ascii="Arial" w:hAnsi="Arial"/>
          <w:i/>
          <w:color w:val="333366"/>
          <w:sz w:val="20"/>
        </w:rPr>
        <w:t>Alíquota de Proporção  =  R$ 90.000.000,00 ÷ R$ 1.060.112.110,00  ≈  8,5%  →  PRAZO: 75 DIAS</w:t>
      </w:r>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O prazo de publicação aumentou de 60 para 75 dias porque a gravidade proporcional da sanção cresceu quando a multa foi elevada ao piso.</w:t>
            </w:r>
          </w:p>
        </w:tc>
      </w:tr>
    </w:tbl>
    <w:p/>
    <w:p>
      <w:pPr>
        <w:spacing w:before="240" w:after="80"/>
        <w:pBdr>
          <w:bottom w:val="single" w:sz="6" w:space="1" w:color="64A70B"/>
        </w:pBdr>
      </w:pPr>
      <w:r>
        <w:rPr>
          <w:rFonts w:ascii="Arial" w:hAnsi="Arial"/>
          <w:b/>
          <w:color w:val="1D3A78"/>
          <w:sz w:val="23"/>
        </w:rPr>
        <w:t>14.3 Caso III — Empresa Cítrica: Sem Defesa, Empresa Fantasma</w:t>
      </w:r>
    </w:p>
    <w:p>
      <w:pPr>
        <w:spacing w:before="160" w:after="40"/>
      </w:pPr>
      <w:r>
        <w:rPr>
          <w:rFonts w:ascii="Arial" w:hAnsi="Arial"/>
          <w:b/>
          <w:color w:val="1D3A78"/>
          <w:sz w:val="22"/>
        </w:rPr>
        <w:t>Cenário</w:t>
      </w:r>
    </w:p>
    <w:p>
      <w:pPr>
        <w:spacing w:before="0" w:after="80"/>
      </w:pPr>
      <w:r>
        <w:rPr>
          <w:rFonts w:ascii="Arial" w:hAnsi="Arial"/>
          <w:i w:val="0"/>
          <w:sz w:val="22"/>
        </w:rPr>
        <w:t>Empresa-noteira que não apresentou defesa nem balanço. Faturamento: 2024 e 2025 = R$ 0. Faturamento histórico: 2018 (jan–mar) = R$ 53.500,00; 2017 = R$ 560.000,00.</w:t>
      </w:r>
    </w:p>
    <w:p>
      <w:pPr>
        <w:spacing w:before="160" w:after="40"/>
      </w:pPr>
      <w:r>
        <w:rPr>
          <w:rFonts w:ascii="Arial" w:hAnsi="Arial"/>
          <w:b/>
          <w:color w:val="1D3A78"/>
          <w:sz w:val="22"/>
        </w:rPr>
        <w:t>Retroação e Atualização (Art. 21)</w:t>
      </w:r>
    </w:p>
    <w:p>
      <w:pPr>
        <w:spacing w:before="80" w:after="80"/>
        <w:ind w:left="850" w:right="567"/>
      </w:pPr>
      <w:r>
        <w:rPr>
          <w:rFonts w:ascii="Arial" w:hAnsi="Arial"/>
          <w:i/>
          <w:color w:val="333366"/>
          <w:sz w:val="20"/>
        </w:rPr>
        <w:t>Base de Cálculo apurada e atualizada pelo IPCA até 31/12/2024  =  R$ 74.588,17</w:t>
      </w:r>
    </w:p>
    <w:p>
      <w:pPr>
        <w:spacing w:before="160" w:after="40"/>
      </w:pPr>
      <w:r>
        <w:rPr>
          <w:rFonts w:ascii="Arial" w:hAnsi="Arial"/>
          <w:b/>
          <w:color w:val="1D3A78"/>
          <w:sz w:val="22"/>
        </w:rPr>
        <w:t>Dosimetria</w:t>
      </w:r>
    </w:p>
    <w:tbl>
      <w:tblPr>
        <w:tblStyle w:val="TableGrid"/>
        <w:tblW w:type="auto" w:w="0"/>
        <w:jc w:val="left"/>
        <w:tblLook w:firstColumn="1" w:firstRow="1" w:lastColumn="0" w:lastRow="0" w:noHBand="0" w:noVBand="1" w:val="04A0"/>
      </w:tblPr>
      <w:tblGrid>
        <w:gridCol w:w="4702"/>
        <w:gridCol w:w="4702"/>
      </w:tblGrid>
      <w:tr>
        <w:tc>
          <w:tcPr>
            <w:tcW w:type="dxa" w:w="7370"/>
            <w:shd w:val="clear" w:color="auto" w:fill="00205B"/>
          </w:tcPr>
          <w:p>
            <w:pPr>
              <w:jc w:val="center"/>
            </w:pPr>
            <w:r>
              <w:rPr>
                <w:rFonts w:ascii="Arial" w:hAnsi="Arial"/>
                <w:b/>
                <w:color w:val="FFFFFF"/>
                <w:sz w:val="20"/>
              </w:rPr>
              <w:t>Circunstância</w:t>
            </w:r>
          </w:p>
        </w:tc>
        <w:tc>
          <w:tcPr>
            <w:tcW w:type="dxa" w:w="2268"/>
            <w:shd w:val="clear" w:color="auto" w:fill="00205B"/>
          </w:tcPr>
          <w:p>
            <w:pPr>
              <w:jc w:val="center"/>
            </w:pPr>
            <w:r>
              <w:rPr>
                <w:rFonts w:ascii="Arial" w:hAnsi="Arial"/>
                <w:b/>
                <w:color w:val="FFFFFF"/>
                <w:sz w:val="20"/>
              </w:rPr>
              <w:t>%</w:t>
            </w:r>
          </w:p>
        </w:tc>
      </w:tr>
      <w:tr>
        <w:tc>
          <w:tcPr>
            <w:tcW w:type="dxa" w:w="7370"/>
            <w:shd w:val="clear" w:color="auto" w:fill="F2F2F2"/>
          </w:tcPr>
          <w:p>
            <w:pPr>
              <w:jc w:val="left"/>
            </w:pPr>
            <w:r>
              <w:rPr>
                <w:rFonts w:ascii="Arial" w:hAnsi="Arial"/>
                <w:sz w:val="20"/>
              </w:rPr>
              <w:t>Agravantes</w:t>
            </w:r>
          </w:p>
        </w:tc>
        <w:tc>
          <w:tcPr>
            <w:tcW w:type="dxa" w:w="2268"/>
            <w:shd w:val="clear" w:color="auto" w:fill="F2F2F2"/>
          </w:tcPr>
          <w:p>
            <w:pPr>
              <w:jc w:val="center"/>
            </w:pPr>
            <w:r>
              <w:rPr>
                <w:rFonts w:ascii="Arial" w:hAnsi="Arial"/>
                <w:sz w:val="20"/>
              </w:rPr>
              <w:t>0%</w:t>
            </w:r>
          </w:p>
        </w:tc>
      </w:tr>
      <w:tr>
        <w:tc>
          <w:tcPr>
            <w:tcW w:type="dxa" w:w="7370"/>
            <w:shd w:val="clear" w:color="auto" w:fill="FFFFFF"/>
          </w:tcPr>
          <w:p>
            <w:pPr>
              <w:jc w:val="left"/>
            </w:pPr>
            <w:r>
              <w:rPr>
                <w:rFonts w:ascii="Arial" w:hAnsi="Arial"/>
                <w:sz w:val="20"/>
              </w:rPr>
              <w:t>Art. 23, II — Inexistência de vantagem/dano comprovado</w:t>
            </w:r>
          </w:p>
        </w:tc>
        <w:tc>
          <w:tcPr>
            <w:tcW w:type="dxa" w:w="2268"/>
            <w:shd w:val="clear" w:color="auto" w:fill="FFFFFF"/>
          </w:tcPr>
          <w:p>
            <w:pPr>
              <w:jc w:val="center"/>
            </w:pPr>
            <w:r>
              <w:rPr>
                <w:rFonts w:ascii="Arial" w:hAnsi="Arial"/>
                <w:sz w:val="20"/>
              </w:rPr>
              <w:t>−1,0%</w:t>
            </w:r>
          </w:p>
        </w:tc>
      </w:tr>
      <w:tr>
        <w:tc>
          <w:tcPr>
            <w:tcW w:type="dxa" w:w="7370"/>
            <w:shd w:val="clear" w:color="auto" w:fill="F2F2F2"/>
          </w:tcPr>
          <w:p>
            <w:pPr>
              <w:jc w:val="left"/>
            </w:pPr>
            <w:r>
              <w:rPr>
                <w:rFonts w:ascii="Arial" w:hAnsi="Arial"/>
                <w:sz w:val="20"/>
              </w:rPr>
              <w:t>Alíquota Final (atenuantes &gt; agravantes)</w:t>
            </w:r>
          </w:p>
        </w:tc>
        <w:tc>
          <w:tcPr>
            <w:tcW w:type="dxa" w:w="2268"/>
            <w:shd w:val="clear" w:color="auto" w:fill="F2F2F2"/>
          </w:tcPr>
          <w:p>
            <w:pPr>
              <w:jc w:val="center"/>
            </w:pPr>
            <w:r>
              <w:rPr>
                <w:rFonts w:ascii="Arial" w:hAnsi="Arial"/>
                <w:sz w:val="20"/>
              </w:rPr>
              <w:t>0%</w:t>
            </w:r>
          </w:p>
        </w:tc>
      </w:tr>
    </w:tbl>
    <w:p/>
    <w:p>
      <w:pPr>
        <w:spacing w:before="80" w:after="80"/>
        <w:ind w:left="850" w:right="567"/>
      </w:pPr>
      <w:r>
        <w:rPr>
          <w:rFonts w:ascii="Arial" w:hAnsi="Arial"/>
          <w:i/>
          <w:color w:val="333366"/>
          <w:sz w:val="20"/>
        </w:rPr>
        <w:t>Multa Preliminar  =  R$ 74.588,17 × 0%  =  R$ 0,00</w:t>
      </w:r>
    </w:p>
    <w:p>
      <w:pPr>
        <w:spacing w:before="0" w:after="80"/>
      </w:pPr>
      <w:r>
        <w:rPr>
          <w:rFonts w:ascii="Arial" w:hAnsi="Arial"/>
          <w:i w:val="0"/>
          <w:sz w:val="22"/>
        </w:rPr>
        <w:t>Piso absoluto (Art. 20, §4º, Lei nº 12.846/2013):</w:t>
      </w:r>
    </w:p>
    <w:p>
      <w:pPr>
        <w:spacing w:before="80" w:after="80"/>
        <w:ind w:left="850" w:right="567"/>
      </w:pPr>
      <w:r>
        <w:rPr>
          <w:rFonts w:ascii="Arial" w:hAnsi="Arial"/>
          <w:i/>
          <w:color w:val="333366"/>
          <w:sz w:val="20"/>
        </w:rPr>
        <w:t>MULTA FINAL (Caso III)  =  R$ 6.000,00</w:t>
      </w:r>
    </w:p>
    <w:p>
      <w:pPr>
        <w:spacing w:before="80" w:after="80"/>
        <w:ind w:left="850" w:right="567"/>
      </w:pPr>
      <w:r>
        <w:rPr>
          <w:rFonts w:ascii="Arial" w:hAnsi="Arial"/>
          <w:i/>
          <w:color w:val="333366"/>
          <w:sz w:val="20"/>
        </w:rPr>
        <w:t>Alíquota de Proporção  =  R$ 6.000,00 ÷ R$ 74.588,17  ≈  8,0%  →  PRAZO: 75 DIAS</w:t>
      </w:r>
    </w:p>
    <w:p>
      <w:pPr>
        <w:spacing w:before="240" w:after="80"/>
        <w:pBdr>
          <w:bottom w:val="single" w:sz="6" w:space="1" w:color="64A70B"/>
        </w:pBdr>
      </w:pPr>
      <w:r>
        <w:rPr>
          <w:rFonts w:ascii="Arial" w:hAnsi="Arial"/>
          <w:b/>
          <w:color w:val="1D3A78"/>
          <w:sz w:val="23"/>
        </w:rPr>
        <w:t>14.4 Caso IV — Empresa Gasparzinho: Estimativa Fundamentada</w:t>
      </w:r>
    </w:p>
    <w:p>
      <w:pPr>
        <w:spacing w:before="160" w:after="40"/>
      </w:pPr>
      <w:r>
        <w:rPr>
          <w:rFonts w:ascii="Arial" w:hAnsi="Arial"/>
          <w:b/>
          <w:color w:val="1D3A78"/>
          <w:sz w:val="22"/>
        </w:rPr>
        <w:t>Cenário</w:t>
      </w:r>
    </w:p>
    <w:p>
      <w:pPr>
        <w:spacing w:before="0" w:after="80"/>
      </w:pPr>
      <w:r>
        <w:rPr>
          <w:rFonts w:ascii="Arial" w:hAnsi="Arial"/>
          <w:i w:val="0"/>
          <w:sz w:val="22"/>
        </w:rPr>
        <w:t>Empresa sem qualquer dado de faturamento histórico. Capital social (2017): R$ 50.000,00. CNAE: 6204-0/00 (Consultoria em TI). Sede: Não-Me-Toque/RS. Regime: Lucro Presumido.</w:t>
      </w:r>
    </w:p>
    <w:tbl>
      <w:tblPr>
        <w:tblStyle w:val="TableGrid"/>
        <w:tblW w:type="auto" w:w="0"/>
        <w:jc w:val="left"/>
        <w:tblLook w:firstColumn="1" w:firstRow="1" w:lastColumn="0" w:lastRow="0" w:noHBand="0" w:noVBand="1" w:val="04A0"/>
      </w:tblPr>
      <w:tblGrid>
        <w:gridCol w:w="4702"/>
        <w:gridCol w:w="4702"/>
      </w:tblGrid>
      <w:tr>
        <w:tc>
          <w:tcPr>
            <w:tcW w:type="dxa" w:w="6236"/>
            <w:shd w:val="clear" w:color="auto" w:fill="00205B"/>
          </w:tcPr>
          <w:p>
            <w:pPr>
              <w:jc w:val="center"/>
            </w:pPr>
            <w:r>
              <w:rPr>
                <w:rFonts w:ascii="Arial" w:hAnsi="Arial"/>
                <w:b/>
                <w:color w:val="FFFFFF"/>
                <w:sz w:val="20"/>
              </w:rPr>
              <w:t>Item</w:t>
            </w:r>
          </w:p>
        </w:tc>
        <w:tc>
          <w:tcPr>
            <w:tcW w:type="dxa" w:w="3402"/>
            <w:shd w:val="clear" w:color="auto" w:fill="00205B"/>
          </w:tcPr>
          <w:p>
            <w:pPr>
              <w:jc w:val="center"/>
            </w:pPr>
            <w:r>
              <w:rPr>
                <w:rFonts w:ascii="Arial" w:hAnsi="Arial"/>
                <w:b/>
                <w:color w:val="FFFFFF"/>
                <w:sz w:val="20"/>
              </w:rPr>
              <w:t>Valor</w:t>
            </w:r>
          </w:p>
        </w:tc>
      </w:tr>
      <w:tr>
        <w:tc>
          <w:tcPr>
            <w:tcW w:type="dxa" w:w="6236"/>
            <w:shd w:val="clear" w:color="auto" w:fill="F2F2F2"/>
          </w:tcPr>
          <w:p>
            <w:pPr>
              <w:jc w:val="left"/>
            </w:pPr>
            <w:r>
              <w:rPr>
                <w:rFonts w:ascii="Arial" w:hAnsi="Arial"/>
                <w:sz w:val="20"/>
              </w:rPr>
              <w:t>Capital Social 2017 (proxy de faturamento)</w:t>
            </w:r>
          </w:p>
        </w:tc>
        <w:tc>
          <w:tcPr>
            <w:tcW w:type="dxa" w:w="3402"/>
            <w:shd w:val="clear" w:color="auto" w:fill="F2F2F2"/>
          </w:tcPr>
          <w:p>
            <w:pPr>
              <w:jc w:val="center"/>
            </w:pPr>
            <w:r>
              <w:rPr>
                <w:rFonts w:ascii="Arial" w:hAnsi="Arial"/>
                <w:sz w:val="20"/>
              </w:rPr>
              <w:t>R$ 50.000,00</w:t>
            </w:r>
          </w:p>
        </w:tc>
      </w:tr>
      <w:tr>
        <w:tc>
          <w:tcPr>
            <w:tcW w:type="dxa" w:w="6236"/>
            <w:shd w:val="clear" w:color="auto" w:fill="FFFFFF"/>
          </w:tcPr>
          <w:p>
            <w:pPr>
              <w:jc w:val="left"/>
            </w:pPr>
            <w:r>
              <w:rPr>
                <w:rFonts w:ascii="Arial" w:hAnsi="Arial"/>
                <w:sz w:val="20"/>
              </w:rPr>
              <w:t>(−) Tributos estimados: PIS 0,65% + COFINS 3% + ISS 3% = 6,65%</w:t>
            </w:r>
          </w:p>
        </w:tc>
        <w:tc>
          <w:tcPr>
            <w:tcW w:type="dxa" w:w="3402"/>
            <w:shd w:val="clear" w:color="auto" w:fill="FFFFFF"/>
          </w:tcPr>
          <w:p>
            <w:pPr>
              <w:jc w:val="center"/>
            </w:pPr>
            <w:r>
              <w:rPr>
                <w:rFonts w:ascii="Arial" w:hAnsi="Arial"/>
                <w:sz w:val="20"/>
              </w:rPr>
              <w:t>(R$ 3.325,00)</w:t>
            </w:r>
          </w:p>
        </w:tc>
      </w:tr>
      <w:tr>
        <w:tc>
          <w:tcPr>
            <w:tcW w:type="dxa" w:w="6236"/>
            <w:shd w:val="clear" w:color="auto" w:fill="F2F2F2"/>
          </w:tcPr>
          <w:p>
            <w:pPr>
              <w:jc w:val="left"/>
            </w:pPr>
            <w:r>
              <w:rPr>
                <w:rFonts w:ascii="Arial" w:hAnsi="Arial"/>
                <w:sz w:val="20"/>
              </w:rPr>
              <w:t>Base de Cálculo Histórica (2017)</w:t>
            </w:r>
          </w:p>
        </w:tc>
        <w:tc>
          <w:tcPr>
            <w:tcW w:type="dxa" w:w="3402"/>
            <w:shd w:val="clear" w:color="auto" w:fill="F2F2F2"/>
          </w:tcPr>
          <w:p>
            <w:pPr>
              <w:jc w:val="center"/>
            </w:pPr>
            <w:r>
              <w:rPr>
                <w:rFonts w:ascii="Arial" w:hAnsi="Arial"/>
                <w:sz w:val="20"/>
              </w:rPr>
              <w:t>R$ 46.675,00</w:t>
            </w:r>
          </w:p>
        </w:tc>
      </w:tr>
      <w:tr>
        <w:tc>
          <w:tcPr>
            <w:tcW w:type="dxa" w:w="6236"/>
            <w:shd w:val="clear" w:color="auto" w:fill="FFFFFF"/>
          </w:tcPr>
          <w:p>
            <w:pPr>
              <w:jc w:val="left"/>
            </w:pPr>
            <w:r>
              <w:rPr>
                <w:rFonts w:ascii="Arial" w:hAnsi="Arial"/>
                <w:sz w:val="20"/>
              </w:rPr>
              <w:t>Atualização IPCA até dez/2024</w:t>
            </w:r>
          </w:p>
        </w:tc>
        <w:tc>
          <w:tcPr>
            <w:tcW w:type="dxa" w:w="3402"/>
            <w:shd w:val="clear" w:color="auto" w:fill="FFFFFF"/>
          </w:tcPr>
          <w:p>
            <w:pPr>
              <w:jc w:val="center"/>
            </w:pPr>
            <w:r>
              <w:rPr>
                <w:rFonts w:ascii="Arial" w:hAnsi="Arial"/>
                <w:sz w:val="20"/>
              </w:rPr>
              <w:t>≈ R$ 67.417,43</w:t>
            </w:r>
          </w:p>
        </w:tc>
      </w:tr>
    </w:tbl>
    <w:p/>
    <w:p>
      <w:pPr>
        <w:spacing w:before="80" w:after="80"/>
        <w:ind w:left="850" w:right="567"/>
      </w:pPr>
      <w:r>
        <w:rPr>
          <w:rFonts w:ascii="Arial" w:hAnsi="Arial"/>
          <w:i/>
          <w:color w:val="333366"/>
          <w:sz w:val="20"/>
        </w:rPr>
        <w:t>BASE DE CÁLCULO OFICIAL  =  R$ 67.417,43</w:t>
      </w:r>
    </w:p>
    <w:p>
      <w:pPr>
        <w:spacing w:before="0" w:after="80"/>
      </w:pPr>
      <w:r>
        <w:rPr>
          <w:rFonts w:ascii="Arial" w:hAnsi="Arial"/>
          <w:i w:val="0"/>
          <w:sz w:val="22"/>
        </w:rPr>
        <w:t>A partir desse valor, a dosimetria (agravantes, atenuantes, limites legais) segue o fluxo padrão.</w:t>
      </w:r>
    </w:p>
    <w:tbl>
      <w:tblPr>
        <w:tblStyle w:val="TableGrid"/>
        <w:tblW w:type="auto" w:w="0"/>
        <w:tblLook w:firstColumn="1" w:firstRow="1" w:lastColumn="0" w:lastRow="0" w:noHBand="0" w:noVBand="1" w:val="04A0"/>
      </w:tblPr>
      <w:tblGrid>
        <w:gridCol w:w="9405"/>
      </w:tblGrid>
      <w:tr>
        <w:tc>
          <w:tcPr>
            <w:tcW w:type="dxa" w:w="9405"/>
            <w:shd w:val="clear" w:color="auto" w:fill="F2F2F2"/>
            <w:tcBorders>
              <w:bottom w:val="single" w:sz="6" w:space="0" w:color="64A70B"/>
            </w:tcBorders>
          </w:tcPr>
          <w:p>
            <w:r>
              <w:rPr>
                <w:rFonts w:ascii="Arial" w:hAnsi="Arial"/>
                <w:color w:val="444400"/>
                <w:sz w:val="20"/>
              </w:rPr>
              <w:t>⚠  Estimativa técnica não é arbitrária. Cada premissa (CNAE, carga tributária, capital social) deve ser formalmente documentada no processo.</w:t>
            </w:r>
          </w:p>
        </w:tc>
      </w:tr>
    </w:tbl>
    <w:p/>
    <w:p/>
    <w:p>
      <w:pPr>
        <w:jc w:val="center"/>
      </w:pPr>
      <w:r>
        <w:rPr>
          <w:rFonts w:ascii="Arial" w:hAnsi="Arial"/>
          <w:i/>
          <w:color w:val="888888"/>
          <w:sz w:val="18"/>
        </w:rPr>
        <w:t>Manual elaborado com base na Calculadora de Multa PAR — Corregedoria da Receita Federal do Brasil</w:t>
        <w:br/>
        <w:t>Fundamentos: Lei nº 12.846/2013 | Decreto nº 11.129/2022 | IN CGU nº 1/2015 | Guia CGU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