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7352" w14:textId="77777777" w:rsidR="00AA0108" w:rsidRDefault="00AA0108">
      <w:pPr>
        <w:spacing w:before="40"/>
        <w:rPr>
          <w:rFonts w:ascii="Barlow Condensed" w:eastAsia="Barlow Condensed" w:hAnsi="Barlow Condensed" w:cs="Barlow Condensed"/>
          <w:b/>
          <w:bCs/>
          <w:color w:val="051A3D"/>
          <w:sz w:val="30"/>
          <w:szCs w:val="30"/>
        </w:rPr>
      </w:pPr>
    </w:p>
    <w:p w14:paraId="5D9AD86B" w14:textId="77777777" w:rsidR="00D14CB1" w:rsidRDefault="00D14CB1">
      <w:pPr>
        <w:spacing w:before="40"/>
        <w:rPr>
          <w:rFonts w:ascii="Barlow Condensed" w:eastAsia="Barlow Condensed" w:hAnsi="Barlow Condensed" w:cs="Barlow Condensed"/>
          <w:b/>
          <w:bCs/>
          <w:color w:val="051A3D"/>
          <w:sz w:val="30"/>
          <w:szCs w:val="30"/>
        </w:rPr>
      </w:pPr>
    </w:p>
    <w:p w14:paraId="186D7397" w14:textId="77777777" w:rsidR="00D14CB1" w:rsidRDefault="00D14CB1">
      <w:pPr>
        <w:spacing w:before="40"/>
        <w:rPr>
          <w:rFonts w:ascii="Barlow Condensed" w:eastAsia="Barlow Condensed" w:hAnsi="Barlow Condensed" w:cs="Barlow Condensed"/>
          <w:b/>
          <w:bCs/>
          <w:color w:val="051A3D"/>
          <w:sz w:val="30"/>
          <w:szCs w:val="30"/>
        </w:rPr>
      </w:pPr>
    </w:p>
    <w:p w14:paraId="39F81EDB" w14:textId="77777777" w:rsidR="00D14CB1" w:rsidRDefault="00D14CB1">
      <w:pPr>
        <w:spacing w:before="40"/>
        <w:rPr>
          <w:rFonts w:ascii="Barlow Condensed" w:eastAsia="Barlow Condensed" w:hAnsi="Barlow Condensed" w:cs="Barlow Condensed"/>
          <w:b/>
          <w:bCs/>
          <w:color w:val="051A3D"/>
          <w:sz w:val="30"/>
          <w:szCs w:val="30"/>
        </w:rPr>
      </w:pPr>
    </w:p>
    <w:tbl>
      <w:tblPr>
        <w:tblStyle w:val="Tabelacomgrade"/>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316"/>
      </w:tblGrid>
      <w:tr w:rsidR="00AA0108" w14:paraId="6B71E5CA" w14:textId="77777777" w:rsidTr="00B769AA">
        <w:tc>
          <w:tcPr>
            <w:tcW w:w="3823" w:type="dxa"/>
          </w:tcPr>
          <w:p w14:paraId="7EC47778" w14:textId="77777777" w:rsidR="00AA0108" w:rsidRDefault="00AA0108" w:rsidP="0050777D">
            <w:pPr>
              <w:spacing w:before="40"/>
              <w:jc w:val="both"/>
              <w:rPr>
                <w:rFonts w:ascii="Barlow Condensed" w:eastAsia="Barlow Condensed" w:hAnsi="Barlow Condensed" w:cs="Barlow Condensed"/>
                <w:b/>
                <w:bCs/>
                <w:color w:val="051A3D"/>
                <w:sz w:val="30"/>
                <w:szCs w:val="30"/>
              </w:rPr>
            </w:pPr>
            <w:r>
              <w:rPr>
                <w:rFonts w:ascii="Barlow Condensed" w:eastAsia="Barlow Condensed" w:hAnsi="Barlow Condensed" w:cs="Barlow Condensed"/>
                <w:b/>
                <w:bCs/>
                <w:noProof/>
                <w:color w:val="051A3D"/>
                <w:sz w:val="30"/>
                <w:szCs w:val="30"/>
              </w:rPr>
              <w:drawing>
                <wp:inline distT="0" distB="0" distL="0" distR="0" wp14:anchorId="4BD1F7FB" wp14:editId="3EC19B17">
                  <wp:extent cx="2880000" cy="1080000"/>
                  <wp:effectExtent l="0" t="0" r="0" b="6350"/>
                  <wp:docPr id="1842738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1080000"/>
                          </a:xfrm>
                          <a:prstGeom prst="rect">
                            <a:avLst/>
                          </a:prstGeom>
                          <a:noFill/>
                        </pic:spPr>
                      </pic:pic>
                    </a:graphicData>
                  </a:graphic>
                </wp:inline>
              </w:drawing>
            </w:r>
          </w:p>
        </w:tc>
        <w:tc>
          <w:tcPr>
            <w:tcW w:w="5244" w:type="dxa"/>
          </w:tcPr>
          <w:p w14:paraId="52283479" w14:textId="77777777" w:rsidR="00AA0108" w:rsidRDefault="00AA0108" w:rsidP="00B769AA">
            <w:pPr>
              <w:spacing w:before="40"/>
              <w:jc w:val="center"/>
              <w:rPr>
                <w:rFonts w:ascii="Barlow Condensed" w:eastAsia="Barlow Condensed" w:hAnsi="Barlow Condensed" w:cs="Barlow Condensed"/>
                <w:b/>
                <w:bCs/>
                <w:color w:val="051A3D"/>
                <w:sz w:val="30"/>
                <w:szCs w:val="30"/>
              </w:rPr>
            </w:pPr>
            <w:r>
              <w:rPr>
                <w:noProof/>
              </w:rPr>
              <w:drawing>
                <wp:inline distT="0" distB="0" distL="0" distR="0" wp14:anchorId="6B765C59" wp14:editId="2E599BFA">
                  <wp:extent cx="1872000" cy="1067769"/>
                  <wp:effectExtent l="0" t="0" r="0" b="0"/>
                  <wp:docPr id="642153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53769" name="Imagem 6421537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2000" cy="1067769"/>
                          </a:xfrm>
                          <a:prstGeom prst="rect">
                            <a:avLst/>
                          </a:prstGeom>
                        </pic:spPr>
                      </pic:pic>
                    </a:graphicData>
                  </a:graphic>
                </wp:inline>
              </w:drawing>
            </w:r>
          </w:p>
        </w:tc>
      </w:tr>
    </w:tbl>
    <w:p w14:paraId="0B895C70" w14:textId="77777777" w:rsidR="00AA0108" w:rsidRDefault="00AA0108">
      <w:pPr>
        <w:spacing w:before="40"/>
        <w:rPr>
          <w:rFonts w:ascii="Barlow Condensed" w:eastAsia="Barlow Condensed" w:hAnsi="Barlow Condensed" w:cs="Barlow Condensed"/>
          <w:b/>
          <w:bCs/>
          <w:color w:val="051A3D"/>
          <w:sz w:val="30"/>
          <w:szCs w:val="30"/>
        </w:rPr>
      </w:pPr>
    </w:p>
    <w:p w14:paraId="2FABF773" w14:textId="77777777" w:rsidR="00B769AA" w:rsidRDefault="00B769AA">
      <w:pPr>
        <w:spacing w:before="40"/>
        <w:rPr>
          <w:rFonts w:ascii="Barlow Condensed" w:eastAsia="Barlow Condensed" w:hAnsi="Barlow Condensed" w:cs="Barlow Condensed"/>
          <w:b/>
          <w:bCs/>
          <w:color w:val="051A3D"/>
          <w:sz w:val="30"/>
          <w:szCs w:val="30"/>
        </w:rPr>
      </w:pPr>
    </w:p>
    <w:p w14:paraId="7340CA8B" w14:textId="77777777" w:rsidR="00B769AA" w:rsidRDefault="00B769AA">
      <w:pPr>
        <w:spacing w:before="40"/>
        <w:rPr>
          <w:rFonts w:ascii="Barlow Condensed" w:eastAsia="Barlow Condensed" w:hAnsi="Barlow Condensed" w:cs="Barlow Condensed"/>
          <w:b/>
          <w:bCs/>
          <w:color w:val="051A3D"/>
          <w:sz w:val="30"/>
          <w:szCs w:val="30"/>
        </w:rPr>
      </w:pPr>
    </w:p>
    <w:p w14:paraId="17A7398C" w14:textId="77777777" w:rsidR="00287D58" w:rsidRDefault="007E5FE9">
      <w:pPr>
        <w:spacing w:before="420" w:after="120"/>
      </w:pPr>
      <w:r>
        <w:rPr>
          <w:rFonts w:ascii="Barlow Condensed" w:eastAsia="Barlow Condensed" w:hAnsi="Barlow Condensed" w:cs="Barlow Condensed"/>
          <w:b/>
          <w:bCs/>
          <w:color w:val="5B6781"/>
          <w:spacing w:val="20"/>
          <w:sz w:val="24"/>
          <w:szCs w:val="24"/>
        </w:rPr>
        <w:t>MANUAL TEÓRICO-PRÁTICO</w:t>
      </w:r>
    </w:p>
    <w:p w14:paraId="05577DDD" w14:textId="77777777" w:rsidR="00287D58" w:rsidRDefault="003B78AF">
      <w:pPr>
        <w:spacing w:before="120" w:after="60" w:line="520" w:lineRule="exact"/>
      </w:pPr>
      <w:r>
        <w:rPr>
          <w:rFonts w:ascii="Barlow Condensed" w:eastAsia="Barlow Condensed" w:hAnsi="Barlow Condensed" w:cs="Barlow Condensed"/>
          <w:b/>
          <w:bCs/>
          <w:color w:val="0B2C5F"/>
          <w:sz w:val="48"/>
          <w:szCs w:val="48"/>
        </w:rPr>
        <w:t xml:space="preserve">Condutas Funcionais - </w:t>
      </w:r>
      <w:proofErr w:type="spellStart"/>
      <w:r>
        <w:rPr>
          <w:rFonts w:ascii="Barlow Condensed" w:eastAsia="Barlow Condensed" w:hAnsi="Barlow Condensed" w:cs="Barlow Condensed"/>
          <w:b/>
          <w:bCs/>
          <w:color w:val="0B2C5F"/>
          <w:sz w:val="48"/>
          <w:szCs w:val="48"/>
        </w:rPr>
        <w:t>Integritas</w:t>
      </w:r>
      <w:proofErr w:type="spellEnd"/>
    </w:p>
    <w:p w14:paraId="08843E23" w14:textId="77777777" w:rsidR="00287D58" w:rsidRDefault="003B78AF">
      <w:pPr>
        <w:spacing w:before="120" w:after="220"/>
      </w:pPr>
      <w:r>
        <w:rPr>
          <w:i/>
          <w:iCs/>
          <w:sz w:val="24"/>
          <w:szCs w:val="24"/>
        </w:rPr>
        <w:t>Ferramenta de Análise e Tipificação Disciplinar</w:t>
      </w:r>
    </w:p>
    <w:p w14:paraId="545076B1" w14:textId="77777777" w:rsidR="00287D58" w:rsidRDefault="003B78AF">
      <w:pPr>
        <w:pBdr>
          <w:top w:val="single" w:sz="12" w:space="8" w:color="C9A35C"/>
          <w:bottom w:val="single" w:sz="12" w:space="8" w:color="C9A35C"/>
        </w:pBdr>
        <w:spacing w:before="80" w:after="80"/>
      </w:pPr>
      <w:r>
        <w:rPr>
          <w:b/>
          <w:bCs/>
          <w:color w:val="051A3D"/>
          <w:sz w:val="20"/>
          <w:szCs w:val="20"/>
        </w:rPr>
        <w:t>Condutas de assédio, violência e discriminação no serviço público federal</w:t>
      </w:r>
      <w:r>
        <w:rPr>
          <w:color w:val="5B6781"/>
          <w:sz w:val="18"/>
          <w:szCs w:val="18"/>
        </w:rPr>
        <w:t xml:space="preserve"> · Lei nº 8.112/90 · Lei nº 13.608/2018 · Lei nº 14.132/2021 · Parecer nº 00015/2023/CONSUNIAO/CGU/AGU (JM-03) · NT nº 3285/2023 · NT nº 93/2024 · NT nº 544/2024 · NT nº 2709/2025 </w:t>
      </w:r>
    </w:p>
    <w:p w14:paraId="2DE64410" w14:textId="77777777" w:rsidR="00E23816" w:rsidRDefault="00E23816" w:rsidP="007E5FE9">
      <w:pPr>
        <w:spacing w:before="320"/>
        <w:jc w:val="center"/>
        <w:rPr>
          <w:b/>
          <w:bCs/>
          <w:color w:val="5B6781"/>
          <w:sz w:val="20"/>
          <w:szCs w:val="20"/>
        </w:rPr>
      </w:pPr>
    </w:p>
    <w:p w14:paraId="75CDD288" w14:textId="77777777" w:rsidR="00B769AA" w:rsidRDefault="00B769AA" w:rsidP="007E5FE9">
      <w:pPr>
        <w:spacing w:before="320"/>
        <w:jc w:val="center"/>
        <w:rPr>
          <w:b/>
          <w:bCs/>
          <w:color w:val="5B6781"/>
          <w:sz w:val="20"/>
          <w:szCs w:val="20"/>
        </w:rPr>
      </w:pPr>
    </w:p>
    <w:p w14:paraId="74129880" w14:textId="77777777" w:rsidR="007E5FE9" w:rsidRDefault="007E5FE9" w:rsidP="007E5FE9">
      <w:pPr>
        <w:spacing w:before="320"/>
        <w:jc w:val="center"/>
        <w:rPr>
          <w:b/>
          <w:bCs/>
          <w:color w:val="5B6781"/>
          <w:sz w:val="20"/>
          <w:szCs w:val="20"/>
        </w:rPr>
      </w:pPr>
    </w:p>
    <w:p w14:paraId="08715253" w14:textId="77777777" w:rsidR="007E5FE9" w:rsidRDefault="007E5FE9" w:rsidP="007E5FE9">
      <w:pPr>
        <w:spacing w:before="320"/>
        <w:jc w:val="center"/>
        <w:rPr>
          <w:b/>
          <w:bCs/>
          <w:color w:val="5B6781"/>
          <w:sz w:val="20"/>
          <w:szCs w:val="20"/>
        </w:rPr>
      </w:pPr>
    </w:p>
    <w:p w14:paraId="1C2E1002" w14:textId="77777777" w:rsidR="007E5FE9" w:rsidRDefault="007E5FE9" w:rsidP="007E5FE9">
      <w:pPr>
        <w:spacing w:before="320"/>
        <w:jc w:val="center"/>
        <w:rPr>
          <w:b/>
          <w:bCs/>
          <w:color w:val="5B6781"/>
          <w:sz w:val="20"/>
          <w:szCs w:val="20"/>
        </w:rPr>
      </w:pPr>
    </w:p>
    <w:p w14:paraId="4A9FE022" w14:textId="77777777" w:rsidR="00C52BF6" w:rsidRDefault="00C52BF6" w:rsidP="007E5FE9">
      <w:pPr>
        <w:spacing w:before="320"/>
        <w:jc w:val="center"/>
        <w:rPr>
          <w:b/>
          <w:bCs/>
          <w:color w:val="5B6781"/>
          <w:sz w:val="20"/>
          <w:szCs w:val="20"/>
        </w:rPr>
      </w:pPr>
    </w:p>
    <w:p w14:paraId="2E28CF3B" w14:textId="13C1A74E" w:rsidR="00287D58" w:rsidRDefault="003B78AF" w:rsidP="007E5FE9">
      <w:pPr>
        <w:spacing w:before="320"/>
        <w:jc w:val="center"/>
      </w:pPr>
      <w:r>
        <w:rPr>
          <w:b/>
          <w:bCs/>
          <w:color w:val="5B6781"/>
          <w:sz w:val="20"/>
          <w:szCs w:val="20"/>
        </w:rPr>
        <w:t xml:space="preserve">Versão 1.0, </w:t>
      </w:r>
      <w:r w:rsidR="00C52BF6">
        <w:rPr>
          <w:b/>
          <w:bCs/>
          <w:color w:val="5B6781"/>
          <w:sz w:val="20"/>
          <w:szCs w:val="20"/>
        </w:rPr>
        <w:t>agost</w:t>
      </w:r>
      <w:r>
        <w:rPr>
          <w:b/>
          <w:bCs/>
          <w:color w:val="5B6781"/>
          <w:sz w:val="20"/>
          <w:szCs w:val="20"/>
        </w:rPr>
        <w:t>o de 2026</w:t>
      </w:r>
    </w:p>
    <w:p w14:paraId="6EA2CE3E" w14:textId="77777777" w:rsidR="00287D58" w:rsidRDefault="00A45AEB" w:rsidP="007E5FE9">
      <w:pPr>
        <w:spacing w:before="20"/>
        <w:jc w:val="center"/>
      </w:pPr>
      <w:proofErr w:type="spellStart"/>
      <w:r>
        <w:rPr>
          <w:color w:val="5B6781"/>
          <w:sz w:val="18"/>
          <w:szCs w:val="18"/>
        </w:rPr>
        <w:t>Coger</w:t>
      </w:r>
      <w:proofErr w:type="spellEnd"/>
      <w:r>
        <w:rPr>
          <w:color w:val="5B6781"/>
          <w:sz w:val="18"/>
          <w:szCs w:val="18"/>
        </w:rPr>
        <w:t>/RFB, Uso interno restrito</w:t>
      </w:r>
    </w:p>
    <w:p w14:paraId="76CF091F" w14:textId="77777777" w:rsidR="00287D58" w:rsidRDefault="003B78AF">
      <w:r>
        <w:br w:type="page"/>
      </w:r>
    </w:p>
    <w:p w14:paraId="7F9DD9FA" w14:textId="77777777" w:rsidR="00287D58" w:rsidRDefault="003B78AF" w:rsidP="002A330C">
      <w:pPr>
        <w:tabs>
          <w:tab w:val="left" w:pos="6877"/>
        </w:tabs>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CONTEÚDO</w:t>
      </w:r>
      <w:r>
        <w:rPr>
          <w:rFonts w:ascii="Barlow Condensed" w:eastAsia="Barlow Condensed" w:hAnsi="Barlow Condensed" w:cs="Barlow Condensed"/>
          <w:b/>
          <w:bCs/>
          <w:color w:val="8C6E2C"/>
          <w:spacing w:val="24"/>
          <w:sz w:val="17"/>
          <w:szCs w:val="17"/>
        </w:rPr>
        <w:tab/>
      </w:r>
    </w:p>
    <w:p w14:paraId="65C0456D" w14:textId="77777777" w:rsidR="00287D58" w:rsidRDefault="003B78AF">
      <w:pPr>
        <w:pStyle w:val="Ttulo1"/>
        <w:keepNext/>
        <w:pBdr>
          <w:bottom w:val="single" w:sz="12" w:space="6" w:color="C9A35C"/>
        </w:pBdr>
        <w:spacing w:line="400" w:lineRule="exact"/>
      </w:pPr>
      <w:bookmarkStart w:id="0" w:name="_Toc238021995"/>
      <w:r>
        <w:t>SUMÁRIO</w:t>
      </w:r>
      <w:bookmarkEnd w:id="0"/>
    </w:p>
    <w:sdt>
      <w:sdtPr>
        <w:alias w:val="Sumário"/>
        <w:id w:val="-1288108965"/>
      </w:sdtPr>
      <w:sdtEndPr/>
      <w:sdtContent>
        <w:p w14:paraId="118990E8" w14:textId="08D48D0F" w:rsidR="00436C77" w:rsidRDefault="003B78AF">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021995" w:history="1">
            <w:r w:rsidR="00436C77" w:rsidRPr="0002739D">
              <w:rPr>
                <w:rStyle w:val="Hyperlink"/>
                <w:noProof/>
              </w:rPr>
              <w:t>SUMÁRIO</w:t>
            </w:r>
            <w:r w:rsidR="00436C77">
              <w:rPr>
                <w:noProof/>
              </w:rPr>
              <w:tab/>
            </w:r>
            <w:r w:rsidR="00436C77">
              <w:rPr>
                <w:noProof/>
              </w:rPr>
              <w:fldChar w:fldCharType="begin"/>
            </w:r>
            <w:r w:rsidR="00436C77">
              <w:rPr>
                <w:noProof/>
              </w:rPr>
              <w:instrText xml:space="preserve"> PAGEREF _Toc238021995 \h </w:instrText>
            </w:r>
            <w:r w:rsidR="00436C77">
              <w:rPr>
                <w:noProof/>
              </w:rPr>
            </w:r>
            <w:r w:rsidR="00436C77">
              <w:rPr>
                <w:noProof/>
              </w:rPr>
              <w:fldChar w:fldCharType="separate"/>
            </w:r>
            <w:r w:rsidR="00436C77">
              <w:rPr>
                <w:noProof/>
              </w:rPr>
              <w:t>2</w:t>
            </w:r>
            <w:r w:rsidR="00436C77">
              <w:rPr>
                <w:noProof/>
              </w:rPr>
              <w:fldChar w:fldCharType="end"/>
            </w:r>
          </w:hyperlink>
        </w:p>
        <w:p w14:paraId="6588CA14" w14:textId="3363CD58"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1996" w:history="1">
            <w:r w:rsidRPr="0002739D">
              <w:rPr>
                <w:rStyle w:val="Hyperlink"/>
                <w:noProof/>
              </w:rPr>
              <w:t>APRESENTAÇÃO</w:t>
            </w:r>
            <w:r>
              <w:rPr>
                <w:noProof/>
              </w:rPr>
              <w:tab/>
            </w:r>
            <w:r>
              <w:rPr>
                <w:noProof/>
              </w:rPr>
              <w:fldChar w:fldCharType="begin"/>
            </w:r>
            <w:r>
              <w:rPr>
                <w:noProof/>
              </w:rPr>
              <w:instrText xml:space="preserve"> PAGEREF _Toc238021996 \h </w:instrText>
            </w:r>
            <w:r>
              <w:rPr>
                <w:noProof/>
              </w:rPr>
            </w:r>
            <w:r>
              <w:rPr>
                <w:noProof/>
              </w:rPr>
              <w:fldChar w:fldCharType="separate"/>
            </w:r>
            <w:r>
              <w:rPr>
                <w:noProof/>
              </w:rPr>
              <w:t>9</w:t>
            </w:r>
            <w:r>
              <w:rPr>
                <w:noProof/>
              </w:rPr>
              <w:fldChar w:fldCharType="end"/>
            </w:r>
          </w:hyperlink>
        </w:p>
        <w:p w14:paraId="4BBD4B24" w14:textId="4836B8B4"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1997" w:history="1">
            <w:r w:rsidRPr="0002739D">
              <w:rPr>
                <w:rStyle w:val="Hyperlink"/>
                <w:noProof/>
              </w:rPr>
              <w:t>1. O REGIME DISCIPLINAR DO SERVIDOR PÚBLICO FEDERAL: FUNDAMENTOS, ESTRUTURA E LIMITES DO PODER PUNITIVO DA ADMINISTRAÇÃO</w:t>
            </w:r>
            <w:r>
              <w:rPr>
                <w:noProof/>
              </w:rPr>
              <w:tab/>
            </w:r>
            <w:r>
              <w:rPr>
                <w:noProof/>
              </w:rPr>
              <w:fldChar w:fldCharType="begin"/>
            </w:r>
            <w:r>
              <w:rPr>
                <w:noProof/>
              </w:rPr>
              <w:instrText xml:space="preserve"> PAGEREF _Toc238021997 \h </w:instrText>
            </w:r>
            <w:r>
              <w:rPr>
                <w:noProof/>
              </w:rPr>
            </w:r>
            <w:r>
              <w:rPr>
                <w:noProof/>
              </w:rPr>
              <w:fldChar w:fldCharType="separate"/>
            </w:r>
            <w:r>
              <w:rPr>
                <w:noProof/>
              </w:rPr>
              <w:t>15</w:t>
            </w:r>
            <w:r>
              <w:rPr>
                <w:noProof/>
              </w:rPr>
              <w:fldChar w:fldCharType="end"/>
            </w:r>
          </w:hyperlink>
        </w:p>
        <w:p w14:paraId="37F870CE" w14:textId="431B033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1998" w:history="1">
            <w:r w:rsidRPr="0002739D">
              <w:rPr>
                <w:rStyle w:val="Hyperlink"/>
                <w:noProof/>
              </w:rPr>
              <w:t>1.1 O ponto de partida: por que o direito disciplinar existe</w:t>
            </w:r>
            <w:r>
              <w:rPr>
                <w:noProof/>
              </w:rPr>
              <w:tab/>
            </w:r>
            <w:r>
              <w:rPr>
                <w:noProof/>
              </w:rPr>
              <w:fldChar w:fldCharType="begin"/>
            </w:r>
            <w:r>
              <w:rPr>
                <w:noProof/>
              </w:rPr>
              <w:instrText xml:space="preserve"> PAGEREF _Toc238021998 \h </w:instrText>
            </w:r>
            <w:r>
              <w:rPr>
                <w:noProof/>
              </w:rPr>
            </w:r>
            <w:r>
              <w:rPr>
                <w:noProof/>
              </w:rPr>
              <w:fldChar w:fldCharType="separate"/>
            </w:r>
            <w:r>
              <w:rPr>
                <w:noProof/>
              </w:rPr>
              <w:t>15</w:t>
            </w:r>
            <w:r>
              <w:rPr>
                <w:noProof/>
              </w:rPr>
              <w:fldChar w:fldCharType="end"/>
            </w:r>
          </w:hyperlink>
        </w:p>
        <w:p w14:paraId="510C68AD" w14:textId="4EA39375"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1999" w:history="1">
            <w:r w:rsidRPr="0002739D">
              <w:rPr>
                <w:rStyle w:val="Hyperlink"/>
                <w:noProof/>
              </w:rPr>
              <w:t>1.2 A Lei nº 8.112, de 1990 e o Regime Jurídico Único</w:t>
            </w:r>
            <w:r>
              <w:rPr>
                <w:noProof/>
              </w:rPr>
              <w:tab/>
            </w:r>
            <w:r>
              <w:rPr>
                <w:noProof/>
              </w:rPr>
              <w:fldChar w:fldCharType="begin"/>
            </w:r>
            <w:r>
              <w:rPr>
                <w:noProof/>
              </w:rPr>
              <w:instrText xml:space="preserve"> PAGEREF _Toc238021999 \h </w:instrText>
            </w:r>
            <w:r>
              <w:rPr>
                <w:noProof/>
              </w:rPr>
            </w:r>
            <w:r>
              <w:rPr>
                <w:noProof/>
              </w:rPr>
              <w:fldChar w:fldCharType="separate"/>
            </w:r>
            <w:r>
              <w:rPr>
                <w:noProof/>
              </w:rPr>
              <w:t>15</w:t>
            </w:r>
            <w:r>
              <w:rPr>
                <w:noProof/>
              </w:rPr>
              <w:fldChar w:fldCharType="end"/>
            </w:r>
          </w:hyperlink>
        </w:p>
        <w:p w14:paraId="64188685" w14:textId="277F7CD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00" w:history="1">
            <w:r w:rsidRPr="0002739D">
              <w:rPr>
                <w:rStyle w:val="Hyperlink"/>
                <w:noProof/>
              </w:rPr>
              <w:t>1.3 O poder disciplinar como poder-dever e a condescendência punível</w:t>
            </w:r>
            <w:r>
              <w:rPr>
                <w:noProof/>
              </w:rPr>
              <w:tab/>
            </w:r>
            <w:r>
              <w:rPr>
                <w:noProof/>
              </w:rPr>
              <w:fldChar w:fldCharType="begin"/>
            </w:r>
            <w:r>
              <w:rPr>
                <w:noProof/>
              </w:rPr>
              <w:instrText xml:space="preserve"> PAGEREF _Toc238022000 \h </w:instrText>
            </w:r>
            <w:r>
              <w:rPr>
                <w:noProof/>
              </w:rPr>
            </w:r>
            <w:r>
              <w:rPr>
                <w:noProof/>
              </w:rPr>
              <w:fldChar w:fldCharType="separate"/>
            </w:r>
            <w:r>
              <w:rPr>
                <w:noProof/>
              </w:rPr>
              <w:t>16</w:t>
            </w:r>
            <w:r>
              <w:rPr>
                <w:noProof/>
              </w:rPr>
              <w:fldChar w:fldCharType="end"/>
            </w:r>
          </w:hyperlink>
        </w:p>
        <w:p w14:paraId="1BED75B5" w14:textId="277F7979"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01" w:history="1">
            <w:r w:rsidRPr="0002739D">
              <w:rPr>
                <w:rStyle w:val="Hyperlink"/>
                <w:noProof/>
              </w:rPr>
              <w:t>1.4 A técnica legislativa dos tipos abertos e o enquadramento disciplinar</w:t>
            </w:r>
            <w:r>
              <w:rPr>
                <w:noProof/>
              </w:rPr>
              <w:tab/>
            </w:r>
            <w:r>
              <w:rPr>
                <w:noProof/>
              </w:rPr>
              <w:fldChar w:fldCharType="begin"/>
            </w:r>
            <w:r>
              <w:rPr>
                <w:noProof/>
              </w:rPr>
              <w:instrText xml:space="preserve"> PAGEREF _Toc238022001 \h </w:instrText>
            </w:r>
            <w:r>
              <w:rPr>
                <w:noProof/>
              </w:rPr>
            </w:r>
            <w:r>
              <w:rPr>
                <w:noProof/>
              </w:rPr>
              <w:fldChar w:fldCharType="separate"/>
            </w:r>
            <w:r>
              <w:rPr>
                <w:noProof/>
              </w:rPr>
              <w:t>16</w:t>
            </w:r>
            <w:r>
              <w:rPr>
                <w:noProof/>
              </w:rPr>
              <w:fldChar w:fldCharType="end"/>
            </w:r>
          </w:hyperlink>
        </w:p>
        <w:p w14:paraId="7FC96EFA" w14:textId="71E378C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02" w:history="1">
            <w:r w:rsidRPr="0002739D">
              <w:rPr>
                <w:rStyle w:val="Hyperlink"/>
                <w:noProof/>
              </w:rPr>
              <w:t>1.5 A estrutura das penalidades e a dosimetria obrigatória</w:t>
            </w:r>
            <w:r>
              <w:rPr>
                <w:noProof/>
              </w:rPr>
              <w:tab/>
            </w:r>
            <w:r>
              <w:rPr>
                <w:noProof/>
              </w:rPr>
              <w:fldChar w:fldCharType="begin"/>
            </w:r>
            <w:r>
              <w:rPr>
                <w:noProof/>
              </w:rPr>
              <w:instrText xml:space="preserve"> PAGEREF _Toc238022002 \h </w:instrText>
            </w:r>
            <w:r>
              <w:rPr>
                <w:noProof/>
              </w:rPr>
            </w:r>
            <w:r>
              <w:rPr>
                <w:noProof/>
              </w:rPr>
              <w:fldChar w:fldCharType="separate"/>
            </w:r>
            <w:r>
              <w:rPr>
                <w:noProof/>
              </w:rPr>
              <w:t>17</w:t>
            </w:r>
            <w:r>
              <w:rPr>
                <w:noProof/>
              </w:rPr>
              <w:fldChar w:fldCharType="end"/>
            </w:r>
          </w:hyperlink>
        </w:p>
        <w:p w14:paraId="6DB35EEF" w14:textId="2522B5AC"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03" w:history="1">
            <w:r w:rsidRPr="0002739D">
              <w:rPr>
                <w:rStyle w:val="Hyperlink"/>
                <w:noProof/>
              </w:rPr>
              <w:t>1.6 Os dispositivos centrais da ferramenta Integritas</w:t>
            </w:r>
            <w:r>
              <w:rPr>
                <w:noProof/>
              </w:rPr>
              <w:tab/>
            </w:r>
            <w:r>
              <w:rPr>
                <w:noProof/>
              </w:rPr>
              <w:fldChar w:fldCharType="begin"/>
            </w:r>
            <w:r>
              <w:rPr>
                <w:noProof/>
              </w:rPr>
              <w:instrText xml:space="preserve"> PAGEREF _Toc238022003 \h </w:instrText>
            </w:r>
            <w:r>
              <w:rPr>
                <w:noProof/>
              </w:rPr>
            </w:r>
            <w:r>
              <w:rPr>
                <w:noProof/>
              </w:rPr>
              <w:fldChar w:fldCharType="separate"/>
            </w:r>
            <w:r>
              <w:rPr>
                <w:noProof/>
              </w:rPr>
              <w:t>18</w:t>
            </w:r>
            <w:r>
              <w:rPr>
                <w:noProof/>
              </w:rPr>
              <w:fldChar w:fldCharType="end"/>
            </w:r>
          </w:hyperlink>
        </w:p>
        <w:p w14:paraId="154DE93E" w14:textId="01675C8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04" w:history="1">
            <w:r w:rsidRPr="0002739D">
              <w:rPr>
                <w:rStyle w:val="Hyperlink"/>
                <w:noProof/>
              </w:rPr>
              <w:t>1.7 O SISCOR e o papel uniformizador das Notas Técnicas da CRG/CGU</w:t>
            </w:r>
            <w:r>
              <w:rPr>
                <w:noProof/>
              </w:rPr>
              <w:tab/>
            </w:r>
            <w:r>
              <w:rPr>
                <w:noProof/>
              </w:rPr>
              <w:fldChar w:fldCharType="begin"/>
            </w:r>
            <w:r>
              <w:rPr>
                <w:noProof/>
              </w:rPr>
              <w:instrText xml:space="preserve"> PAGEREF _Toc238022004 \h </w:instrText>
            </w:r>
            <w:r>
              <w:rPr>
                <w:noProof/>
              </w:rPr>
            </w:r>
            <w:r>
              <w:rPr>
                <w:noProof/>
              </w:rPr>
              <w:fldChar w:fldCharType="separate"/>
            </w:r>
            <w:r>
              <w:rPr>
                <w:noProof/>
              </w:rPr>
              <w:t>19</w:t>
            </w:r>
            <w:r>
              <w:rPr>
                <w:noProof/>
              </w:rPr>
              <w:fldChar w:fldCharType="end"/>
            </w:r>
          </w:hyperlink>
        </w:p>
        <w:p w14:paraId="68F9B115" w14:textId="568F898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05" w:history="1">
            <w:r w:rsidRPr="0002739D">
              <w:rPr>
                <w:rStyle w:val="Hyperlink"/>
                <w:noProof/>
              </w:rPr>
              <w:t>1.8 A hierarquia das fontes e os limites da ferramenta</w:t>
            </w:r>
            <w:r>
              <w:rPr>
                <w:noProof/>
              </w:rPr>
              <w:tab/>
            </w:r>
            <w:r>
              <w:rPr>
                <w:noProof/>
              </w:rPr>
              <w:fldChar w:fldCharType="begin"/>
            </w:r>
            <w:r>
              <w:rPr>
                <w:noProof/>
              </w:rPr>
              <w:instrText xml:space="preserve"> PAGEREF _Toc238022005 \h </w:instrText>
            </w:r>
            <w:r>
              <w:rPr>
                <w:noProof/>
              </w:rPr>
            </w:r>
            <w:r>
              <w:rPr>
                <w:noProof/>
              </w:rPr>
              <w:fldChar w:fldCharType="separate"/>
            </w:r>
            <w:r>
              <w:rPr>
                <w:noProof/>
              </w:rPr>
              <w:t>20</w:t>
            </w:r>
            <w:r>
              <w:rPr>
                <w:noProof/>
              </w:rPr>
              <w:fldChar w:fldCharType="end"/>
            </w:r>
          </w:hyperlink>
        </w:p>
        <w:p w14:paraId="4E0B705C" w14:textId="60EBE46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06" w:history="1">
            <w:r w:rsidRPr="0002739D">
              <w:rPr>
                <w:rStyle w:val="Hyperlink"/>
                <w:noProof/>
              </w:rPr>
              <w:t>1.9 A Convenção nº 190 da OIT e a expansão do conceito de ambiente de trabalho: implicações transversais para os oito eixos</w:t>
            </w:r>
            <w:r>
              <w:rPr>
                <w:noProof/>
              </w:rPr>
              <w:tab/>
            </w:r>
            <w:r>
              <w:rPr>
                <w:noProof/>
              </w:rPr>
              <w:fldChar w:fldCharType="begin"/>
            </w:r>
            <w:r>
              <w:rPr>
                <w:noProof/>
              </w:rPr>
              <w:instrText xml:space="preserve"> PAGEREF _Toc238022006 \h </w:instrText>
            </w:r>
            <w:r>
              <w:rPr>
                <w:noProof/>
              </w:rPr>
            </w:r>
            <w:r>
              <w:rPr>
                <w:noProof/>
              </w:rPr>
              <w:fldChar w:fldCharType="separate"/>
            </w:r>
            <w:r>
              <w:rPr>
                <w:noProof/>
              </w:rPr>
              <w:t>20</w:t>
            </w:r>
            <w:r>
              <w:rPr>
                <w:noProof/>
              </w:rPr>
              <w:fldChar w:fldCharType="end"/>
            </w:r>
          </w:hyperlink>
        </w:p>
        <w:p w14:paraId="27E24B52" w14:textId="27A02153"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07" w:history="1">
            <w:r w:rsidRPr="0002739D">
              <w:rPr>
                <w:rStyle w:val="Hyperlink"/>
                <w:noProof/>
              </w:rPr>
              <w:t>1.10 A independência das instâncias: estrutura e limites</w:t>
            </w:r>
            <w:r>
              <w:rPr>
                <w:noProof/>
              </w:rPr>
              <w:tab/>
            </w:r>
            <w:r>
              <w:rPr>
                <w:noProof/>
              </w:rPr>
              <w:fldChar w:fldCharType="begin"/>
            </w:r>
            <w:r>
              <w:rPr>
                <w:noProof/>
              </w:rPr>
              <w:instrText xml:space="preserve"> PAGEREF _Toc238022007 \h </w:instrText>
            </w:r>
            <w:r>
              <w:rPr>
                <w:noProof/>
              </w:rPr>
            </w:r>
            <w:r>
              <w:rPr>
                <w:noProof/>
              </w:rPr>
              <w:fldChar w:fldCharType="separate"/>
            </w:r>
            <w:r>
              <w:rPr>
                <w:noProof/>
              </w:rPr>
              <w:t>31</w:t>
            </w:r>
            <w:r>
              <w:rPr>
                <w:noProof/>
              </w:rPr>
              <w:fldChar w:fldCharType="end"/>
            </w:r>
          </w:hyperlink>
        </w:p>
        <w:p w14:paraId="2F7050B9" w14:textId="2666A5EF"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08" w:history="1">
            <w:r w:rsidRPr="0002739D">
              <w:rPr>
                <w:rStyle w:val="Hyperlink"/>
                <w:noProof/>
              </w:rPr>
              <w:t>1.11 A prescrição da ação disciplinar: estrutura, prazos e o risco específico da advertência</w:t>
            </w:r>
            <w:r>
              <w:rPr>
                <w:noProof/>
              </w:rPr>
              <w:tab/>
            </w:r>
            <w:r>
              <w:rPr>
                <w:noProof/>
              </w:rPr>
              <w:fldChar w:fldCharType="begin"/>
            </w:r>
            <w:r>
              <w:rPr>
                <w:noProof/>
              </w:rPr>
              <w:instrText xml:space="preserve"> PAGEREF _Toc238022008 \h </w:instrText>
            </w:r>
            <w:r>
              <w:rPr>
                <w:noProof/>
              </w:rPr>
            </w:r>
            <w:r>
              <w:rPr>
                <w:noProof/>
              </w:rPr>
              <w:fldChar w:fldCharType="separate"/>
            </w:r>
            <w:r>
              <w:rPr>
                <w:noProof/>
              </w:rPr>
              <w:t>31</w:t>
            </w:r>
            <w:r>
              <w:rPr>
                <w:noProof/>
              </w:rPr>
              <w:fldChar w:fldCharType="end"/>
            </w:r>
          </w:hyperlink>
        </w:p>
        <w:p w14:paraId="02D58B13" w14:textId="3A28CC1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09" w:history="1">
            <w:r w:rsidRPr="0002739D">
              <w:rPr>
                <w:rStyle w:val="Hyperlink"/>
                <w:noProof/>
              </w:rPr>
              <w:t>1.11 O operador e a ferramenta: o que o capítulo estabelece para o que vem a seguir</w:t>
            </w:r>
            <w:r>
              <w:rPr>
                <w:noProof/>
              </w:rPr>
              <w:tab/>
            </w:r>
            <w:r>
              <w:rPr>
                <w:noProof/>
              </w:rPr>
              <w:fldChar w:fldCharType="begin"/>
            </w:r>
            <w:r>
              <w:rPr>
                <w:noProof/>
              </w:rPr>
              <w:instrText xml:space="preserve"> PAGEREF _Toc238022009 \h </w:instrText>
            </w:r>
            <w:r>
              <w:rPr>
                <w:noProof/>
              </w:rPr>
            </w:r>
            <w:r>
              <w:rPr>
                <w:noProof/>
              </w:rPr>
              <w:fldChar w:fldCharType="separate"/>
            </w:r>
            <w:r>
              <w:rPr>
                <w:noProof/>
              </w:rPr>
              <w:t>32</w:t>
            </w:r>
            <w:r>
              <w:rPr>
                <w:noProof/>
              </w:rPr>
              <w:fldChar w:fldCharType="end"/>
            </w:r>
          </w:hyperlink>
        </w:p>
        <w:p w14:paraId="5544FE6A" w14:textId="594AC80F"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10" w:history="1">
            <w:r w:rsidRPr="0002739D">
              <w:rPr>
                <w:rStyle w:val="Hyperlink"/>
                <w:noProof/>
              </w:rPr>
              <w:t>2. AGRESSÃO FÍSICA NO SERVIÇO PÚBLICO FEDERAL: O ÚNICO TIPO DISCIPLINAR DE VIOLÊNCIA FÍSICA E OS SEUS LIMITES INTERPRETATIVOS</w:t>
            </w:r>
            <w:r>
              <w:rPr>
                <w:noProof/>
              </w:rPr>
              <w:tab/>
            </w:r>
            <w:r>
              <w:rPr>
                <w:noProof/>
              </w:rPr>
              <w:fldChar w:fldCharType="begin"/>
            </w:r>
            <w:r>
              <w:rPr>
                <w:noProof/>
              </w:rPr>
              <w:instrText xml:space="preserve"> PAGEREF _Toc238022010 \h </w:instrText>
            </w:r>
            <w:r>
              <w:rPr>
                <w:noProof/>
              </w:rPr>
            </w:r>
            <w:r>
              <w:rPr>
                <w:noProof/>
              </w:rPr>
              <w:fldChar w:fldCharType="separate"/>
            </w:r>
            <w:r>
              <w:rPr>
                <w:noProof/>
              </w:rPr>
              <w:t>33</w:t>
            </w:r>
            <w:r>
              <w:rPr>
                <w:noProof/>
              </w:rPr>
              <w:fldChar w:fldCharType="end"/>
            </w:r>
          </w:hyperlink>
        </w:p>
        <w:p w14:paraId="52E11049" w14:textId="35FC8D5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11" w:history="1">
            <w:r w:rsidRPr="0002739D">
              <w:rPr>
                <w:rStyle w:val="Hyperlink"/>
                <w:noProof/>
              </w:rPr>
              <w:t>2.1 Fundamento e bem jurídico tutelado</w:t>
            </w:r>
            <w:r>
              <w:rPr>
                <w:noProof/>
              </w:rPr>
              <w:tab/>
            </w:r>
            <w:r>
              <w:rPr>
                <w:noProof/>
              </w:rPr>
              <w:fldChar w:fldCharType="begin"/>
            </w:r>
            <w:r>
              <w:rPr>
                <w:noProof/>
              </w:rPr>
              <w:instrText xml:space="preserve"> PAGEREF _Toc238022011 \h </w:instrText>
            </w:r>
            <w:r>
              <w:rPr>
                <w:noProof/>
              </w:rPr>
            </w:r>
            <w:r>
              <w:rPr>
                <w:noProof/>
              </w:rPr>
              <w:fldChar w:fldCharType="separate"/>
            </w:r>
            <w:r>
              <w:rPr>
                <w:noProof/>
              </w:rPr>
              <w:t>33</w:t>
            </w:r>
            <w:r>
              <w:rPr>
                <w:noProof/>
              </w:rPr>
              <w:fldChar w:fldCharType="end"/>
            </w:r>
          </w:hyperlink>
        </w:p>
        <w:p w14:paraId="1F3AA0F4" w14:textId="2FDB05E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12" w:history="1">
            <w:r w:rsidRPr="0002739D">
              <w:rPr>
                <w:rStyle w:val="Hyperlink"/>
                <w:noProof/>
              </w:rPr>
              <w:t>2.2 Os elementos constitutivos do tipo</w:t>
            </w:r>
            <w:r>
              <w:rPr>
                <w:noProof/>
              </w:rPr>
              <w:tab/>
            </w:r>
            <w:r>
              <w:rPr>
                <w:noProof/>
              </w:rPr>
              <w:fldChar w:fldCharType="begin"/>
            </w:r>
            <w:r>
              <w:rPr>
                <w:noProof/>
              </w:rPr>
              <w:instrText xml:space="preserve"> PAGEREF _Toc238022012 \h </w:instrText>
            </w:r>
            <w:r>
              <w:rPr>
                <w:noProof/>
              </w:rPr>
            </w:r>
            <w:r>
              <w:rPr>
                <w:noProof/>
              </w:rPr>
              <w:fldChar w:fldCharType="separate"/>
            </w:r>
            <w:r>
              <w:rPr>
                <w:noProof/>
              </w:rPr>
              <w:t>33</w:t>
            </w:r>
            <w:r>
              <w:rPr>
                <w:noProof/>
              </w:rPr>
              <w:fldChar w:fldCharType="end"/>
            </w:r>
          </w:hyperlink>
        </w:p>
        <w:p w14:paraId="273D81B7" w14:textId="660A902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13" w:history="1">
            <w:r w:rsidRPr="0002739D">
              <w:rPr>
                <w:rStyle w:val="Hyperlink"/>
                <w:noProof/>
              </w:rPr>
              <w:t>2.3 A excludente de legítima defesa e o problema do excesso</w:t>
            </w:r>
            <w:r>
              <w:rPr>
                <w:noProof/>
              </w:rPr>
              <w:tab/>
            </w:r>
            <w:r>
              <w:rPr>
                <w:noProof/>
              </w:rPr>
              <w:fldChar w:fldCharType="begin"/>
            </w:r>
            <w:r>
              <w:rPr>
                <w:noProof/>
              </w:rPr>
              <w:instrText xml:space="preserve"> PAGEREF _Toc238022013 \h </w:instrText>
            </w:r>
            <w:r>
              <w:rPr>
                <w:noProof/>
              </w:rPr>
            </w:r>
            <w:r>
              <w:rPr>
                <w:noProof/>
              </w:rPr>
              <w:fldChar w:fldCharType="separate"/>
            </w:r>
            <w:r>
              <w:rPr>
                <w:noProof/>
              </w:rPr>
              <w:t>34</w:t>
            </w:r>
            <w:r>
              <w:rPr>
                <w:noProof/>
              </w:rPr>
              <w:fldChar w:fldCharType="end"/>
            </w:r>
          </w:hyperlink>
        </w:p>
        <w:p w14:paraId="7DA6117C" w14:textId="6B16628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14" w:history="1">
            <w:r w:rsidRPr="0002739D">
              <w:rPr>
                <w:rStyle w:val="Hyperlink"/>
                <w:noProof/>
              </w:rPr>
              <w:t>2.4 A natureza vinculada da demissão: Súmula 650/STJ</w:t>
            </w:r>
            <w:r>
              <w:rPr>
                <w:noProof/>
              </w:rPr>
              <w:tab/>
            </w:r>
            <w:r>
              <w:rPr>
                <w:noProof/>
              </w:rPr>
              <w:fldChar w:fldCharType="begin"/>
            </w:r>
            <w:r>
              <w:rPr>
                <w:noProof/>
              </w:rPr>
              <w:instrText xml:space="preserve"> PAGEREF _Toc238022014 \h </w:instrText>
            </w:r>
            <w:r>
              <w:rPr>
                <w:noProof/>
              </w:rPr>
            </w:r>
            <w:r>
              <w:rPr>
                <w:noProof/>
              </w:rPr>
              <w:fldChar w:fldCharType="separate"/>
            </w:r>
            <w:r>
              <w:rPr>
                <w:noProof/>
              </w:rPr>
              <w:t>35</w:t>
            </w:r>
            <w:r>
              <w:rPr>
                <w:noProof/>
              </w:rPr>
              <w:fldChar w:fldCharType="end"/>
            </w:r>
          </w:hyperlink>
        </w:p>
        <w:p w14:paraId="66F9B13D" w14:textId="3F45028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15" w:history="1">
            <w:r w:rsidRPr="0002739D">
              <w:rPr>
                <w:rStyle w:val="Hyperlink"/>
                <w:noProof/>
              </w:rPr>
              <w:t>2.5 A independência das instâncias e seus limites</w:t>
            </w:r>
            <w:r>
              <w:rPr>
                <w:noProof/>
              </w:rPr>
              <w:tab/>
            </w:r>
            <w:r>
              <w:rPr>
                <w:noProof/>
              </w:rPr>
              <w:fldChar w:fldCharType="begin"/>
            </w:r>
            <w:r>
              <w:rPr>
                <w:noProof/>
              </w:rPr>
              <w:instrText xml:space="preserve"> PAGEREF _Toc238022015 \h </w:instrText>
            </w:r>
            <w:r>
              <w:rPr>
                <w:noProof/>
              </w:rPr>
            </w:r>
            <w:r>
              <w:rPr>
                <w:noProof/>
              </w:rPr>
              <w:fldChar w:fldCharType="separate"/>
            </w:r>
            <w:r>
              <w:rPr>
                <w:noProof/>
              </w:rPr>
              <w:t>35</w:t>
            </w:r>
            <w:r>
              <w:rPr>
                <w:noProof/>
              </w:rPr>
              <w:fldChar w:fldCharType="end"/>
            </w:r>
          </w:hyperlink>
        </w:p>
        <w:p w14:paraId="14116048" w14:textId="262E4978"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16" w:history="1">
            <w:r w:rsidRPr="0002739D">
              <w:rPr>
                <w:rStyle w:val="Hyperlink"/>
                <w:noProof/>
              </w:rPr>
              <w:t>2.6 Síntese operacional: como a ferramenta trata a agressão física</w:t>
            </w:r>
            <w:r>
              <w:rPr>
                <w:noProof/>
              </w:rPr>
              <w:tab/>
            </w:r>
            <w:r>
              <w:rPr>
                <w:noProof/>
              </w:rPr>
              <w:fldChar w:fldCharType="begin"/>
            </w:r>
            <w:r>
              <w:rPr>
                <w:noProof/>
              </w:rPr>
              <w:instrText xml:space="preserve"> PAGEREF _Toc238022016 \h </w:instrText>
            </w:r>
            <w:r>
              <w:rPr>
                <w:noProof/>
              </w:rPr>
            </w:r>
            <w:r>
              <w:rPr>
                <w:noProof/>
              </w:rPr>
              <w:fldChar w:fldCharType="separate"/>
            </w:r>
            <w:r>
              <w:rPr>
                <w:noProof/>
              </w:rPr>
              <w:t>36</w:t>
            </w:r>
            <w:r>
              <w:rPr>
                <w:noProof/>
              </w:rPr>
              <w:fldChar w:fldCharType="end"/>
            </w:r>
          </w:hyperlink>
        </w:p>
        <w:p w14:paraId="79A76BF1" w14:textId="2273B0CE"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17" w:history="1">
            <w:r w:rsidRPr="0002739D">
              <w:rPr>
                <w:rStyle w:val="Hyperlink"/>
                <w:noProof/>
              </w:rPr>
              <w:t>3. AMEAÇA NO SERVIÇO PÚBLICO FEDERAL: VIOLÊNCIA PSICOLÓGICA, SILÊNCIO LEGISLATIVO E O ENQUADRAMENTO PELA NT Nº 544/2024</w:t>
            </w:r>
            <w:r>
              <w:rPr>
                <w:noProof/>
              </w:rPr>
              <w:tab/>
            </w:r>
            <w:r>
              <w:rPr>
                <w:noProof/>
              </w:rPr>
              <w:fldChar w:fldCharType="begin"/>
            </w:r>
            <w:r>
              <w:rPr>
                <w:noProof/>
              </w:rPr>
              <w:instrText xml:space="preserve"> PAGEREF _Toc238022017 \h </w:instrText>
            </w:r>
            <w:r>
              <w:rPr>
                <w:noProof/>
              </w:rPr>
            </w:r>
            <w:r>
              <w:rPr>
                <w:noProof/>
              </w:rPr>
              <w:fldChar w:fldCharType="separate"/>
            </w:r>
            <w:r>
              <w:rPr>
                <w:noProof/>
              </w:rPr>
              <w:t>37</w:t>
            </w:r>
            <w:r>
              <w:rPr>
                <w:noProof/>
              </w:rPr>
              <w:fldChar w:fldCharType="end"/>
            </w:r>
          </w:hyperlink>
        </w:p>
        <w:p w14:paraId="26E4E8D3" w14:textId="3A8004A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18" w:history="1">
            <w:r w:rsidRPr="0002739D">
              <w:rPr>
                <w:rStyle w:val="Hyperlink"/>
                <w:noProof/>
              </w:rPr>
              <w:t>3.1 O problema que a NT nº 544/2024 veio resolver</w:t>
            </w:r>
            <w:r>
              <w:rPr>
                <w:noProof/>
              </w:rPr>
              <w:tab/>
            </w:r>
            <w:r>
              <w:rPr>
                <w:noProof/>
              </w:rPr>
              <w:fldChar w:fldCharType="begin"/>
            </w:r>
            <w:r>
              <w:rPr>
                <w:noProof/>
              </w:rPr>
              <w:instrText xml:space="preserve"> PAGEREF _Toc238022018 \h </w:instrText>
            </w:r>
            <w:r>
              <w:rPr>
                <w:noProof/>
              </w:rPr>
            </w:r>
            <w:r>
              <w:rPr>
                <w:noProof/>
              </w:rPr>
              <w:fldChar w:fldCharType="separate"/>
            </w:r>
            <w:r>
              <w:rPr>
                <w:noProof/>
              </w:rPr>
              <w:t>37</w:t>
            </w:r>
            <w:r>
              <w:rPr>
                <w:noProof/>
              </w:rPr>
              <w:fldChar w:fldCharType="end"/>
            </w:r>
          </w:hyperlink>
        </w:p>
        <w:p w14:paraId="36C4AC43" w14:textId="04B3AFB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19" w:history="1">
            <w:r w:rsidRPr="0002739D">
              <w:rPr>
                <w:rStyle w:val="Hyperlink"/>
                <w:noProof/>
              </w:rPr>
              <w:t>3.2 O conceito de ameaça e seu referencial no Código Penal</w:t>
            </w:r>
            <w:r>
              <w:rPr>
                <w:noProof/>
              </w:rPr>
              <w:tab/>
            </w:r>
            <w:r>
              <w:rPr>
                <w:noProof/>
              </w:rPr>
              <w:fldChar w:fldCharType="begin"/>
            </w:r>
            <w:r>
              <w:rPr>
                <w:noProof/>
              </w:rPr>
              <w:instrText xml:space="preserve"> PAGEREF _Toc238022019 \h </w:instrText>
            </w:r>
            <w:r>
              <w:rPr>
                <w:noProof/>
              </w:rPr>
            </w:r>
            <w:r>
              <w:rPr>
                <w:noProof/>
              </w:rPr>
              <w:fldChar w:fldCharType="separate"/>
            </w:r>
            <w:r>
              <w:rPr>
                <w:noProof/>
              </w:rPr>
              <w:t>37</w:t>
            </w:r>
            <w:r>
              <w:rPr>
                <w:noProof/>
              </w:rPr>
              <w:fldChar w:fldCharType="end"/>
            </w:r>
          </w:hyperlink>
        </w:p>
        <w:p w14:paraId="3211565D" w14:textId="7A4443F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20" w:history="1">
            <w:r w:rsidRPr="0002739D">
              <w:rPr>
                <w:rStyle w:val="Hyperlink"/>
                <w:noProof/>
              </w:rPr>
              <w:t>3.3 A tripartição de gravidade da NT nº 544/2024</w:t>
            </w:r>
            <w:r>
              <w:rPr>
                <w:noProof/>
              </w:rPr>
              <w:tab/>
            </w:r>
            <w:r>
              <w:rPr>
                <w:noProof/>
              </w:rPr>
              <w:fldChar w:fldCharType="begin"/>
            </w:r>
            <w:r>
              <w:rPr>
                <w:noProof/>
              </w:rPr>
              <w:instrText xml:space="preserve"> PAGEREF _Toc238022020 \h </w:instrText>
            </w:r>
            <w:r>
              <w:rPr>
                <w:noProof/>
              </w:rPr>
            </w:r>
            <w:r>
              <w:rPr>
                <w:noProof/>
              </w:rPr>
              <w:fldChar w:fldCharType="separate"/>
            </w:r>
            <w:r>
              <w:rPr>
                <w:noProof/>
              </w:rPr>
              <w:t>38</w:t>
            </w:r>
            <w:r>
              <w:rPr>
                <w:noProof/>
              </w:rPr>
              <w:fldChar w:fldCharType="end"/>
            </w:r>
          </w:hyperlink>
        </w:p>
        <w:p w14:paraId="5E2B0753" w14:textId="4403E37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21" w:history="1">
            <w:r w:rsidRPr="0002739D">
              <w:rPr>
                <w:rStyle w:val="Hyperlink"/>
                <w:noProof/>
              </w:rPr>
              <w:t>3.4 Ressalva doutrinária: o art. 117, IX e os limites expressos da NT nº 544/2024</w:t>
            </w:r>
            <w:r>
              <w:rPr>
                <w:noProof/>
              </w:rPr>
              <w:tab/>
            </w:r>
            <w:r>
              <w:rPr>
                <w:noProof/>
              </w:rPr>
              <w:fldChar w:fldCharType="begin"/>
            </w:r>
            <w:r>
              <w:rPr>
                <w:noProof/>
              </w:rPr>
              <w:instrText xml:space="preserve"> PAGEREF _Toc238022021 \h </w:instrText>
            </w:r>
            <w:r>
              <w:rPr>
                <w:noProof/>
              </w:rPr>
            </w:r>
            <w:r>
              <w:rPr>
                <w:noProof/>
              </w:rPr>
              <w:fldChar w:fldCharType="separate"/>
            </w:r>
            <w:r>
              <w:rPr>
                <w:noProof/>
              </w:rPr>
              <w:t>40</w:t>
            </w:r>
            <w:r>
              <w:rPr>
                <w:noProof/>
              </w:rPr>
              <w:fldChar w:fldCharType="end"/>
            </w:r>
          </w:hyperlink>
        </w:p>
        <w:p w14:paraId="33C4D751" w14:textId="1E560879"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22" w:history="1">
            <w:r w:rsidRPr="0002739D">
              <w:rPr>
                <w:rStyle w:val="Hyperlink"/>
                <w:noProof/>
              </w:rPr>
              <w:t>3.5 A questão da prescrição e a relevância do grau de enquadramento</w:t>
            </w:r>
            <w:r>
              <w:rPr>
                <w:noProof/>
              </w:rPr>
              <w:tab/>
            </w:r>
            <w:r>
              <w:rPr>
                <w:noProof/>
              </w:rPr>
              <w:fldChar w:fldCharType="begin"/>
            </w:r>
            <w:r>
              <w:rPr>
                <w:noProof/>
              </w:rPr>
              <w:instrText xml:space="preserve"> PAGEREF _Toc238022022 \h </w:instrText>
            </w:r>
            <w:r>
              <w:rPr>
                <w:noProof/>
              </w:rPr>
            </w:r>
            <w:r>
              <w:rPr>
                <w:noProof/>
              </w:rPr>
              <w:fldChar w:fldCharType="separate"/>
            </w:r>
            <w:r>
              <w:rPr>
                <w:noProof/>
              </w:rPr>
              <w:t>41</w:t>
            </w:r>
            <w:r>
              <w:rPr>
                <w:noProof/>
              </w:rPr>
              <w:fldChar w:fldCharType="end"/>
            </w:r>
          </w:hyperlink>
        </w:p>
        <w:p w14:paraId="218501F0" w14:textId="5A0F12B5"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23" w:history="1">
            <w:r w:rsidRPr="0002739D">
              <w:rPr>
                <w:rStyle w:val="Hyperlink"/>
                <w:noProof/>
              </w:rPr>
              <w:t>3.6 Síntese operacional: o Eixo 2 da ferramenta Integritas</w:t>
            </w:r>
            <w:r>
              <w:rPr>
                <w:noProof/>
              </w:rPr>
              <w:tab/>
            </w:r>
            <w:r>
              <w:rPr>
                <w:noProof/>
              </w:rPr>
              <w:fldChar w:fldCharType="begin"/>
            </w:r>
            <w:r>
              <w:rPr>
                <w:noProof/>
              </w:rPr>
              <w:instrText xml:space="preserve"> PAGEREF _Toc238022023 \h </w:instrText>
            </w:r>
            <w:r>
              <w:rPr>
                <w:noProof/>
              </w:rPr>
            </w:r>
            <w:r>
              <w:rPr>
                <w:noProof/>
              </w:rPr>
              <w:fldChar w:fldCharType="separate"/>
            </w:r>
            <w:r>
              <w:rPr>
                <w:noProof/>
              </w:rPr>
              <w:t>41</w:t>
            </w:r>
            <w:r>
              <w:rPr>
                <w:noProof/>
              </w:rPr>
              <w:fldChar w:fldCharType="end"/>
            </w:r>
          </w:hyperlink>
        </w:p>
        <w:p w14:paraId="06A820EB" w14:textId="2AF21913"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24" w:history="1">
            <w:r w:rsidRPr="0002739D">
              <w:rPr>
                <w:rStyle w:val="Hyperlink"/>
                <w:noProof/>
              </w:rPr>
              <w:t>4. ASSÉDIO SEXUAL E ATOS DE CONOTAÇÃO SEXUAL: O DANO À VÍTIMA COMO CENTRO DO ENQUADRAMENTO</w:t>
            </w:r>
            <w:r>
              <w:rPr>
                <w:noProof/>
              </w:rPr>
              <w:tab/>
            </w:r>
            <w:r>
              <w:rPr>
                <w:noProof/>
              </w:rPr>
              <w:fldChar w:fldCharType="begin"/>
            </w:r>
            <w:r>
              <w:rPr>
                <w:noProof/>
              </w:rPr>
              <w:instrText xml:space="preserve"> PAGEREF _Toc238022024 \h </w:instrText>
            </w:r>
            <w:r>
              <w:rPr>
                <w:noProof/>
              </w:rPr>
            </w:r>
            <w:r>
              <w:rPr>
                <w:noProof/>
              </w:rPr>
              <w:fldChar w:fldCharType="separate"/>
            </w:r>
            <w:r>
              <w:rPr>
                <w:noProof/>
              </w:rPr>
              <w:t>43</w:t>
            </w:r>
            <w:r>
              <w:rPr>
                <w:noProof/>
              </w:rPr>
              <w:fldChar w:fldCharType="end"/>
            </w:r>
          </w:hyperlink>
        </w:p>
        <w:p w14:paraId="7B038AD8" w14:textId="5D9D4F2C"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25" w:history="1">
            <w:r w:rsidRPr="0002739D">
              <w:rPr>
                <w:rStyle w:val="Hyperlink"/>
                <w:noProof/>
              </w:rPr>
              <w:t>4.1 O ponto de partida que o capítulo precisa estabelecer</w:t>
            </w:r>
            <w:r>
              <w:rPr>
                <w:noProof/>
              </w:rPr>
              <w:tab/>
            </w:r>
            <w:r>
              <w:rPr>
                <w:noProof/>
              </w:rPr>
              <w:fldChar w:fldCharType="begin"/>
            </w:r>
            <w:r>
              <w:rPr>
                <w:noProof/>
              </w:rPr>
              <w:instrText xml:space="preserve"> PAGEREF _Toc238022025 \h </w:instrText>
            </w:r>
            <w:r>
              <w:rPr>
                <w:noProof/>
              </w:rPr>
            </w:r>
            <w:r>
              <w:rPr>
                <w:noProof/>
              </w:rPr>
              <w:fldChar w:fldCharType="separate"/>
            </w:r>
            <w:r>
              <w:rPr>
                <w:noProof/>
              </w:rPr>
              <w:t>43</w:t>
            </w:r>
            <w:r>
              <w:rPr>
                <w:noProof/>
              </w:rPr>
              <w:fldChar w:fldCharType="end"/>
            </w:r>
          </w:hyperlink>
        </w:p>
        <w:p w14:paraId="51F27881" w14:textId="69B5DA5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26" w:history="1">
            <w:r w:rsidRPr="0002739D">
              <w:rPr>
                <w:rStyle w:val="Hyperlink"/>
                <w:noProof/>
              </w:rPr>
              <w:t>4.2 Marco normativo: camadas sobrepostas de proteção</w:t>
            </w:r>
            <w:r>
              <w:rPr>
                <w:noProof/>
              </w:rPr>
              <w:tab/>
            </w:r>
            <w:r>
              <w:rPr>
                <w:noProof/>
              </w:rPr>
              <w:fldChar w:fldCharType="begin"/>
            </w:r>
            <w:r>
              <w:rPr>
                <w:noProof/>
              </w:rPr>
              <w:instrText xml:space="preserve"> PAGEREF _Toc238022026 \h </w:instrText>
            </w:r>
            <w:r>
              <w:rPr>
                <w:noProof/>
              </w:rPr>
            </w:r>
            <w:r>
              <w:rPr>
                <w:noProof/>
              </w:rPr>
              <w:fldChar w:fldCharType="separate"/>
            </w:r>
            <w:r>
              <w:rPr>
                <w:noProof/>
              </w:rPr>
              <w:t>43</w:t>
            </w:r>
            <w:r>
              <w:rPr>
                <w:noProof/>
              </w:rPr>
              <w:fldChar w:fldCharType="end"/>
            </w:r>
          </w:hyperlink>
        </w:p>
        <w:p w14:paraId="5E05C667" w14:textId="5991CB3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27" w:history="1">
            <w:r w:rsidRPr="0002739D">
              <w:rPr>
                <w:rStyle w:val="Hyperlink"/>
                <w:noProof/>
              </w:rPr>
              <w:t>4.3 Por que a intenção do agressor é irrelevante: os três fundamentos</w:t>
            </w:r>
            <w:r>
              <w:rPr>
                <w:noProof/>
              </w:rPr>
              <w:tab/>
            </w:r>
            <w:r>
              <w:rPr>
                <w:noProof/>
              </w:rPr>
              <w:fldChar w:fldCharType="begin"/>
            </w:r>
            <w:r>
              <w:rPr>
                <w:noProof/>
              </w:rPr>
              <w:instrText xml:space="preserve"> PAGEREF _Toc238022027 \h </w:instrText>
            </w:r>
            <w:r>
              <w:rPr>
                <w:noProof/>
              </w:rPr>
            </w:r>
            <w:r>
              <w:rPr>
                <w:noProof/>
              </w:rPr>
              <w:fldChar w:fldCharType="separate"/>
            </w:r>
            <w:r>
              <w:rPr>
                <w:noProof/>
              </w:rPr>
              <w:t>44</w:t>
            </w:r>
            <w:r>
              <w:rPr>
                <w:noProof/>
              </w:rPr>
              <w:fldChar w:fldCharType="end"/>
            </w:r>
          </w:hyperlink>
        </w:p>
        <w:p w14:paraId="1E993995" w14:textId="6FF87BC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28" w:history="1">
            <w:r w:rsidRPr="0002739D">
              <w:rPr>
                <w:rStyle w:val="Hyperlink"/>
                <w:noProof/>
              </w:rPr>
              <w:t>4.4 A conotação sexual como elemento definidor: o critério objetivo</w:t>
            </w:r>
            <w:r>
              <w:rPr>
                <w:noProof/>
              </w:rPr>
              <w:tab/>
            </w:r>
            <w:r>
              <w:rPr>
                <w:noProof/>
              </w:rPr>
              <w:fldChar w:fldCharType="begin"/>
            </w:r>
            <w:r>
              <w:rPr>
                <w:noProof/>
              </w:rPr>
              <w:instrText xml:space="preserve"> PAGEREF _Toc238022028 \h </w:instrText>
            </w:r>
            <w:r>
              <w:rPr>
                <w:noProof/>
              </w:rPr>
            </w:r>
            <w:r>
              <w:rPr>
                <w:noProof/>
              </w:rPr>
              <w:fldChar w:fldCharType="separate"/>
            </w:r>
            <w:r>
              <w:rPr>
                <w:noProof/>
              </w:rPr>
              <w:t>45</w:t>
            </w:r>
            <w:r>
              <w:rPr>
                <w:noProof/>
              </w:rPr>
              <w:fldChar w:fldCharType="end"/>
            </w:r>
          </w:hyperlink>
        </w:p>
        <w:p w14:paraId="7742CCA3" w14:textId="1CF1DEF9"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29" w:history="1">
            <w:r w:rsidRPr="0002739D">
              <w:rPr>
                <w:rStyle w:val="Hyperlink"/>
                <w:noProof/>
              </w:rPr>
              <w:t>4.5 A distinção fundamental: assédio por chantagem e assédio ambiental</w:t>
            </w:r>
            <w:r>
              <w:rPr>
                <w:noProof/>
              </w:rPr>
              <w:tab/>
            </w:r>
            <w:r>
              <w:rPr>
                <w:noProof/>
              </w:rPr>
              <w:fldChar w:fldCharType="begin"/>
            </w:r>
            <w:r>
              <w:rPr>
                <w:noProof/>
              </w:rPr>
              <w:instrText xml:space="preserve"> PAGEREF _Toc238022029 \h </w:instrText>
            </w:r>
            <w:r>
              <w:rPr>
                <w:noProof/>
              </w:rPr>
            </w:r>
            <w:r>
              <w:rPr>
                <w:noProof/>
              </w:rPr>
              <w:fldChar w:fldCharType="separate"/>
            </w:r>
            <w:r>
              <w:rPr>
                <w:noProof/>
              </w:rPr>
              <w:t>46</w:t>
            </w:r>
            <w:r>
              <w:rPr>
                <w:noProof/>
              </w:rPr>
              <w:fldChar w:fldCharType="end"/>
            </w:r>
          </w:hyperlink>
        </w:p>
        <w:p w14:paraId="58B17C4E" w14:textId="59527CB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30" w:history="1">
            <w:r w:rsidRPr="0002739D">
              <w:rPr>
                <w:rStyle w:val="Hyperlink"/>
                <w:noProof/>
              </w:rPr>
              <w:t>4.6 O consentimento e seus vícios estruturais: quando o "sim" não é sim</w:t>
            </w:r>
            <w:r>
              <w:rPr>
                <w:noProof/>
              </w:rPr>
              <w:tab/>
            </w:r>
            <w:r>
              <w:rPr>
                <w:noProof/>
              </w:rPr>
              <w:fldChar w:fldCharType="begin"/>
            </w:r>
            <w:r>
              <w:rPr>
                <w:noProof/>
              </w:rPr>
              <w:instrText xml:space="preserve"> PAGEREF _Toc238022030 \h </w:instrText>
            </w:r>
            <w:r>
              <w:rPr>
                <w:noProof/>
              </w:rPr>
            </w:r>
            <w:r>
              <w:rPr>
                <w:noProof/>
              </w:rPr>
              <w:fldChar w:fldCharType="separate"/>
            </w:r>
            <w:r>
              <w:rPr>
                <w:noProof/>
              </w:rPr>
              <w:t>47</w:t>
            </w:r>
            <w:r>
              <w:rPr>
                <w:noProof/>
              </w:rPr>
              <w:fldChar w:fldCharType="end"/>
            </w:r>
          </w:hyperlink>
        </w:p>
        <w:p w14:paraId="2BFA962D" w14:textId="58AAF86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31" w:history="1">
            <w:r w:rsidRPr="0002739D">
              <w:rPr>
                <w:rStyle w:val="Hyperlink"/>
                <w:noProof/>
              </w:rPr>
              <w:t>4.7 A síndrome da vítima ideal e o que a pesquisa diz sobre as reações reais</w:t>
            </w:r>
            <w:r>
              <w:rPr>
                <w:noProof/>
              </w:rPr>
              <w:tab/>
            </w:r>
            <w:r>
              <w:rPr>
                <w:noProof/>
              </w:rPr>
              <w:fldChar w:fldCharType="begin"/>
            </w:r>
            <w:r>
              <w:rPr>
                <w:noProof/>
              </w:rPr>
              <w:instrText xml:space="preserve"> PAGEREF _Toc238022031 \h </w:instrText>
            </w:r>
            <w:r>
              <w:rPr>
                <w:noProof/>
              </w:rPr>
            </w:r>
            <w:r>
              <w:rPr>
                <w:noProof/>
              </w:rPr>
              <w:fldChar w:fldCharType="separate"/>
            </w:r>
            <w:r>
              <w:rPr>
                <w:noProof/>
              </w:rPr>
              <w:t>48</w:t>
            </w:r>
            <w:r>
              <w:rPr>
                <w:noProof/>
              </w:rPr>
              <w:fldChar w:fldCharType="end"/>
            </w:r>
          </w:hyperlink>
        </w:p>
        <w:p w14:paraId="47600E05" w14:textId="6B364D4C"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32" w:history="1">
            <w:r w:rsidRPr="0002739D">
              <w:rPr>
                <w:rStyle w:val="Hyperlink"/>
                <w:noProof/>
              </w:rPr>
              <w:t>4.8 O dano à dignidade como elemento central: a pesquisa sobre impacto</w:t>
            </w:r>
            <w:r>
              <w:rPr>
                <w:noProof/>
              </w:rPr>
              <w:tab/>
            </w:r>
            <w:r>
              <w:rPr>
                <w:noProof/>
              </w:rPr>
              <w:fldChar w:fldCharType="begin"/>
            </w:r>
            <w:r>
              <w:rPr>
                <w:noProof/>
              </w:rPr>
              <w:instrText xml:space="preserve"> PAGEREF _Toc238022032 \h </w:instrText>
            </w:r>
            <w:r>
              <w:rPr>
                <w:noProof/>
              </w:rPr>
            </w:r>
            <w:r>
              <w:rPr>
                <w:noProof/>
              </w:rPr>
              <w:fldChar w:fldCharType="separate"/>
            </w:r>
            <w:r>
              <w:rPr>
                <w:noProof/>
              </w:rPr>
              <w:t>49</w:t>
            </w:r>
            <w:r>
              <w:rPr>
                <w:noProof/>
              </w:rPr>
              <w:fldChar w:fldCharType="end"/>
            </w:r>
          </w:hyperlink>
        </w:p>
        <w:p w14:paraId="4B06AF35" w14:textId="4572748F"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33" w:history="1">
            <w:r w:rsidRPr="0002739D">
              <w:rPr>
                <w:rStyle w:val="Hyperlink"/>
                <w:noProof/>
              </w:rPr>
              <w:t>4.9 A aferição do conteúdo sexual: o padrão da vítima razoável</w:t>
            </w:r>
            <w:r>
              <w:rPr>
                <w:noProof/>
              </w:rPr>
              <w:tab/>
            </w:r>
            <w:r>
              <w:rPr>
                <w:noProof/>
              </w:rPr>
              <w:fldChar w:fldCharType="begin"/>
            </w:r>
            <w:r>
              <w:rPr>
                <w:noProof/>
              </w:rPr>
              <w:instrText xml:space="preserve"> PAGEREF _Toc238022033 \h </w:instrText>
            </w:r>
            <w:r>
              <w:rPr>
                <w:noProof/>
              </w:rPr>
            </w:r>
            <w:r>
              <w:rPr>
                <w:noProof/>
              </w:rPr>
              <w:fldChar w:fldCharType="separate"/>
            </w:r>
            <w:r>
              <w:rPr>
                <w:noProof/>
              </w:rPr>
              <w:t>51</w:t>
            </w:r>
            <w:r>
              <w:rPr>
                <w:noProof/>
              </w:rPr>
              <w:fldChar w:fldCharType="end"/>
            </w:r>
          </w:hyperlink>
        </w:p>
        <w:p w14:paraId="5A7C527A" w14:textId="1F8497B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34" w:history="1">
            <w:r w:rsidRPr="0002739D">
              <w:rPr>
                <w:rStyle w:val="Hyperlink"/>
                <w:noProof/>
              </w:rPr>
              <w:t>4.10 A perspectiva de gênero como instrumento analítico, não como preferência ideológica</w:t>
            </w:r>
            <w:r>
              <w:rPr>
                <w:noProof/>
              </w:rPr>
              <w:tab/>
            </w:r>
            <w:r>
              <w:rPr>
                <w:noProof/>
              </w:rPr>
              <w:fldChar w:fldCharType="begin"/>
            </w:r>
            <w:r>
              <w:rPr>
                <w:noProof/>
              </w:rPr>
              <w:instrText xml:space="preserve"> PAGEREF _Toc238022034 \h </w:instrText>
            </w:r>
            <w:r>
              <w:rPr>
                <w:noProof/>
              </w:rPr>
            </w:r>
            <w:r>
              <w:rPr>
                <w:noProof/>
              </w:rPr>
              <w:fldChar w:fldCharType="separate"/>
            </w:r>
            <w:r>
              <w:rPr>
                <w:noProof/>
              </w:rPr>
              <w:t>52</w:t>
            </w:r>
            <w:r>
              <w:rPr>
                <w:noProof/>
              </w:rPr>
              <w:fldChar w:fldCharType="end"/>
            </w:r>
          </w:hyperlink>
        </w:p>
        <w:p w14:paraId="6E75046F" w14:textId="5DA913E8"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35" w:history="1">
            <w:r w:rsidRPr="0002739D">
              <w:rPr>
                <w:rStyle w:val="Hyperlink"/>
                <w:noProof/>
              </w:rPr>
              <w:t xml:space="preserve">4.11 A linha divisória do </w:t>
            </w:r>
            <w:r w:rsidRPr="0002739D">
              <w:rPr>
                <w:rStyle w:val="Hyperlink"/>
                <w:i/>
                <w:iCs/>
                <w:noProof/>
              </w:rPr>
              <w:t>quid pro quo</w:t>
            </w:r>
            <w:r w:rsidRPr="0002739D">
              <w:rPr>
                <w:rStyle w:val="Hyperlink"/>
                <w:noProof/>
              </w:rPr>
              <w:t xml:space="preserve"> com favorecimento: consentimento ou coerção estrutural</w:t>
            </w:r>
            <w:r>
              <w:rPr>
                <w:noProof/>
              </w:rPr>
              <w:tab/>
            </w:r>
            <w:r>
              <w:rPr>
                <w:noProof/>
              </w:rPr>
              <w:fldChar w:fldCharType="begin"/>
            </w:r>
            <w:r>
              <w:rPr>
                <w:noProof/>
              </w:rPr>
              <w:instrText xml:space="preserve"> PAGEREF _Toc238022035 \h </w:instrText>
            </w:r>
            <w:r>
              <w:rPr>
                <w:noProof/>
              </w:rPr>
            </w:r>
            <w:r>
              <w:rPr>
                <w:noProof/>
              </w:rPr>
              <w:fldChar w:fldCharType="separate"/>
            </w:r>
            <w:r>
              <w:rPr>
                <w:noProof/>
              </w:rPr>
              <w:t>52</w:t>
            </w:r>
            <w:r>
              <w:rPr>
                <w:noProof/>
              </w:rPr>
              <w:fldChar w:fldCharType="end"/>
            </w:r>
          </w:hyperlink>
        </w:p>
        <w:p w14:paraId="1A3808AB" w14:textId="1B58B13B"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36" w:history="1">
            <w:r w:rsidRPr="0002739D">
              <w:rPr>
                <w:rStyle w:val="Hyperlink"/>
                <w:noProof/>
              </w:rPr>
              <w:t>4.12 O enquadramento disciplinar: dispositivos e critérios de escalada</w:t>
            </w:r>
            <w:r>
              <w:rPr>
                <w:noProof/>
              </w:rPr>
              <w:tab/>
            </w:r>
            <w:r>
              <w:rPr>
                <w:noProof/>
              </w:rPr>
              <w:fldChar w:fldCharType="begin"/>
            </w:r>
            <w:r>
              <w:rPr>
                <w:noProof/>
              </w:rPr>
              <w:instrText xml:space="preserve"> PAGEREF _Toc238022036 \h </w:instrText>
            </w:r>
            <w:r>
              <w:rPr>
                <w:noProof/>
              </w:rPr>
            </w:r>
            <w:r>
              <w:rPr>
                <w:noProof/>
              </w:rPr>
              <w:fldChar w:fldCharType="separate"/>
            </w:r>
            <w:r>
              <w:rPr>
                <w:noProof/>
              </w:rPr>
              <w:t>53</w:t>
            </w:r>
            <w:r>
              <w:rPr>
                <w:noProof/>
              </w:rPr>
              <w:fldChar w:fldCharType="end"/>
            </w:r>
          </w:hyperlink>
        </w:p>
        <w:p w14:paraId="72B142CA" w14:textId="29F692FA"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37" w:history="1">
            <w:r w:rsidRPr="0002739D">
              <w:rPr>
                <w:rStyle w:val="Hyperlink"/>
                <w:noProof/>
              </w:rPr>
              <w:t>4.13 Um único ato pode ser suficiente: a desnecessidade de reiteração</w:t>
            </w:r>
            <w:r>
              <w:rPr>
                <w:noProof/>
              </w:rPr>
              <w:tab/>
            </w:r>
            <w:r>
              <w:rPr>
                <w:noProof/>
              </w:rPr>
              <w:fldChar w:fldCharType="begin"/>
            </w:r>
            <w:r>
              <w:rPr>
                <w:noProof/>
              </w:rPr>
              <w:instrText xml:space="preserve"> PAGEREF _Toc238022037 \h </w:instrText>
            </w:r>
            <w:r>
              <w:rPr>
                <w:noProof/>
              </w:rPr>
            </w:r>
            <w:r>
              <w:rPr>
                <w:noProof/>
              </w:rPr>
              <w:fldChar w:fldCharType="separate"/>
            </w:r>
            <w:r>
              <w:rPr>
                <w:noProof/>
              </w:rPr>
              <w:t>54</w:t>
            </w:r>
            <w:r>
              <w:rPr>
                <w:noProof/>
              </w:rPr>
              <w:fldChar w:fldCharType="end"/>
            </w:r>
          </w:hyperlink>
        </w:p>
        <w:p w14:paraId="155C21D7" w14:textId="5D8D842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38" w:history="1">
            <w:r w:rsidRPr="0002739D">
              <w:rPr>
                <w:rStyle w:val="Hyperlink"/>
                <w:noProof/>
              </w:rPr>
              <w:t>4.14 A independência das instâncias e a prova no PAD</w:t>
            </w:r>
            <w:r>
              <w:rPr>
                <w:noProof/>
              </w:rPr>
              <w:tab/>
            </w:r>
            <w:r>
              <w:rPr>
                <w:noProof/>
              </w:rPr>
              <w:fldChar w:fldCharType="begin"/>
            </w:r>
            <w:r>
              <w:rPr>
                <w:noProof/>
              </w:rPr>
              <w:instrText xml:space="preserve"> PAGEREF _Toc238022038 \h </w:instrText>
            </w:r>
            <w:r>
              <w:rPr>
                <w:noProof/>
              </w:rPr>
            </w:r>
            <w:r>
              <w:rPr>
                <w:noProof/>
              </w:rPr>
              <w:fldChar w:fldCharType="separate"/>
            </w:r>
            <w:r>
              <w:rPr>
                <w:noProof/>
              </w:rPr>
              <w:t>54</w:t>
            </w:r>
            <w:r>
              <w:rPr>
                <w:noProof/>
              </w:rPr>
              <w:fldChar w:fldCharType="end"/>
            </w:r>
          </w:hyperlink>
        </w:p>
        <w:p w14:paraId="0A8B02A9" w14:textId="7E6A444A"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39" w:history="1">
            <w:r w:rsidRPr="0002739D">
              <w:rPr>
                <w:rStyle w:val="Hyperlink"/>
                <w:noProof/>
              </w:rPr>
              <w:t>4.14-A A decorrência penal como porta de entrada da Rota B: quando o ato de conotação sexual corresponde a crime contra a dignidade sexual</w:t>
            </w:r>
            <w:r>
              <w:rPr>
                <w:noProof/>
              </w:rPr>
              <w:tab/>
            </w:r>
            <w:r>
              <w:rPr>
                <w:noProof/>
              </w:rPr>
              <w:fldChar w:fldCharType="begin"/>
            </w:r>
            <w:r>
              <w:rPr>
                <w:noProof/>
              </w:rPr>
              <w:instrText xml:space="preserve"> PAGEREF _Toc238022039 \h </w:instrText>
            </w:r>
            <w:r>
              <w:rPr>
                <w:noProof/>
              </w:rPr>
            </w:r>
            <w:r>
              <w:rPr>
                <w:noProof/>
              </w:rPr>
              <w:fldChar w:fldCharType="separate"/>
            </w:r>
            <w:r>
              <w:rPr>
                <w:noProof/>
              </w:rPr>
              <w:t>55</w:t>
            </w:r>
            <w:r>
              <w:rPr>
                <w:noProof/>
              </w:rPr>
              <w:fldChar w:fldCharType="end"/>
            </w:r>
          </w:hyperlink>
        </w:p>
        <w:p w14:paraId="11F1C0CC" w14:textId="76B2EA3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40" w:history="1">
            <w:r w:rsidRPr="0002739D">
              <w:rPr>
                <w:rStyle w:val="Hyperlink"/>
                <w:noProof/>
              </w:rPr>
              <w:t>4.15 O papel legítimo da intenção no assédio sexual: dosimetria, não tipificação</w:t>
            </w:r>
            <w:r>
              <w:rPr>
                <w:noProof/>
              </w:rPr>
              <w:tab/>
            </w:r>
            <w:r>
              <w:rPr>
                <w:noProof/>
              </w:rPr>
              <w:fldChar w:fldCharType="begin"/>
            </w:r>
            <w:r>
              <w:rPr>
                <w:noProof/>
              </w:rPr>
              <w:instrText xml:space="preserve"> PAGEREF _Toc238022040 \h </w:instrText>
            </w:r>
            <w:r>
              <w:rPr>
                <w:noProof/>
              </w:rPr>
            </w:r>
            <w:r>
              <w:rPr>
                <w:noProof/>
              </w:rPr>
              <w:fldChar w:fldCharType="separate"/>
            </w:r>
            <w:r>
              <w:rPr>
                <w:noProof/>
              </w:rPr>
              <w:t>57</w:t>
            </w:r>
            <w:r>
              <w:rPr>
                <w:noProof/>
              </w:rPr>
              <w:fldChar w:fldCharType="end"/>
            </w:r>
          </w:hyperlink>
        </w:p>
        <w:p w14:paraId="027E1CD1" w14:textId="4C3437FB"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41" w:history="1">
            <w:r w:rsidRPr="0002739D">
              <w:rPr>
                <w:rStyle w:val="Hyperlink"/>
                <w:noProof/>
              </w:rPr>
              <w:t>4.16 A denúncia instrumentalizada: insuficiência probatória, má-fé e o sequenciamento obrigatório</w:t>
            </w:r>
            <w:r>
              <w:rPr>
                <w:noProof/>
              </w:rPr>
              <w:tab/>
            </w:r>
            <w:r>
              <w:rPr>
                <w:noProof/>
              </w:rPr>
              <w:fldChar w:fldCharType="begin"/>
            </w:r>
            <w:r>
              <w:rPr>
                <w:noProof/>
              </w:rPr>
              <w:instrText xml:space="preserve"> PAGEREF _Toc238022041 \h </w:instrText>
            </w:r>
            <w:r>
              <w:rPr>
                <w:noProof/>
              </w:rPr>
            </w:r>
            <w:r>
              <w:rPr>
                <w:noProof/>
              </w:rPr>
              <w:fldChar w:fldCharType="separate"/>
            </w:r>
            <w:r>
              <w:rPr>
                <w:noProof/>
              </w:rPr>
              <w:t>59</w:t>
            </w:r>
            <w:r>
              <w:rPr>
                <w:noProof/>
              </w:rPr>
              <w:fldChar w:fldCharType="end"/>
            </w:r>
          </w:hyperlink>
        </w:p>
        <w:p w14:paraId="3B243513" w14:textId="67D49D4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42" w:history="1">
            <w:r w:rsidRPr="0002739D">
              <w:rPr>
                <w:rStyle w:val="Hyperlink"/>
                <w:noProof/>
              </w:rPr>
              <w:t>4.17 Síntese operacional: o Eixo 3 da ferramenta Integritas</w:t>
            </w:r>
            <w:r>
              <w:rPr>
                <w:noProof/>
              </w:rPr>
              <w:tab/>
            </w:r>
            <w:r>
              <w:rPr>
                <w:noProof/>
              </w:rPr>
              <w:fldChar w:fldCharType="begin"/>
            </w:r>
            <w:r>
              <w:rPr>
                <w:noProof/>
              </w:rPr>
              <w:instrText xml:space="preserve"> PAGEREF _Toc238022042 \h </w:instrText>
            </w:r>
            <w:r>
              <w:rPr>
                <w:noProof/>
              </w:rPr>
            </w:r>
            <w:r>
              <w:rPr>
                <w:noProof/>
              </w:rPr>
              <w:fldChar w:fldCharType="separate"/>
            </w:r>
            <w:r>
              <w:rPr>
                <w:noProof/>
              </w:rPr>
              <w:t>62</w:t>
            </w:r>
            <w:r>
              <w:rPr>
                <w:noProof/>
              </w:rPr>
              <w:fldChar w:fldCharType="end"/>
            </w:r>
          </w:hyperlink>
        </w:p>
        <w:p w14:paraId="7714E7C1" w14:textId="6B36CF19"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43" w:history="1">
            <w:r w:rsidRPr="0002739D">
              <w:rPr>
                <w:rStyle w:val="Hyperlink"/>
                <w:noProof/>
              </w:rPr>
              <w:t>5. ASSÉDIO MORAL NO SERVIÇO PÚBLICO FEDERAL: VIOLÊNCIA SISTÊMICA, SILÊNCIO LEGISLATIVO E O ENQUADRAMENTO PELA NT Nº 93/2024</w:t>
            </w:r>
            <w:r>
              <w:rPr>
                <w:noProof/>
              </w:rPr>
              <w:tab/>
            </w:r>
            <w:r>
              <w:rPr>
                <w:noProof/>
              </w:rPr>
              <w:fldChar w:fldCharType="begin"/>
            </w:r>
            <w:r>
              <w:rPr>
                <w:noProof/>
              </w:rPr>
              <w:instrText xml:space="preserve"> PAGEREF _Toc238022043 \h </w:instrText>
            </w:r>
            <w:r>
              <w:rPr>
                <w:noProof/>
              </w:rPr>
            </w:r>
            <w:r>
              <w:rPr>
                <w:noProof/>
              </w:rPr>
              <w:fldChar w:fldCharType="separate"/>
            </w:r>
            <w:r>
              <w:rPr>
                <w:noProof/>
              </w:rPr>
              <w:t>63</w:t>
            </w:r>
            <w:r>
              <w:rPr>
                <w:noProof/>
              </w:rPr>
              <w:fldChar w:fldCharType="end"/>
            </w:r>
          </w:hyperlink>
        </w:p>
        <w:p w14:paraId="780BBD63" w14:textId="0065E33C"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44" w:history="1">
            <w:r w:rsidRPr="0002739D">
              <w:rPr>
                <w:rStyle w:val="Hyperlink"/>
                <w:noProof/>
              </w:rPr>
              <w:t>5.1 A nomeação que tornou o invisível visível</w:t>
            </w:r>
            <w:r>
              <w:rPr>
                <w:noProof/>
              </w:rPr>
              <w:tab/>
            </w:r>
            <w:r>
              <w:rPr>
                <w:noProof/>
              </w:rPr>
              <w:fldChar w:fldCharType="begin"/>
            </w:r>
            <w:r>
              <w:rPr>
                <w:noProof/>
              </w:rPr>
              <w:instrText xml:space="preserve"> PAGEREF _Toc238022044 \h </w:instrText>
            </w:r>
            <w:r>
              <w:rPr>
                <w:noProof/>
              </w:rPr>
            </w:r>
            <w:r>
              <w:rPr>
                <w:noProof/>
              </w:rPr>
              <w:fldChar w:fldCharType="separate"/>
            </w:r>
            <w:r>
              <w:rPr>
                <w:noProof/>
              </w:rPr>
              <w:t>63</w:t>
            </w:r>
            <w:r>
              <w:rPr>
                <w:noProof/>
              </w:rPr>
              <w:fldChar w:fldCharType="end"/>
            </w:r>
          </w:hyperlink>
        </w:p>
        <w:p w14:paraId="756D7CEB" w14:textId="11EE5EEC"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45" w:history="1">
            <w:r w:rsidRPr="0002739D">
              <w:rPr>
                <w:rStyle w:val="Hyperlink"/>
                <w:noProof/>
              </w:rPr>
              <w:t>5.2 O enquadramento disciplinar: um sistema que tipifica sem nomear</w:t>
            </w:r>
            <w:r>
              <w:rPr>
                <w:noProof/>
              </w:rPr>
              <w:tab/>
            </w:r>
            <w:r>
              <w:rPr>
                <w:noProof/>
              </w:rPr>
              <w:fldChar w:fldCharType="begin"/>
            </w:r>
            <w:r>
              <w:rPr>
                <w:noProof/>
              </w:rPr>
              <w:instrText xml:space="preserve"> PAGEREF _Toc238022045 \h </w:instrText>
            </w:r>
            <w:r>
              <w:rPr>
                <w:noProof/>
              </w:rPr>
            </w:r>
            <w:r>
              <w:rPr>
                <w:noProof/>
              </w:rPr>
              <w:fldChar w:fldCharType="separate"/>
            </w:r>
            <w:r>
              <w:rPr>
                <w:noProof/>
              </w:rPr>
              <w:t>64</w:t>
            </w:r>
            <w:r>
              <w:rPr>
                <w:noProof/>
              </w:rPr>
              <w:fldChar w:fldCharType="end"/>
            </w:r>
          </w:hyperlink>
        </w:p>
        <w:p w14:paraId="045E2A40" w14:textId="5134320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46" w:history="1">
            <w:r w:rsidRPr="0002739D">
              <w:rPr>
                <w:rStyle w:val="Hyperlink"/>
                <w:noProof/>
              </w:rPr>
              <w:t>5.3 Os elementos constitutivos do assédio moral disciplinar</w:t>
            </w:r>
            <w:r>
              <w:rPr>
                <w:noProof/>
              </w:rPr>
              <w:tab/>
            </w:r>
            <w:r>
              <w:rPr>
                <w:noProof/>
              </w:rPr>
              <w:fldChar w:fldCharType="begin"/>
            </w:r>
            <w:r>
              <w:rPr>
                <w:noProof/>
              </w:rPr>
              <w:instrText xml:space="preserve"> PAGEREF _Toc238022046 \h </w:instrText>
            </w:r>
            <w:r>
              <w:rPr>
                <w:noProof/>
              </w:rPr>
            </w:r>
            <w:r>
              <w:rPr>
                <w:noProof/>
              </w:rPr>
              <w:fldChar w:fldCharType="separate"/>
            </w:r>
            <w:r>
              <w:rPr>
                <w:noProof/>
              </w:rPr>
              <w:t>64</w:t>
            </w:r>
            <w:r>
              <w:rPr>
                <w:noProof/>
              </w:rPr>
              <w:fldChar w:fldCharType="end"/>
            </w:r>
          </w:hyperlink>
        </w:p>
        <w:p w14:paraId="2B879BDD" w14:textId="3F86B7B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47" w:history="1">
            <w:r w:rsidRPr="0002739D">
              <w:rPr>
                <w:rStyle w:val="Hyperlink"/>
                <w:noProof/>
              </w:rPr>
              <w:t>5.4 A habitualidade e suas nuances: o padrão reiterado como elemento definidor</w:t>
            </w:r>
            <w:r>
              <w:rPr>
                <w:noProof/>
              </w:rPr>
              <w:tab/>
            </w:r>
            <w:r>
              <w:rPr>
                <w:noProof/>
              </w:rPr>
              <w:fldChar w:fldCharType="begin"/>
            </w:r>
            <w:r>
              <w:rPr>
                <w:noProof/>
              </w:rPr>
              <w:instrText xml:space="preserve"> PAGEREF _Toc238022047 \h </w:instrText>
            </w:r>
            <w:r>
              <w:rPr>
                <w:noProof/>
              </w:rPr>
            </w:r>
            <w:r>
              <w:rPr>
                <w:noProof/>
              </w:rPr>
              <w:fldChar w:fldCharType="separate"/>
            </w:r>
            <w:r>
              <w:rPr>
                <w:noProof/>
              </w:rPr>
              <w:t>65</w:t>
            </w:r>
            <w:r>
              <w:rPr>
                <w:noProof/>
              </w:rPr>
              <w:fldChar w:fldCharType="end"/>
            </w:r>
          </w:hyperlink>
        </w:p>
        <w:p w14:paraId="0C73331F" w14:textId="4942DD1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48" w:history="1">
            <w:r w:rsidRPr="0002739D">
              <w:rPr>
                <w:rStyle w:val="Hyperlink"/>
                <w:noProof/>
              </w:rPr>
              <w:t>5.5 A exceção do ato único gravíssimo: quando a reiteração não é condição</w:t>
            </w:r>
            <w:r>
              <w:rPr>
                <w:noProof/>
              </w:rPr>
              <w:tab/>
            </w:r>
            <w:r>
              <w:rPr>
                <w:noProof/>
              </w:rPr>
              <w:fldChar w:fldCharType="begin"/>
            </w:r>
            <w:r>
              <w:rPr>
                <w:noProof/>
              </w:rPr>
              <w:instrText xml:space="preserve"> PAGEREF _Toc238022048 \h </w:instrText>
            </w:r>
            <w:r>
              <w:rPr>
                <w:noProof/>
              </w:rPr>
            </w:r>
            <w:r>
              <w:rPr>
                <w:noProof/>
              </w:rPr>
              <w:fldChar w:fldCharType="separate"/>
            </w:r>
            <w:r>
              <w:rPr>
                <w:noProof/>
              </w:rPr>
              <w:t>66</w:t>
            </w:r>
            <w:r>
              <w:rPr>
                <w:noProof/>
              </w:rPr>
              <w:fldChar w:fldCharType="end"/>
            </w:r>
          </w:hyperlink>
        </w:p>
        <w:p w14:paraId="3A7CEAD4" w14:textId="0D2D547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49" w:history="1">
            <w:r w:rsidRPr="0002739D">
              <w:rPr>
                <w:rStyle w:val="Hyperlink"/>
                <w:noProof/>
              </w:rPr>
              <w:t>5.6 As três modalidades: descendente, horizontal e ascendente</w:t>
            </w:r>
            <w:r>
              <w:rPr>
                <w:noProof/>
              </w:rPr>
              <w:tab/>
            </w:r>
            <w:r>
              <w:rPr>
                <w:noProof/>
              </w:rPr>
              <w:fldChar w:fldCharType="begin"/>
            </w:r>
            <w:r>
              <w:rPr>
                <w:noProof/>
              </w:rPr>
              <w:instrText xml:space="preserve"> PAGEREF _Toc238022049 \h </w:instrText>
            </w:r>
            <w:r>
              <w:rPr>
                <w:noProof/>
              </w:rPr>
            </w:r>
            <w:r>
              <w:rPr>
                <w:noProof/>
              </w:rPr>
              <w:fldChar w:fldCharType="separate"/>
            </w:r>
            <w:r>
              <w:rPr>
                <w:noProof/>
              </w:rPr>
              <w:t>66</w:t>
            </w:r>
            <w:r>
              <w:rPr>
                <w:noProof/>
              </w:rPr>
              <w:fldChar w:fldCharType="end"/>
            </w:r>
          </w:hyperlink>
        </w:p>
        <w:p w14:paraId="65499431" w14:textId="6815D0B5"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50" w:history="1">
            <w:r w:rsidRPr="0002739D">
              <w:rPr>
                <w:rStyle w:val="Hyperlink"/>
                <w:noProof/>
              </w:rPr>
              <w:t>5.7 O dano psicológico documentado: o que a pesquisa clínica estabelece</w:t>
            </w:r>
            <w:r>
              <w:rPr>
                <w:noProof/>
              </w:rPr>
              <w:tab/>
            </w:r>
            <w:r>
              <w:rPr>
                <w:noProof/>
              </w:rPr>
              <w:fldChar w:fldCharType="begin"/>
            </w:r>
            <w:r>
              <w:rPr>
                <w:noProof/>
              </w:rPr>
              <w:instrText xml:space="preserve"> PAGEREF _Toc238022050 \h </w:instrText>
            </w:r>
            <w:r>
              <w:rPr>
                <w:noProof/>
              </w:rPr>
            </w:r>
            <w:r>
              <w:rPr>
                <w:noProof/>
              </w:rPr>
              <w:fldChar w:fldCharType="separate"/>
            </w:r>
            <w:r>
              <w:rPr>
                <w:noProof/>
              </w:rPr>
              <w:t>67</w:t>
            </w:r>
            <w:r>
              <w:rPr>
                <w:noProof/>
              </w:rPr>
              <w:fldChar w:fldCharType="end"/>
            </w:r>
          </w:hyperlink>
        </w:p>
        <w:p w14:paraId="52C6F916" w14:textId="6C6ED0F5"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51" w:history="1">
            <w:r w:rsidRPr="0002739D">
              <w:rPr>
                <w:rStyle w:val="Hyperlink"/>
                <w:noProof/>
              </w:rPr>
              <w:t>5.8 A fronteira mais exigente: gestão legítima versus assédio moral</w:t>
            </w:r>
            <w:r>
              <w:rPr>
                <w:noProof/>
              </w:rPr>
              <w:tab/>
            </w:r>
            <w:r>
              <w:rPr>
                <w:noProof/>
              </w:rPr>
              <w:fldChar w:fldCharType="begin"/>
            </w:r>
            <w:r>
              <w:rPr>
                <w:noProof/>
              </w:rPr>
              <w:instrText xml:space="preserve"> PAGEREF _Toc238022051 \h </w:instrText>
            </w:r>
            <w:r>
              <w:rPr>
                <w:noProof/>
              </w:rPr>
            </w:r>
            <w:r>
              <w:rPr>
                <w:noProof/>
              </w:rPr>
              <w:fldChar w:fldCharType="separate"/>
            </w:r>
            <w:r>
              <w:rPr>
                <w:noProof/>
              </w:rPr>
              <w:t>68</w:t>
            </w:r>
            <w:r>
              <w:rPr>
                <w:noProof/>
              </w:rPr>
              <w:fldChar w:fldCharType="end"/>
            </w:r>
          </w:hyperlink>
        </w:p>
        <w:p w14:paraId="364EA04D" w14:textId="7B89FFEB"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52" w:history="1">
            <w:r w:rsidRPr="0002739D">
              <w:rPr>
                <w:rStyle w:val="Hyperlink"/>
                <w:noProof/>
              </w:rPr>
              <w:t>5.9 O elemento subjetivo: dolo, culpa e gestão culposa</w:t>
            </w:r>
            <w:r>
              <w:rPr>
                <w:noProof/>
              </w:rPr>
              <w:tab/>
            </w:r>
            <w:r>
              <w:rPr>
                <w:noProof/>
              </w:rPr>
              <w:fldChar w:fldCharType="begin"/>
            </w:r>
            <w:r>
              <w:rPr>
                <w:noProof/>
              </w:rPr>
              <w:instrText xml:space="preserve"> PAGEREF _Toc238022052 \h </w:instrText>
            </w:r>
            <w:r>
              <w:rPr>
                <w:noProof/>
              </w:rPr>
            </w:r>
            <w:r>
              <w:rPr>
                <w:noProof/>
              </w:rPr>
              <w:fldChar w:fldCharType="separate"/>
            </w:r>
            <w:r>
              <w:rPr>
                <w:noProof/>
              </w:rPr>
              <w:t>69</w:t>
            </w:r>
            <w:r>
              <w:rPr>
                <w:noProof/>
              </w:rPr>
              <w:fldChar w:fldCharType="end"/>
            </w:r>
          </w:hyperlink>
        </w:p>
        <w:p w14:paraId="0168859D" w14:textId="4356633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53" w:history="1">
            <w:r w:rsidRPr="0002739D">
              <w:rPr>
                <w:rStyle w:val="Hyperlink"/>
                <w:noProof/>
              </w:rPr>
              <w:t>5.10 Assédio moral discriminatório: a qualificação que eleva o enquadramento</w:t>
            </w:r>
            <w:r>
              <w:rPr>
                <w:noProof/>
              </w:rPr>
              <w:tab/>
            </w:r>
            <w:r>
              <w:rPr>
                <w:noProof/>
              </w:rPr>
              <w:fldChar w:fldCharType="begin"/>
            </w:r>
            <w:r>
              <w:rPr>
                <w:noProof/>
              </w:rPr>
              <w:instrText xml:space="preserve"> PAGEREF _Toc238022053 \h </w:instrText>
            </w:r>
            <w:r>
              <w:rPr>
                <w:noProof/>
              </w:rPr>
            </w:r>
            <w:r>
              <w:rPr>
                <w:noProof/>
              </w:rPr>
              <w:fldChar w:fldCharType="separate"/>
            </w:r>
            <w:r>
              <w:rPr>
                <w:noProof/>
              </w:rPr>
              <w:t>70</w:t>
            </w:r>
            <w:r>
              <w:rPr>
                <w:noProof/>
              </w:rPr>
              <w:fldChar w:fldCharType="end"/>
            </w:r>
          </w:hyperlink>
        </w:p>
        <w:p w14:paraId="21DA9122" w14:textId="05CB5C8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54" w:history="1">
            <w:r w:rsidRPr="0002739D">
              <w:rPr>
                <w:rStyle w:val="Hyperlink"/>
                <w:noProof/>
              </w:rPr>
              <w:t>5.11 O assédio moral e a organização: efeitos sistêmicos além da vítima individual</w:t>
            </w:r>
            <w:r>
              <w:rPr>
                <w:noProof/>
              </w:rPr>
              <w:tab/>
            </w:r>
            <w:r>
              <w:rPr>
                <w:noProof/>
              </w:rPr>
              <w:fldChar w:fldCharType="begin"/>
            </w:r>
            <w:r>
              <w:rPr>
                <w:noProof/>
              </w:rPr>
              <w:instrText xml:space="preserve"> PAGEREF _Toc238022054 \h </w:instrText>
            </w:r>
            <w:r>
              <w:rPr>
                <w:noProof/>
              </w:rPr>
            </w:r>
            <w:r>
              <w:rPr>
                <w:noProof/>
              </w:rPr>
              <w:fldChar w:fldCharType="separate"/>
            </w:r>
            <w:r>
              <w:rPr>
                <w:noProof/>
              </w:rPr>
              <w:t>71</w:t>
            </w:r>
            <w:r>
              <w:rPr>
                <w:noProof/>
              </w:rPr>
              <w:fldChar w:fldCharType="end"/>
            </w:r>
          </w:hyperlink>
        </w:p>
        <w:p w14:paraId="58FE8890" w14:textId="2503CE1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55" w:history="1">
            <w:r w:rsidRPr="0002739D">
              <w:rPr>
                <w:rStyle w:val="Hyperlink"/>
                <w:noProof/>
              </w:rPr>
              <w:t>5.12 O enquadramento disciplinar: dispositivos, escala e dosimetria</w:t>
            </w:r>
            <w:r>
              <w:rPr>
                <w:noProof/>
              </w:rPr>
              <w:tab/>
            </w:r>
            <w:r>
              <w:rPr>
                <w:noProof/>
              </w:rPr>
              <w:fldChar w:fldCharType="begin"/>
            </w:r>
            <w:r>
              <w:rPr>
                <w:noProof/>
              </w:rPr>
              <w:instrText xml:space="preserve"> PAGEREF _Toc238022055 \h </w:instrText>
            </w:r>
            <w:r>
              <w:rPr>
                <w:noProof/>
              </w:rPr>
            </w:r>
            <w:r>
              <w:rPr>
                <w:noProof/>
              </w:rPr>
              <w:fldChar w:fldCharType="separate"/>
            </w:r>
            <w:r>
              <w:rPr>
                <w:noProof/>
              </w:rPr>
              <w:t>72</w:t>
            </w:r>
            <w:r>
              <w:rPr>
                <w:noProof/>
              </w:rPr>
              <w:fldChar w:fldCharType="end"/>
            </w:r>
          </w:hyperlink>
        </w:p>
        <w:p w14:paraId="37C9DF08" w14:textId="4C93D7D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56" w:history="1">
            <w:r w:rsidRPr="0002739D">
              <w:rPr>
                <w:rStyle w:val="Hyperlink"/>
                <w:noProof/>
              </w:rPr>
              <w:t>5.13 A prova do assédio moral no PAD: desafios e instrumentos</w:t>
            </w:r>
            <w:r>
              <w:rPr>
                <w:noProof/>
              </w:rPr>
              <w:tab/>
            </w:r>
            <w:r>
              <w:rPr>
                <w:noProof/>
              </w:rPr>
              <w:fldChar w:fldCharType="begin"/>
            </w:r>
            <w:r>
              <w:rPr>
                <w:noProof/>
              </w:rPr>
              <w:instrText xml:space="preserve"> PAGEREF _Toc238022056 \h </w:instrText>
            </w:r>
            <w:r>
              <w:rPr>
                <w:noProof/>
              </w:rPr>
            </w:r>
            <w:r>
              <w:rPr>
                <w:noProof/>
              </w:rPr>
              <w:fldChar w:fldCharType="separate"/>
            </w:r>
            <w:r>
              <w:rPr>
                <w:noProof/>
              </w:rPr>
              <w:t>72</w:t>
            </w:r>
            <w:r>
              <w:rPr>
                <w:noProof/>
              </w:rPr>
              <w:fldChar w:fldCharType="end"/>
            </w:r>
          </w:hyperlink>
        </w:p>
        <w:p w14:paraId="567E087A" w14:textId="489A58BF"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57" w:history="1">
            <w:r w:rsidRPr="0002739D">
              <w:rPr>
                <w:rStyle w:val="Hyperlink"/>
                <w:noProof/>
              </w:rPr>
              <w:t>5.14 A comunicação de casos com repercussão penal</w:t>
            </w:r>
            <w:r>
              <w:rPr>
                <w:noProof/>
              </w:rPr>
              <w:tab/>
            </w:r>
            <w:r>
              <w:rPr>
                <w:noProof/>
              </w:rPr>
              <w:fldChar w:fldCharType="begin"/>
            </w:r>
            <w:r>
              <w:rPr>
                <w:noProof/>
              </w:rPr>
              <w:instrText xml:space="preserve"> PAGEREF _Toc238022057 \h </w:instrText>
            </w:r>
            <w:r>
              <w:rPr>
                <w:noProof/>
              </w:rPr>
            </w:r>
            <w:r>
              <w:rPr>
                <w:noProof/>
              </w:rPr>
              <w:fldChar w:fldCharType="separate"/>
            </w:r>
            <w:r>
              <w:rPr>
                <w:noProof/>
              </w:rPr>
              <w:t>73</w:t>
            </w:r>
            <w:r>
              <w:rPr>
                <w:noProof/>
              </w:rPr>
              <w:fldChar w:fldCharType="end"/>
            </w:r>
          </w:hyperlink>
        </w:p>
        <w:p w14:paraId="3C18109B" w14:textId="3FAAB41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58" w:history="1">
            <w:r w:rsidRPr="0002739D">
              <w:rPr>
                <w:rStyle w:val="Hyperlink"/>
                <w:noProof/>
              </w:rPr>
              <w:t>5.15 Síntese operacional: o Eixo 5 da ferramenta Integritas</w:t>
            </w:r>
            <w:r>
              <w:rPr>
                <w:noProof/>
              </w:rPr>
              <w:tab/>
            </w:r>
            <w:r>
              <w:rPr>
                <w:noProof/>
              </w:rPr>
              <w:fldChar w:fldCharType="begin"/>
            </w:r>
            <w:r>
              <w:rPr>
                <w:noProof/>
              </w:rPr>
              <w:instrText xml:space="preserve"> PAGEREF _Toc238022058 \h </w:instrText>
            </w:r>
            <w:r>
              <w:rPr>
                <w:noProof/>
              </w:rPr>
            </w:r>
            <w:r>
              <w:rPr>
                <w:noProof/>
              </w:rPr>
              <w:fldChar w:fldCharType="separate"/>
            </w:r>
            <w:r>
              <w:rPr>
                <w:noProof/>
              </w:rPr>
              <w:t>73</w:t>
            </w:r>
            <w:r>
              <w:rPr>
                <w:noProof/>
              </w:rPr>
              <w:fldChar w:fldCharType="end"/>
            </w:r>
          </w:hyperlink>
        </w:p>
        <w:p w14:paraId="0241CD73" w14:textId="08B4CD21"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59" w:history="1">
            <w:r w:rsidRPr="0002739D">
              <w:rPr>
                <w:rStyle w:val="Hyperlink"/>
                <w:noProof/>
              </w:rPr>
              <w:t>6. DISCRIMINAÇÃO NO SERVIÇO PÚBLICO FEDERAL: IGUALDADE COMO MANDATO CONSTITUCIONAL, EFEITO COMO CRITÉRIO E O ENQUADRAMENTO PELA NT Nº 93/2024</w:t>
            </w:r>
            <w:r>
              <w:rPr>
                <w:noProof/>
              </w:rPr>
              <w:tab/>
            </w:r>
            <w:r>
              <w:rPr>
                <w:noProof/>
              </w:rPr>
              <w:fldChar w:fldCharType="begin"/>
            </w:r>
            <w:r>
              <w:rPr>
                <w:noProof/>
              </w:rPr>
              <w:instrText xml:space="preserve"> PAGEREF _Toc238022059 \h </w:instrText>
            </w:r>
            <w:r>
              <w:rPr>
                <w:noProof/>
              </w:rPr>
            </w:r>
            <w:r>
              <w:rPr>
                <w:noProof/>
              </w:rPr>
              <w:fldChar w:fldCharType="separate"/>
            </w:r>
            <w:r>
              <w:rPr>
                <w:noProof/>
              </w:rPr>
              <w:t>75</w:t>
            </w:r>
            <w:r>
              <w:rPr>
                <w:noProof/>
              </w:rPr>
              <w:fldChar w:fldCharType="end"/>
            </w:r>
          </w:hyperlink>
        </w:p>
        <w:p w14:paraId="31735EAA" w14:textId="53424DA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60" w:history="1">
            <w:r w:rsidRPr="0002739D">
              <w:rPr>
                <w:rStyle w:val="Hyperlink"/>
                <w:noProof/>
              </w:rPr>
              <w:t>6.1 A questão que o capítulo precisa enfrentar</w:t>
            </w:r>
            <w:r>
              <w:rPr>
                <w:noProof/>
              </w:rPr>
              <w:tab/>
            </w:r>
            <w:r>
              <w:rPr>
                <w:noProof/>
              </w:rPr>
              <w:fldChar w:fldCharType="begin"/>
            </w:r>
            <w:r>
              <w:rPr>
                <w:noProof/>
              </w:rPr>
              <w:instrText xml:space="preserve"> PAGEREF _Toc238022060 \h </w:instrText>
            </w:r>
            <w:r>
              <w:rPr>
                <w:noProof/>
              </w:rPr>
            </w:r>
            <w:r>
              <w:rPr>
                <w:noProof/>
              </w:rPr>
              <w:fldChar w:fldCharType="separate"/>
            </w:r>
            <w:r>
              <w:rPr>
                <w:noProof/>
              </w:rPr>
              <w:t>75</w:t>
            </w:r>
            <w:r>
              <w:rPr>
                <w:noProof/>
              </w:rPr>
              <w:fldChar w:fldCharType="end"/>
            </w:r>
          </w:hyperlink>
        </w:p>
        <w:p w14:paraId="320367D8" w14:textId="022BEAB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61" w:history="1">
            <w:r w:rsidRPr="0002739D">
              <w:rPr>
                <w:rStyle w:val="Hyperlink"/>
                <w:noProof/>
              </w:rPr>
              <w:t>6.2 O duplo mandato constitucional: igualdade formal e substancial</w:t>
            </w:r>
            <w:r>
              <w:rPr>
                <w:noProof/>
              </w:rPr>
              <w:tab/>
            </w:r>
            <w:r>
              <w:rPr>
                <w:noProof/>
              </w:rPr>
              <w:fldChar w:fldCharType="begin"/>
            </w:r>
            <w:r>
              <w:rPr>
                <w:noProof/>
              </w:rPr>
              <w:instrText xml:space="preserve"> PAGEREF _Toc238022061 \h </w:instrText>
            </w:r>
            <w:r>
              <w:rPr>
                <w:noProof/>
              </w:rPr>
            </w:r>
            <w:r>
              <w:rPr>
                <w:noProof/>
              </w:rPr>
              <w:fldChar w:fldCharType="separate"/>
            </w:r>
            <w:r>
              <w:rPr>
                <w:noProof/>
              </w:rPr>
              <w:t>75</w:t>
            </w:r>
            <w:r>
              <w:rPr>
                <w:noProof/>
              </w:rPr>
              <w:fldChar w:fldCharType="end"/>
            </w:r>
          </w:hyperlink>
        </w:p>
        <w:p w14:paraId="47B389E8" w14:textId="1EE9FBB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62" w:history="1">
            <w:r w:rsidRPr="0002739D">
              <w:rPr>
                <w:rStyle w:val="Hyperlink"/>
                <w:noProof/>
              </w:rPr>
              <w:t>6.3 O conceito jurídico de discriminação: a Convenção nº 111 da OIT e o critério decisivo do efeito</w:t>
            </w:r>
            <w:r>
              <w:rPr>
                <w:noProof/>
              </w:rPr>
              <w:tab/>
            </w:r>
            <w:r>
              <w:rPr>
                <w:noProof/>
              </w:rPr>
              <w:fldChar w:fldCharType="begin"/>
            </w:r>
            <w:r>
              <w:rPr>
                <w:noProof/>
              </w:rPr>
              <w:instrText xml:space="preserve"> PAGEREF _Toc238022062 \h </w:instrText>
            </w:r>
            <w:r>
              <w:rPr>
                <w:noProof/>
              </w:rPr>
            </w:r>
            <w:r>
              <w:rPr>
                <w:noProof/>
              </w:rPr>
              <w:fldChar w:fldCharType="separate"/>
            </w:r>
            <w:r>
              <w:rPr>
                <w:noProof/>
              </w:rPr>
              <w:t>76</w:t>
            </w:r>
            <w:r>
              <w:rPr>
                <w:noProof/>
              </w:rPr>
              <w:fldChar w:fldCharType="end"/>
            </w:r>
          </w:hyperlink>
        </w:p>
        <w:p w14:paraId="4DBE6B36" w14:textId="5BB3D0E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63" w:history="1">
            <w:r w:rsidRPr="0002739D">
              <w:rPr>
                <w:rStyle w:val="Hyperlink"/>
                <w:noProof/>
              </w:rPr>
              <w:t>6.4 Discriminação direta e discriminação indireta: a teoria do efeito disparatado</w:t>
            </w:r>
            <w:r>
              <w:rPr>
                <w:noProof/>
              </w:rPr>
              <w:tab/>
            </w:r>
            <w:r>
              <w:rPr>
                <w:noProof/>
              </w:rPr>
              <w:fldChar w:fldCharType="begin"/>
            </w:r>
            <w:r>
              <w:rPr>
                <w:noProof/>
              </w:rPr>
              <w:instrText xml:space="preserve"> PAGEREF _Toc238022063 \h </w:instrText>
            </w:r>
            <w:r>
              <w:rPr>
                <w:noProof/>
              </w:rPr>
            </w:r>
            <w:r>
              <w:rPr>
                <w:noProof/>
              </w:rPr>
              <w:fldChar w:fldCharType="separate"/>
            </w:r>
            <w:r>
              <w:rPr>
                <w:noProof/>
              </w:rPr>
              <w:t>77</w:t>
            </w:r>
            <w:r>
              <w:rPr>
                <w:noProof/>
              </w:rPr>
              <w:fldChar w:fldCharType="end"/>
            </w:r>
          </w:hyperlink>
        </w:p>
        <w:p w14:paraId="1D23DFF8" w14:textId="1A74402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64" w:history="1">
            <w:r w:rsidRPr="0002739D">
              <w:rPr>
                <w:rStyle w:val="Hyperlink"/>
                <w:noProof/>
              </w:rPr>
              <w:t>6.5 As características protegidas no ordenamento brasileiro</w:t>
            </w:r>
            <w:r>
              <w:rPr>
                <w:noProof/>
              </w:rPr>
              <w:tab/>
            </w:r>
            <w:r>
              <w:rPr>
                <w:noProof/>
              </w:rPr>
              <w:fldChar w:fldCharType="begin"/>
            </w:r>
            <w:r>
              <w:rPr>
                <w:noProof/>
              </w:rPr>
              <w:instrText xml:space="preserve"> PAGEREF _Toc238022064 \h </w:instrText>
            </w:r>
            <w:r>
              <w:rPr>
                <w:noProof/>
              </w:rPr>
            </w:r>
            <w:r>
              <w:rPr>
                <w:noProof/>
              </w:rPr>
              <w:fldChar w:fldCharType="separate"/>
            </w:r>
            <w:r>
              <w:rPr>
                <w:noProof/>
              </w:rPr>
              <w:t>78</w:t>
            </w:r>
            <w:r>
              <w:rPr>
                <w:noProof/>
              </w:rPr>
              <w:fldChar w:fldCharType="end"/>
            </w:r>
          </w:hyperlink>
        </w:p>
        <w:p w14:paraId="0453EF69" w14:textId="35AF73E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65" w:history="1">
            <w:r w:rsidRPr="0002739D">
              <w:rPr>
                <w:rStyle w:val="Hyperlink"/>
                <w:noProof/>
              </w:rPr>
              <w:t>6.6 A discriminação no serviço público federal: por que é mais grave do que na relação privada</w:t>
            </w:r>
            <w:r>
              <w:rPr>
                <w:noProof/>
              </w:rPr>
              <w:tab/>
            </w:r>
            <w:r>
              <w:rPr>
                <w:noProof/>
              </w:rPr>
              <w:fldChar w:fldCharType="begin"/>
            </w:r>
            <w:r>
              <w:rPr>
                <w:noProof/>
              </w:rPr>
              <w:instrText xml:space="preserve"> PAGEREF _Toc238022065 \h </w:instrText>
            </w:r>
            <w:r>
              <w:rPr>
                <w:noProof/>
              </w:rPr>
            </w:r>
            <w:r>
              <w:rPr>
                <w:noProof/>
              </w:rPr>
              <w:fldChar w:fldCharType="separate"/>
            </w:r>
            <w:r>
              <w:rPr>
                <w:noProof/>
              </w:rPr>
              <w:t>79</w:t>
            </w:r>
            <w:r>
              <w:rPr>
                <w:noProof/>
              </w:rPr>
              <w:fldChar w:fldCharType="end"/>
            </w:r>
          </w:hyperlink>
        </w:p>
        <w:p w14:paraId="2314391B" w14:textId="2202C1D9"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66" w:history="1">
            <w:r w:rsidRPr="0002739D">
              <w:rPr>
                <w:rStyle w:val="Hyperlink"/>
                <w:noProof/>
              </w:rPr>
              <w:t>6.7 O que a pesquisa documenta sobre o impacto da discriminação no trabalho</w:t>
            </w:r>
            <w:r>
              <w:rPr>
                <w:noProof/>
              </w:rPr>
              <w:tab/>
            </w:r>
            <w:r>
              <w:rPr>
                <w:noProof/>
              </w:rPr>
              <w:fldChar w:fldCharType="begin"/>
            </w:r>
            <w:r>
              <w:rPr>
                <w:noProof/>
              </w:rPr>
              <w:instrText xml:space="preserve"> PAGEREF _Toc238022066 \h </w:instrText>
            </w:r>
            <w:r>
              <w:rPr>
                <w:noProof/>
              </w:rPr>
            </w:r>
            <w:r>
              <w:rPr>
                <w:noProof/>
              </w:rPr>
              <w:fldChar w:fldCharType="separate"/>
            </w:r>
            <w:r>
              <w:rPr>
                <w:noProof/>
              </w:rPr>
              <w:t>79</w:t>
            </w:r>
            <w:r>
              <w:rPr>
                <w:noProof/>
              </w:rPr>
              <w:fldChar w:fldCharType="end"/>
            </w:r>
          </w:hyperlink>
        </w:p>
        <w:p w14:paraId="59DF8FDB" w14:textId="7092DA4B"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67" w:history="1">
            <w:r w:rsidRPr="0002739D">
              <w:rPr>
                <w:rStyle w:val="Hyperlink"/>
                <w:noProof/>
              </w:rPr>
              <w:t>6.8 O assédio discriminatório: quando discriminação e assédio moral se sobrepõem</w:t>
            </w:r>
            <w:r>
              <w:rPr>
                <w:noProof/>
              </w:rPr>
              <w:tab/>
            </w:r>
            <w:r>
              <w:rPr>
                <w:noProof/>
              </w:rPr>
              <w:fldChar w:fldCharType="begin"/>
            </w:r>
            <w:r>
              <w:rPr>
                <w:noProof/>
              </w:rPr>
              <w:instrText xml:space="preserve"> PAGEREF _Toc238022067 \h </w:instrText>
            </w:r>
            <w:r>
              <w:rPr>
                <w:noProof/>
              </w:rPr>
            </w:r>
            <w:r>
              <w:rPr>
                <w:noProof/>
              </w:rPr>
              <w:fldChar w:fldCharType="separate"/>
            </w:r>
            <w:r>
              <w:rPr>
                <w:noProof/>
              </w:rPr>
              <w:t>80</w:t>
            </w:r>
            <w:r>
              <w:rPr>
                <w:noProof/>
              </w:rPr>
              <w:fldChar w:fldCharType="end"/>
            </w:r>
          </w:hyperlink>
        </w:p>
        <w:p w14:paraId="709EB699" w14:textId="7F92A805"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68" w:history="1">
            <w:r w:rsidRPr="0002739D">
              <w:rPr>
                <w:rStyle w:val="Hyperlink"/>
                <w:noProof/>
              </w:rPr>
              <w:t>6.9 A discriminação no tempo: atos isolados e padrão reiterado</w:t>
            </w:r>
            <w:r>
              <w:rPr>
                <w:noProof/>
              </w:rPr>
              <w:tab/>
            </w:r>
            <w:r>
              <w:rPr>
                <w:noProof/>
              </w:rPr>
              <w:fldChar w:fldCharType="begin"/>
            </w:r>
            <w:r>
              <w:rPr>
                <w:noProof/>
              </w:rPr>
              <w:instrText xml:space="preserve"> PAGEREF _Toc238022068 \h </w:instrText>
            </w:r>
            <w:r>
              <w:rPr>
                <w:noProof/>
              </w:rPr>
            </w:r>
            <w:r>
              <w:rPr>
                <w:noProof/>
              </w:rPr>
              <w:fldChar w:fldCharType="separate"/>
            </w:r>
            <w:r>
              <w:rPr>
                <w:noProof/>
              </w:rPr>
              <w:t>81</w:t>
            </w:r>
            <w:r>
              <w:rPr>
                <w:noProof/>
              </w:rPr>
              <w:fldChar w:fldCharType="end"/>
            </w:r>
          </w:hyperlink>
        </w:p>
        <w:p w14:paraId="13CFF6F5" w14:textId="44077EFA"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69" w:history="1">
            <w:r w:rsidRPr="0002739D">
              <w:rPr>
                <w:rStyle w:val="Hyperlink"/>
                <w:noProof/>
              </w:rPr>
              <w:t>6.10 A rota do art. 117, IX: o valimento do cargo na discriminação</w:t>
            </w:r>
            <w:r>
              <w:rPr>
                <w:noProof/>
              </w:rPr>
              <w:tab/>
            </w:r>
            <w:r>
              <w:rPr>
                <w:noProof/>
              </w:rPr>
              <w:fldChar w:fldCharType="begin"/>
            </w:r>
            <w:r>
              <w:rPr>
                <w:noProof/>
              </w:rPr>
              <w:instrText xml:space="preserve"> PAGEREF _Toc238022069 \h </w:instrText>
            </w:r>
            <w:r>
              <w:rPr>
                <w:noProof/>
              </w:rPr>
            </w:r>
            <w:r>
              <w:rPr>
                <w:noProof/>
              </w:rPr>
              <w:fldChar w:fldCharType="separate"/>
            </w:r>
            <w:r>
              <w:rPr>
                <w:noProof/>
              </w:rPr>
              <w:t>81</w:t>
            </w:r>
            <w:r>
              <w:rPr>
                <w:noProof/>
              </w:rPr>
              <w:fldChar w:fldCharType="end"/>
            </w:r>
          </w:hyperlink>
        </w:p>
        <w:p w14:paraId="2C41D3B8" w14:textId="68044543"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70" w:history="1">
            <w:r w:rsidRPr="0002739D">
              <w:rPr>
                <w:rStyle w:val="Hyperlink"/>
                <w:noProof/>
              </w:rPr>
              <w:t>6.11 O ônus probatório na discriminação: o que a evidência pode ser</w:t>
            </w:r>
            <w:r>
              <w:rPr>
                <w:noProof/>
              </w:rPr>
              <w:tab/>
            </w:r>
            <w:r>
              <w:rPr>
                <w:noProof/>
              </w:rPr>
              <w:fldChar w:fldCharType="begin"/>
            </w:r>
            <w:r>
              <w:rPr>
                <w:noProof/>
              </w:rPr>
              <w:instrText xml:space="preserve"> PAGEREF _Toc238022070 \h </w:instrText>
            </w:r>
            <w:r>
              <w:rPr>
                <w:noProof/>
              </w:rPr>
            </w:r>
            <w:r>
              <w:rPr>
                <w:noProof/>
              </w:rPr>
              <w:fldChar w:fldCharType="separate"/>
            </w:r>
            <w:r>
              <w:rPr>
                <w:noProof/>
              </w:rPr>
              <w:t>82</w:t>
            </w:r>
            <w:r>
              <w:rPr>
                <w:noProof/>
              </w:rPr>
              <w:fldChar w:fldCharType="end"/>
            </w:r>
          </w:hyperlink>
        </w:p>
        <w:p w14:paraId="746414F4" w14:textId="2A39415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71" w:history="1">
            <w:r w:rsidRPr="0002739D">
              <w:rPr>
                <w:rStyle w:val="Hyperlink"/>
                <w:noProof/>
              </w:rPr>
              <w:t>6.12 A cumulatividade bidirecional: quando discriminação e assédio moral coexistem</w:t>
            </w:r>
            <w:r>
              <w:rPr>
                <w:noProof/>
              </w:rPr>
              <w:tab/>
            </w:r>
            <w:r>
              <w:rPr>
                <w:noProof/>
              </w:rPr>
              <w:fldChar w:fldCharType="begin"/>
            </w:r>
            <w:r>
              <w:rPr>
                <w:noProof/>
              </w:rPr>
              <w:instrText xml:space="preserve"> PAGEREF _Toc238022071 \h </w:instrText>
            </w:r>
            <w:r>
              <w:rPr>
                <w:noProof/>
              </w:rPr>
            </w:r>
            <w:r>
              <w:rPr>
                <w:noProof/>
              </w:rPr>
              <w:fldChar w:fldCharType="separate"/>
            </w:r>
            <w:r>
              <w:rPr>
                <w:noProof/>
              </w:rPr>
              <w:t>83</w:t>
            </w:r>
            <w:r>
              <w:rPr>
                <w:noProof/>
              </w:rPr>
              <w:fldChar w:fldCharType="end"/>
            </w:r>
          </w:hyperlink>
        </w:p>
        <w:p w14:paraId="3E84D00C" w14:textId="1FA7EA4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72" w:history="1">
            <w:r w:rsidRPr="0002739D">
              <w:rPr>
                <w:rStyle w:val="Hyperlink"/>
                <w:noProof/>
              </w:rPr>
              <w:t>6.13 A cumulatividade bidirecional: quando discriminação e assédio moral coexistem</w:t>
            </w:r>
            <w:r>
              <w:rPr>
                <w:noProof/>
              </w:rPr>
              <w:tab/>
            </w:r>
            <w:r>
              <w:rPr>
                <w:noProof/>
              </w:rPr>
              <w:fldChar w:fldCharType="begin"/>
            </w:r>
            <w:r>
              <w:rPr>
                <w:noProof/>
              </w:rPr>
              <w:instrText xml:space="preserve"> PAGEREF _Toc238022072 \h </w:instrText>
            </w:r>
            <w:r>
              <w:rPr>
                <w:noProof/>
              </w:rPr>
            </w:r>
            <w:r>
              <w:rPr>
                <w:noProof/>
              </w:rPr>
              <w:fldChar w:fldCharType="separate"/>
            </w:r>
            <w:r>
              <w:rPr>
                <w:noProof/>
              </w:rPr>
              <w:t>84</w:t>
            </w:r>
            <w:r>
              <w:rPr>
                <w:noProof/>
              </w:rPr>
              <w:fldChar w:fldCharType="end"/>
            </w:r>
          </w:hyperlink>
        </w:p>
        <w:p w14:paraId="082E3C7F" w14:textId="36DCB73A"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73" w:history="1">
            <w:r w:rsidRPr="0002739D">
              <w:rPr>
                <w:rStyle w:val="Hyperlink"/>
                <w:noProof/>
              </w:rPr>
              <w:t>6.14 Os critérios de aferição da gravidade</w:t>
            </w:r>
            <w:r>
              <w:rPr>
                <w:noProof/>
              </w:rPr>
              <w:tab/>
            </w:r>
            <w:r>
              <w:rPr>
                <w:noProof/>
              </w:rPr>
              <w:fldChar w:fldCharType="begin"/>
            </w:r>
            <w:r>
              <w:rPr>
                <w:noProof/>
              </w:rPr>
              <w:instrText xml:space="preserve"> PAGEREF _Toc238022073 \h </w:instrText>
            </w:r>
            <w:r>
              <w:rPr>
                <w:noProof/>
              </w:rPr>
            </w:r>
            <w:r>
              <w:rPr>
                <w:noProof/>
              </w:rPr>
              <w:fldChar w:fldCharType="separate"/>
            </w:r>
            <w:r>
              <w:rPr>
                <w:noProof/>
              </w:rPr>
              <w:t>84</w:t>
            </w:r>
            <w:r>
              <w:rPr>
                <w:noProof/>
              </w:rPr>
              <w:fldChar w:fldCharType="end"/>
            </w:r>
          </w:hyperlink>
        </w:p>
        <w:p w14:paraId="70D38955" w14:textId="3053767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74" w:history="1">
            <w:r w:rsidRPr="0002739D">
              <w:rPr>
                <w:rStyle w:val="Hyperlink"/>
                <w:noProof/>
              </w:rPr>
              <w:t>6.15 Síntese operacional: o Eixo 4 da ferramenta Integritas</w:t>
            </w:r>
            <w:r>
              <w:rPr>
                <w:noProof/>
              </w:rPr>
              <w:tab/>
            </w:r>
            <w:r>
              <w:rPr>
                <w:noProof/>
              </w:rPr>
              <w:fldChar w:fldCharType="begin"/>
            </w:r>
            <w:r>
              <w:rPr>
                <w:noProof/>
              </w:rPr>
              <w:instrText xml:space="preserve"> PAGEREF _Toc238022074 \h </w:instrText>
            </w:r>
            <w:r>
              <w:rPr>
                <w:noProof/>
              </w:rPr>
            </w:r>
            <w:r>
              <w:rPr>
                <w:noProof/>
              </w:rPr>
              <w:fldChar w:fldCharType="separate"/>
            </w:r>
            <w:r>
              <w:rPr>
                <w:noProof/>
              </w:rPr>
              <w:t>85</w:t>
            </w:r>
            <w:r>
              <w:rPr>
                <w:noProof/>
              </w:rPr>
              <w:fldChar w:fldCharType="end"/>
            </w:r>
          </w:hyperlink>
        </w:p>
        <w:p w14:paraId="7E4880BB" w14:textId="7B30C0AB"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75" w:history="1">
            <w:r w:rsidRPr="0002739D">
              <w:rPr>
                <w:rStyle w:val="Hyperlink"/>
                <w:noProof/>
              </w:rPr>
              <w:t>7. RETALIAÇÃO AO DENUNCIANTE: O AVESSO DO SISTEMA DE INTEGRIDADE</w:t>
            </w:r>
            <w:r>
              <w:rPr>
                <w:noProof/>
              </w:rPr>
              <w:tab/>
            </w:r>
            <w:r>
              <w:rPr>
                <w:noProof/>
              </w:rPr>
              <w:fldChar w:fldCharType="begin"/>
            </w:r>
            <w:r>
              <w:rPr>
                <w:noProof/>
              </w:rPr>
              <w:instrText xml:space="preserve"> PAGEREF _Toc238022075 \h </w:instrText>
            </w:r>
            <w:r>
              <w:rPr>
                <w:noProof/>
              </w:rPr>
            </w:r>
            <w:r>
              <w:rPr>
                <w:noProof/>
              </w:rPr>
              <w:fldChar w:fldCharType="separate"/>
            </w:r>
            <w:r>
              <w:rPr>
                <w:noProof/>
              </w:rPr>
              <w:t>87</w:t>
            </w:r>
            <w:r>
              <w:rPr>
                <w:noProof/>
              </w:rPr>
              <w:fldChar w:fldCharType="end"/>
            </w:r>
          </w:hyperlink>
        </w:p>
        <w:p w14:paraId="3E7F73B4" w14:textId="29E56D8A"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76" w:history="1">
            <w:r w:rsidRPr="0002739D">
              <w:rPr>
                <w:rStyle w:val="Hyperlink"/>
                <w:noProof/>
              </w:rPr>
              <w:t>7.1 A proteção ao denunciante como pressuposto de qualquer sistema de controle eficaz</w:t>
            </w:r>
            <w:r>
              <w:rPr>
                <w:noProof/>
              </w:rPr>
              <w:tab/>
            </w:r>
            <w:r>
              <w:rPr>
                <w:noProof/>
              </w:rPr>
              <w:fldChar w:fldCharType="begin"/>
            </w:r>
            <w:r>
              <w:rPr>
                <w:noProof/>
              </w:rPr>
              <w:instrText xml:space="preserve"> PAGEREF _Toc238022076 \h </w:instrText>
            </w:r>
            <w:r>
              <w:rPr>
                <w:noProof/>
              </w:rPr>
            </w:r>
            <w:r>
              <w:rPr>
                <w:noProof/>
              </w:rPr>
              <w:fldChar w:fldCharType="separate"/>
            </w:r>
            <w:r>
              <w:rPr>
                <w:noProof/>
              </w:rPr>
              <w:t>87</w:t>
            </w:r>
            <w:r>
              <w:rPr>
                <w:noProof/>
              </w:rPr>
              <w:fldChar w:fldCharType="end"/>
            </w:r>
          </w:hyperlink>
        </w:p>
        <w:p w14:paraId="3A869E47" w14:textId="09172CD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77" w:history="1">
            <w:r w:rsidRPr="0002739D">
              <w:rPr>
                <w:rStyle w:val="Hyperlink"/>
                <w:noProof/>
              </w:rPr>
              <w:t>7.2 Marco normativo: camadas sobrepostas de proteção</w:t>
            </w:r>
            <w:r>
              <w:rPr>
                <w:noProof/>
              </w:rPr>
              <w:tab/>
            </w:r>
            <w:r>
              <w:rPr>
                <w:noProof/>
              </w:rPr>
              <w:fldChar w:fldCharType="begin"/>
            </w:r>
            <w:r>
              <w:rPr>
                <w:noProof/>
              </w:rPr>
              <w:instrText xml:space="preserve"> PAGEREF _Toc238022077 \h </w:instrText>
            </w:r>
            <w:r>
              <w:rPr>
                <w:noProof/>
              </w:rPr>
            </w:r>
            <w:r>
              <w:rPr>
                <w:noProof/>
              </w:rPr>
              <w:fldChar w:fldCharType="separate"/>
            </w:r>
            <w:r>
              <w:rPr>
                <w:noProof/>
              </w:rPr>
              <w:t>87</w:t>
            </w:r>
            <w:r>
              <w:rPr>
                <w:noProof/>
              </w:rPr>
              <w:fldChar w:fldCharType="end"/>
            </w:r>
          </w:hyperlink>
        </w:p>
        <w:p w14:paraId="5972D41F" w14:textId="5FB567A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78" w:history="1">
            <w:r w:rsidRPr="0002739D">
              <w:rPr>
                <w:rStyle w:val="Hyperlink"/>
                <w:noProof/>
              </w:rPr>
              <w:t>7.3 Conceito e natureza jurídica</w:t>
            </w:r>
            <w:r>
              <w:rPr>
                <w:noProof/>
              </w:rPr>
              <w:tab/>
            </w:r>
            <w:r>
              <w:rPr>
                <w:noProof/>
              </w:rPr>
              <w:fldChar w:fldCharType="begin"/>
            </w:r>
            <w:r>
              <w:rPr>
                <w:noProof/>
              </w:rPr>
              <w:instrText xml:space="preserve"> PAGEREF _Toc238022078 \h </w:instrText>
            </w:r>
            <w:r>
              <w:rPr>
                <w:noProof/>
              </w:rPr>
            </w:r>
            <w:r>
              <w:rPr>
                <w:noProof/>
              </w:rPr>
              <w:fldChar w:fldCharType="separate"/>
            </w:r>
            <w:r>
              <w:rPr>
                <w:noProof/>
              </w:rPr>
              <w:t>88</w:t>
            </w:r>
            <w:r>
              <w:rPr>
                <w:noProof/>
              </w:rPr>
              <w:fldChar w:fldCharType="end"/>
            </w:r>
          </w:hyperlink>
        </w:p>
        <w:p w14:paraId="25408A4C" w14:textId="674FA64A"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79" w:history="1">
            <w:r w:rsidRPr="0002739D">
              <w:rPr>
                <w:rStyle w:val="Hyperlink"/>
                <w:noProof/>
              </w:rPr>
              <w:t>7.4 Os atos protegidos: tipologia e limites</w:t>
            </w:r>
            <w:r>
              <w:rPr>
                <w:noProof/>
              </w:rPr>
              <w:tab/>
            </w:r>
            <w:r>
              <w:rPr>
                <w:noProof/>
              </w:rPr>
              <w:fldChar w:fldCharType="begin"/>
            </w:r>
            <w:r>
              <w:rPr>
                <w:noProof/>
              </w:rPr>
              <w:instrText xml:space="preserve"> PAGEREF _Toc238022079 \h </w:instrText>
            </w:r>
            <w:r>
              <w:rPr>
                <w:noProof/>
              </w:rPr>
            </w:r>
            <w:r>
              <w:rPr>
                <w:noProof/>
              </w:rPr>
              <w:fldChar w:fldCharType="separate"/>
            </w:r>
            <w:r>
              <w:rPr>
                <w:noProof/>
              </w:rPr>
              <w:t>89</w:t>
            </w:r>
            <w:r>
              <w:rPr>
                <w:noProof/>
              </w:rPr>
              <w:fldChar w:fldCharType="end"/>
            </w:r>
          </w:hyperlink>
        </w:p>
        <w:p w14:paraId="380641B4" w14:textId="4652A83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80" w:history="1">
            <w:r w:rsidRPr="0002739D">
              <w:rPr>
                <w:rStyle w:val="Hyperlink"/>
                <w:noProof/>
              </w:rPr>
              <w:t>7.5 Bifurcação competencial: denunciante e testemunha não seguem o mesmo fluxo</w:t>
            </w:r>
            <w:r>
              <w:rPr>
                <w:noProof/>
              </w:rPr>
              <w:tab/>
            </w:r>
            <w:r>
              <w:rPr>
                <w:noProof/>
              </w:rPr>
              <w:fldChar w:fldCharType="begin"/>
            </w:r>
            <w:r>
              <w:rPr>
                <w:noProof/>
              </w:rPr>
              <w:instrText xml:space="preserve"> PAGEREF _Toc238022080 \h </w:instrText>
            </w:r>
            <w:r>
              <w:rPr>
                <w:noProof/>
              </w:rPr>
            </w:r>
            <w:r>
              <w:rPr>
                <w:noProof/>
              </w:rPr>
              <w:fldChar w:fldCharType="separate"/>
            </w:r>
            <w:r>
              <w:rPr>
                <w:noProof/>
              </w:rPr>
              <w:t>90</w:t>
            </w:r>
            <w:r>
              <w:rPr>
                <w:noProof/>
              </w:rPr>
              <w:fldChar w:fldCharType="end"/>
            </w:r>
          </w:hyperlink>
        </w:p>
        <w:p w14:paraId="631363CA" w14:textId="26FCDAAC"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81" w:history="1">
            <w:r w:rsidRPr="0002739D">
              <w:rPr>
                <w:rStyle w:val="Hyperlink"/>
                <w:noProof/>
              </w:rPr>
              <w:t>7.6 As condutas adversas: o que pode constituir represália</w:t>
            </w:r>
            <w:r>
              <w:rPr>
                <w:noProof/>
              </w:rPr>
              <w:tab/>
            </w:r>
            <w:r>
              <w:rPr>
                <w:noProof/>
              </w:rPr>
              <w:fldChar w:fldCharType="begin"/>
            </w:r>
            <w:r>
              <w:rPr>
                <w:noProof/>
              </w:rPr>
              <w:instrText xml:space="preserve"> PAGEREF _Toc238022081 \h </w:instrText>
            </w:r>
            <w:r>
              <w:rPr>
                <w:noProof/>
              </w:rPr>
            </w:r>
            <w:r>
              <w:rPr>
                <w:noProof/>
              </w:rPr>
              <w:fldChar w:fldCharType="separate"/>
            </w:r>
            <w:r>
              <w:rPr>
                <w:noProof/>
              </w:rPr>
              <w:t>92</w:t>
            </w:r>
            <w:r>
              <w:rPr>
                <w:noProof/>
              </w:rPr>
              <w:fldChar w:fldCharType="end"/>
            </w:r>
          </w:hyperlink>
        </w:p>
        <w:p w14:paraId="79E82E92" w14:textId="1FC2B53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82" w:history="1">
            <w:r w:rsidRPr="0002739D">
              <w:rPr>
                <w:rStyle w:val="Hyperlink"/>
                <w:noProof/>
              </w:rPr>
              <w:t>7.7 O nexo de causalidade: o elemento central e mais exigente</w:t>
            </w:r>
            <w:r>
              <w:rPr>
                <w:noProof/>
              </w:rPr>
              <w:tab/>
            </w:r>
            <w:r>
              <w:rPr>
                <w:noProof/>
              </w:rPr>
              <w:fldChar w:fldCharType="begin"/>
            </w:r>
            <w:r>
              <w:rPr>
                <w:noProof/>
              </w:rPr>
              <w:instrText xml:space="preserve"> PAGEREF _Toc238022082 \h </w:instrText>
            </w:r>
            <w:r>
              <w:rPr>
                <w:noProof/>
              </w:rPr>
            </w:r>
            <w:r>
              <w:rPr>
                <w:noProof/>
              </w:rPr>
              <w:fldChar w:fldCharType="separate"/>
            </w:r>
            <w:r>
              <w:rPr>
                <w:noProof/>
              </w:rPr>
              <w:t>93</w:t>
            </w:r>
            <w:r>
              <w:rPr>
                <w:noProof/>
              </w:rPr>
              <w:fldChar w:fldCharType="end"/>
            </w:r>
          </w:hyperlink>
        </w:p>
        <w:p w14:paraId="5B4F9059" w14:textId="4457EE5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83" w:history="1">
            <w:r w:rsidRPr="0002739D">
              <w:rPr>
                <w:rStyle w:val="Hyperlink"/>
                <w:noProof/>
              </w:rPr>
              <w:t>7.8 A distinção em relação ao assédio moral e sua relevância prática</w:t>
            </w:r>
            <w:r>
              <w:rPr>
                <w:noProof/>
              </w:rPr>
              <w:tab/>
            </w:r>
            <w:r>
              <w:rPr>
                <w:noProof/>
              </w:rPr>
              <w:fldChar w:fldCharType="begin"/>
            </w:r>
            <w:r>
              <w:rPr>
                <w:noProof/>
              </w:rPr>
              <w:instrText xml:space="preserve"> PAGEREF _Toc238022083 \h </w:instrText>
            </w:r>
            <w:r>
              <w:rPr>
                <w:noProof/>
              </w:rPr>
            </w:r>
            <w:r>
              <w:rPr>
                <w:noProof/>
              </w:rPr>
              <w:fldChar w:fldCharType="separate"/>
            </w:r>
            <w:r>
              <w:rPr>
                <w:noProof/>
              </w:rPr>
              <w:t>94</w:t>
            </w:r>
            <w:r>
              <w:rPr>
                <w:noProof/>
              </w:rPr>
              <w:fldChar w:fldCharType="end"/>
            </w:r>
          </w:hyperlink>
        </w:p>
        <w:p w14:paraId="1661832C" w14:textId="6B42FDC8"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84" w:history="1">
            <w:r w:rsidRPr="0002739D">
              <w:rPr>
                <w:rStyle w:val="Hyperlink"/>
                <w:noProof/>
              </w:rPr>
              <w:t>7.9 O enquadramento disciplinar e as medidas além do PAD</w:t>
            </w:r>
            <w:r>
              <w:rPr>
                <w:noProof/>
              </w:rPr>
              <w:tab/>
            </w:r>
            <w:r>
              <w:rPr>
                <w:noProof/>
              </w:rPr>
              <w:fldChar w:fldCharType="begin"/>
            </w:r>
            <w:r>
              <w:rPr>
                <w:noProof/>
              </w:rPr>
              <w:instrText xml:space="preserve"> PAGEREF _Toc238022084 \h </w:instrText>
            </w:r>
            <w:r>
              <w:rPr>
                <w:noProof/>
              </w:rPr>
            </w:r>
            <w:r>
              <w:rPr>
                <w:noProof/>
              </w:rPr>
              <w:fldChar w:fldCharType="separate"/>
            </w:r>
            <w:r>
              <w:rPr>
                <w:noProof/>
              </w:rPr>
              <w:t>94</w:t>
            </w:r>
            <w:r>
              <w:rPr>
                <w:noProof/>
              </w:rPr>
              <w:fldChar w:fldCharType="end"/>
            </w:r>
          </w:hyperlink>
        </w:p>
        <w:p w14:paraId="35F1E47C" w14:textId="4777A3A3"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85" w:history="1">
            <w:r w:rsidRPr="0002739D">
              <w:rPr>
                <w:rStyle w:val="Hyperlink"/>
                <w:noProof/>
              </w:rPr>
              <w:t>7.10 Comunicação externa e medidas protetivas paralelas</w:t>
            </w:r>
            <w:r>
              <w:rPr>
                <w:noProof/>
              </w:rPr>
              <w:tab/>
            </w:r>
            <w:r>
              <w:rPr>
                <w:noProof/>
              </w:rPr>
              <w:fldChar w:fldCharType="begin"/>
            </w:r>
            <w:r>
              <w:rPr>
                <w:noProof/>
              </w:rPr>
              <w:instrText xml:space="preserve"> PAGEREF _Toc238022085 \h </w:instrText>
            </w:r>
            <w:r>
              <w:rPr>
                <w:noProof/>
              </w:rPr>
            </w:r>
            <w:r>
              <w:rPr>
                <w:noProof/>
              </w:rPr>
              <w:fldChar w:fldCharType="separate"/>
            </w:r>
            <w:r>
              <w:rPr>
                <w:noProof/>
              </w:rPr>
              <w:t>95</w:t>
            </w:r>
            <w:r>
              <w:rPr>
                <w:noProof/>
              </w:rPr>
              <w:fldChar w:fldCharType="end"/>
            </w:r>
          </w:hyperlink>
        </w:p>
        <w:p w14:paraId="1BD7370D" w14:textId="0EBFC15F"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86" w:history="1">
            <w:r w:rsidRPr="0002739D">
              <w:rPr>
                <w:rStyle w:val="Hyperlink"/>
                <w:noProof/>
              </w:rPr>
              <w:t>7.11 Síntese Operacional: Eixo 6 da ferramenta Integritas</w:t>
            </w:r>
            <w:r>
              <w:rPr>
                <w:noProof/>
              </w:rPr>
              <w:tab/>
            </w:r>
            <w:r>
              <w:rPr>
                <w:noProof/>
              </w:rPr>
              <w:fldChar w:fldCharType="begin"/>
            </w:r>
            <w:r>
              <w:rPr>
                <w:noProof/>
              </w:rPr>
              <w:instrText xml:space="preserve"> PAGEREF _Toc238022086 \h </w:instrText>
            </w:r>
            <w:r>
              <w:rPr>
                <w:noProof/>
              </w:rPr>
            </w:r>
            <w:r>
              <w:rPr>
                <w:noProof/>
              </w:rPr>
              <w:fldChar w:fldCharType="separate"/>
            </w:r>
            <w:r>
              <w:rPr>
                <w:noProof/>
              </w:rPr>
              <w:t>95</w:t>
            </w:r>
            <w:r>
              <w:rPr>
                <w:noProof/>
              </w:rPr>
              <w:fldChar w:fldCharType="end"/>
            </w:r>
          </w:hyperlink>
        </w:p>
        <w:p w14:paraId="2A67A492" w14:textId="19AEEA01"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87" w:history="1">
            <w:r w:rsidRPr="0002739D">
              <w:rPr>
                <w:rStyle w:val="Hyperlink"/>
                <w:noProof/>
              </w:rPr>
              <w:t>8. VIOLÊNCIA VERBAL E OFENSA DIRETA: A PALAVRA COMO INSTRUMENTO DE DANO PRESENTE</w:t>
            </w:r>
            <w:r>
              <w:rPr>
                <w:noProof/>
              </w:rPr>
              <w:tab/>
            </w:r>
            <w:r>
              <w:rPr>
                <w:noProof/>
              </w:rPr>
              <w:fldChar w:fldCharType="begin"/>
            </w:r>
            <w:r>
              <w:rPr>
                <w:noProof/>
              </w:rPr>
              <w:instrText xml:space="preserve"> PAGEREF _Toc238022087 \h </w:instrText>
            </w:r>
            <w:r>
              <w:rPr>
                <w:noProof/>
              </w:rPr>
            </w:r>
            <w:r>
              <w:rPr>
                <w:noProof/>
              </w:rPr>
              <w:fldChar w:fldCharType="separate"/>
            </w:r>
            <w:r>
              <w:rPr>
                <w:noProof/>
              </w:rPr>
              <w:t>96</w:t>
            </w:r>
            <w:r>
              <w:rPr>
                <w:noProof/>
              </w:rPr>
              <w:fldChar w:fldCharType="end"/>
            </w:r>
          </w:hyperlink>
        </w:p>
        <w:p w14:paraId="65214D61" w14:textId="3E3BE9B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88" w:history="1">
            <w:r w:rsidRPr="0002739D">
              <w:rPr>
                <w:rStyle w:val="Hyperlink"/>
                <w:noProof/>
              </w:rPr>
              <w:t>8.1 A lacuna entre agressão física e ameaça, e por que ela importa</w:t>
            </w:r>
            <w:r>
              <w:rPr>
                <w:noProof/>
              </w:rPr>
              <w:tab/>
            </w:r>
            <w:r>
              <w:rPr>
                <w:noProof/>
              </w:rPr>
              <w:fldChar w:fldCharType="begin"/>
            </w:r>
            <w:r>
              <w:rPr>
                <w:noProof/>
              </w:rPr>
              <w:instrText xml:space="preserve"> PAGEREF _Toc238022088 \h </w:instrText>
            </w:r>
            <w:r>
              <w:rPr>
                <w:noProof/>
              </w:rPr>
            </w:r>
            <w:r>
              <w:rPr>
                <w:noProof/>
              </w:rPr>
              <w:fldChar w:fldCharType="separate"/>
            </w:r>
            <w:r>
              <w:rPr>
                <w:noProof/>
              </w:rPr>
              <w:t>96</w:t>
            </w:r>
            <w:r>
              <w:rPr>
                <w:noProof/>
              </w:rPr>
              <w:fldChar w:fldCharType="end"/>
            </w:r>
          </w:hyperlink>
        </w:p>
        <w:p w14:paraId="49A261FF" w14:textId="5047889B"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89" w:history="1">
            <w:r w:rsidRPr="0002739D">
              <w:rPr>
                <w:rStyle w:val="Hyperlink"/>
                <w:noProof/>
              </w:rPr>
              <w:t>8.2 Conceito e elementos constitutivos</w:t>
            </w:r>
            <w:r>
              <w:rPr>
                <w:noProof/>
              </w:rPr>
              <w:tab/>
            </w:r>
            <w:r>
              <w:rPr>
                <w:noProof/>
              </w:rPr>
              <w:fldChar w:fldCharType="begin"/>
            </w:r>
            <w:r>
              <w:rPr>
                <w:noProof/>
              </w:rPr>
              <w:instrText xml:space="preserve"> PAGEREF _Toc238022089 \h </w:instrText>
            </w:r>
            <w:r>
              <w:rPr>
                <w:noProof/>
              </w:rPr>
            </w:r>
            <w:r>
              <w:rPr>
                <w:noProof/>
              </w:rPr>
              <w:fldChar w:fldCharType="separate"/>
            </w:r>
            <w:r>
              <w:rPr>
                <w:noProof/>
              </w:rPr>
              <w:t>96</w:t>
            </w:r>
            <w:r>
              <w:rPr>
                <w:noProof/>
              </w:rPr>
              <w:fldChar w:fldCharType="end"/>
            </w:r>
          </w:hyperlink>
        </w:p>
        <w:p w14:paraId="759652B8" w14:textId="22F980F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90" w:history="1">
            <w:r w:rsidRPr="0002739D">
              <w:rPr>
                <w:rStyle w:val="Hyperlink"/>
                <w:noProof/>
              </w:rPr>
              <w:t>8.3 A distinção da ameaça e sua relevância prática</w:t>
            </w:r>
            <w:r>
              <w:rPr>
                <w:noProof/>
              </w:rPr>
              <w:tab/>
            </w:r>
            <w:r>
              <w:rPr>
                <w:noProof/>
              </w:rPr>
              <w:fldChar w:fldCharType="begin"/>
            </w:r>
            <w:r>
              <w:rPr>
                <w:noProof/>
              </w:rPr>
              <w:instrText xml:space="preserve"> PAGEREF _Toc238022090 \h </w:instrText>
            </w:r>
            <w:r>
              <w:rPr>
                <w:noProof/>
              </w:rPr>
            </w:r>
            <w:r>
              <w:rPr>
                <w:noProof/>
              </w:rPr>
              <w:fldChar w:fldCharType="separate"/>
            </w:r>
            <w:r>
              <w:rPr>
                <w:noProof/>
              </w:rPr>
              <w:t>97</w:t>
            </w:r>
            <w:r>
              <w:rPr>
                <w:noProof/>
              </w:rPr>
              <w:fldChar w:fldCharType="end"/>
            </w:r>
          </w:hyperlink>
        </w:p>
        <w:p w14:paraId="22F049F1" w14:textId="34726F0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91" w:history="1">
            <w:r w:rsidRPr="0002739D">
              <w:rPr>
                <w:rStyle w:val="Hyperlink"/>
                <w:noProof/>
              </w:rPr>
              <w:t>8.4 Fundamento normativo e o espectro de enquadramento</w:t>
            </w:r>
            <w:r>
              <w:rPr>
                <w:noProof/>
              </w:rPr>
              <w:tab/>
            </w:r>
            <w:r>
              <w:rPr>
                <w:noProof/>
              </w:rPr>
              <w:fldChar w:fldCharType="begin"/>
            </w:r>
            <w:r>
              <w:rPr>
                <w:noProof/>
              </w:rPr>
              <w:instrText xml:space="preserve"> PAGEREF _Toc238022091 \h </w:instrText>
            </w:r>
            <w:r>
              <w:rPr>
                <w:noProof/>
              </w:rPr>
            </w:r>
            <w:r>
              <w:rPr>
                <w:noProof/>
              </w:rPr>
              <w:fldChar w:fldCharType="separate"/>
            </w:r>
            <w:r>
              <w:rPr>
                <w:noProof/>
              </w:rPr>
              <w:t>98</w:t>
            </w:r>
            <w:r>
              <w:rPr>
                <w:noProof/>
              </w:rPr>
              <w:fldChar w:fldCharType="end"/>
            </w:r>
          </w:hyperlink>
        </w:p>
        <w:p w14:paraId="77516802" w14:textId="1E9C11B5"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92" w:history="1">
            <w:r w:rsidRPr="0002739D">
              <w:rPr>
                <w:rStyle w:val="Hyperlink"/>
                <w:noProof/>
              </w:rPr>
              <w:t>8.5 Os qualificadores que determinam o patamar</w:t>
            </w:r>
            <w:r>
              <w:rPr>
                <w:noProof/>
              </w:rPr>
              <w:tab/>
            </w:r>
            <w:r>
              <w:rPr>
                <w:noProof/>
              </w:rPr>
              <w:fldChar w:fldCharType="begin"/>
            </w:r>
            <w:r>
              <w:rPr>
                <w:noProof/>
              </w:rPr>
              <w:instrText xml:space="preserve"> PAGEREF _Toc238022092 \h </w:instrText>
            </w:r>
            <w:r>
              <w:rPr>
                <w:noProof/>
              </w:rPr>
            </w:r>
            <w:r>
              <w:rPr>
                <w:noProof/>
              </w:rPr>
              <w:fldChar w:fldCharType="separate"/>
            </w:r>
            <w:r>
              <w:rPr>
                <w:noProof/>
              </w:rPr>
              <w:t>98</w:t>
            </w:r>
            <w:r>
              <w:rPr>
                <w:noProof/>
              </w:rPr>
              <w:fldChar w:fldCharType="end"/>
            </w:r>
          </w:hyperlink>
        </w:p>
        <w:p w14:paraId="090FFD2E" w14:textId="55B5BDE9"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93" w:history="1">
            <w:r w:rsidRPr="0002739D">
              <w:rPr>
                <w:rStyle w:val="Hyperlink"/>
                <w:noProof/>
              </w:rPr>
              <w:t>8.6 A avaliação da publicidade e da gravidade</w:t>
            </w:r>
            <w:r>
              <w:rPr>
                <w:noProof/>
              </w:rPr>
              <w:tab/>
            </w:r>
            <w:r>
              <w:rPr>
                <w:noProof/>
              </w:rPr>
              <w:fldChar w:fldCharType="begin"/>
            </w:r>
            <w:r>
              <w:rPr>
                <w:noProof/>
              </w:rPr>
              <w:instrText xml:space="preserve"> PAGEREF _Toc238022093 \h </w:instrText>
            </w:r>
            <w:r>
              <w:rPr>
                <w:noProof/>
              </w:rPr>
            </w:r>
            <w:r>
              <w:rPr>
                <w:noProof/>
              </w:rPr>
              <w:fldChar w:fldCharType="separate"/>
            </w:r>
            <w:r>
              <w:rPr>
                <w:noProof/>
              </w:rPr>
              <w:t>99</w:t>
            </w:r>
            <w:r>
              <w:rPr>
                <w:noProof/>
              </w:rPr>
              <w:fldChar w:fldCharType="end"/>
            </w:r>
          </w:hyperlink>
        </w:p>
        <w:p w14:paraId="45708947" w14:textId="0E6CF87B"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94" w:history="1">
            <w:r w:rsidRPr="0002739D">
              <w:rPr>
                <w:rStyle w:val="Hyperlink"/>
                <w:noProof/>
              </w:rPr>
              <w:t>8.7 O uso do cargo como qualificador máximo</w:t>
            </w:r>
            <w:r>
              <w:rPr>
                <w:noProof/>
              </w:rPr>
              <w:tab/>
            </w:r>
            <w:r>
              <w:rPr>
                <w:noProof/>
              </w:rPr>
              <w:fldChar w:fldCharType="begin"/>
            </w:r>
            <w:r>
              <w:rPr>
                <w:noProof/>
              </w:rPr>
              <w:instrText xml:space="preserve"> PAGEREF _Toc238022094 \h </w:instrText>
            </w:r>
            <w:r>
              <w:rPr>
                <w:noProof/>
              </w:rPr>
            </w:r>
            <w:r>
              <w:rPr>
                <w:noProof/>
              </w:rPr>
              <w:fldChar w:fldCharType="separate"/>
            </w:r>
            <w:r>
              <w:rPr>
                <w:noProof/>
              </w:rPr>
              <w:t>100</w:t>
            </w:r>
            <w:r>
              <w:rPr>
                <w:noProof/>
              </w:rPr>
              <w:fldChar w:fldCharType="end"/>
            </w:r>
          </w:hyperlink>
        </w:p>
        <w:p w14:paraId="094F5225" w14:textId="62ECCA6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95" w:history="1">
            <w:r w:rsidRPr="0002739D">
              <w:rPr>
                <w:rStyle w:val="Hyperlink"/>
                <w:noProof/>
              </w:rPr>
              <w:t>8.8 A relação com os demais eixos: fronteiras e sobreposições</w:t>
            </w:r>
            <w:r>
              <w:rPr>
                <w:noProof/>
              </w:rPr>
              <w:tab/>
            </w:r>
            <w:r>
              <w:rPr>
                <w:noProof/>
              </w:rPr>
              <w:fldChar w:fldCharType="begin"/>
            </w:r>
            <w:r>
              <w:rPr>
                <w:noProof/>
              </w:rPr>
              <w:instrText xml:space="preserve"> PAGEREF _Toc238022095 \h </w:instrText>
            </w:r>
            <w:r>
              <w:rPr>
                <w:noProof/>
              </w:rPr>
            </w:r>
            <w:r>
              <w:rPr>
                <w:noProof/>
              </w:rPr>
              <w:fldChar w:fldCharType="separate"/>
            </w:r>
            <w:r>
              <w:rPr>
                <w:noProof/>
              </w:rPr>
              <w:t>101</w:t>
            </w:r>
            <w:r>
              <w:rPr>
                <w:noProof/>
              </w:rPr>
              <w:fldChar w:fldCharType="end"/>
            </w:r>
          </w:hyperlink>
        </w:p>
        <w:p w14:paraId="430F17C1" w14:textId="34D6039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96" w:history="1">
            <w:r w:rsidRPr="0002739D">
              <w:rPr>
                <w:rStyle w:val="Hyperlink"/>
                <w:noProof/>
              </w:rPr>
              <w:t>8.9 Prescrição: o risco específico da violência verbal de baixa gravidade</w:t>
            </w:r>
            <w:r>
              <w:rPr>
                <w:noProof/>
              </w:rPr>
              <w:tab/>
            </w:r>
            <w:r>
              <w:rPr>
                <w:noProof/>
              </w:rPr>
              <w:fldChar w:fldCharType="begin"/>
            </w:r>
            <w:r>
              <w:rPr>
                <w:noProof/>
              </w:rPr>
              <w:instrText xml:space="preserve"> PAGEREF _Toc238022096 \h </w:instrText>
            </w:r>
            <w:r>
              <w:rPr>
                <w:noProof/>
              </w:rPr>
            </w:r>
            <w:r>
              <w:rPr>
                <w:noProof/>
              </w:rPr>
              <w:fldChar w:fldCharType="separate"/>
            </w:r>
            <w:r>
              <w:rPr>
                <w:noProof/>
              </w:rPr>
              <w:t>101</w:t>
            </w:r>
            <w:r>
              <w:rPr>
                <w:noProof/>
              </w:rPr>
              <w:fldChar w:fldCharType="end"/>
            </w:r>
          </w:hyperlink>
        </w:p>
        <w:p w14:paraId="350F1770" w14:textId="4BAF4045"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97" w:history="1">
            <w:r w:rsidRPr="0002739D">
              <w:rPr>
                <w:rStyle w:val="Hyperlink"/>
                <w:noProof/>
              </w:rPr>
              <w:t>8.10 Síntese operacional: o Eixo 7 da ferramenta Integritas</w:t>
            </w:r>
            <w:r>
              <w:rPr>
                <w:noProof/>
              </w:rPr>
              <w:tab/>
            </w:r>
            <w:r>
              <w:rPr>
                <w:noProof/>
              </w:rPr>
              <w:fldChar w:fldCharType="begin"/>
            </w:r>
            <w:r>
              <w:rPr>
                <w:noProof/>
              </w:rPr>
              <w:instrText xml:space="preserve"> PAGEREF _Toc238022097 \h </w:instrText>
            </w:r>
            <w:r>
              <w:rPr>
                <w:noProof/>
              </w:rPr>
            </w:r>
            <w:r>
              <w:rPr>
                <w:noProof/>
              </w:rPr>
              <w:fldChar w:fldCharType="separate"/>
            </w:r>
            <w:r>
              <w:rPr>
                <w:noProof/>
              </w:rPr>
              <w:t>102</w:t>
            </w:r>
            <w:r>
              <w:rPr>
                <w:noProof/>
              </w:rPr>
              <w:fldChar w:fldCharType="end"/>
            </w:r>
          </w:hyperlink>
        </w:p>
        <w:p w14:paraId="1F02F2BD" w14:textId="757524D8"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98" w:history="1">
            <w:r w:rsidRPr="0002739D">
              <w:rPr>
                <w:rStyle w:val="Hyperlink"/>
                <w:noProof/>
              </w:rPr>
              <w:t xml:space="preserve">9. PERSEGUIÇÃO SISTEMÁTICA NO AMBIENTE DE TRABALHO - </w:t>
            </w:r>
            <w:r w:rsidRPr="0002739D">
              <w:rPr>
                <w:rStyle w:val="Hyperlink"/>
                <w:i/>
                <w:iCs/>
                <w:noProof/>
              </w:rPr>
              <w:t>STALKING</w:t>
            </w:r>
            <w:r w:rsidRPr="0002739D">
              <w:rPr>
                <w:rStyle w:val="Hyperlink"/>
                <w:noProof/>
              </w:rPr>
              <w:t>: O ART. 147-A DO CÓDIGO PENAL E O ENQUADRAMENTO DISCIPLINAR</w:t>
            </w:r>
            <w:r>
              <w:rPr>
                <w:noProof/>
              </w:rPr>
              <w:tab/>
            </w:r>
            <w:r>
              <w:rPr>
                <w:noProof/>
              </w:rPr>
              <w:fldChar w:fldCharType="begin"/>
            </w:r>
            <w:r>
              <w:rPr>
                <w:noProof/>
              </w:rPr>
              <w:instrText xml:space="preserve"> PAGEREF _Toc238022098 \h </w:instrText>
            </w:r>
            <w:r>
              <w:rPr>
                <w:noProof/>
              </w:rPr>
            </w:r>
            <w:r>
              <w:rPr>
                <w:noProof/>
              </w:rPr>
              <w:fldChar w:fldCharType="separate"/>
            </w:r>
            <w:r>
              <w:rPr>
                <w:noProof/>
              </w:rPr>
              <w:t>103</w:t>
            </w:r>
            <w:r>
              <w:rPr>
                <w:noProof/>
              </w:rPr>
              <w:fldChar w:fldCharType="end"/>
            </w:r>
          </w:hyperlink>
        </w:p>
        <w:p w14:paraId="4F270856" w14:textId="4431E41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099" w:history="1">
            <w:r w:rsidRPr="0002739D">
              <w:rPr>
                <w:rStyle w:val="Hyperlink"/>
                <w:noProof/>
              </w:rPr>
              <w:t>9.1 A criação do tipo penal e seu significado para o direito disciplinar</w:t>
            </w:r>
            <w:r>
              <w:rPr>
                <w:noProof/>
              </w:rPr>
              <w:tab/>
            </w:r>
            <w:r>
              <w:rPr>
                <w:noProof/>
              </w:rPr>
              <w:fldChar w:fldCharType="begin"/>
            </w:r>
            <w:r>
              <w:rPr>
                <w:noProof/>
              </w:rPr>
              <w:instrText xml:space="preserve"> PAGEREF _Toc238022099 \h </w:instrText>
            </w:r>
            <w:r>
              <w:rPr>
                <w:noProof/>
              </w:rPr>
            </w:r>
            <w:r>
              <w:rPr>
                <w:noProof/>
              </w:rPr>
              <w:fldChar w:fldCharType="separate"/>
            </w:r>
            <w:r>
              <w:rPr>
                <w:noProof/>
              </w:rPr>
              <w:t>103</w:t>
            </w:r>
            <w:r>
              <w:rPr>
                <w:noProof/>
              </w:rPr>
              <w:fldChar w:fldCharType="end"/>
            </w:r>
          </w:hyperlink>
        </w:p>
        <w:p w14:paraId="2777B69E" w14:textId="7C152DB9"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00" w:history="1">
            <w:r w:rsidRPr="0002739D">
              <w:rPr>
                <w:rStyle w:val="Hyperlink"/>
                <w:noProof/>
              </w:rPr>
              <w:t xml:space="preserve">9.2 O fenômeno do </w:t>
            </w:r>
            <w:r w:rsidRPr="0002739D">
              <w:rPr>
                <w:rStyle w:val="Hyperlink"/>
                <w:i/>
                <w:iCs/>
                <w:noProof/>
              </w:rPr>
              <w:t>stalking</w:t>
            </w:r>
            <w:r w:rsidRPr="0002739D">
              <w:rPr>
                <w:rStyle w:val="Hyperlink"/>
                <w:noProof/>
              </w:rPr>
              <w:t>: do reconhecimento clínico ao enquadramento jurídico</w:t>
            </w:r>
            <w:r>
              <w:rPr>
                <w:noProof/>
              </w:rPr>
              <w:tab/>
            </w:r>
            <w:r>
              <w:rPr>
                <w:noProof/>
              </w:rPr>
              <w:fldChar w:fldCharType="begin"/>
            </w:r>
            <w:r>
              <w:rPr>
                <w:noProof/>
              </w:rPr>
              <w:instrText xml:space="preserve"> PAGEREF _Toc238022100 \h </w:instrText>
            </w:r>
            <w:r>
              <w:rPr>
                <w:noProof/>
              </w:rPr>
            </w:r>
            <w:r>
              <w:rPr>
                <w:noProof/>
              </w:rPr>
              <w:fldChar w:fldCharType="separate"/>
            </w:r>
            <w:r>
              <w:rPr>
                <w:noProof/>
              </w:rPr>
              <w:t>103</w:t>
            </w:r>
            <w:r>
              <w:rPr>
                <w:noProof/>
              </w:rPr>
              <w:fldChar w:fldCharType="end"/>
            </w:r>
          </w:hyperlink>
        </w:p>
        <w:p w14:paraId="36A58A0A" w14:textId="2473CC4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01" w:history="1">
            <w:r w:rsidRPr="0002739D">
              <w:rPr>
                <w:rStyle w:val="Hyperlink"/>
                <w:noProof/>
              </w:rPr>
              <w:t>9.3 Conceito jurídico e elementos constitutivos do art. 147-A do Código Penal</w:t>
            </w:r>
            <w:r>
              <w:rPr>
                <w:noProof/>
              </w:rPr>
              <w:tab/>
            </w:r>
            <w:r>
              <w:rPr>
                <w:noProof/>
              </w:rPr>
              <w:fldChar w:fldCharType="begin"/>
            </w:r>
            <w:r>
              <w:rPr>
                <w:noProof/>
              </w:rPr>
              <w:instrText xml:space="preserve"> PAGEREF _Toc238022101 \h </w:instrText>
            </w:r>
            <w:r>
              <w:rPr>
                <w:noProof/>
              </w:rPr>
            </w:r>
            <w:r>
              <w:rPr>
                <w:noProof/>
              </w:rPr>
              <w:fldChar w:fldCharType="separate"/>
            </w:r>
            <w:r>
              <w:rPr>
                <w:noProof/>
              </w:rPr>
              <w:t>104</w:t>
            </w:r>
            <w:r>
              <w:rPr>
                <w:noProof/>
              </w:rPr>
              <w:fldChar w:fldCharType="end"/>
            </w:r>
          </w:hyperlink>
        </w:p>
        <w:p w14:paraId="07AD75C8" w14:textId="35824399"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02" w:history="1">
            <w:r w:rsidRPr="0002739D">
              <w:rPr>
                <w:rStyle w:val="Hyperlink"/>
                <w:noProof/>
              </w:rPr>
              <w:t>9.4 Distinção em relação ao assédio moral e à ameaça</w:t>
            </w:r>
            <w:r>
              <w:rPr>
                <w:noProof/>
              </w:rPr>
              <w:tab/>
            </w:r>
            <w:r>
              <w:rPr>
                <w:noProof/>
              </w:rPr>
              <w:fldChar w:fldCharType="begin"/>
            </w:r>
            <w:r>
              <w:rPr>
                <w:noProof/>
              </w:rPr>
              <w:instrText xml:space="preserve"> PAGEREF _Toc238022102 \h </w:instrText>
            </w:r>
            <w:r>
              <w:rPr>
                <w:noProof/>
              </w:rPr>
            </w:r>
            <w:r>
              <w:rPr>
                <w:noProof/>
              </w:rPr>
              <w:fldChar w:fldCharType="separate"/>
            </w:r>
            <w:r>
              <w:rPr>
                <w:noProof/>
              </w:rPr>
              <w:t>105</w:t>
            </w:r>
            <w:r>
              <w:rPr>
                <w:noProof/>
              </w:rPr>
              <w:fldChar w:fldCharType="end"/>
            </w:r>
          </w:hyperlink>
        </w:p>
        <w:p w14:paraId="248C2C76" w14:textId="72C2C2A3"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03" w:history="1">
            <w:r w:rsidRPr="0002739D">
              <w:rPr>
                <w:rStyle w:val="Hyperlink"/>
                <w:noProof/>
              </w:rPr>
              <w:t>9.5 O elemento essencial: a reiteração e como identificá-la</w:t>
            </w:r>
            <w:r>
              <w:rPr>
                <w:noProof/>
              </w:rPr>
              <w:tab/>
            </w:r>
            <w:r>
              <w:rPr>
                <w:noProof/>
              </w:rPr>
              <w:fldChar w:fldCharType="begin"/>
            </w:r>
            <w:r>
              <w:rPr>
                <w:noProof/>
              </w:rPr>
              <w:instrText xml:space="preserve"> PAGEREF _Toc238022103 \h </w:instrText>
            </w:r>
            <w:r>
              <w:rPr>
                <w:noProof/>
              </w:rPr>
            </w:r>
            <w:r>
              <w:rPr>
                <w:noProof/>
              </w:rPr>
              <w:fldChar w:fldCharType="separate"/>
            </w:r>
            <w:r>
              <w:rPr>
                <w:noProof/>
              </w:rPr>
              <w:t>106</w:t>
            </w:r>
            <w:r>
              <w:rPr>
                <w:noProof/>
              </w:rPr>
              <w:fldChar w:fldCharType="end"/>
            </w:r>
          </w:hyperlink>
        </w:p>
        <w:p w14:paraId="30926430" w14:textId="24D48A8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04" w:history="1">
            <w:r w:rsidRPr="0002739D">
              <w:rPr>
                <w:rStyle w:val="Hyperlink"/>
                <w:noProof/>
              </w:rPr>
              <w:t>9.6 Os meios funcionais de perseguição</w:t>
            </w:r>
            <w:r>
              <w:rPr>
                <w:noProof/>
              </w:rPr>
              <w:tab/>
            </w:r>
            <w:r>
              <w:rPr>
                <w:noProof/>
              </w:rPr>
              <w:fldChar w:fldCharType="begin"/>
            </w:r>
            <w:r>
              <w:rPr>
                <w:noProof/>
              </w:rPr>
              <w:instrText xml:space="preserve"> PAGEREF _Toc238022104 \h </w:instrText>
            </w:r>
            <w:r>
              <w:rPr>
                <w:noProof/>
              </w:rPr>
            </w:r>
            <w:r>
              <w:rPr>
                <w:noProof/>
              </w:rPr>
              <w:fldChar w:fldCharType="separate"/>
            </w:r>
            <w:r>
              <w:rPr>
                <w:noProof/>
              </w:rPr>
              <w:t>106</w:t>
            </w:r>
            <w:r>
              <w:rPr>
                <w:noProof/>
              </w:rPr>
              <w:fldChar w:fldCharType="end"/>
            </w:r>
          </w:hyperlink>
        </w:p>
        <w:p w14:paraId="7B1A5D8D" w14:textId="4C3AE2AF"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05" w:history="1">
            <w:r w:rsidRPr="0002739D">
              <w:rPr>
                <w:rStyle w:val="Hyperlink"/>
                <w:noProof/>
              </w:rPr>
              <w:t xml:space="preserve">9.7 O dano específico do </w:t>
            </w:r>
            <w:r w:rsidRPr="0002739D">
              <w:rPr>
                <w:rStyle w:val="Hyperlink"/>
                <w:i/>
                <w:iCs/>
                <w:noProof/>
              </w:rPr>
              <w:t>stalking</w:t>
            </w:r>
            <w:r>
              <w:rPr>
                <w:noProof/>
              </w:rPr>
              <w:tab/>
            </w:r>
            <w:r>
              <w:rPr>
                <w:noProof/>
              </w:rPr>
              <w:fldChar w:fldCharType="begin"/>
            </w:r>
            <w:r>
              <w:rPr>
                <w:noProof/>
              </w:rPr>
              <w:instrText xml:space="preserve"> PAGEREF _Toc238022105 \h </w:instrText>
            </w:r>
            <w:r>
              <w:rPr>
                <w:noProof/>
              </w:rPr>
            </w:r>
            <w:r>
              <w:rPr>
                <w:noProof/>
              </w:rPr>
              <w:fldChar w:fldCharType="separate"/>
            </w:r>
            <w:r>
              <w:rPr>
                <w:noProof/>
              </w:rPr>
              <w:t>107</w:t>
            </w:r>
            <w:r>
              <w:rPr>
                <w:noProof/>
              </w:rPr>
              <w:fldChar w:fldCharType="end"/>
            </w:r>
          </w:hyperlink>
        </w:p>
        <w:p w14:paraId="3D83DB71" w14:textId="3524F97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06" w:history="1">
            <w:r w:rsidRPr="0002739D">
              <w:rPr>
                <w:rStyle w:val="Hyperlink"/>
                <w:noProof/>
              </w:rPr>
              <w:t>9.8 O enquadramento disciplinar</w:t>
            </w:r>
            <w:r>
              <w:rPr>
                <w:noProof/>
              </w:rPr>
              <w:tab/>
            </w:r>
            <w:r>
              <w:rPr>
                <w:noProof/>
              </w:rPr>
              <w:fldChar w:fldCharType="begin"/>
            </w:r>
            <w:r>
              <w:rPr>
                <w:noProof/>
              </w:rPr>
              <w:instrText xml:space="preserve"> PAGEREF _Toc238022106 \h </w:instrText>
            </w:r>
            <w:r>
              <w:rPr>
                <w:noProof/>
              </w:rPr>
            </w:r>
            <w:r>
              <w:rPr>
                <w:noProof/>
              </w:rPr>
              <w:fldChar w:fldCharType="separate"/>
            </w:r>
            <w:r>
              <w:rPr>
                <w:noProof/>
              </w:rPr>
              <w:t>108</w:t>
            </w:r>
            <w:r>
              <w:rPr>
                <w:noProof/>
              </w:rPr>
              <w:fldChar w:fldCharType="end"/>
            </w:r>
          </w:hyperlink>
        </w:p>
        <w:p w14:paraId="06864337" w14:textId="51282B68"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07" w:history="1">
            <w:r w:rsidRPr="0002739D">
              <w:rPr>
                <w:rStyle w:val="Hyperlink"/>
                <w:noProof/>
              </w:rPr>
              <w:t>9.9 A cumulatividade com outros eixos</w:t>
            </w:r>
            <w:r>
              <w:rPr>
                <w:noProof/>
              </w:rPr>
              <w:tab/>
            </w:r>
            <w:r>
              <w:rPr>
                <w:noProof/>
              </w:rPr>
              <w:fldChar w:fldCharType="begin"/>
            </w:r>
            <w:r>
              <w:rPr>
                <w:noProof/>
              </w:rPr>
              <w:instrText xml:space="preserve"> PAGEREF _Toc238022107 \h </w:instrText>
            </w:r>
            <w:r>
              <w:rPr>
                <w:noProof/>
              </w:rPr>
            </w:r>
            <w:r>
              <w:rPr>
                <w:noProof/>
              </w:rPr>
              <w:fldChar w:fldCharType="separate"/>
            </w:r>
            <w:r>
              <w:rPr>
                <w:noProof/>
              </w:rPr>
              <w:t>109</w:t>
            </w:r>
            <w:r>
              <w:rPr>
                <w:noProof/>
              </w:rPr>
              <w:fldChar w:fldCharType="end"/>
            </w:r>
          </w:hyperlink>
        </w:p>
        <w:p w14:paraId="67CD3B31" w14:textId="2444040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08" w:history="1">
            <w:r w:rsidRPr="0002739D">
              <w:rPr>
                <w:rStyle w:val="Hyperlink"/>
                <w:noProof/>
              </w:rPr>
              <w:t>9.10 Síntese operacional: o Eixo 8 da ferramenta Integritas</w:t>
            </w:r>
            <w:r>
              <w:rPr>
                <w:noProof/>
              </w:rPr>
              <w:tab/>
            </w:r>
            <w:r>
              <w:rPr>
                <w:noProof/>
              </w:rPr>
              <w:fldChar w:fldCharType="begin"/>
            </w:r>
            <w:r>
              <w:rPr>
                <w:noProof/>
              </w:rPr>
              <w:instrText xml:space="preserve"> PAGEREF _Toc238022108 \h </w:instrText>
            </w:r>
            <w:r>
              <w:rPr>
                <w:noProof/>
              </w:rPr>
            </w:r>
            <w:r>
              <w:rPr>
                <w:noProof/>
              </w:rPr>
              <w:fldChar w:fldCharType="separate"/>
            </w:r>
            <w:r>
              <w:rPr>
                <w:noProof/>
              </w:rPr>
              <w:t>109</w:t>
            </w:r>
            <w:r>
              <w:rPr>
                <w:noProof/>
              </w:rPr>
              <w:fldChar w:fldCharType="end"/>
            </w:r>
          </w:hyperlink>
        </w:p>
        <w:p w14:paraId="4764B911" w14:textId="29097168"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09" w:history="1">
            <w:r w:rsidRPr="0002739D">
              <w:rPr>
                <w:rStyle w:val="Hyperlink"/>
                <w:noProof/>
              </w:rPr>
              <w:t>10. COMO USAR A FERRAMENTA INTEGRITAS: GUIA PASSO A PASSO PARA O ANALISTA</w:t>
            </w:r>
            <w:r>
              <w:rPr>
                <w:noProof/>
              </w:rPr>
              <w:tab/>
            </w:r>
            <w:r>
              <w:rPr>
                <w:noProof/>
              </w:rPr>
              <w:fldChar w:fldCharType="begin"/>
            </w:r>
            <w:r>
              <w:rPr>
                <w:noProof/>
              </w:rPr>
              <w:instrText xml:space="preserve"> PAGEREF _Toc238022109 \h </w:instrText>
            </w:r>
            <w:r>
              <w:rPr>
                <w:noProof/>
              </w:rPr>
            </w:r>
            <w:r>
              <w:rPr>
                <w:noProof/>
              </w:rPr>
              <w:fldChar w:fldCharType="separate"/>
            </w:r>
            <w:r>
              <w:rPr>
                <w:noProof/>
              </w:rPr>
              <w:t>112</w:t>
            </w:r>
            <w:r>
              <w:rPr>
                <w:noProof/>
              </w:rPr>
              <w:fldChar w:fldCharType="end"/>
            </w:r>
          </w:hyperlink>
        </w:p>
        <w:p w14:paraId="7E1C9B16" w14:textId="2CE39045"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10" w:history="1">
            <w:r w:rsidRPr="0002739D">
              <w:rPr>
                <w:rStyle w:val="Hyperlink"/>
                <w:noProof/>
              </w:rPr>
              <w:t>Antes de abrir a ferramenta: o que você precisa ter em mãos</w:t>
            </w:r>
            <w:r>
              <w:rPr>
                <w:noProof/>
              </w:rPr>
              <w:tab/>
            </w:r>
            <w:r>
              <w:rPr>
                <w:noProof/>
              </w:rPr>
              <w:fldChar w:fldCharType="begin"/>
            </w:r>
            <w:r>
              <w:rPr>
                <w:noProof/>
              </w:rPr>
              <w:instrText xml:space="preserve"> PAGEREF _Toc238022110 \h </w:instrText>
            </w:r>
            <w:r>
              <w:rPr>
                <w:noProof/>
              </w:rPr>
            </w:r>
            <w:r>
              <w:rPr>
                <w:noProof/>
              </w:rPr>
              <w:fldChar w:fldCharType="separate"/>
            </w:r>
            <w:r>
              <w:rPr>
                <w:noProof/>
              </w:rPr>
              <w:t>112</w:t>
            </w:r>
            <w:r>
              <w:rPr>
                <w:noProof/>
              </w:rPr>
              <w:fldChar w:fldCharType="end"/>
            </w:r>
          </w:hyperlink>
        </w:p>
        <w:p w14:paraId="2A7699FF" w14:textId="13D7B489"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11" w:history="1">
            <w:r w:rsidRPr="0002739D">
              <w:rPr>
                <w:rStyle w:val="Hyperlink"/>
                <w:noProof/>
              </w:rPr>
              <w:t>PASSO 1, Tela de identificação do caso</w:t>
            </w:r>
            <w:r>
              <w:rPr>
                <w:noProof/>
              </w:rPr>
              <w:tab/>
            </w:r>
            <w:r>
              <w:rPr>
                <w:noProof/>
              </w:rPr>
              <w:fldChar w:fldCharType="begin"/>
            </w:r>
            <w:r>
              <w:rPr>
                <w:noProof/>
              </w:rPr>
              <w:instrText xml:space="preserve"> PAGEREF _Toc238022111 \h </w:instrText>
            </w:r>
            <w:r>
              <w:rPr>
                <w:noProof/>
              </w:rPr>
            </w:r>
            <w:r>
              <w:rPr>
                <w:noProof/>
              </w:rPr>
              <w:fldChar w:fldCharType="separate"/>
            </w:r>
            <w:r>
              <w:rPr>
                <w:noProof/>
              </w:rPr>
              <w:t>112</w:t>
            </w:r>
            <w:r>
              <w:rPr>
                <w:noProof/>
              </w:rPr>
              <w:fldChar w:fldCharType="end"/>
            </w:r>
          </w:hyperlink>
        </w:p>
        <w:p w14:paraId="22FEA0FB" w14:textId="040E725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12" w:history="1">
            <w:r w:rsidRPr="0002739D">
              <w:rPr>
                <w:rStyle w:val="Hyperlink"/>
                <w:noProof/>
              </w:rPr>
              <w:t>PASSO 2, Descrição da conduta</w:t>
            </w:r>
            <w:r>
              <w:rPr>
                <w:noProof/>
              </w:rPr>
              <w:tab/>
            </w:r>
            <w:r>
              <w:rPr>
                <w:noProof/>
              </w:rPr>
              <w:fldChar w:fldCharType="begin"/>
            </w:r>
            <w:r>
              <w:rPr>
                <w:noProof/>
              </w:rPr>
              <w:instrText xml:space="preserve"> PAGEREF _Toc238022112 \h </w:instrText>
            </w:r>
            <w:r>
              <w:rPr>
                <w:noProof/>
              </w:rPr>
            </w:r>
            <w:r>
              <w:rPr>
                <w:noProof/>
              </w:rPr>
              <w:fldChar w:fldCharType="separate"/>
            </w:r>
            <w:r>
              <w:rPr>
                <w:noProof/>
              </w:rPr>
              <w:t>112</w:t>
            </w:r>
            <w:r>
              <w:rPr>
                <w:noProof/>
              </w:rPr>
              <w:fldChar w:fldCharType="end"/>
            </w:r>
          </w:hyperlink>
        </w:p>
        <w:p w14:paraId="1D7292C1" w14:textId="530C8BC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13" w:history="1">
            <w:r w:rsidRPr="0002739D">
              <w:rPr>
                <w:rStyle w:val="Hyperlink"/>
                <w:noProof/>
              </w:rPr>
              <w:t>PASSO 3, Seleção do eixo</w:t>
            </w:r>
            <w:r>
              <w:rPr>
                <w:noProof/>
              </w:rPr>
              <w:tab/>
            </w:r>
            <w:r>
              <w:rPr>
                <w:noProof/>
              </w:rPr>
              <w:fldChar w:fldCharType="begin"/>
            </w:r>
            <w:r>
              <w:rPr>
                <w:noProof/>
              </w:rPr>
              <w:instrText xml:space="preserve"> PAGEREF _Toc238022113 \h </w:instrText>
            </w:r>
            <w:r>
              <w:rPr>
                <w:noProof/>
              </w:rPr>
            </w:r>
            <w:r>
              <w:rPr>
                <w:noProof/>
              </w:rPr>
              <w:fldChar w:fldCharType="separate"/>
            </w:r>
            <w:r>
              <w:rPr>
                <w:noProof/>
              </w:rPr>
              <w:t>112</w:t>
            </w:r>
            <w:r>
              <w:rPr>
                <w:noProof/>
              </w:rPr>
              <w:fldChar w:fldCharType="end"/>
            </w:r>
          </w:hyperlink>
        </w:p>
        <w:p w14:paraId="4F74BA39" w14:textId="5D38C69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14" w:history="1">
            <w:r w:rsidRPr="0002739D">
              <w:rPr>
                <w:rStyle w:val="Hyperlink"/>
                <w:noProof/>
              </w:rPr>
              <w:t>PASSO 4, O percurso de perguntas</w:t>
            </w:r>
            <w:r>
              <w:rPr>
                <w:noProof/>
              </w:rPr>
              <w:tab/>
            </w:r>
            <w:r>
              <w:rPr>
                <w:noProof/>
              </w:rPr>
              <w:fldChar w:fldCharType="begin"/>
            </w:r>
            <w:r>
              <w:rPr>
                <w:noProof/>
              </w:rPr>
              <w:instrText xml:space="preserve"> PAGEREF _Toc238022114 \h </w:instrText>
            </w:r>
            <w:r>
              <w:rPr>
                <w:noProof/>
              </w:rPr>
            </w:r>
            <w:r>
              <w:rPr>
                <w:noProof/>
              </w:rPr>
              <w:fldChar w:fldCharType="separate"/>
            </w:r>
            <w:r>
              <w:rPr>
                <w:noProof/>
              </w:rPr>
              <w:t>113</w:t>
            </w:r>
            <w:r>
              <w:rPr>
                <w:noProof/>
              </w:rPr>
              <w:fldChar w:fldCharType="end"/>
            </w:r>
          </w:hyperlink>
        </w:p>
        <w:p w14:paraId="4C18FAD1" w14:textId="12EACF3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15" w:history="1">
            <w:r w:rsidRPr="0002739D">
              <w:rPr>
                <w:rStyle w:val="Hyperlink"/>
                <w:noProof/>
              </w:rPr>
              <w:t>PASSO 5, O gate de confirmação demissória</w:t>
            </w:r>
            <w:r>
              <w:rPr>
                <w:noProof/>
              </w:rPr>
              <w:tab/>
            </w:r>
            <w:r>
              <w:rPr>
                <w:noProof/>
              </w:rPr>
              <w:fldChar w:fldCharType="begin"/>
            </w:r>
            <w:r>
              <w:rPr>
                <w:noProof/>
              </w:rPr>
              <w:instrText xml:space="preserve"> PAGEREF _Toc238022115 \h </w:instrText>
            </w:r>
            <w:r>
              <w:rPr>
                <w:noProof/>
              </w:rPr>
            </w:r>
            <w:r>
              <w:rPr>
                <w:noProof/>
              </w:rPr>
              <w:fldChar w:fldCharType="separate"/>
            </w:r>
            <w:r>
              <w:rPr>
                <w:noProof/>
              </w:rPr>
              <w:t>113</w:t>
            </w:r>
            <w:r>
              <w:rPr>
                <w:noProof/>
              </w:rPr>
              <w:fldChar w:fldCharType="end"/>
            </w:r>
          </w:hyperlink>
        </w:p>
        <w:p w14:paraId="755B0328" w14:textId="0FCF6B6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16" w:history="1">
            <w:r w:rsidRPr="0002739D">
              <w:rPr>
                <w:rStyle w:val="Hyperlink"/>
                <w:noProof/>
              </w:rPr>
              <w:t>PASSO 6, O resultado e o bloco de prescrição</w:t>
            </w:r>
            <w:r>
              <w:rPr>
                <w:noProof/>
              </w:rPr>
              <w:tab/>
            </w:r>
            <w:r>
              <w:rPr>
                <w:noProof/>
              </w:rPr>
              <w:fldChar w:fldCharType="begin"/>
            </w:r>
            <w:r>
              <w:rPr>
                <w:noProof/>
              </w:rPr>
              <w:instrText xml:space="preserve"> PAGEREF _Toc238022116 \h </w:instrText>
            </w:r>
            <w:r>
              <w:rPr>
                <w:noProof/>
              </w:rPr>
            </w:r>
            <w:r>
              <w:rPr>
                <w:noProof/>
              </w:rPr>
              <w:fldChar w:fldCharType="separate"/>
            </w:r>
            <w:r>
              <w:rPr>
                <w:noProof/>
              </w:rPr>
              <w:t>113</w:t>
            </w:r>
            <w:r>
              <w:rPr>
                <w:noProof/>
              </w:rPr>
              <w:fldChar w:fldCharType="end"/>
            </w:r>
          </w:hyperlink>
        </w:p>
        <w:p w14:paraId="3F951090" w14:textId="5B37620C"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17" w:history="1">
            <w:r w:rsidRPr="0002739D">
              <w:rPr>
                <w:rStyle w:val="Hyperlink"/>
                <w:noProof/>
              </w:rPr>
              <w:t>PASSO 7, O relatório</w:t>
            </w:r>
            <w:r>
              <w:rPr>
                <w:noProof/>
              </w:rPr>
              <w:tab/>
            </w:r>
            <w:r>
              <w:rPr>
                <w:noProof/>
              </w:rPr>
              <w:fldChar w:fldCharType="begin"/>
            </w:r>
            <w:r>
              <w:rPr>
                <w:noProof/>
              </w:rPr>
              <w:instrText xml:space="preserve"> PAGEREF _Toc238022117 \h </w:instrText>
            </w:r>
            <w:r>
              <w:rPr>
                <w:noProof/>
              </w:rPr>
            </w:r>
            <w:r>
              <w:rPr>
                <w:noProof/>
              </w:rPr>
              <w:fldChar w:fldCharType="separate"/>
            </w:r>
            <w:r>
              <w:rPr>
                <w:noProof/>
              </w:rPr>
              <w:t>113</w:t>
            </w:r>
            <w:r>
              <w:rPr>
                <w:noProof/>
              </w:rPr>
              <w:fldChar w:fldCharType="end"/>
            </w:r>
          </w:hyperlink>
        </w:p>
        <w:p w14:paraId="54A9480B" w14:textId="3B709B3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18" w:history="1">
            <w:r w:rsidRPr="0002739D">
              <w:rPr>
                <w:rStyle w:val="Hyperlink"/>
                <w:noProof/>
              </w:rPr>
              <w:t>PASSO 8, Múltiplas condutas no mesmo caso</w:t>
            </w:r>
            <w:r>
              <w:rPr>
                <w:noProof/>
              </w:rPr>
              <w:tab/>
            </w:r>
            <w:r>
              <w:rPr>
                <w:noProof/>
              </w:rPr>
              <w:fldChar w:fldCharType="begin"/>
            </w:r>
            <w:r>
              <w:rPr>
                <w:noProof/>
              </w:rPr>
              <w:instrText xml:space="preserve"> PAGEREF _Toc238022118 \h </w:instrText>
            </w:r>
            <w:r>
              <w:rPr>
                <w:noProof/>
              </w:rPr>
            </w:r>
            <w:r>
              <w:rPr>
                <w:noProof/>
              </w:rPr>
              <w:fldChar w:fldCharType="separate"/>
            </w:r>
            <w:r>
              <w:rPr>
                <w:noProof/>
              </w:rPr>
              <w:t>113</w:t>
            </w:r>
            <w:r>
              <w:rPr>
                <w:noProof/>
              </w:rPr>
              <w:fldChar w:fldCharType="end"/>
            </w:r>
          </w:hyperlink>
        </w:p>
        <w:p w14:paraId="7D3D9EC4" w14:textId="2F5EFC8F"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19" w:history="1">
            <w:r w:rsidRPr="0002739D">
              <w:rPr>
                <w:rStyle w:val="Hyperlink"/>
                <w:noProof/>
              </w:rPr>
              <w:t>PASSO 9, Retomada de sessão</w:t>
            </w:r>
            <w:r>
              <w:rPr>
                <w:noProof/>
              </w:rPr>
              <w:tab/>
            </w:r>
            <w:r>
              <w:rPr>
                <w:noProof/>
              </w:rPr>
              <w:fldChar w:fldCharType="begin"/>
            </w:r>
            <w:r>
              <w:rPr>
                <w:noProof/>
              </w:rPr>
              <w:instrText xml:space="preserve"> PAGEREF _Toc238022119 \h </w:instrText>
            </w:r>
            <w:r>
              <w:rPr>
                <w:noProof/>
              </w:rPr>
            </w:r>
            <w:r>
              <w:rPr>
                <w:noProof/>
              </w:rPr>
              <w:fldChar w:fldCharType="separate"/>
            </w:r>
            <w:r>
              <w:rPr>
                <w:noProof/>
              </w:rPr>
              <w:t>114</w:t>
            </w:r>
            <w:r>
              <w:rPr>
                <w:noProof/>
              </w:rPr>
              <w:fldChar w:fldCharType="end"/>
            </w:r>
          </w:hyperlink>
        </w:p>
        <w:p w14:paraId="4000BE10" w14:textId="6363F71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20" w:history="1">
            <w:r w:rsidRPr="0002739D">
              <w:rPr>
                <w:rStyle w:val="Hyperlink"/>
                <w:noProof/>
              </w:rPr>
              <w:t>Referência rápida: o que fazer em cada situação</w:t>
            </w:r>
            <w:r>
              <w:rPr>
                <w:noProof/>
              </w:rPr>
              <w:tab/>
            </w:r>
            <w:r>
              <w:rPr>
                <w:noProof/>
              </w:rPr>
              <w:fldChar w:fldCharType="begin"/>
            </w:r>
            <w:r>
              <w:rPr>
                <w:noProof/>
              </w:rPr>
              <w:instrText xml:space="preserve"> PAGEREF _Toc238022120 \h </w:instrText>
            </w:r>
            <w:r>
              <w:rPr>
                <w:noProof/>
              </w:rPr>
            </w:r>
            <w:r>
              <w:rPr>
                <w:noProof/>
              </w:rPr>
              <w:fldChar w:fldCharType="separate"/>
            </w:r>
            <w:r>
              <w:rPr>
                <w:noProof/>
              </w:rPr>
              <w:t>114</w:t>
            </w:r>
            <w:r>
              <w:rPr>
                <w:noProof/>
              </w:rPr>
              <w:fldChar w:fldCharType="end"/>
            </w:r>
          </w:hyperlink>
        </w:p>
        <w:p w14:paraId="77884533" w14:textId="5F75197E"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21" w:history="1">
            <w:r w:rsidRPr="0002739D">
              <w:rPr>
                <w:rStyle w:val="Hyperlink"/>
                <w:noProof/>
              </w:rPr>
              <w:t>11. EIXO 1: AGRESSÃO FÍSICA (ART. 132, VII), GUIA DE USO</w:t>
            </w:r>
            <w:r>
              <w:rPr>
                <w:noProof/>
              </w:rPr>
              <w:tab/>
            </w:r>
            <w:r>
              <w:rPr>
                <w:noProof/>
              </w:rPr>
              <w:fldChar w:fldCharType="begin"/>
            </w:r>
            <w:r>
              <w:rPr>
                <w:noProof/>
              </w:rPr>
              <w:instrText xml:space="preserve"> PAGEREF _Toc238022121 \h </w:instrText>
            </w:r>
            <w:r>
              <w:rPr>
                <w:noProof/>
              </w:rPr>
            </w:r>
            <w:r>
              <w:rPr>
                <w:noProof/>
              </w:rPr>
              <w:fldChar w:fldCharType="separate"/>
            </w:r>
            <w:r>
              <w:rPr>
                <w:noProof/>
              </w:rPr>
              <w:t>115</w:t>
            </w:r>
            <w:r>
              <w:rPr>
                <w:noProof/>
              </w:rPr>
              <w:fldChar w:fldCharType="end"/>
            </w:r>
          </w:hyperlink>
        </w:p>
        <w:p w14:paraId="41D3AA1E" w14:textId="3CB57BF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22" w:history="1">
            <w:r w:rsidRPr="0002739D">
              <w:rPr>
                <w:rStyle w:val="Hyperlink"/>
                <w:noProof/>
              </w:rPr>
              <w:t>P1, A agressão ocorreu durante o exercício das funções ou em contexto diretamente relacionado ao serviço?</w:t>
            </w:r>
            <w:r>
              <w:rPr>
                <w:noProof/>
              </w:rPr>
              <w:tab/>
            </w:r>
            <w:r>
              <w:rPr>
                <w:noProof/>
              </w:rPr>
              <w:fldChar w:fldCharType="begin"/>
            </w:r>
            <w:r>
              <w:rPr>
                <w:noProof/>
              </w:rPr>
              <w:instrText xml:space="preserve"> PAGEREF _Toc238022122 \h </w:instrText>
            </w:r>
            <w:r>
              <w:rPr>
                <w:noProof/>
              </w:rPr>
            </w:r>
            <w:r>
              <w:rPr>
                <w:noProof/>
              </w:rPr>
              <w:fldChar w:fldCharType="separate"/>
            </w:r>
            <w:r>
              <w:rPr>
                <w:noProof/>
              </w:rPr>
              <w:t>116</w:t>
            </w:r>
            <w:r>
              <w:rPr>
                <w:noProof/>
              </w:rPr>
              <w:fldChar w:fldCharType="end"/>
            </w:r>
          </w:hyperlink>
        </w:p>
        <w:p w14:paraId="70320CA6" w14:textId="47925CD3"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23" w:history="1">
            <w:r w:rsidRPr="0002739D">
              <w:rPr>
                <w:rStyle w:val="Hyperlink"/>
                <w:noProof/>
              </w:rPr>
              <w:t>P1-B, A agressão praticada fora do contexto funcional produziu repercussão funcional concreta?</w:t>
            </w:r>
            <w:r>
              <w:rPr>
                <w:noProof/>
              </w:rPr>
              <w:tab/>
            </w:r>
            <w:r>
              <w:rPr>
                <w:noProof/>
              </w:rPr>
              <w:fldChar w:fldCharType="begin"/>
            </w:r>
            <w:r>
              <w:rPr>
                <w:noProof/>
              </w:rPr>
              <w:instrText xml:space="preserve"> PAGEREF _Toc238022123 \h </w:instrText>
            </w:r>
            <w:r>
              <w:rPr>
                <w:noProof/>
              </w:rPr>
            </w:r>
            <w:r>
              <w:rPr>
                <w:noProof/>
              </w:rPr>
              <w:fldChar w:fldCharType="separate"/>
            </w:r>
            <w:r>
              <w:rPr>
                <w:noProof/>
              </w:rPr>
              <w:t>117</w:t>
            </w:r>
            <w:r>
              <w:rPr>
                <w:noProof/>
              </w:rPr>
              <w:fldChar w:fldCharType="end"/>
            </w:r>
          </w:hyperlink>
        </w:p>
        <w:p w14:paraId="4B1C2EA5" w14:textId="772FCFFA"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24" w:history="1">
            <w:r w:rsidRPr="0002739D">
              <w:rPr>
                <w:rStyle w:val="Hyperlink"/>
                <w:noProof/>
              </w:rPr>
              <w:t>P2, O contato físico foi intencional?</w:t>
            </w:r>
            <w:r>
              <w:rPr>
                <w:noProof/>
              </w:rPr>
              <w:tab/>
            </w:r>
            <w:r>
              <w:rPr>
                <w:noProof/>
              </w:rPr>
              <w:fldChar w:fldCharType="begin"/>
            </w:r>
            <w:r>
              <w:rPr>
                <w:noProof/>
              </w:rPr>
              <w:instrText xml:space="preserve"> PAGEREF _Toc238022124 \h </w:instrText>
            </w:r>
            <w:r>
              <w:rPr>
                <w:noProof/>
              </w:rPr>
            </w:r>
            <w:r>
              <w:rPr>
                <w:noProof/>
              </w:rPr>
              <w:fldChar w:fldCharType="separate"/>
            </w:r>
            <w:r>
              <w:rPr>
                <w:noProof/>
              </w:rPr>
              <w:t>118</w:t>
            </w:r>
            <w:r>
              <w:rPr>
                <w:noProof/>
              </w:rPr>
              <w:fldChar w:fldCharType="end"/>
            </w:r>
          </w:hyperlink>
        </w:p>
        <w:p w14:paraId="133650FA" w14:textId="4BDC74C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25" w:history="1">
            <w:r w:rsidRPr="0002739D">
              <w:rPr>
                <w:rStyle w:val="Hyperlink"/>
                <w:noProof/>
              </w:rPr>
              <w:t>P3, A agressão ocorreu em legítima defesa própria ou de outrem?</w:t>
            </w:r>
            <w:r>
              <w:rPr>
                <w:noProof/>
              </w:rPr>
              <w:tab/>
            </w:r>
            <w:r>
              <w:rPr>
                <w:noProof/>
              </w:rPr>
              <w:fldChar w:fldCharType="begin"/>
            </w:r>
            <w:r>
              <w:rPr>
                <w:noProof/>
              </w:rPr>
              <w:instrText xml:space="preserve"> PAGEREF _Toc238022125 \h </w:instrText>
            </w:r>
            <w:r>
              <w:rPr>
                <w:noProof/>
              </w:rPr>
            </w:r>
            <w:r>
              <w:rPr>
                <w:noProof/>
              </w:rPr>
              <w:fldChar w:fldCharType="separate"/>
            </w:r>
            <w:r>
              <w:rPr>
                <w:noProof/>
              </w:rPr>
              <w:t>119</w:t>
            </w:r>
            <w:r>
              <w:rPr>
                <w:noProof/>
              </w:rPr>
              <w:fldChar w:fldCharType="end"/>
            </w:r>
          </w:hyperlink>
        </w:p>
        <w:p w14:paraId="25CD42EA" w14:textId="099C3E1C"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26" w:history="1">
            <w:r w:rsidRPr="0002739D">
              <w:rPr>
                <w:rStyle w:val="Hyperlink"/>
                <w:noProof/>
              </w:rPr>
              <w:t>P4, Houve excesso na reação defensiva?</w:t>
            </w:r>
            <w:r>
              <w:rPr>
                <w:noProof/>
              </w:rPr>
              <w:tab/>
            </w:r>
            <w:r>
              <w:rPr>
                <w:noProof/>
              </w:rPr>
              <w:fldChar w:fldCharType="begin"/>
            </w:r>
            <w:r>
              <w:rPr>
                <w:noProof/>
              </w:rPr>
              <w:instrText xml:space="preserve"> PAGEREF _Toc238022126 \h </w:instrText>
            </w:r>
            <w:r>
              <w:rPr>
                <w:noProof/>
              </w:rPr>
            </w:r>
            <w:r>
              <w:rPr>
                <w:noProof/>
              </w:rPr>
              <w:fldChar w:fldCharType="separate"/>
            </w:r>
            <w:r>
              <w:rPr>
                <w:noProof/>
              </w:rPr>
              <w:t>120</w:t>
            </w:r>
            <w:r>
              <w:rPr>
                <w:noProof/>
              </w:rPr>
              <w:fldChar w:fldCharType="end"/>
            </w:r>
          </w:hyperlink>
        </w:p>
        <w:p w14:paraId="4E8CD868" w14:textId="18D67B32"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27" w:history="1">
            <w:r w:rsidRPr="0002739D">
              <w:rPr>
                <w:rStyle w:val="Hyperlink"/>
                <w:noProof/>
              </w:rPr>
              <w:t>12. EIXO 2: AMEAÇA (NT Nº 544/2024), GUIA DE USO</w:t>
            </w:r>
            <w:r>
              <w:rPr>
                <w:noProof/>
              </w:rPr>
              <w:tab/>
            </w:r>
            <w:r>
              <w:rPr>
                <w:noProof/>
              </w:rPr>
              <w:fldChar w:fldCharType="begin"/>
            </w:r>
            <w:r>
              <w:rPr>
                <w:noProof/>
              </w:rPr>
              <w:instrText xml:space="preserve"> PAGEREF _Toc238022127 \h </w:instrText>
            </w:r>
            <w:r>
              <w:rPr>
                <w:noProof/>
              </w:rPr>
            </w:r>
            <w:r>
              <w:rPr>
                <w:noProof/>
              </w:rPr>
              <w:fldChar w:fldCharType="separate"/>
            </w:r>
            <w:r>
              <w:rPr>
                <w:noProof/>
              </w:rPr>
              <w:t>124</w:t>
            </w:r>
            <w:r>
              <w:rPr>
                <w:noProof/>
              </w:rPr>
              <w:fldChar w:fldCharType="end"/>
            </w:r>
          </w:hyperlink>
        </w:p>
        <w:p w14:paraId="0C56FFFA" w14:textId="11B145D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28" w:history="1">
            <w:r w:rsidRPr="0002739D">
              <w:rPr>
                <w:rStyle w:val="Hyperlink"/>
                <w:noProof/>
              </w:rPr>
              <w:t>P1, A conduta consistiu em ameaça, anúncio de mal futuro com intenção de intimidar?</w:t>
            </w:r>
            <w:r>
              <w:rPr>
                <w:noProof/>
              </w:rPr>
              <w:tab/>
            </w:r>
            <w:r>
              <w:rPr>
                <w:noProof/>
              </w:rPr>
              <w:fldChar w:fldCharType="begin"/>
            </w:r>
            <w:r>
              <w:rPr>
                <w:noProof/>
              </w:rPr>
              <w:instrText xml:space="preserve"> PAGEREF _Toc238022128 \h </w:instrText>
            </w:r>
            <w:r>
              <w:rPr>
                <w:noProof/>
              </w:rPr>
            </w:r>
            <w:r>
              <w:rPr>
                <w:noProof/>
              </w:rPr>
              <w:fldChar w:fldCharType="separate"/>
            </w:r>
            <w:r>
              <w:rPr>
                <w:noProof/>
              </w:rPr>
              <w:t>124</w:t>
            </w:r>
            <w:r>
              <w:rPr>
                <w:noProof/>
              </w:rPr>
              <w:fldChar w:fldCharType="end"/>
            </w:r>
          </w:hyperlink>
        </w:p>
        <w:p w14:paraId="00A6C668" w14:textId="5290BFF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29" w:history="1">
            <w:r w:rsidRPr="0002739D">
              <w:rPr>
                <w:rStyle w:val="Hyperlink"/>
                <w:noProof/>
              </w:rPr>
              <w:t>P2, Houve uso do cargo, hierarquia ou poder funcional como instrumento da ameaça?</w:t>
            </w:r>
            <w:r>
              <w:rPr>
                <w:noProof/>
              </w:rPr>
              <w:tab/>
            </w:r>
            <w:r>
              <w:rPr>
                <w:noProof/>
              </w:rPr>
              <w:fldChar w:fldCharType="begin"/>
            </w:r>
            <w:r>
              <w:rPr>
                <w:noProof/>
              </w:rPr>
              <w:instrText xml:space="preserve"> PAGEREF _Toc238022129 \h </w:instrText>
            </w:r>
            <w:r>
              <w:rPr>
                <w:noProof/>
              </w:rPr>
            </w:r>
            <w:r>
              <w:rPr>
                <w:noProof/>
              </w:rPr>
              <w:fldChar w:fldCharType="separate"/>
            </w:r>
            <w:r>
              <w:rPr>
                <w:noProof/>
              </w:rPr>
              <w:t>126</w:t>
            </w:r>
            <w:r>
              <w:rPr>
                <w:noProof/>
              </w:rPr>
              <w:fldChar w:fldCharType="end"/>
            </w:r>
          </w:hyperlink>
        </w:p>
        <w:p w14:paraId="19163A2F" w14:textId="793A2F4C"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30" w:history="1">
            <w:r w:rsidRPr="0002739D">
              <w:rPr>
                <w:rStyle w:val="Hyperlink"/>
                <w:caps/>
                <w:noProof/>
              </w:rPr>
              <w:t>13. EIXO 3: ASSÉDIO SEXUAL E ATOS DE CONOTAÇÃO SEXUAL (NT Nº 3285/2023), GUIA DE USO</w:t>
            </w:r>
            <w:r>
              <w:rPr>
                <w:noProof/>
              </w:rPr>
              <w:tab/>
            </w:r>
            <w:r>
              <w:rPr>
                <w:noProof/>
              </w:rPr>
              <w:fldChar w:fldCharType="begin"/>
            </w:r>
            <w:r>
              <w:rPr>
                <w:noProof/>
              </w:rPr>
              <w:instrText xml:space="preserve"> PAGEREF _Toc238022130 \h </w:instrText>
            </w:r>
            <w:r>
              <w:rPr>
                <w:noProof/>
              </w:rPr>
            </w:r>
            <w:r>
              <w:rPr>
                <w:noProof/>
              </w:rPr>
              <w:fldChar w:fldCharType="separate"/>
            </w:r>
            <w:r>
              <w:rPr>
                <w:noProof/>
              </w:rPr>
              <w:t>129</w:t>
            </w:r>
            <w:r>
              <w:rPr>
                <w:noProof/>
              </w:rPr>
              <w:fldChar w:fldCharType="end"/>
            </w:r>
          </w:hyperlink>
        </w:p>
        <w:p w14:paraId="04C2CB9C" w14:textId="45DC9E28"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31" w:history="1">
            <w:r w:rsidRPr="0002739D">
              <w:rPr>
                <w:rStyle w:val="Hyperlink"/>
                <w:noProof/>
              </w:rPr>
              <w:t>P1, A conduta possui conotação sexual objetivamente identificável?</w:t>
            </w:r>
            <w:r>
              <w:rPr>
                <w:noProof/>
              </w:rPr>
              <w:tab/>
            </w:r>
            <w:r>
              <w:rPr>
                <w:noProof/>
              </w:rPr>
              <w:fldChar w:fldCharType="begin"/>
            </w:r>
            <w:r>
              <w:rPr>
                <w:noProof/>
              </w:rPr>
              <w:instrText xml:space="preserve"> PAGEREF _Toc238022131 \h </w:instrText>
            </w:r>
            <w:r>
              <w:rPr>
                <w:noProof/>
              </w:rPr>
            </w:r>
            <w:r>
              <w:rPr>
                <w:noProof/>
              </w:rPr>
              <w:fldChar w:fldCharType="separate"/>
            </w:r>
            <w:r>
              <w:rPr>
                <w:noProof/>
              </w:rPr>
              <w:t>131</w:t>
            </w:r>
            <w:r>
              <w:rPr>
                <w:noProof/>
              </w:rPr>
              <w:fldChar w:fldCharType="end"/>
            </w:r>
          </w:hyperlink>
        </w:p>
        <w:p w14:paraId="4009D6EF" w14:textId="5732931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32" w:history="1">
            <w:r w:rsidRPr="0002739D">
              <w:rPr>
                <w:rStyle w:val="Hyperlink"/>
                <w:noProof/>
              </w:rPr>
              <w:t>P2, A conduta visava obter favorecimento ou vantagem sexual?</w:t>
            </w:r>
            <w:r>
              <w:rPr>
                <w:noProof/>
              </w:rPr>
              <w:tab/>
            </w:r>
            <w:r>
              <w:rPr>
                <w:noProof/>
              </w:rPr>
              <w:fldChar w:fldCharType="begin"/>
            </w:r>
            <w:r>
              <w:rPr>
                <w:noProof/>
              </w:rPr>
              <w:instrText xml:space="preserve"> PAGEREF _Toc238022132 \h </w:instrText>
            </w:r>
            <w:r>
              <w:rPr>
                <w:noProof/>
              </w:rPr>
            </w:r>
            <w:r>
              <w:rPr>
                <w:noProof/>
              </w:rPr>
              <w:fldChar w:fldCharType="separate"/>
            </w:r>
            <w:r>
              <w:rPr>
                <w:noProof/>
              </w:rPr>
              <w:t>132</w:t>
            </w:r>
            <w:r>
              <w:rPr>
                <w:noProof/>
              </w:rPr>
              <w:fldChar w:fldCharType="end"/>
            </w:r>
          </w:hyperlink>
        </w:p>
        <w:p w14:paraId="548753F2" w14:textId="5952CAF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33" w:history="1">
            <w:r w:rsidRPr="0002739D">
              <w:rPr>
                <w:rStyle w:val="Hyperlink"/>
                <w:noProof/>
              </w:rPr>
              <w:t>P3-A, A conduta foi consentida?</w:t>
            </w:r>
            <w:r>
              <w:rPr>
                <w:noProof/>
              </w:rPr>
              <w:tab/>
            </w:r>
            <w:r>
              <w:rPr>
                <w:noProof/>
              </w:rPr>
              <w:fldChar w:fldCharType="begin"/>
            </w:r>
            <w:r>
              <w:rPr>
                <w:noProof/>
              </w:rPr>
              <w:instrText xml:space="preserve"> PAGEREF _Toc238022133 \h </w:instrText>
            </w:r>
            <w:r>
              <w:rPr>
                <w:noProof/>
              </w:rPr>
            </w:r>
            <w:r>
              <w:rPr>
                <w:noProof/>
              </w:rPr>
              <w:fldChar w:fldCharType="separate"/>
            </w:r>
            <w:r>
              <w:rPr>
                <w:noProof/>
              </w:rPr>
              <w:t>133</w:t>
            </w:r>
            <w:r>
              <w:rPr>
                <w:noProof/>
              </w:rPr>
              <w:fldChar w:fldCharType="end"/>
            </w:r>
          </w:hyperlink>
        </w:p>
        <w:p w14:paraId="66AC4739" w14:textId="05B9005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34" w:history="1">
            <w:r w:rsidRPr="0002739D">
              <w:rPr>
                <w:rStyle w:val="Hyperlink"/>
                <w:noProof/>
              </w:rPr>
              <w:t>P4-A, A conduta consentida causou escândalo ou ofendeu ostensivamente a moralidade administrativa?</w:t>
            </w:r>
            <w:r>
              <w:rPr>
                <w:noProof/>
              </w:rPr>
              <w:tab/>
            </w:r>
            <w:r>
              <w:rPr>
                <w:noProof/>
              </w:rPr>
              <w:fldChar w:fldCharType="begin"/>
            </w:r>
            <w:r>
              <w:rPr>
                <w:noProof/>
              </w:rPr>
              <w:instrText xml:space="preserve"> PAGEREF _Toc238022134 \h </w:instrText>
            </w:r>
            <w:r>
              <w:rPr>
                <w:noProof/>
              </w:rPr>
            </w:r>
            <w:r>
              <w:rPr>
                <w:noProof/>
              </w:rPr>
              <w:fldChar w:fldCharType="separate"/>
            </w:r>
            <w:r>
              <w:rPr>
                <w:noProof/>
              </w:rPr>
              <w:t>134</w:t>
            </w:r>
            <w:r>
              <w:rPr>
                <w:noProof/>
              </w:rPr>
              <w:fldChar w:fldCharType="end"/>
            </w:r>
          </w:hyperlink>
        </w:p>
        <w:p w14:paraId="7A354D84" w14:textId="392E2B9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35" w:history="1">
            <w:r w:rsidRPr="0002739D">
              <w:rPr>
                <w:rStyle w:val="Hyperlink"/>
                <w:noProof/>
              </w:rPr>
              <w:t>P4-A-bis, Há relação hierárquica direta entre os envolvidos na conduta consentida?</w:t>
            </w:r>
            <w:r>
              <w:rPr>
                <w:noProof/>
              </w:rPr>
              <w:tab/>
            </w:r>
            <w:r>
              <w:rPr>
                <w:noProof/>
              </w:rPr>
              <w:fldChar w:fldCharType="begin"/>
            </w:r>
            <w:r>
              <w:rPr>
                <w:noProof/>
              </w:rPr>
              <w:instrText xml:space="preserve"> PAGEREF _Toc238022135 \h </w:instrText>
            </w:r>
            <w:r>
              <w:rPr>
                <w:noProof/>
              </w:rPr>
            </w:r>
            <w:r>
              <w:rPr>
                <w:noProof/>
              </w:rPr>
              <w:fldChar w:fldCharType="separate"/>
            </w:r>
            <w:r>
              <w:rPr>
                <w:noProof/>
              </w:rPr>
              <w:t>135</w:t>
            </w:r>
            <w:r>
              <w:rPr>
                <w:noProof/>
              </w:rPr>
              <w:fldChar w:fldCharType="end"/>
            </w:r>
          </w:hyperlink>
        </w:p>
        <w:p w14:paraId="69EBABCC" w14:textId="38624B7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36" w:history="1">
            <w:r w:rsidRPr="0002739D">
              <w:rPr>
                <w:rStyle w:val="Hyperlink"/>
                <w:noProof/>
              </w:rPr>
              <w:t>P5-A, Houve grave impacto à dignidade ou liberdade da vítima?</w:t>
            </w:r>
            <w:r>
              <w:rPr>
                <w:noProof/>
              </w:rPr>
              <w:tab/>
            </w:r>
            <w:r>
              <w:rPr>
                <w:noProof/>
              </w:rPr>
              <w:fldChar w:fldCharType="begin"/>
            </w:r>
            <w:r>
              <w:rPr>
                <w:noProof/>
              </w:rPr>
              <w:instrText xml:space="preserve"> PAGEREF _Toc238022136 \h </w:instrText>
            </w:r>
            <w:r>
              <w:rPr>
                <w:noProof/>
              </w:rPr>
            </w:r>
            <w:r>
              <w:rPr>
                <w:noProof/>
              </w:rPr>
              <w:fldChar w:fldCharType="separate"/>
            </w:r>
            <w:r>
              <w:rPr>
                <w:noProof/>
              </w:rPr>
              <w:t>136</w:t>
            </w:r>
            <w:r>
              <w:rPr>
                <w:noProof/>
              </w:rPr>
              <w:fldChar w:fldCharType="end"/>
            </w:r>
          </w:hyperlink>
        </w:p>
        <w:p w14:paraId="112AB237" w14:textId="294E494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37" w:history="1">
            <w:r w:rsidRPr="0002739D">
              <w:rPr>
                <w:rStyle w:val="Hyperlink"/>
                <w:noProof/>
              </w:rPr>
              <w:t>P6-A, Houve uso do cargo ou ascendência funcional para praticar o assédio sexual?</w:t>
            </w:r>
            <w:r>
              <w:rPr>
                <w:noProof/>
              </w:rPr>
              <w:tab/>
            </w:r>
            <w:r>
              <w:rPr>
                <w:noProof/>
              </w:rPr>
              <w:fldChar w:fldCharType="begin"/>
            </w:r>
            <w:r>
              <w:rPr>
                <w:noProof/>
              </w:rPr>
              <w:instrText xml:space="preserve"> PAGEREF _Toc238022137 \h </w:instrText>
            </w:r>
            <w:r>
              <w:rPr>
                <w:noProof/>
              </w:rPr>
            </w:r>
            <w:r>
              <w:rPr>
                <w:noProof/>
              </w:rPr>
              <w:fldChar w:fldCharType="separate"/>
            </w:r>
            <w:r>
              <w:rPr>
                <w:noProof/>
              </w:rPr>
              <w:t>137</w:t>
            </w:r>
            <w:r>
              <w:rPr>
                <w:noProof/>
              </w:rPr>
              <w:fldChar w:fldCharType="end"/>
            </w:r>
          </w:hyperlink>
        </w:p>
        <w:p w14:paraId="2E039A2F" w14:textId="7E3EBE2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38" w:history="1">
            <w:r w:rsidRPr="0002739D">
              <w:rPr>
                <w:rStyle w:val="Hyperlink"/>
                <w:noProof/>
              </w:rPr>
              <w:t>P3-B, Os fatos apurados correspondem, em seus elementos objetivos, a um tipo penal do Título VI do Código Penal (crimes contra a dignidade sexual)?</w:t>
            </w:r>
            <w:r>
              <w:rPr>
                <w:noProof/>
              </w:rPr>
              <w:tab/>
            </w:r>
            <w:r>
              <w:rPr>
                <w:noProof/>
              </w:rPr>
              <w:fldChar w:fldCharType="begin"/>
            </w:r>
            <w:r>
              <w:rPr>
                <w:noProof/>
              </w:rPr>
              <w:instrText xml:space="preserve"> PAGEREF _Toc238022138 \h </w:instrText>
            </w:r>
            <w:r>
              <w:rPr>
                <w:noProof/>
              </w:rPr>
            </w:r>
            <w:r>
              <w:rPr>
                <w:noProof/>
              </w:rPr>
              <w:fldChar w:fldCharType="separate"/>
            </w:r>
            <w:r>
              <w:rPr>
                <w:noProof/>
              </w:rPr>
              <w:t>138</w:t>
            </w:r>
            <w:r>
              <w:rPr>
                <w:noProof/>
              </w:rPr>
              <w:fldChar w:fldCharType="end"/>
            </w:r>
          </w:hyperlink>
        </w:p>
        <w:p w14:paraId="5B3ECB5F" w14:textId="4BB57CA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39" w:history="1">
            <w:r w:rsidRPr="0002739D">
              <w:rPr>
                <w:rStyle w:val="Hyperlink"/>
                <w:noProof/>
              </w:rPr>
              <w:t>P5-B, Houve grave impacto à dignidade da vítima?</w:t>
            </w:r>
            <w:r>
              <w:rPr>
                <w:noProof/>
              </w:rPr>
              <w:tab/>
            </w:r>
            <w:r>
              <w:rPr>
                <w:noProof/>
              </w:rPr>
              <w:fldChar w:fldCharType="begin"/>
            </w:r>
            <w:r>
              <w:rPr>
                <w:noProof/>
              </w:rPr>
              <w:instrText xml:space="preserve"> PAGEREF _Toc238022139 \h </w:instrText>
            </w:r>
            <w:r>
              <w:rPr>
                <w:noProof/>
              </w:rPr>
            </w:r>
            <w:r>
              <w:rPr>
                <w:noProof/>
              </w:rPr>
              <w:fldChar w:fldCharType="separate"/>
            </w:r>
            <w:r>
              <w:rPr>
                <w:noProof/>
              </w:rPr>
              <w:t>140</w:t>
            </w:r>
            <w:r>
              <w:rPr>
                <w:noProof/>
              </w:rPr>
              <w:fldChar w:fldCharType="end"/>
            </w:r>
          </w:hyperlink>
        </w:p>
        <w:p w14:paraId="130CF499" w14:textId="080AB5F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40" w:history="1">
            <w:r w:rsidRPr="0002739D">
              <w:rPr>
                <w:rStyle w:val="Hyperlink"/>
                <w:noProof/>
              </w:rPr>
              <w:t>P6-B, Houve uso do cargo ou ascendência funcional para praticar o ato?</w:t>
            </w:r>
            <w:r>
              <w:rPr>
                <w:noProof/>
              </w:rPr>
              <w:tab/>
            </w:r>
            <w:r>
              <w:rPr>
                <w:noProof/>
              </w:rPr>
              <w:fldChar w:fldCharType="begin"/>
            </w:r>
            <w:r>
              <w:rPr>
                <w:noProof/>
              </w:rPr>
              <w:instrText xml:space="preserve"> PAGEREF _Toc238022140 \h </w:instrText>
            </w:r>
            <w:r>
              <w:rPr>
                <w:noProof/>
              </w:rPr>
            </w:r>
            <w:r>
              <w:rPr>
                <w:noProof/>
              </w:rPr>
              <w:fldChar w:fldCharType="separate"/>
            </w:r>
            <w:r>
              <w:rPr>
                <w:noProof/>
              </w:rPr>
              <w:t>140</w:t>
            </w:r>
            <w:r>
              <w:rPr>
                <w:noProof/>
              </w:rPr>
              <w:fldChar w:fldCharType="end"/>
            </w:r>
          </w:hyperlink>
        </w:p>
        <w:p w14:paraId="7310596F" w14:textId="1F68C5A9"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41" w:history="1">
            <w:r w:rsidRPr="0002739D">
              <w:rPr>
                <w:rStyle w:val="Hyperlink"/>
                <w:caps/>
                <w:noProof/>
              </w:rPr>
              <w:t>14. EIXO 4: DISCRIMINAÇÃO (NT Nº 93/2024), GUIA DE USO</w:t>
            </w:r>
            <w:r>
              <w:rPr>
                <w:noProof/>
              </w:rPr>
              <w:tab/>
            </w:r>
            <w:r>
              <w:rPr>
                <w:noProof/>
              </w:rPr>
              <w:fldChar w:fldCharType="begin"/>
            </w:r>
            <w:r>
              <w:rPr>
                <w:noProof/>
              </w:rPr>
              <w:instrText xml:space="preserve"> PAGEREF _Toc238022141 \h </w:instrText>
            </w:r>
            <w:r>
              <w:rPr>
                <w:noProof/>
              </w:rPr>
            </w:r>
            <w:r>
              <w:rPr>
                <w:noProof/>
              </w:rPr>
              <w:fldChar w:fldCharType="separate"/>
            </w:r>
            <w:r>
              <w:rPr>
                <w:noProof/>
              </w:rPr>
              <w:t>145</w:t>
            </w:r>
            <w:r>
              <w:rPr>
                <w:noProof/>
              </w:rPr>
              <w:fldChar w:fldCharType="end"/>
            </w:r>
          </w:hyperlink>
        </w:p>
        <w:p w14:paraId="5543FEF2" w14:textId="1FC8FBCF"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42" w:history="1">
            <w:r w:rsidRPr="0002739D">
              <w:rPr>
                <w:rStyle w:val="Hyperlink"/>
                <w:noProof/>
              </w:rPr>
              <w:t>P1, A conduta se baseia em fator protegido?</w:t>
            </w:r>
            <w:r>
              <w:rPr>
                <w:noProof/>
              </w:rPr>
              <w:tab/>
            </w:r>
            <w:r>
              <w:rPr>
                <w:noProof/>
              </w:rPr>
              <w:fldChar w:fldCharType="begin"/>
            </w:r>
            <w:r>
              <w:rPr>
                <w:noProof/>
              </w:rPr>
              <w:instrText xml:space="preserve"> PAGEREF _Toc238022142 \h </w:instrText>
            </w:r>
            <w:r>
              <w:rPr>
                <w:noProof/>
              </w:rPr>
            </w:r>
            <w:r>
              <w:rPr>
                <w:noProof/>
              </w:rPr>
              <w:fldChar w:fldCharType="separate"/>
            </w:r>
            <w:r>
              <w:rPr>
                <w:noProof/>
              </w:rPr>
              <w:t>146</w:t>
            </w:r>
            <w:r>
              <w:rPr>
                <w:noProof/>
              </w:rPr>
              <w:fldChar w:fldCharType="end"/>
            </w:r>
          </w:hyperlink>
        </w:p>
        <w:p w14:paraId="2C985B10" w14:textId="13E778D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43" w:history="1">
            <w:r w:rsidRPr="0002739D">
              <w:rPr>
                <w:rStyle w:val="Hyperlink"/>
                <w:noProof/>
              </w:rPr>
              <w:t>P2, Há alvo específico, pessoa ou grupo identificável?</w:t>
            </w:r>
            <w:r>
              <w:rPr>
                <w:noProof/>
              </w:rPr>
              <w:tab/>
            </w:r>
            <w:r>
              <w:rPr>
                <w:noProof/>
              </w:rPr>
              <w:fldChar w:fldCharType="begin"/>
            </w:r>
            <w:r>
              <w:rPr>
                <w:noProof/>
              </w:rPr>
              <w:instrText xml:space="preserve"> PAGEREF _Toc238022143 \h </w:instrText>
            </w:r>
            <w:r>
              <w:rPr>
                <w:noProof/>
              </w:rPr>
            </w:r>
            <w:r>
              <w:rPr>
                <w:noProof/>
              </w:rPr>
              <w:fldChar w:fldCharType="separate"/>
            </w:r>
            <w:r>
              <w:rPr>
                <w:noProof/>
              </w:rPr>
              <w:t>148</w:t>
            </w:r>
            <w:r>
              <w:rPr>
                <w:noProof/>
              </w:rPr>
              <w:fldChar w:fldCharType="end"/>
            </w:r>
          </w:hyperlink>
        </w:p>
        <w:p w14:paraId="6BEA43C9" w14:textId="326F340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44" w:history="1">
            <w:r w:rsidRPr="0002739D">
              <w:rPr>
                <w:rStyle w:val="Hyperlink"/>
                <w:noProof/>
              </w:rPr>
              <w:t>P2-A, A conduta discriminatória difusa é reiterada e cria ambiente hostil generalizado percebido pelo grupo afetado?</w:t>
            </w:r>
            <w:r>
              <w:rPr>
                <w:noProof/>
              </w:rPr>
              <w:tab/>
            </w:r>
            <w:r>
              <w:rPr>
                <w:noProof/>
              </w:rPr>
              <w:fldChar w:fldCharType="begin"/>
            </w:r>
            <w:r>
              <w:rPr>
                <w:noProof/>
              </w:rPr>
              <w:instrText xml:space="preserve"> PAGEREF _Toc238022144 \h </w:instrText>
            </w:r>
            <w:r>
              <w:rPr>
                <w:noProof/>
              </w:rPr>
            </w:r>
            <w:r>
              <w:rPr>
                <w:noProof/>
              </w:rPr>
              <w:fldChar w:fldCharType="separate"/>
            </w:r>
            <w:r>
              <w:rPr>
                <w:noProof/>
              </w:rPr>
              <w:t>149</w:t>
            </w:r>
            <w:r>
              <w:rPr>
                <w:noProof/>
              </w:rPr>
              <w:fldChar w:fldCharType="end"/>
            </w:r>
          </w:hyperlink>
        </w:p>
        <w:p w14:paraId="15376118" w14:textId="5F6F834C"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45" w:history="1">
            <w:r w:rsidRPr="0002739D">
              <w:rPr>
                <w:rStyle w:val="Hyperlink"/>
                <w:noProof/>
              </w:rPr>
              <w:t>P2-B, O ambiente hostil coletivo compromete de forma severa a moralidade administrativa e o ambiente institucional?</w:t>
            </w:r>
            <w:r>
              <w:rPr>
                <w:noProof/>
              </w:rPr>
              <w:tab/>
            </w:r>
            <w:r>
              <w:rPr>
                <w:noProof/>
              </w:rPr>
              <w:fldChar w:fldCharType="begin"/>
            </w:r>
            <w:r>
              <w:rPr>
                <w:noProof/>
              </w:rPr>
              <w:instrText xml:space="preserve"> PAGEREF _Toc238022145 \h </w:instrText>
            </w:r>
            <w:r>
              <w:rPr>
                <w:noProof/>
              </w:rPr>
            </w:r>
            <w:r>
              <w:rPr>
                <w:noProof/>
              </w:rPr>
              <w:fldChar w:fldCharType="separate"/>
            </w:r>
            <w:r>
              <w:rPr>
                <w:noProof/>
              </w:rPr>
              <w:t>150</w:t>
            </w:r>
            <w:r>
              <w:rPr>
                <w:noProof/>
              </w:rPr>
              <w:fldChar w:fldCharType="end"/>
            </w:r>
          </w:hyperlink>
        </w:p>
        <w:p w14:paraId="08949EED" w14:textId="0D7DF79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46" w:history="1">
            <w:r w:rsidRPr="0002739D">
              <w:rPr>
                <w:rStyle w:val="Hyperlink"/>
                <w:noProof/>
              </w:rPr>
              <w:t>P3, A conduta discriminatória foi reiterada?</w:t>
            </w:r>
            <w:r>
              <w:rPr>
                <w:noProof/>
              </w:rPr>
              <w:tab/>
            </w:r>
            <w:r>
              <w:rPr>
                <w:noProof/>
              </w:rPr>
              <w:fldChar w:fldCharType="begin"/>
            </w:r>
            <w:r>
              <w:rPr>
                <w:noProof/>
              </w:rPr>
              <w:instrText xml:space="preserve"> PAGEREF _Toc238022146 \h </w:instrText>
            </w:r>
            <w:r>
              <w:rPr>
                <w:noProof/>
              </w:rPr>
            </w:r>
            <w:r>
              <w:rPr>
                <w:noProof/>
              </w:rPr>
              <w:fldChar w:fldCharType="separate"/>
            </w:r>
            <w:r>
              <w:rPr>
                <w:noProof/>
              </w:rPr>
              <w:t>151</w:t>
            </w:r>
            <w:r>
              <w:rPr>
                <w:noProof/>
              </w:rPr>
              <w:fldChar w:fldCharType="end"/>
            </w:r>
          </w:hyperlink>
        </w:p>
        <w:p w14:paraId="48A1AF55" w14:textId="12CEE26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47" w:history="1">
            <w:r w:rsidRPr="0002739D">
              <w:rPr>
                <w:rStyle w:val="Hyperlink"/>
                <w:noProof/>
              </w:rPr>
              <w:t>P4, O servidor utilizou prerrogativas funcionais como instrumento da conduta discriminatória?</w:t>
            </w:r>
            <w:r>
              <w:rPr>
                <w:noProof/>
              </w:rPr>
              <w:tab/>
            </w:r>
            <w:r>
              <w:rPr>
                <w:noProof/>
              </w:rPr>
              <w:fldChar w:fldCharType="begin"/>
            </w:r>
            <w:r>
              <w:rPr>
                <w:noProof/>
              </w:rPr>
              <w:instrText xml:space="preserve"> PAGEREF _Toc238022147 \h </w:instrText>
            </w:r>
            <w:r>
              <w:rPr>
                <w:noProof/>
              </w:rPr>
            </w:r>
            <w:r>
              <w:rPr>
                <w:noProof/>
              </w:rPr>
              <w:fldChar w:fldCharType="separate"/>
            </w:r>
            <w:r>
              <w:rPr>
                <w:noProof/>
              </w:rPr>
              <w:t>152</w:t>
            </w:r>
            <w:r>
              <w:rPr>
                <w:noProof/>
              </w:rPr>
              <w:fldChar w:fldCharType="end"/>
            </w:r>
          </w:hyperlink>
        </w:p>
        <w:p w14:paraId="7DD0236C" w14:textId="424F5CC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48" w:history="1">
            <w:r w:rsidRPr="0002739D">
              <w:rPr>
                <w:rStyle w:val="Hyperlink"/>
                <w:noProof/>
              </w:rPr>
              <w:t>P4-B, Qual o grau de ofensa à igualdade no padrão reiterado sem uso do cargo?</w:t>
            </w:r>
            <w:r>
              <w:rPr>
                <w:noProof/>
              </w:rPr>
              <w:tab/>
            </w:r>
            <w:r>
              <w:rPr>
                <w:noProof/>
              </w:rPr>
              <w:fldChar w:fldCharType="begin"/>
            </w:r>
            <w:r>
              <w:rPr>
                <w:noProof/>
              </w:rPr>
              <w:instrText xml:space="preserve"> PAGEREF _Toc238022148 \h </w:instrText>
            </w:r>
            <w:r>
              <w:rPr>
                <w:noProof/>
              </w:rPr>
            </w:r>
            <w:r>
              <w:rPr>
                <w:noProof/>
              </w:rPr>
              <w:fldChar w:fldCharType="separate"/>
            </w:r>
            <w:r>
              <w:rPr>
                <w:noProof/>
              </w:rPr>
              <w:t>153</w:t>
            </w:r>
            <w:r>
              <w:rPr>
                <w:noProof/>
              </w:rPr>
              <w:fldChar w:fldCharType="end"/>
            </w:r>
          </w:hyperlink>
        </w:p>
        <w:p w14:paraId="34EBD461" w14:textId="7D4C3075"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49" w:history="1">
            <w:r w:rsidRPr="0002739D">
              <w:rPr>
                <w:rStyle w:val="Hyperlink"/>
                <w:noProof/>
              </w:rPr>
              <w:t>P5, O ato discriminatório pontual teve grave impacto sobre a vítima ou o ambiente institucional?</w:t>
            </w:r>
            <w:r>
              <w:rPr>
                <w:noProof/>
              </w:rPr>
              <w:tab/>
            </w:r>
            <w:r>
              <w:rPr>
                <w:noProof/>
              </w:rPr>
              <w:fldChar w:fldCharType="begin"/>
            </w:r>
            <w:r>
              <w:rPr>
                <w:noProof/>
              </w:rPr>
              <w:instrText xml:space="preserve"> PAGEREF _Toc238022149 \h </w:instrText>
            </w:r>
            <w:r>
              <w:rPr>
                <w:noProof/>
              </w:rPr>
            </w:r>
            <w:r>
              <w:rPr>
                <w:noProof/>
              </w:rPr>
              <w:fldChar w:fldCharType="separate"/>
            </w:r>
            <w:r>
              <w:rPr>
                <w:noProof/>
              </w:rPr>
              <w:t>154</w:t>
            </w:r>
            <w:r>
              <w:rPr>
                <w:noProof/>
              </w:rPr>
              <w:fldChar w:fldCharType="end"/>
            </w:r>
          </w:hyperlink>
        </w:p>
        <w:p w14:paraId="563F67AD" w14:textId="6C6F17FC"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50" w:history="1">
            <w:r w:rsidRPr="0002739D">
              <w:rPr>
                <w:rStyle w:val="Hyperlink"/>
                <w:caps/>
                <w:noProof/>
              </w:rPr>
              <w:t>15. EIXO 5: ASSÉDIO MORAL (NT Nº 93/2024), GUIA DE USO</w:t>
            </w:r>
            <w:r>
              <w:rPr>
                <w:noProof/>
              </w:rPr>
              <w:tab/>
            </w:r>
            <w:r>
              <w:rPr>
                <w:noProof/>
              </w:rPr>
              <w:fldChar w:fldCharType="begin"/>
            </w:r>
            <w:r>
              <w:rPr>
                <w:noProof/>
              </w:rPr>
              <w:instrText xml:space="preserve"> PAGEREF _Toc238022150 \h </w:instrText>
            </w:r>
            <w:r>
              <w:rPr>
                <w:noProof/>
              </w:rPr>
            </w:r>
            <w:r>
              <w:rPr>
                <w:noProof/>
              </w:rPr>
              <w:fldChar w:fldCharType="separate"/>
            </w:r>
            <w:r>
              <w:rPr>
                <w:noProof/>
              </w:rPr>
              <w:t>158</w:t>
            </w:r>
            <w:r>
              <w:rPr>
                <w:noProof/>
              </w:rPr>
              <w:fldChar w:fldCharType="end"/>
            </w:r>
          </w:hyperlink>
        </w:p>
        <w:p w14:paraId="59793AE7" w14:textId="512BB243"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51" w:history="1">
            <w:r w:rsidRPr="0002739D">
              <w:rPr>
                <w:rStyle w:val="Hyperlink"/>
                <w:noProof/>
              </w:rPr>
              <w:t>P1, A conduta foi um ato isolado ou um padrão reiterado?</w:t>
            </w:r>
            <w:r>
              <w:rPr>
                <w:noProof/>
              </w:rPr>
              <w:tab/>
            </w:r>
            <w:r>
              <w:rPr>
                <w:noProof/>
              </w:rPr>
              <w:fldChar w:fldCharType="begin"/>
            </w:r>
            <w:r>
              <w:rPr>
                <w:noProof/>
              </w:rPr>
              <w:instrText xml:space="preserve"> PAGEREF _Toc238022151 \h </w:instrText>
            </w:r>
            <w:r>
              <w:rPr>
                <w:noProof/>
              </w:rPr>
            </w:r>
            <w:r>
              <w:rPr>
                <w:noProof/>
              </w:rPr>
              <w:fldChar w:fldCharType="separate"/>
            </w:r>
            <w:r>
              <w:rPr>
                <w:noProof/>
              </w:rPr>
              <w:t>159</w:t>
            </w:r>
            <w:r>
              <w:rPr>
                <w:noProof/>
              </w:rPr>
              <w:fldChar w:fldCharType="end"/>
            </w:r>
          </w:hyperlink>
        </w:p>
        <w:p w14:paraId="1AD58EB4" w14:textId="23F54C63"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52" w:history="1">
            <w:r w:rsidRPr="0002739D">
              <w:rPr>
                <w:rStyle w:val="Hyperlink"/>
                <w:noProof/>
              </w:rPr>
              <w:t>P2, O ato isolado produziu dano ou repercussão grave?</w:t>
            </w:r>
            <w:r>
              <w:rPr>
                <w:noProof/>
              </w:rPr>
              <w:tab/>
            </w:r>
            <w:r>
              <w:rPr>
                <w:noProof/>
              </w:rPr>
              <w:fldChar w:fldCharType="begin"/>
            </w:r>
            <w:r>
              <w:rPr>
                <w:noProof/>
              </w:rPr>
              <w:instrText xml:space="preserve"> PAGEREF _Toc238022152 \h </w:instrText>
            </w:r>
            <w:r>
              <w:rPr>
                <w:noProof/>
              </w:rPr>
            </w:r>
            <w:r>
              <w:rPr>
                <w:noProof/>
              </w:rPr>
              <w:fldChar w:fldCharType="separate"/>
            </w:r>
            <w:r>
              <w:rPr>
                <w:noProof/>
              </w:rPr>
              <w:t>160</w:t>
            </w:r>
            <w:r>
              <w:rPr>
                <w:noProof/>
              </w:rPr>
              <w:fldChar w:fldCharType="end"/>
            </w:r>
          </w:hyperlink>
        </w:p>
        <w:p w14:paraId="0DD0609E" w14:textId="1317F28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53" w:history="1">
            <w:r w:rsidRPr="0002739D">
              <w:rPr>
                <w:rStyle w:val="Hyperlink"/>
                <w:noProof/>
              </w:rPr>
              <w:t>P3, O ato isolado grave foi praticado com uso instrumental do cargo?</w:t>
            </w:r>
            <w:r>
              <w:rPr>
                <w:noProof/>
              </w:rPr>
              <w:tab/>
            </w:r>
            <w:r>
              <w:rPr>
                <w:noProof/>
              </w:rPr>
              <w:fldChar w:fldCharType="begin"/>
            </w:r>
            <w:r>
              <w:rPr>
                <w:noProof/>
              </w:rPr>
              <w:instrText xml:space="preserve"> PAGEREF _Toc238022153 \h </w:instrText>
            </w:r>
            <w:r>
              <w:rPr>
                <w:noProof/>
              </w:rPr>
            </w:r>
            <w:r>
              <w:rPr>
                <w:noProof/>
              </w:rPr>
              <w:fldChar w:fldCharType="separate"/>
            </w:r>
            <w:r>
              <w:rPr>
                <w:noProof/>
              </w:rPr>
              <w:t>161</w:t>
            </w:r>
            <w:r>
              <w:rPr>
                <w:noProof/>
              </w:rPr>
              <w:fldChar w:fldCharType="end"/>
            </w:r>
          </w:hyperlink>
        </w:p>
        <w:p w14:paraId="0E173CFB" w14:textId="6E475D9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54" w:history="1">
            <w:r w:rsidRPr="0002739D">
              <w:rPr>
                <w:rStyle w:val="Hyperlink"/>
                <w:noProof/>
              </w:rPr>
              <w:t>P4, Qual o elemento subjetivo?</w:t>
            </w:r>
            <w:r>
              <w:rPr>
                <w:noProof/>
              </w:rPr>
              <w:tab/>
            </w:r>
            <w:r>
              <w:rPr>
                <w:noProof/>
              </w:rPr>
              <w:fldChar w:fldCharType="begin"/>
            </w:r>
            <w:r>
              <w:rPr>
                <w:noProof/>
              </w:rPr>
              <w:instrText xml:space="preserve"> PAGEREF _Toc238022154 \h </w:instrText>
            </w:r>
            <w:r>
              <w:rPr>
                <w:noProof/>
              </w:rPr>
            </w:r>
            <w:r>
              <w:rPr>
                <w:noProof/>
              </w:rPr>
              <w:fldChar w:fldCharType="separate"/>
            </w:r>
            <w:r>
              <w:rPr>
                <w:noProof/>
              </w:rPr>
              <w:t>162</w:t>
            </w:r>
            <w:r>
              <w:rPr>
                <w:noProof/>
              </w:rPr>
              <w:fldChar w:fldCharType="end"/>
            </w:r>
          </w:hyperlink>
        </w:p>
        <w:p w14:paraId="2C8B29C6" w14:textId="64E6094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55" w:history="1">
            <w:r w:rsidRPr="0002739D">
              <w:rPr>
                <w:rStyle w:val="Hyperlink"/>
                <w:noProof/>
              </w:rPr>
              <w:t>P4-B, Qual o elemento subjetivo, considerada a ausência de justificativa isonômica já constatada?</w:t>
            </w:r>
            <w:r>
              <w:rPr>
                <w:noProof/>
              </w:rPr>
              <w:tab/>
            </w:r>
            <w:r>
              <w:rPr>
                <w:noProof/>
              </w:rPr>
              <w:fldChar w:fldCharType="begin"/>
            </w:r>
            <w:r>
              <w:rPr>
                <w:noProof/>
              </w:rPr>
              <w:instrText xml:space="preserve"> PAGEREF _Toc238022155 \h </w:instrText>
            </w:r>
            <w:r>
              <w:rPr>
                <w:noProof/>
              </w:rPr>
            </w:r>
            <w:r>
              <w:rPr>
                <w:noProof/>
              </w:rPr>
              <w:fldChar w:fldCharType="separate"/>
            </w:r>
            <w:r>
              <w:rPr>
                <w:noProof/>
              </w:rPr>
              <w:t>163</w:t>
            </w:r>
            <w:r>
              <w:rPr>
                <w:noProof/>
              </w:rPr>
              <w:fldChar w:fldCharType="end"/>
            </w:r>
          </w:hyperlink>
        </w:p>
        <w:p w14:paraId="71CE5A6E" w14:textId="11697B08"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56" w:history="1">
            <w:r w:rsidRPr="0002739D">
              <w:rPr>
                <w:rStyle w:val="Hyperlink"/>
                <w:noProof/>
              </w:rPr>
              <w:t>P3-B, Há grave ofensa à moralidade administrativa?</w:t>
            </w:r>
            <w:r>
              <w:rPr>
                <w:noProof/>
              </w:rPr>
              <w:tab/>
            </w:r>
            <w:r>
              <w:rPr>
                <w:noProof/>
              </w:rPr>
              <w:fldChar w:fldCharType="begin"/>
            </w:r>
            <w:r>
              <w:rPr>
                <w:noProof/>
              </w:rPr>
              <w:instrText xml:space="preserve"> PAGEREF _Toc238022156 \h </w:instrText>
            </w:r>
            <w:r>
              <w:rPr>
                <w:noProof/>
              </w:rPr>
            </w:r>
            <w:r>
              <w:rPr>
                <w:noProof/>
              </w:rPr>
              <w:fldChar w:fldCharType="separate"/>
            </w:r>
            <w:r>
              <w:rPr>
                <w:noProof/>
              </w:rPr>
              <w:t>164</w:t>
            </w:r>
            <w:r>
              <w:rPr>
                <w:noProof/>
              </w:rPr>
              <w:fldChar w:fldCharType="end"/>
            </w:r>
          </w:hyperlink>
        </w:p>
        <w:p w14:paraId="1470356F" w14:textId="5000C15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57" w:history="1">
            <w:r w:rsidRPr="0002739D">
              <w:rPr>
                <w:rStyle w:val="Hyperlink"/>
                <w:noProof/>
              </w:rPr>
              <w:t>P5, A escolha da vítima está associada a característica pessoal protegida?</w:t>
            </w:r>
            <w:r>
              <w:rPr>
                <w:noProof/>
              </w:rPr>
              <w:tab/>
            </w:r>
            <w:r>
              <w:rPr>
                <w:noProof/>
              </w:rPr>
              <w:fldChar w:fldCharType="begin"/>
            </w:r>
            <w:r>
              <w:rPr>
                <w:noProof/>
              </w:rPr>
              <w:instrText xml:space="preserve"> PAGEREF _Toc238022157 \h </w:instrText>
            </w:r>
            <w:r>
              <w:rPr>
                <w:noProof/>
              </w:rPr>
            </w:r>
            <w:r>
              <w:rPr>
                <w:noProof/>
              </w:rPr>
              <w:fldChar w:fldCharType="separate"/>
            </w:r>
            <w:r>
              <w:rPr>
                <w:noProof/>
              </w:rPr>
              <w:t>165</w:t>
            </w:r>
            <w:r>
              <w:rPr>
                <w:noProof/>
              </w:rPr>
              <w:fldChar w:fldCharType="end"/>
            </w:r>
          </w:hyperlink>
        </w:p>
        <w:p w14:paraId="2FBEA663" w14:textId="52E5E7EF"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58" w:history="1">
            <w:r w:rsidRPr="0002739D">
              <w:rPr>
                <w:rStyle w:val="Hyperlink"/>
                <w:noProof/>
              </w:rPr>
              <w:t>P6, Qual a direção hierárquica do assédio reiterado?</w:t>
            </w:r>
            <w:r>
              <w:rPr>
                <w:noProof/>
              </w:rPr>
              <w:tab/>
            </w:r>
            <w:r>
              <w:rPr>
                <w:noProof/>
              </w:rPr>
              <w:fldChar w:fldCharType="begin"/>
            </w:r>
            <w:r>
              <w:rPr>
                <w:noProof/>
              </w:rPr>
              <w:instrText xml:space="preserve"> PAGEREF _Toc238022158 \h </w:instrText>
            </w:r>
            <w:r>
              <w:rPr>
                <w:noProof/>
              </w:rPr>
            </w:r>
            <w:r>
              <w:rPr>
                <w:noProof/>
              </w:rPr>
              <w:fldChar w:fldCharType="separate"/>
            </w:r>
            <w:r>
              <w:rPr>
                <w:noProof/>
              </w:rPr>
              <w:t>166</w:t>
            </w:r>
            <w:r>
              <w:rPr>
                <w:noProof/>
              </w:rPr>
              <w:fldChar w:fldCharType="end"/>
            </w:r>
          </w:hyperlink>
        </w:p>
        <w:p w14:paraId="4001ED3F" w14:textId="600F0D13"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59" w:history="1">
            <w:r w:rsidRPr="0002739D">
              <w:rPr>
                <w:rStyle w:val="Hyperlink"/>
                <w:noProof/>
              </w:rPr>
              <w:t>P7, Houve uso do cargo ou poder hierárquico na conduta reiterada?</w:t>
            </w:r>
            <w:r>
              <w:rPr>
                <w:noProof/>
              </w:rPr>
              <w:tab/>
            </w:r>
            <w:r>
              <w:rPr>
                <w:noProof/>
              </w:rPr>
              <w:fldChar w:fldCharType="begin"/>
            </w:r>
            <w:r>
              <w:rPr>
                <w:noProof/>
              </w:rPr>
              <w:instrText xml:space="preserve"> PAGEREF _Toc238022159 \h </w:instrText>
            </w:r>
            <w:r>
              <w:rPr>
                <w:noProof/>
              </w:rPr>
            </w:r>
            <w:r>
              <w:rPr>
                <w:noProof/>
              </w:rPr>
              <w:fldChar w:fldCharType="separate"/>
            </w:r>
            <w:r>
              <w:rPr>
                <w:noProof/>
              </w:rPr>
              <w:t>167</w:t>
            </w:r>
            <w:r>
              <w:rPr>
                <w:noProof/>
              </w:rPr>
              <w:fldChar w:fldCharType="end"/>
            </w:r>
          </w:hyperlink>
        </w:p>
        <w:p w14:paraId="24F75617" w14:textId="02B866E9"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60" w:history="1">
            <w:r w:rsidRPr="0002739D">
              <w:rPr>
                <w:rStyle w:val="Hyperlink"/>
                <w:noProof/>
              </w:rPr>
              <w:t>P8, A conduta reiterada com uso do cargo relaciona-se à organização do trabalho?</w:t>
            </w:r>
            <w:r>
              <w:rPr>
                <w:noProof/>
              </w:rPr>
              <w:tab/>
            </w:r>
            <w:r>
              <w:rPr>
                <w:noProof/>
              </w:rPr>
              <w:fldChar w:fldCharType="begin"/>
            </w:r>
            <w:r>
              <w:rPr>
                <w:noProof/>
              </w:rPr>
              <w:instrText xml:space="preserve"> PAGEREF _Toc238022160 \h </w:instrText>
            </w:r>
            <w:r>
              <w:rPr>
                <w:noProof/>
              </w:rPr>
            </w:r>
            <w:r>
              <w:rPr>
                <w:noProof/>
              </w:rPr>
              <w:fldChar w:fldCharType="separate"/>
            </w:r>
            <w:r>
              <w:rPr>
                <w:noProof/>
              </w:rPr>
              <w:t>168</w:t>
            </w:r>
            <w:r>
              <w:rPr>
                <w:noProof/>
              </w:rPr>
              <w:fldChar w:fldCharType="end"/>
            </w:r>
          </w:hyperlink>
        </w:p>
        <w:p w14:paraId="3FAE7FC8" w14:textId="6D6F0CDB"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61" w:history="1">
            <w:r w:rsidRPr="0002739D">
              <w:rPr>
                <w:rStyle w:val="Hyperlink"/>
                <w:noProof/>
              </w:rPr>
              <w:t>P9, A medida gerencial invocada possui justificativa objetiva e documentável, aplicada de forma isonômica a servidores em situação comparável?</w:t>
            </w:r>
            <w:r>
              <w:rPr>
                <w:noProof/>
              </w:rPr>
              <w:tab/>
            </w:r>
            <w:r>
              <w:rPr>
                <w:noProof/>
              </w:rPr>
              <w:fldChar w:fldCharType="begin"/>
            </w:r>
            <w:r>
              <w:rPr>
                <w:noProof/>
              </w:rPr>
              <w:instrText xml:space="preserve"> PAGEREF _Toc238022161 \h </w:instrText>
            </w:r>
            <w:r>
              <w:rPr>
                <w:noProof/>
              </w:rPr>
            </w:r>
            <w:r>
              <w:rPr>
                <w:noProof/>
              </w:rPr>
              <w:fldChar w:fldCharType="separate"/>
            </w:r>
            <w:r>
              <w:rPr>
                <w:noProof/>
              </w:rPr>
              <w:t>169</w:t>
            </w:r>
            <w:r>
              <w:rPr>
                <w:noProof/>
              </w:rPr>
              <w:fldChar w:fldCharType="end"/>
            </w:r>
          </w:hyperlink>
        </w:p>
        <w:p w14:paraId="2468E3D0" w14:textId="213B021C"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62" w:history="1">
            <w:r w:rsidRPr="0002739D">
              <w:rPr>
                <w:rStyle w:val="Hyperlink"/>
                <w:caps/>
                <w:noProof/>
              </w:rPr>
              <w:t>16. EIXO 6: RETALIAÇÃO AO DENUNCIANTE, GUIA DE USO</w:t>
            </w:r>
            <w:r>
              <w:rPr>
                <w:noProof/>
              </w:rPr>
              <w:tab/>
            </w:r>
            <w:r>
              <w:rPr>
                <w:noProof/>
              </w:rPr>
              <w:fldChar w:fldCharType="begin"/>
            </w:r>
            <w:r>
              <w:rPr>
                <w:noProof/>
              </w:rPr>
              <w:instrText xml:space="preserve"> PAGEREF _Toc238022162 \h </w:instrText>
            </w:r>
            <w:r>
              <w:rPr>
                <w:noProof/>
              </w:rPr>
            </w:r>
            <w:r>
              <w:rPr>
                <w:noProof/>
              </w:rPr>
              <w:fldChar w:fldCharType="separate"/>
            </w:r>
            <w:r>
              <w:rPr>
                <w:noProof/>
              </w:rPr>
              <w:t>174</w:t>
            </w:r>
            <w:r>
              <w:rPr>
                <w:noProof/>
              </w:rPr>
              <w:fldChar w:fldCharType="end"/>
            </w:r>
          </w:hyperlink>
        </w:p>
        <w:p w14:paraId="66F87954" w14:textId="1B14F273"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63" w:history="1">
            <w:r w:rsidRPr="0002739D">
              <w:rPr>
                <w:rStyle w:val="Hyperlink"/>
                <w:noProof/>
              </w:rPr>
              <w:t>P1, O servidor afetado praticou ato funcionalmente protegido antes da conduta adversa?</w:t>
            </w:r>
            <w:r>
              <w:rPr>
                <w:noProof/>
              </w:rPr>
              <w:tab/>
            </w:r>
            <w:r>
              <w:rPr>
                <w:noProof/>
              </w:rPr>
              <w:fldChar w:fldCharType="begin"/>
            </w:r>
            <w:r>
              <w:rPr>
                <w:noProof/>
              </w:rPr>
              <w:instrText xml:space="preserve"> PAGEREF _Toc238022163 \h </w:instrText>
            </w:r>
            <w:r>
              <w:rPr>
                <w:noProof/>
              </w:rPr>
            </w:r>
            <w:r>
              <w:rPr>
                <w:noProof/>
              </w:rPr>
              <w:fldChar w:fldCharType="separate"/>
            </w:r>
            <w:r>
              <w:rPr>
                <w:noProof/>
              </w:rPr>
              <w:t>175</w:t>
            </w:r>
            <w:r>
              <w:rPr>
                <w:noProof/>
              </w:rPr>
              <w:fldChar w:fldCharType="end"/>
            </w:r>
          </w:hyperlink>
        </w:p>
        <w:p w14:paraId="65537264" w14:textId="30528FDA"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64" w:history="1">
            <w:r w:rsidRPr="0002739D">
              <w:rPr>
                <w:rStyle w:val="Hyperlink"/>
                <w:noProof/>
              </w:rPr>
              <w:t>P2, Houve conduta adversa subsequente ao ato protegido?</w:t>
            </w:r>
            <w:r>
              <w:rPr>
                <w:noProof/>
              </w:rPr>
              <w:tab/>
            </w:r>
            <w:r>
              <w:rPr>
                <w:noProof/>
              </w:rPr>
              <w:fldChar w:fldCharType="begin"/>
            </w:r>
            <w:r>
              <w:rPr>
                <w:noProof/>
              </w:rPr>
              <w:instrText xml:space="preserve"> PAGEREF _Toc238022164 \h </w:instrText>
            </w:r>
            <w:r>
              <w:rPr>
                <w:noProof/>
              </w:rPr>
            </w:r>
            <w:r>
              <w:rPr>
                <w:noProof/>
              </w:rPr>
              <w:fldChar w:fldCharType="separate"/>
            </w:r>
            <w:r>
              <w:rPr>
                <w:noProof/>
              </w:rPr>
              <w:t>176</w:t>
            </w:r>
            <w:r>
              <w:rPr>
                <w:noProof/>
              </w:rPr>
              <w:fldChar w:fldCharType="end"/>
            </w:r>
          </w:hyperlink>
        </w:p>
        <w:p w14:paraId="4D584F3A" w14:textId="51D1C1E8"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65" w:history="1">
            <w:r w:rsidRPr="0002739D">
              <w:rPr>
                <w:rStyle w:val="Hyperlink"/>
                <w:noProof/>
              </w:rPr>
              <w:t>P3, Há nexo de causalidade entre o ato protegido e a conduta adversa?</w:t>
            </w:r>
            <w:r>
              <w:rPr>
                <w:noProof/>
              </w:rPr>
              <w:tab/>
            </w:r>
            <w:r>
              <w:rPr>
                <w:noProof/>
              </w:rPr>
              <w:fldChar w:fldCharType="begin"/>
            </w:r>
            <w:r>
              <w:rPr>
                <w:noProof/>
              </w:rPr>
              <w:instrText xml:space="preserve"> PAGEREF _Toc238022165 \h </w:instrText>
            </w:r>
            <w:r>
              <w:rPr>
                <w:noProof/>
              </w:rPr>
            </w:r>
            <w:r>
              <w:rPr>
                <w:noProof/>
              </w:rPr>
              <w:fldChar w:fldCharType="separate"/>
            </w:r>
            <w:r>
              <w:rPr>
                <w:noProof/>
              </w:rPr>
              <w:t>177</w:t>
            </w:r>
            <w:r>
              <w:rPr>
                <w:noProof/>
              </w:rPr>
              <w:fldChar w:fldCharType="end"/>
            </w:r>
          </w:hyperlink>
        </w:p>
        <w:p w14:paraId="4FE4494C" w14:textId="25BD1D6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66" w:history="1">
            <w:r w:rsidRPr="0002739D">
              <w:rPr>
                <w:rStyle w:val="Hyperlink"/>
                <w:noProof/>
              </w:rPr>
              <w:t>P4, O agressor utilizou prerrogativas funcionais como instrumento da represália?</w:t>
            </w:r>
            <w:r>
              <w:rPr>
                <w:noProof/>
              </w:rPr>
              <w:tab/>
            </w:r>
            <w:r>
              <w:rPr>
                <w:noProof/>
              </w:rPr>
              <w:fldChar w:fldCharType="begin"/>
            </w:r>
            <w:r>
              <w:rPr>
                <w:noProof/>
              </w:rPr>
              <w:instrText xml:space="preserve"> PAGEREF _Toc238022166 \h </w:instrText>
            </w:r>
            <w:r>
              <w:rPr>
                <w:noProof/>
              </w:rPr>
            </w:r>
            <w:r>
              <w:rPr>
                <w:noProof/>
              </w:rPr>
              <w:fldChar w:fldCharType="separate"/>
            </w:r>
            <w:r>
              <w:rPr>
                <w:noProof/>
              </w:rPr>
              <w:t>179</w:t>
            </w:r>
            <w:r>
              <w:rPr>
                <w:noProof/>
              </w:rPr>
              <w:fldChar w:fldCharType="end"/>
            </w:r>
          </w:hyperlink>
        </w:p>
        <w:p w14:paraId="03DCD1AA" w14:textId="03C2C898"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67" w:history="1">
            <w:r w:rsidRPr="0002739D">
              <w:rPr>
                <w:rStyle w:val="Hyperlink"/>
                <w:caps/>
                <w:noProof/>
              </w:rPr>
              <w:t>17. EIXO 7: VIOLÊNCIA VERBAL / OFENSA DIRETA, GUIA DE USO</w:t>
            </w:r>
            <w:r>
              <w:rPr>
                <w:noProof/>
              </w:rPr>
              <w:tab/>
            </w:r>
            <w:r>
              <w:rPr>
                <w:noProof/>
              </w:rPr>
              <w:fldChar w:fldCharType="begin"/>
            </w:r>
            <w:r>
              <w:rPr>
                <w:noProof/>
              </w:rPr>
              <w:instrText xml:space="preserve"> PAGEREF _Toc238022167 \h </w:instrText>
            </w:r>
            <w:r>
              <w:rPr>
                <w:noProof/>
              </w:rPr>
            </w:r>
            <w:r>
              <w:rPr>
                <w:noProof/>
              </w:rPr>
              <w:fldChar w:fldCharType="separate"/>
            </w:r>
            <w:r>
              <w:rPr>
                <w:noProof/>
              </w:rPr>
              <w:t>183</w:t>
            </w:r>
            <w:r>
              <w:rPr>
                <w:noProof/>
              </w:rPr>
              <w:fldChar w:fldCharType="end"/>
            </w:r>
          </w:hyperlink>
        </w:p>
        <w:p w14:paraId="49640D32" w14:textId="324B3488"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68" w:history="1">
            <w:r w:rsidRPr="0002739D">
              <w:rPr>
                <w:rStyle w:val="Hyperlink"/>
                <w:noProof/>
              </w:rPr>
              <w:t>P1, A conduta consistiu em ofensa verbal direta, insulto, xingamento ou humilhação, sem conteúdo ameaçatório?</w:t>
            </w:r>
            <w:r>
              <w:rPr>
                <w:noProof/>
              </w:rPr>
              <w:tab/>
            </w:r>
            <w:r>
              <w:rPr>
                <w:noProof/>
              </w:rPr>
              <w:fldChar w:fldCharType="begin"/>
            </w:r>
            <w:r>
              <w:rPr>
                <w:noProof/>
              </w:rPr>
              <w:instrText xml:space="preserve"> PAGEREF _Toc238022168 \h </w:instrText>
            </w:r>
            <w:r>
              <w:rPr>
                <w:noProof/>
              </w:rPr>
            </w:r>
            <w:r>
              <w:rPr>
                <w:noProof/>
              </w:rPr>
              <w:fldChar w:fldCharType="separate"/>
            </w:r>
            <w:r>
              <w:rPr>
                <w:noProof/>
              </w:rPr>
              <w:t>184</w:t>
            </w:r>
            <w:r>
              <w:rPr>
                <w:noProof/>
              </w:rPr>
              <w:fldChar w:fldCharType="end"/>
            </w:r>
          </w:hyperlink>
        </w:p>
        <w:p w14:paraId="1E5B17F9" w14:textId="2FF0ACE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69" w:history="1">
            <w:r w:rsidRPr="0002739D">
              <w:rPr>
                <w:rStyle w:val="Hyperlink"/>
                <w:noProof/>
              </w:rPr>
              <w:t>P2, A ofensa verbal teve conotação sexual?</w:t>
            </w:r>
            <w:r>
              <w:rPr>
                <w:noProof/>
              </w:rPr>
              <w:tab/>
            </w:r>
            <w:r>
              <w:rPr>
                <w:noProof/>
              </w:rPr>
              <w:fldChar w:fldCharType="begin"/>
            </w:r>
            <w:r>
              <w:rPr>
                <w:noProof/>
              </w:rPr>
              <w:instrText xml:space="preserve"> PAGEREF _Toc238022169 \h </w:instrText>
            </w:r>
            <w:r>
              <w:rPr>
                <w:noProof/>
              </w:rPr>
            </w:r>
            <w:r>
              <w:rPr>
                <w:noProof/>
              </w:rPr>
              <w:fldChar w:fldCharType="separate"/>
            </w:r>
            <w:r>
              <w:rPr>
                <w:noProof/>
              </w:rPr>
              <w:t>185</w:t>
            </w:r>
            <w:r>
              <w:rPr>
                <w:noProof/>
              </w:rPr>
              <w:fldChar w:fldCharType="end"/>
            </w:r>
          </w:hyperlink>
        </w:p>
        <w:p w14:paraId="27B37902" w14:textId="03BBD23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70" w:history="1">
            <w:r w:rsidRPr="0002739D">
              <w:rPr>
                <w:rStyle w:val="Hyperlink"/>
                <w:noProof/>
              </w:rPr>
              <w:t>P3, A ofensa foi motivada por característica pessoal protegida da vítima?</w:t>
            </w:r>
            <w:r>
              <w:rPr>
                <w:noProof/>
              </w:rPr>
              <w:tab/>
            </w:r>
            <w:r>
              <w:rPr>
                <w:noProof/>
              </w:rPr>
              <w:fldChar w:fldCharType="begin"/>
            </w:r>
            <w:r>
              <w:rPr>
                <w:noProof/>
              </w:rPr>
              <w:instrText xml:space="preserve"> PAGEREF _Toc238022170 \h </w:instrText>
            </w:r>
            <w:r>
              <w:rPr>
                <w:noProof/>
              </w:rPr>
            </w:r>
            <w:r>
              <w:rPr>
                <w:noProof/>
              </w:rPr>
              <w:fldChar w:fldCharType="separate"/>
            </w:r>
            <w:r>
              <w:rPr>
                <w:noProof/>
              </w:rPr>
              <w:t>186</w:t>
            </w:r>
            <w:r>
              <w:rPr>
                <w:noProof/>
              </w:rPr>
              <w:fldChar w:fldCharType="end"/>
            </w:r>
          </w:hyperlink>
        </w:p>
        <w:p w14:paraId="2B361B7E" w14:textId="349CB2C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71" w:history="1">
            <w:r w:rsidRPr="0002739D">
              <w:rPr>
                <w:rStyle w:val="Hyperlink"/>
                <w:noProof/>
              </w:rPr>
              <w:t>P4, A ofensa foi pública e de elevada gravidade?</w:t>
            </w:r>
            <w:r>
              <w:rPr>
                <w:noProof/>
              </w:rPr>
              <w:tab/>
            </w:r>
            <w:r>
              <w:rPr>
                <w:noProof/>
              </w:rPr>
              <w:fldChar w:fldCharType="begin"/>
            </w:r>
            <w:r>
              <w:rPr>
                <w:noProof/>
              </w:rPr>
              <w:instrText xml:space="preserve"> PAGEREF _Toc238022171 \h </w:instrText>
            </w:r>
            <w:r>
              <w:rPr>
                <w:noProof/>
              </w:rPr>
            </w:r>
            <w:r>
              <w:rPr>
                <w:noProof/>
              </w:rPr>
              <w:fldChar w:fldCharType="separate"/>
            </w:r>
            <w:r>
              <w:rPr>
                <w:noProof/>
              </w:rPr>
              <w:t>187</w:t>
            </w:r>
            <w:r>
              <w:rPr>
                <w:noProof/>
              </w:rPr>
              <w:fldChar w:fldCharType="end"/>
            </w:r>
          </w:hyperlink>
        </w:p>
        <w:p w14:paraId="55C97B7A" w14:textId="1200D5F4"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72" w:history="1">
            <w:r w:rsidRPr="0002739D">
              <w:rPr>
                <w:rStyle w:val="Hyperlink"/>
                <w:noProof/>
              </w:rPr>
              <w:t>P5, O conteúdo da ofensa foi objetivamente degradante, aferido pelo padrão do observador razoável?</w:t>
            </w:r>
            <w:r>
              <w:rPr>
                <w:noProof/>
              </w:rPr>
              <w:tab/>
            </w:r>
            <w:r>
              <w:rPr>
                <w:noProof/>
              </w:rPr>
              <w:fldChar w:fldCharType="begin"/>
            </w:r>
            <w:r>
              <w:rPr>
                <w:noProof/>
              </w:rPr>
              <w:instrText xml:space="preserve"> PAGEREF _Toc238022172 \h </w:instrText>
            </w:r>
            <w:r>
              <w:rPr>
                <w:noProof/>
              </w:rPr>
            </w:r>
            <w:r>
              <w:rPr>
                <w:noProof/>
              </w:rPr>
              <w:fldChar w:fldCharType="separate"/>
            </w:r>
            <w:r>
              <w:rPr>
                <w:noProof/>
              </w:rPr>
              <w:t>189</w:t>
            </w:r>
            <w:r>
              <w:rPr>
                <w:noProof/>
              </w:rPr>
              <w:fldChar w:fldCharType="end"/>
            </w:r>
          </w:hyperlink>
        </w:p>
        <w:p w14:paraId="2D92D4D5" w14:textId="78AC2DE9"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73" w:history="1">
            <w:r w:rsidRPr="0002739D">
              <w:rPr>
                <w:rStyle w:val="Hyperlink"/>
                <w:noProof/>
              </w:rPr>
              <w:t>P6, Há repercussão documentada nos autos, além do mínimo de publicidade já verificado em P4?</w:t>
            </w:r>
            <w:r>
              <w:rPr>
                <w:noProof/>
              </w:rPr>
              <w:tab/>
            </w:r>
            <w:r>
              <w:rPr>
                <w:noProof/>
              </w:rPr>
              <w:fldChar w:fldCharType="begin"/>
            </w:r>
            <w:r>
              <w:rPr>
                <w:noProof/>
              </w:rPr>
              <w:instrText xml:space="preserve"> PAGEREF _Toc238022173 \h </w:instrText>
            </w:r>
            <w:r>
              <w:rPr>
                <w:noProof/>
              </w:rPr>
            </w:r>
            <w:r>
              <w:rPr>
                <w:noProof/>
              </w:rPr>
              <w:fldChar w:fldCharType="separate"/>
            </w:r>
            <w:r>
              <w:rPr>
                <w:noProof/>
              </w:rPr>
              <w:t>190</w:t>
            </w:r>
            <w:r>
              <w:rPr>
                <w:noProof/>
              </w:rPr>
              <w:fldChar w:fldCharType="end"/>
            </w:r>
          </w:hyperlink>
        </w:p>
        <w:p w14:paraId="74FBBD3A" w14:textId="05C5841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74" w:history="1">
            <w:r w:rsidRPr="0002739D">
              <w:rPr>
                <w:rStyle w:val="Hyperlink"/>
                <w:noProof/>
              </w:rPr>
              <w:t>P7, Houve uso do cargo ou ascendência funcional como instrumento da humilhação?</w:t>
            </w:r>
            <w:r>
              <w:rPr>
                <w:noProof/>
              </w:rPr>
              <w:tab/>
            </w:r>
            <w:r>
              <w:rPr>
                <w:noProof/>
              </w:rPr>
              <w:fldChar w:fldCharType="begin"/>
            </w:r>
            <w:r>
              <w:rPr>
                <w:noProof/>
              </w:rPr>
              <w:instrText xml:space="preserve"> PAGEREF _Toc238022174 \h </w:instrText>
            </w:r>
            <w:r>
              <w:rPr>
                <w:noProof/>
              </w:rPr>
            </w:r>
            <w:r>
              <w:rPr>
                <w:noProof/>
              </w:rPr>
              <w:fldChar w:fldCharType="separate"/>
            </w:r>
            <w:r>
              <w:rPr>
                <w:noProof/>
              </w:rPr>
              <w:t>191</w:t>
            </w:r>
            <w:r>
              <w:rPr>
                <w:noProof/>
              </w:rPr>
              <w:fldChar w:fldCharType="end"/>
            </w:r>
          </w:hyperlink>
        </w:p>
        <w:p w14:paraId="78974FB4" w14:textId="258508F2"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75" w:history="1">
            <w:r w:rsidRPr="0002739D">
              <w:rPr>
                <w:rStyle w:val="Hyperlink"/>
                <w:caps/>
                <w:noProof/>
              </w:rPr>
              <w:t>18. EIXO 8: STALKING FUNCIONAL (ART. 147-A CP), GUIA DE USO</w:t>
            </w:r>
            <w:r>
              <w:rPr>
                <w:noProof/>
              </w:rPr>
              <w:tab/>
            </w:r>
            <w:r>
              <w:rPr>
                <w:noProof/>
              </w:rPr>
              <w:fldChar w:fldCharType="begin"/>
            </w:r>
            <w:r>
              <w:rPr>
                <w:noProof/>
              </w:rPr>
              <w:instrText xml:space="preserve"> PAGEREF _Toc238022175 \h </w:instrText>
            </w:r>
            <w:r>
              <w:rPr>
                <w:noProof/>
              </w:rPr>
            </w:r>
            <w:r>
              <w:rPr>
                <w:noProof/>
              </w:rPr>
              <w:fldChar w:fldCharType="separate"/>
            </w:r>
            <w:r>
              <w:rPr>
                <w:noProof/>
              </w:rPr>
              <w:t>196</w:t>
            </w:r>
            <w:r>
              <w:rPr>
                <w:noProof/>
              </w:rPr>
              <w:fldChar w:fldCharType="end"/>
            </w:r>
          </w:hyperlink>
        </w:p>
        <w:p w14:paraId="5FD9B37C" w14:textId="69819626"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76" w:history="1">
            <w:r w:rsidRPr="0002739D">
              <w:rPr>
                <w:rStyle w:val="Hyperlink"/>
                <w:noProof/>
              </w:rPr>
              <w:t>P1, Há padrão reiterado de perseguição, monitoramento ou contato insistente indesejado?</w:t>
            </w:r>
            <w:r>
              <w:rPr>
                <w:noProof/>
              </w:rPr>
              <w:tab/>
            </w:r>
            <w:r>
              <w:rPr>
                <w:noProof/>
              </w:rPr>
              <w:fldChar w:fldCharType="begin"/>
            </w:r>
            <w:r>
              <w:rPr>
                <w:noProof/>
              </w:rPr>
              <w:instrText xml:space="preserve"> PAGEREF _Toc238022176 \h </w:instrText>
            </w:r>
            <w:r>
              <w:rPr>
                <w:noProof/>
              </w:rPr>
            </w:r>
            <w:r>
              <w:rPr>
                <w:noProof/>
              </w:rPr>
              <w:fldChar w:fldCharType="separate"/>
            </w:r>
            <w:r>
              <w:rPr>
                <w:noProof/>
              </w:rPr>
              <w:t>197</w:t>
            </w:r>
            <w:r>
              <w:rPr>
                <w:noProof/>
              </w:rPr>
              <w:fldChar w:fldCharType="end"/>
            </w:r>
          </w:hyperlink>
        </w:p>
        <w:p w14:paraId="3DC78911" w14:textId="217628C8"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77" w:history="1">
            <w:r w:rsidRPr="0002739D">
              <w:rPr>
                <w:rStyle w:val="Hyperlink"/>
                <w:noProof/>
              </w:rPr>
              <w:t>P2, O padrão persecutório apresenta nexo funcional — praticado por meio institucional, com uso de recursos funcionais, ou com repercussão funcional demonstrável?</w:t>
            </w:r>
            <w:r>
              <w:rPr>
                <w:noProof/>
              </w:rPr>
              <w:tab/>
            </w:r>
            <w:r>
              <w:rPr>
                <w:noProof/>
              </w:rPr>
              <w:fldChar w:fldCharType="begin"/>
            </w:r>
            <w:r>
              <w:rPr>
                <w:noProof/>
              </w:rPr>
              <w:instrText xml:space="preserve"> PAGEREF _Toc238022177 \h </w:instrText>
            </w:r>
            <w:r>
              <w:rPr>
                <w:noProof/>
              </w:rPr>
            </w:r>
            <w:r>
              <w:rPr>
                <w:noProof/>
              </w:rPr>
              <w:fldChar w:fldCharType="separate"/>
            </w:r>
            <w:r>
              <w:rPr>
                <w:noProof/>
              </w:rPr>
              <w:t>198</w:t>
            </w:r>
            <w:r>
              <w:rPr>
                <w:noProof/>
              </w:rPr>
              <w:fldChar w:fldCharType="end"/>
            </w:r>
          </w:hyperlink>
        </w:p>
        <w:p w14:paraId="2AE23608" w14:textId="2D97D24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78" w:history="1">
            <w:r w:rsidRPr="0002739D">
              <w:rPr>
                <w:rStyle w:val="Hyperlink"/>
                <w:noProof/>
              </w:rPr>
              <w:t>P3, O agressor utilizou prerrogativas funcionais específicas como instrumento da perseguição?</w:t>
            </w:r>
            <w:r>
              <w:rPr>
                <w:noProof/>
              </w:rPr>
              <w:tab/>
            </w:r>
            <w:r>
              <w:rPr>
                <w:noProof/>
              </w:rPr>
              <w:fldChar w:fldCharType="begin"/>
            </w:r>
            <w:r>
              <w:rPr>
                <w:noProof/>
              </w:rPr>
              <w:instrText xml:space="preserve"> PAGEREF _Toc238022178 \h </w:instrText>
            </w:r>
            <w:r>
              <w:rPr>
                <w:noProof/>
              </w:rPr>
            </w:r>
            <w:r>
              <w:rPr>
                <w:noProof/>
              </w:rPr>
              <w:fldChar w:fldCharType="separate"/>
            </w:r>
            <w:r>
              <w:rPr>
                <w:noProof/>
              </w:rPr>
              <w:t>199</w:t>
            </w:r>
            <w:r>
              <w:rPr>
                <w:noProof/>
              </w:rPr>
              <w:fldChar w:fldCharType="end"/>
            </w:r>
          </w:hyperlink>
        </w:p>
        <w:p w14:paraId="433F971D" w14:textId="7BCA8DF0"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79" w:history="1">
            <w:r w:rsidRPr="0002739D">
              <w:rPr>
                <w:rStyle w:val="Hyperlink"/>
                <w:caps/>
                <w:noProof/>
              </w:rPr>
              <w:t>19. QUADRO GERAL DE RESULTADOS ORIENTATIVOS</w:t>
            </w:r>
            <w:r>
              <w:rPr>
                <w:noProof/>
              </w:rPr>
              <w:tab/>
            </w:r>
            <w:r>
              <w:rPr>
                <w:noProof/>
              </w:rPr>
              <w:fldChar w:fldCharType="begin"/>
            </w:r>
            <w:r>
              <w:rPr>
                <w:noProof/>
              </w:rPr>
              <w:instrText xml:space="preserve"> PAGEREF _Toc238022179 \h </w:instrText>
            </w:r>
            <w:r>
              <w:rPr>
                <w:noProof/>
              </w:rPr>
            </w:r>
            <w:r>
              <w:rPr>
                <w:noProof/>
              </w:rPr>
              <w:fldChar w:fldCharType="separate"/>
            </w:r>
            <w:r>
              <w:rPr>
                <w:noProof/>
              </w:rPr>
              <w:t>204</w:t>
            </w:r>
            <w:r>
              <w:rPr>
                <w:noProof/>
              </w:rPr>
              <w:fldChar w:fldCharType="end"/>
            </w:r>
          </w:hyperlink>
        </w:p>
        <w:p w14:paraId="799514F0" w14:textId="30F8EF55"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80" w:history="1">
            <w:r w:rsidRPr="0002739D">
              <w:rPr>
                <w:rStyle w:val="Hyperlink"/>
                <w:noProof/>
              </w:rPr>
              <w:t>Resumo por penalidade e prazo prescricional</w:t>
            </w:r>
            <w:r>
              <w:rPr>
                <w:noProof/>
              </w:rPr>
              <w:tab/>
            </w:r>
            <w:r>
              <w:rPr>
                <w:noProof/>
              </w:rPr>
              <w:fldChar w:fldCharType="begin"/>
            </w:r>
            <w:r>
              <w:rPr>
                <w:noProof/>
              </w:rPr>
              <w:instrText xml:space="preserve"> PAGEREF _Toc238022180 \h </w:instrText>
            </w:r>
            <w:r>
              <w:rPr>
                <w:noProof/>
              </w:rPr>
            </w:r>
            <w:r>
              <w:rPr>
                <w:noProof/>
              </w:rPr>
              <w:fldChar w:fldCharType="separate"/>
            </w:r>
            <w:r>
              <w:rPr>
                <w:noProof/>
              </w:rPr>
              <w:t>206</w:t>
            </w:r>
            <w:r>
              <w:rPr>
                <w:noProof/>
              </w:rPr>
              <w:fldChar w:fldCharType="end"/>
            </w:r>
          </w:hyperlink>
        </w:p>
        <w:p w14:paraId="6751407C" w14:textId="4C2E6E8F"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81" w:history="1">
            <w:r w:rsidRPr="0002739D">
              <w:rPr>
                <w:rStyle w:val="Hyperlink"/>
                <w:noProof/>
              </w:rPr>
              <w:t>Resultados cumulativos, quando dois eixos se aplicam simultaneamente</w:t>
            </w:r>
            <w:r>
              <w:rPr>
                <w:noProof/>
              </w:rPr>
              <w:tab/>
            </w:r>
            <w:r>
              <w:rPr>
                <w:noProof/>
              </w:rPr>
              <w:fldChar w:fldCharType="begin"/>
            </w:r>
            <w:r>
              <w:rPr>
                <w:noProof/>
              </w:rPr>
              <w:instrText xml:space="preserve"> PAGEREF _Toc238022181 \h </w:instrText>
            </w:r>
            <w:r>
              <w:rPr>
                <w:noProof/>
              </w:rPr>
            </w:r>
            <w:r>
              <w:rPr>
                <w:noProof/>
              </w:rPr>
              <w:fldChar w:fldCharType="separate"/>
            </w:r>
            <w:r>
              <w:rPr>
                <w:noProof/>
              </w:rPr>
              <w:t>207</w:t>
            </w:r>
            <w:r>
              <w:rPr>
                <w:noProof/>
              </w:rPr>
              <w:fldChar w:fldCharType="end"/>
            </w:r>
          </w:hyperlink>
        </w:p>
        <w:p w14:paraId="3323B448" w14:textId="37D8D449"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82" w:history="1">
            <w:r w:rsidRPr="0002739D">
              <w:rPr>
                <w:rStyle w:val="Hyperlink"/>
                <w:noProof/>
              </w:rPr>
              <w:t>20. ESTUDOS DE CASO</w:t>
            </w:r>
            <w:r>
              <w:rPr>
                <w:noProof/>
              </w:rPr>
              <w:tab/>
            </w:r>
            <w:r>
              <w:rPr>
                <w:noProof/>
              </w:rPr>
              <w:fldChar w:fldCharType="begin"/>
            </w:r>
            <w:r>
              <w:rPr>
                <w:noProof/>
              </w:rPr>
              <w:instrText xml:space="preserve"> PAGEREF _Toc238022182 \h </w:instrText>
            </w:r>
            <w:r>
              <w:rPr>
                <w:noProof/>
              </w:rPr>
            </w:r>
            <w:r>
              <w:rPr>
                <w:noProof/>
              </w:rPr>
              <w:fldChar w:fldCharType="separate"/>
            </w:r>
            <w:r>
              <w:rPr>
                <w:noProof/>
              </w:rPr>
              <w:t>209</w:t>
            </w:r>
            <w:r>
              <w:rPr>
                <w:noProof/>
              </w:rPr>
              <w:fldChar w:fldCharType="end"/>
            </w:r>
          </w:hyperlink>
        </w:p>
        <w:p w14:paraId="7BC802D2" w14:textId="15B6C30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83" w:history="1">
            <w:r w:rsidRPr="0002739D">
              <w:rPr>
                <w:rStyle w:val="Hyperlink"/>
                <w:noProof/>
              </w:rPr>
              <w:t>Caso 1, Agressão física com excesso culposo (Eixo 1)</w:t>
            </w:r>
            <w:r>
              <w:rPr>
                <w:noProof/>
              </w:rPr>
              <w:tab/>
            </w:r>
            <w:r>
              <w:rPr>
                <w:noProof/>
              </w:rPr>
              <w:fldChar w:fldCharType="begin"/>
            </w:r>
            <w:r>
              <w:rPr>
                <w:noProof/>
              </w:rPr>
              <w:instrText xml:space="preserve"> PAGEREF _Toc238022183 \h </w:instrText>
            </w:r>
            <w:r>
              <w:rPr>
                <w:noProof/>
              </w:rPr>
            </w:r>
            <w:r>
              <w:rPr>
                <w:noProof/>
              </w:rPr>
              <w:fldChar w:fldCharType="separate"/>
            </w:r>
            <w:r>
              <w:rPr>
                <w:noProof/>
              </w:rPr>
              <w:t>209</w:t>
            </w:r>
            <w:r>
              <w:rPr>
                <w:noProof/>
              </w:rPr>
              <w:fldChar w:fldCharType="end"/>
            </w:r>
          </w:hyperlink>
        </w:p>
        <w:p w14:paraId="43213C3B" w14:textId="4A5F4980"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84" w:history="1">
            <w:r w:rsidRPr="0002739D">
              <w:rPr>
                <w:rStyle w:val="Hyperlink"/>
                <w:noProof/>
              </w:rPr>
              <w:t>Caso 2, Ameaça moderada com risco prescricional (Eixo 2)</w:t>
            </w:r>
            <w:r>
              <w:rPr>
                <w:noProof/>
              </w:rPr>
              <w:tab/>
            </w:r>
            <w:r>
              <w:rPr>
                <w:noProof/>
              </w:rPr>
              <w:fldChar w:fldCharType="begin"/>
            </w:r>
            <w:r>
              <w:rPr>
                <w:noProof/>
              </w:rPr>
              <w:instrText xml:space="preserve"> PAGEREF _Toc238022184 \h </w:instrText>
            </w:r>
            <w:r>
              <w:rPr>
                <w:noProof/>
              </w:rPr>
            </w:r>
            <w:r>
              <w:rPr>
                <w:noProof/>
              </w:rPr>
              <w:fldChar w:fldCharType="separate"/>
            </w:r>
            <w:r>
              <w:rPr>
                <w:noProof/>
              </w:rPr>
              <w:t>209</w:t>
            </w:r>
            <w:r>
              <w:rPr>
                <w:noProof/>
              </w:rPr>
              <w:fldChar w:fldCharType="end"/>
            </w:r>
          </w:hyperlink>
        </w:p>
        <w:p w14:paraId="6D108CB5" w14:textId="697D0CFA"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85" w:history="1">
            <w:r w:rsidRPr="0002739D">
              <w:rPr>
                <w:rStyle w:val="Hyperlink"/>
                <w:noProof/>
              </w:rPr>
              <w:t>Caso 3, Assédio sexual com gate demissório (Eixo 3)</w:t>
            </w:r>
            <w:r>
              <w:rPr>
                <w:noProof/>
              </w:rPr>
              <w:tab/>
            </w:r>
            <w:r>
              <w:rPr>
                <w:noProof/>
              </w:rPr>
              <w:fldChar w:fldCharType="begin"/>
            </w:r>
            <w:r>
              <w:rPr>
                <w:noProof/>
              </w:rPr>
              <w:instrText xml:space="preserve"> PAGEREF _Toc238022185 \h </w:instrText>
            </w:r>
            <w:r>
              <w:rPr>
                <w:noProof/>
              </w:rPr>
            </w:r>
            <w:r>
              <w:rPr>
                <w:noProof/>
              </w:rPr>
              <w:fldChar w:fldCharType="separate"/>
            </w:r>
            <w:r>
              <w:rPr>
                <w:noProof/>
              </w:rPr>
              <w:t>209</w:t>
            </w:r>
            <w:r>
              <w:rPr>
                <w:noProof/>
              </w:rPr>
              <w:fldChar w:fldCharType="end"/>
            </w:r>
          </w:hyperlink>
        </w:p>
        <w:p w14:paraId="2EF2DD76" w14:textId="10401F93"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86" w:history="1">
            <w:r w:rsidRPr="0002739D">
              <w:rPr>
                <w:rStyle w:val="Hyperlink"/>
                <w:noProof/>
              </w:rPr>
              <w:t>Caso 4, Assédio moral discriminatório (Eixos 5 e 4 cumulativos)</w:t>
            </w:r>
            <w:r>
              <w:rPr>
                <w:noProof/>
              </w:rPr>
              <w:tab/>
            </w:r>
            <w:r>
              <w:rPr>
                <w:noProof/>
              </w:rPr>
              <w:fldChar w:fldCharType="begin"/>
            </w:r>
            <w:r>
              <w:rPr>
                <w:noProof/>
              </w:rPr>
              <w:instrText xml:space="preserve"> PAGEREF _Toc238022186 \h </w:instrText>
            </w:r>
            <w:r>
              <w:rPr>
                <w:noProof/>
              </w:rPr>
            </w:r>
            <w:r>
              <w:rPr>
                <w:noProof/>
              </w:rPr>
              <w:fldChar w:fldCharType="separate"/>
            </w:r>
            <w:r>
              <w:rPr>
                <w:noProof/>
              </w:rPr>
              <w:t>210</w:t>
            </w:r>
            <w:r>
              <w:rPr>
                <w:noProof/>
              </w:rPr>
              <w:fldChar w:fldCharType="end"/>
            </w:r>
          </w:hyperlink>
        </w:p>
        <w:p w14:paraId="3626CC50" w14:textId="599AA749"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87" w:history="1">
            <w:r w:rsidRPr="0002739D">
              <w:rPr>
                <w:rStyle w:val="Hyperlink"/>
                <w:noProof/>
              </w:rPr>
              <w:t>Caso 5, Retaliação ao denunciante (Eixo 6)</w:t>
            </w:r>
            <w:r>
              <w:rPr>
                <w:noProof/>
              </w:rPr>
              <w:tab/>
            </w:r>
            <w:r>
              <w:rPr>
                <w:noProof/>
              </w:rPr>
              <w:fldChar w:fldCharType="begin"/>
            </w:r>
            <w:r>
              <w:rPr>
                <w:noProof/>
              </w:rPr>
              <w:instrText xml:space="preserve"> PAGEREF _Toc238022187 \h </w:instrText>
            </w:r>
            <w:r>
              <w:rPr>
                <w:noProof/>
              </w:rPr>
            </w:r>
            <w:r>
              <w:rPr>
                <w:noProof/>
              </w:rPr>
              <w:fldChar w:fldCharType="separate"/>
            </w:r>
            <w:r>
              <w:rPr>
                <w:noProof/>
              </w:rPr>
              <w:t>210</w:t>
            </w:r>
            <w:r>
              <w:rPr>
                <w:noProof/>
              </w:rPr>
              <w:fldChar w:fldCharType="end"/>
            </w:r>
          </w:hyperlink>
        </w:p>
        <w:p w14:paraId="0978E7BE" w14:textId="1FC2EA6F"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88" w:history="1">
            <w:r w:rsidRPr="0002739D">
              <w:rPr>
                <w:rStyle w:val="Hyperlink"/>
                <w:noProof/>
              </w:rPr>
              <w:t xml:space="preserve">Caso 6, </w:t>
            </w:r>
            <w:r w:rsidRPr="0002739D">
              <w:rPr>
                <w:rStyle w:val="Hyperlink"/>
                <w:i/>
                <w:iCs/>
                <w:noProof/>
              </w:rPr>
              <w:t xml:space="preserve">Stalking </w:t>
            </w:r>
            <w:r w:rsidRPr="0002739D">
              <w:rPr>
                <w:rStyle w:val="Hyperlink"/>
                <w:noProof/>
              </w:rPr>
              <w:t>funcional entre pares (Eixo 8)</w:t>
            </w:r>
            <w:r>
              <w:rPr>
                <w:noProof/>
              </w:rPr>
              <w:tab/>
            </w:r>
            <w:r>
              <w:rPr>
                <w:noProof/>
              </w:rPr>
              <w:fldChar w:fldCharType="begin"/>
            </w:r>
            <w:r>
              <w:rPr>
                <w:noProof/>
              </w:rPr>
              <w:instrText xml:space="preserve"> PAGEREF _Toc238022188 \h </w:instrText>
            </w:r>
            <w:r>
              <w:rPr>
                <w:noProof/>
              </w:rPr>
            </w:r>
            <w:r>
              <w:rPr>
                <w:noProof/>
              </w:rPr>
              <w:fldChar w:fldCharType="separate"/>
            </w:r>
            <w:r>
              <w:rPr>
                <w:noProof/>
              </w:rPr>
              <w:t>210</w:t>
            </w:r>
            <w:r>
              <w:rPr>
                <w:noProof/>
              </w:rPr>
              <w:fldChar w:fldCharType="end"/>
            </w:r>
          </w:hyperlink>
        </w:p>
        <w:p w14:paraId="7E5F0CDB" w14:textId="407BB442"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89" w:history="1">
            <w:r w:rsidRPr="0002739D">
              <w:rPr>
                <w:rStyle w:val="Hyperlink"/>
                <w:caps/>
                <w:noProof/>
              </w:rPr>
              <w:t>21. LIMITES E BOAS PRÁTICAS DE USO</w:t>
            </w:r>
            <w:r>
              <w:rPr>
                <w:noProof/>
              </w:rPr>
              <w:tab/>
            </w:r>
            <w:r>
              <w:rPr>
                <w:noProof/>
              </w:rPr>
              <w:fldChar w:fldCharType="begin"/>
            </w:r>
            <w:r>
              <w:rPr>
                <w:noProof/>
              </w:rPr>
              <w:instrText xml:space="preserve"> PAGEREF _Toc238022189 \h </w:instrText>
            </w:r>
            <w:r>
              <w:rPr>
                <w:noProof/>
              </w:rPr>
            </w:r>
            <w:r>
              <w:rPr>
                <w:noProof/>
              </w:rPr>
              <w:fldChar w:fldCharType="separate"/>
            </w:r>
            <w:r>
              <w:rPr>
                <w:noProof/>
              </w:rPr>
              <w:t>212</w:t>
            </w:r>
            <w:r>
              <w:rPr>
                <w:noProof/>
              </w:rPr>
              <w:fldChar w:fldCharType="end"/>
            </w:r>
          </w:hyperlink>
        </w:p>
        <w:p w14:paraId="1F7D2D8A" w14:textId="15B4874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90" w:history="1">
            <w:r w:rsidRPr="0002739D">
              <w:rPr>
                <w:rStyle w:val="Hyperlink"/>
                <w:noProof/>
              </w:rPr>
              <w:t>21.1 O que a ferramenta não faz</w:t>
            </w:r>
            <w:r>
              <w:rPr>
                <w:noProof/>
              </w:rPr>
              <w:tab/>
            </w:r>
            <w:r>
              <w:rPr>
                <w:noProof/>
              </w:rPr>
              <w:fldChar w:fldCharType="begin"/>
            </w:r>
            <w:r>
              <w:rPr>
                <w:noProof/>
              </w:rPr>
              <w:instrText xml:space="preserve"> PAGEREF _Toc238022190 \h </w:instrText>
            </w:r>
            <w:r>
              <w:rPr>
                <w:noProof/>
              </w:rPr>
            </w:r>
            <w:r>
              <w:rPr>
                <w:noProof/>
              </w:rPr>
              <w:fldChar w:fldCharType="separate"/>
            </w:r>
            <w:r>
              <w:rPr>
                <w:noProof/>
              </w:rPr>
              <w:t>212</w:t>
            </w:r>
            <w:r>
              <w:rPr>
                <w:noProof/>
              </w:rPr>
              <w:fldChar w:fldCharType="end"/>
            </w:r>
          </w:hyperlink>
        </w:p>
        <w:p w14:paraId="2048C3E7" w14:textId="5204946C"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91" w:history="1">
            <w:r w:rsidRPr="0002739D">
              <w:rPr>
                <w:rStyle w:val="Hyperlink"/>
                <w:noProof/>
              </w:rPr>
              <w:t>21.2 Como usar a ferramenta com rigor</w:t>
            </w:r>
            <w:r>
              <w:rPr>
                <w:noProof/>
              </w:rPr>
              <w:tab/>
            </w:r>
            <w:r>
              <w:rPr>
                <w:noProof/>
              </w:rPr>
              <w:fldChar w:fldCharType="begin"/>
            </w:r>
            <w:r>
              <w:rPr>
                <w:noProof/>
              </w:rPr>
              <w:instrText xml:space="preserve"> PAGEREF _Toc238022191 \h </w:instrText>
            </w:r>
            <w:r>
              <w:rPr>
                <w:noProof/>
              </w:rPr>
            </w:r>
            <w:r>
              <w:rPr>
                <w:noProof/>
              </w:rPr>
              <w:fldChar w:fldCharType="separate"/>
            </w:r>
            <w:r>
              <w:rPr>
                <w:noProof/>
              </w:rPr>
              <w:t>213</w:t>
            </w:r>
            <w:r>
              <w:rPr>
                <w:noProof/>
              </w:rPr>
              <w:fldChar w:fldCharType="end"/>
            </w:r>
          </w:hyperlink>
        </w:p>
        <w:p w14:paraId="2290344F" w14:textId="7A7CF92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92" w:history="1">
            <w:r w:rsidRPr="0002739D">
              <w:rPr>
                <w:rStyle w:val="Hyperlink"/>
                <w:noProof/>
              </w:rPr>
              <w:t>21.3 Atenção ao prazo prescricional da advertência</w:t>
            </w:r>
            <w:r>
              <w:rPr>
                <w:noProof/>
              </w:rPr>
              <w:tab/>
            </w:r>
            <w:r>
              <w:rPr>
                <w:noProof/>
              </w:rPr>
              <w:fldChar w:fldCharType="begin"/>
            </w:r>
            <w:r>
              <w:rPr>
                <w:noProof/>
              </w:rPr>
              <w:instrText xml:space="preserve"> PAGEREF _Toc238022192 \h </w:instrText>
            </w:r>
            <w:r>
              <w:rPr>
                <w:noProof/>
              </w:rPr>
            </w:r>
            <w:r>
              <w:rPr>
                <w:noProof/>
              </w:rPr>
              <w:fldChar w:fldCharType="separate"/>
            </w:r>
            <w:r>
              <w:rPr>
                <w:noProof/>
              </w:rPr>
              <w:t>214</w:t>
            </w:r>
            <w:r>
              <w:rPr>
                <w:noProof/>
              </w:rPr>
              <w:fldChar w:fldCharType="end"/>
            </w:r>
          </w:hyperlink>
        </w:p>
        <w:p w14:paraId="113387CE" w14:textId="728DD78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93" w:history="1">
            <w:r w:rsidRPr="0002739D">
              <w:rPr>
                <w:rStyle w:val="Hyperlink"/>
                <w:noProof/>
              </w:rPr>
              <w:t>21.4 Cumulatividade de enquadramentos</w:t>
            </w:r>
            <w:r>
              <w:rPr>
                <w:noProof/>
              </w:rPr>
              <w:tab/>
            </w:r>
            <w:r>
              <w:rPr>
                <w:noProof/>
              </w:rPr>
              <w:fldChar w:fldCharType="begin"/>
            </w:r>
            <w:r>
              <w:rPr>
                <w:noProof/>
              </w:rPr>
              <w:instrText xml:space="preserve"> PAGEREF _Toc238022193 \h </w:instrText>
            </w:r>
            <w:r>
              <w:rPr>
                <w:noProof/>
              </w:rPr>
            </w:r>
            <w:r>
              <w:rPr>
                <w:noProof/>
              </w:rPr>
              <w:fldChar w:fldCharType="separate"/>
            </w:r>
            <w:r>
              <w:rPr>
                <w:noProof/>
              </w:rPr>
              <w:t>215</w:t>
            </w:r>
            <w:r>
              <w:rPr>
                <w:noProof/>
              </w:rPr>
              <w:fldChar w:fldCharType="end"/>
            </w:r>
          </w:hyperlink>
        </w:p>
        <w:p w14:paraId="00ED99CB" w14:textId="17CFE6C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94" w:history="1">
            <w:r w:rsidRPr="0002739D">
              <w:rPr>
                <w:rStyle w:val="Hyperlink"/>
                <w:noProof/>
              </w:rPr>
              <w:t>21.5 O gate demissório não é garantia</w:t>
            </w:r>
            <w:r>
              <w:rPr>
                <w:noProof/>
              </w:rPr>
              <w:tab/>
            </w:r>
            <w:r>
              <w:rPr>
                <w:noProof/>
              </w:rPr>
              <w:fldChar w:fldCharType="begin"/>
            </w:r>
            <w:r>
              <w:rPr>
                <w:noProof/>
              </w:rPr>
              <w:instrText xml:space="preserve"> PAGEREF _Toc238022194 \h </w:instrText>
            </w:r>
            <w:r>
              <w:rPr>
                <w:noProof/>
              </w:rPr>
            </w:r>
            <w:r>
              <w:rPr>
                <w:noProof/>
              </w:rPr>
              <w:fldChar w:fldCharType="separate"/>
            </w:r>
            <w:r>
              <w:rPr>
                <w:noProof/>
              </w:rPr>
              <w:t>215</w:t>
            </w:r>
            <w:r>
              <w:rPr>
                <w:noProof/>
              </w:rPr>
              <w:fldChar w:fldCharType="end"/>
            </w:r>
          </w:hyperlink>
        </w:p>
        <w:p w14:paraId="3631BDD0" w14:textId="3616431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95" w:history="1">
            <w:r w:rsidRPr="0002739D">
              <w:rPr>
                <w:rStyle w:val="Hyperlink"/>
                <w:noProof/>
              </w:rPr>
              <w:t>21.6 Retomada de sessão e integridade da análise</w:t>
            </w:r>
            <w:r>
              <w:rPr>
                <w:noProof/>
              </w:rPr>
              <w:tab/>
            </w:r>
            <w:r>
              <w:rPr>
                <w:noProof/>
              </w:rPr>
              <w:fldChar w:fldCharType="begin"/>
            </w:r>
            <w:r>
              <w:rPr>
                <w:noProof/>
              </w:rPr>
              <w:instrText xml:space="preserve"> PAGEREF _Toc238022195 \h </w:instrText>
            </w:r>
            <w:r>
              <w:rPr>
                <w:noProof/>
              </w:rPr>
            </w:r>
            <w:r>
              <w:rPr>
                <w:noProof/>
              </w:rPr>
              <w:fldChar w:fldCharType="separate"/>
            </w:r>
            <w:r>
              <w:rPr>
                <w:noProof/>
              </w:rPr>
              <w:t>216</w:t>
            </w:r>
            <w:r>
              <w:rPr>
                <w:noProof/>
              </w:rPr>
              <w:fldChar w:fldCharType="end"/>
            </w:r>
          </w:hyperlink>
        </w:p>
        <w:p w14:paraId="2D4BAFD4" w14:textId="5ECF7B0A"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96" w:history="1">
            <w:r w:rsidRPr="0002739D">
              <w:rPr>
                <w:rStyle w:val="Hyperlink"/>
                <w:noProof/>
              </w:rPr>
              <w:t>21.7 Comunicação externa em casos com repercussão penal</w:t>
            </w:r>
            <w:r>
              <w:rPr>
                <w:noProof/>
              </w:rPr>
              <w:tab/>
            </w:r>
            <w:r>
              <w:rPr>
                <w:noProof/>
              </w:rPr>
              <w:fldChar w:fldCharType="begin"/>
            </w:r>
            <w:r>
              <w:rPr>
                <w:noProof/>
              </w:rPr>
              <w:instrText xml:space="preserve"> PAGEREF _Toc238022196 \h </w:instrText>
            </w:r>
            <w:r>
              <w:rPr>
                <w:noProof/>
              </w:rPr>
            </w:r>
            <w:r>
              <w:rPr>
                <w:noProof/>
              </w:rPr>
              <w:fldChar w:fldCharType="separate"/>
            </w:r>
            <w:r>
              <w:rPr>
                <w:noProof/>
              </w:rPr>
              <w:t>216</w:t>
            </w:r>
            <w:r>
              <w:rPr>
                <w:noProof/>
              </w:rPr>
              <w:fldChar w:fldCharType="end"/>
            </w:r>
          </w:hyperlink>
        </w:p>
        <w:p w14:paraId="4BA52019" w14:textId="78EAC5F5"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97" w:history="1">
            <w:r w:rsidRPr="0002739D">
              <w:rPr>
                <w:rStyle w:val="Hyperlink"/>
                <w:noProof/>
              </w:rPr>
              <w:t>21.8 Proteção da identidade do denunciante</w:t>
            </w:r>
            <w:r>
              <w:rPr>
                <w:noProof/>
              </w:rPr>
              <w:tab/>
            </w:r>
            <w:r>
              <w:rPr>
                <w:noProof/>
              </w:rPr>
              <w:fldChar w:fldCharType="begin"/>
            </w:r>
            <w:r>
              <w:rPr>
                <w:noProof/>
              </w:rPr>
              <w:instrText xml:space="preserve"> PAGEREF _Toc238022197 \h </w:instrText>
            </w:r>
            <w:r>
              <w:rPr>
                <w:noProof/>
              </w:rPr>
            </w:r>
            <w:r>
              <w:rPr>
                <w:noProof/>
              </w:rPr>
              <w:fldChar w:fldCharType="separate"/>
            </w:r>
            <w:r>
              <w:rPr>
                <w:noProof/>
              </w:rPr>
              <w:t>217</w:t>
            </w:r>
            <w:r>
              <w:rPr>
                <w:noProof/>
              </w:rPr>
              <w:fldChar w:fldCharType="end"/>
            </w:r>
          </w:hyperlink>
        </w:p>
        <w:p w14:paraId="18CD2EE2" w14:textId="18ACF21D"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98" w:history="1">
            <w:r w:rsidRPr="0002739D">
              <w:rPr>
                <w:rStyle w:val="Hyperlink"/>
                <w:noProof/>
              </w:rPr>
              <w:t>21.9 Uso da ferramenta em casos de perspectiva de gênero</w:t>
            </w:r>
            <w:r>
              <w:rPr>
                <w:noProof/>
              </w:rPr>
              <w:tab/>
            </w:r>
            <w:r>
              <w:rPr>
                <w:noProof/>
              </w:rPr>
              <w:fldChar w:fldCharType="begin"/>
            </w:r>
            <w:r>
              <w:rPr>
                <w:noProof/>
              </w:rPr>
              <w:instrText xml:space="preserve"> PAGEREF _Toc238022198 \h </w:instrText>
            </w:r>
            <w:r>
              <w:rPr>
                <w:noProof/>
              </w:rPr>
            </w:r>
            <w:r>
              <w:rPr>
                <w:noProof/>
              </w:rPr>
              <w:fldChar w:fldCharType="separate"/>
            </w:r>
            <w:r>
              <w:rPr>
                <w:noProof/>
              </w:rPr>
              <w:t>218</w:t>
            </w:r>
            <w:r>
              <w:rPr>
                <w:noProof/>
              </w:rPr>
              <w:fldChar w:fldCharType="end"/>
            </w:r>
          </w:hyperlink>
        </w:p>
        <w:p w14:paraId="128C58BD" w14:textId="17911F33"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199" w:history="1">
            <w:r w:rsidRPr="0002739D">
              <w:rPr>
                <w:rStyle w:val="Hyperlink"/>
                <w:noProof/>
              </w:rPr>
              <w:t>21.10 Checklist de encerramento, antes de gerar o relatório</w:t>
            </w:r>
            <w:r>
              <w:rPr>
                <w:noProof/>
              </w:rPr>
              <w:tab/>
            </w:r>
            <w:r>
              <w:rPr>
                <w:noProof/>
              </w:rPr>
              <w:fldChar w:fldCharType="begin"/>
            </w:r>
            <w:r>
              <w:rPr>
                <w:noProof/>
              </w:rPr>
              <w:instrText xml:space="preserve"> PAGEREF _Toc238022199 \h </w:instrText>
            </w:r>
            <w:r>
              <w:rPr>
                <w:noProof/>
              </w:rPr>
            </w:r>
            <w:r>
              <w:rPr>
                <w:noProof/>
              </w:rPr>
              <w:fldChar w:fldCharType="separate"/>
            </w:r>
            <w:r>
              <w:rPr>
                <w:noProof/>
              </w:rPr>
              <w:t>219</w:t>
            </w:r>
            <w:r>
              <w:rPr>
                <w:noProof/>
              </w:rPr>
              <w:fldChar w:fldCharType="end"/>
            </w:r>
          </w:hyperlink>
        </w:p>
        <w:p w14:paraId="2D350CD3" w14:textId="3EE7896B" w:rsidR="00436C77" w:rsidRDefault="00436C77">
          <w:pPr>
            <w:pStyle w:val="Sumrio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200" w:history="1">
            <w:r w:rsidRPr="0002739D">
              <w:rPr>
                <w:rStyle w:val="Hyperlink"/>
                <w:noProof/>
              </w:rPr>
              <w:t>REFERÊNCIAS</w:t>
            </w:r>
            <w:r>
              <w:rPr>
                <w:noProof/>
              </w:rPr>
              <w:tab/>
            </w:r>
            <w:r>
              <w:rPr>
                <w:noProof/>
              </w:rPr>
              <w:fldChar w:fldCharType="begin"/>
            </w:r>
            <w:r>
              <w:rPr>
                <w:noProof/>
              </w:rPr>
              <w:instrText xml:space="preserve"> PAGEREF _Toc238022200 \h </w:instrText>
            </w:r>
            <w:r>
              <w:rPr>
                <w:noProof/>
              </w:rPr>
            </w:r>
            <w:r>
              <w:rPr>
                <w:noProof/>
              </w:rPr>
              <w:fldChar w:fldCharType="separate"/>
            </w:r>
            <w:r>
              <w:rPr>
                <w:noProof/>
              </w:rPr>
              <w:t>220</w:t>
            </w:r>
            <w:r>
              <w:rPr>
                <w:noProof/>
              </w:rPr>
              <w:fldChar w:fldCharType="end"/>
            </w:r>
          </w:hyperlink>
        </w:p>
        <w:p w14:paraId="6739BD09" w14:textId="4B5DC90E"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201" w:history="1">
            <w:r w:rsidRPr="0002739D">
              <w:rPr>
                <w:rStyle w:val="Hyperlink"/>
                <w:noProof/>
              </w:rPr>
              <w:t>Doutrina e literatura científica</w:t>
            </w:r>
            <w:r>
              <w:rPr>
                <w:noProof/>
              </w:rPr>
              <w:tab/>
            </w:r>
            <w:r>
              <w:rPr>
                <w:noProof/>
              </w:rPr>
              <w:fldChar w:fldCharType="begin"/>
            </w:r>
            <w:r>
              <w:rPr>
                <w:noProof/>
              </w:rPr>
              <w:instrText xml:space="preserve"> PAGEREF _Toc238022201 \h </w:instrText>
            </w:r>
            <w:r>
              <w:rPr>
                <w:noProof/>
              </w:rPr>
            </w:r>
            <w:r>
              <w:rPr>
                <w:noProof/>
              </w:rPr>
              <w:fldChar w:fldCharType="separate"/>
            </w:r>
            <w:r>
              <w:rPr>
                <w:noProof/>
              </w:rPr>
              <w:t>220</w:t>
            </w:r>
            <w:r>
              <w:rPr>
                <w:noProof/>
              </w:rPr>
              <w:fldChar w:fldCharType="end"/>
            </w:r>
          </w:hyperlink>
        </w:p>
        <w:p w14:paraId="2D15FFED" w14:textId="06560A82"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202" w:history="1">
            <w:r w:rsidRPr="0002739D">
              <w:rPr>
                <w:rStyle w:val="Hyperlink"/>
                <w:noProof/>
              </w:rPr>
              <w:t>Legislação brasileira</w:t>
            </w:r>
            <w:r>
              <w:rPr>
                <w:noProof/>
              </w:rPr>
              <w:tab/>
            </w:r>
            <w:r>
              <w:rPr>
                <w:noProof/>
              </w:rPr>
              <w:fldChar w:fldCharType="begin"/>
            </w:r>
            <w:r>
              <w:rPr>
                <w:noProof/>
              </w:rPr>
              <w:instrText xml:space="preserve"> PAGEREF _Toc238022202 \h </w:instrText>
            </w:r>
            <w:r>
              <w:rPr>
                <w:noProof/>
              </w:rPr>
            </w:r>
            <w:r>
              <w:rPr>
                <w:noProof/>
              </w:rPr>
              <w:fldChar w:fldCharType="separate"/>
            </w:r>
            <w:r>
              <w:rPr>
                <w:noProof/>
              </w:rPr>
              <w:t>222</w:t>
            </w:r>
            <w:r>
              <w:rPr>
                <w:noProof/>
              </w:rPr>
              <w:fldChar w:fldCharType="end"/>
            </w:r>
          </w:hyperlink>
        </w:p>
        <w:p w14:paraId="4007F207" w14:textId="33B5E2E1"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203" w:history="1">
            <w:r w:rsidRPr="0002739D">
              <w:rPr>
                <w:rStyle w:val="Hyperlink"/>
                <w:noProof/>
              </w:rPr>
              <w:t>Decretos</w:t>
            </w:r>
            <w:r>
              <w:rPr>
                <w:noProof/>
              </w:rPr>
              <w:tab/>
            </w:r>
            <w:r>
              <w:rPr>
                <w:noProof/>
              </w:rPr>
              <w:fldChar w:fldCharType="begin"/>
            </w:r>
            <w:r>
              <w:rPr>
                <w:noProof/>
              </w:rPr>
              <w:instrText xml:space="preserve"> PAGEREF _Toc238022203 \h </w:instrText>
            </w:r>
            <w:r>
              <w:rPr>
                <w:noProof/>
              </w:rPr>
            </w:r>
            <w:r>
              <w:rPr>
                <w:noProof/>
              </w:rPr>
              <w:fldChar w:fldCharType="separate"/>
            </w:r>
            <w:r>
              <w:rPr>
                <w:noProof/>
              </w:rPr>
              <w:t>223</w:t>
            </w:r>
            <w:r>
              <w:rPr>
                <w:noProof/>
              </w:rPr>
              <w:fldChar w:fldCharType="end"/>
            </w:r>
          </w:hyperlink>
        </w:p>
        <w:p w14:paraId="0BDCC299" w14:textId="63A98508"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204" w:history="1">
            <w:r w:rsidRPr="0002739D">
              <w:rPr>
                <w:rStyle w:val="Hyperlink"/>
                <w:noProof/>
              </w:rPr>
              <w:t>Jurisprudência</w:t>
            </w:r>
            <w:r>
              <w:rPr>
                <w:noProof/>
              </w:rPr>
              <w:tab/>
            </w:r>
            <w:r>
              <w:rPr>
                <w:noProof/>
              </w:rPr>
              <w:fldChar w:fldCharType="begin"/>
            </w:r>
            <w:r>
              <w:rPr>
                <w:noProof/>
              </w:rPr>
              <w:instrText xml:space="preserve"> PAGEREF _Toc238022204 \h </w:instrText>
            </w:r>
            <w:r>
              <w:rPr>
                <w:noProof/>
              </w:rPr>
            </w:r>
            <w:r>
              <w:rPr>
                <w:noProof/>
              </w:rPr>
              <w:fldChar w:fldCharType="separate"/>
            </w:r>
            <w:r>
              <w:rPr>
                <w:noProof/>
              </w:rPr>
              <w:t>223</w:t>
            </w:r>
            <w:r>
              <w:rPr>
                <w:noProof/>
              </w:rPr>
              <w:fldChar w:fldCharType="end"/>
            </w:r>
          </w:hyperlink>
        </w:p>
        <w:p w14:paraId="2F222912" w14:textId="2A053B27"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205" w:history="1">
            <w:r w:rsidRPr="0002739D">
              <w:rPr>
                <w:rStyle w:val="Hyperlink"/>
                <w:noProof/>
              </w:rPr>
              <w:t>Atos orientativos e documentos institucionais</w:t>
            </w:r>
            <w:r>
              <w:rPr>
                <w:noProof/>
              </w:rPr>
              <w:tab/>
            </w:r>
            <w:r>
              <w:rPr>
                <w:noProof/>
              </w:rPr>
              <w:fldChar w:fldCharType="begin"/>
            </w:r>
            <w:r>
              <w:rPr>
                <w:noProof/>
              </w:rPr>
              <w:instrText xml:space="preserve"> PAGEREF _Toc238022205 \h </w:instrText>
            </w:r>
            <w:r>
              <w:rPr>
                <w:noProof/>
              </w:rPr>
            </w:r>
            <w:r>
              <w:rPr>
                <w:noProof/>
              </w:rPr>
              <w:fldChar w:fldCharType="separate"/>
            </w:r>
            <w:r>
              <w:rPr>
                <w:noProof/>
              </w:rPr>
              <w:t>223</w:t>
            </w:r>
            <w:r>
              <w:rPr>
                <w:noProof/>
              </w:rPr>
              <w:fldChar w:fldCharType="end"/>
            </w:r>
          </w:hyperlink>
        </w:p>
        <w:p w14:paraId="4C8E67F0" w14:textId="130008AA" w:rsidR="00436C77" w:rsidRDefault="00436C77">
          <w:pPr>
            <w:pStyle w:val="Sumrio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8022206" w:history="1">
            <w:r w:rsidRPr="0002739D">
              <w:rPr>
                <w:rStyle w:val="Hyperlink"/>
                <w:noProof/>
              </w:rPr>
              <w:t>Documentos internacionais</w:t>
            </w:r>
            <w:r>
              <w:rPr>
                <w:noProof/>
              </w:rPr>
              <w:tab/>
            </w:r>
            <w:r>
              <w:rPr>
                <w:noProof/>
              </w:rPr>
              <w:fldChar w:fldCharType="begin"/>
            </w:r>
            <w:r>
              <w:rPr>
                <w:noProof/>
              </w:rPr>
              <w:instrText xml:space="preserve"> PAGEREF _Toc238022206 \h </w:instrText>
            </w:r>
            <w:r>
              <w:rPr>
                <w:noProof/>
              </w:rPr>
            </w:r>
            <w:r>
              <w:rPr>
                <w:noProof/>
              </w:rPr>
              <w:fldChar w:fldCharType="separate"/>
            </w:r>
            <w:r>
              <w:rPr>
                <w:noProof/>
              </w:rPr>
              <w:t>224</w:t>
            </w:r>
            <w:r>
              <w:rPr>
                <w:noProof/>
              </w:rPr>
              <w:fldChar w:fldCharType="end"/>
            </w:r>
          </w:hyperlink>
        </w:p>
        <w:p w14:paraId="520A9F76" w14:textId="0E363835" w:rsidR="00287D58" w:rsidRDefault="003B78AF" w:rsidP="00D14CB1">
          <w:pPr>
            <w:pStyle w:val="Sumrio2"/>
            <w:tabs>
              <w:tab w:val="right" w:leader="dot" w:pos="9061"/>
            </w:tabs>
          </w:pPr>
          <w:r>
            <w:fldChar w:fldCharType="end"/>
          </w:r>
        </w:p>
      </w:sdtContent>
    </w:sdt>
    <w:p w14:paraId="25E577D9" w14:textId="14CE1B1A" w:rsidR="00436C77" w:rsidRDefault="00436C77">
      <w:pPr>
        <w:rPr>
          <w:rFonts w:ascii="Barlow Condensed" w:eastAsia="Barlow Condensed" w:hAnsi="Barlow Condensed" w:cs="Barlow Condensed"/>
          <w:b/>
          <w:bCs/>
          <w:color w:val="C9A35C"/>
          <w:sz w:val="22"/>
          <w:szCs w:val="22"/>
        </w:rPr>
      </w:pPr>
      <w:r>
        <w:rPr>
          <w:rFonts w:ascii="Barlow Condensed" w:eastAsia="Barlow Condensed" w:hAnsi="Barlow Condensed" w:cs="Barlow Condensed"/>
          <w:b/>
          <w:bCs/>
          <w:color w:val="C9A35C"/>
          <w:sz w:val="22"/>
          <w:szCs w:val="22"/>
        </w:rPr>
        <w:br w:type="page"/>
      </w:r>
    </w:p>
    <w:p w14:paraId="7C9444CF" w14:textId="42F4015F"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APRESENTAÇÃO</w:t>
      </w:r>
    </w:p>
    <w:p w14:paraId="5F20BC52" w14:textId="77777777" w:rsidR="00287D58" w:rsidRDefault="003B78AF">
      <w:pPr>
        <w:pStyle w:val="Ttulo1"/>
        <w:keepNext/>
        <w:pBdr>
          <w:bottom w:val="single" w:sz="12" w:space="6" w:color="C9A35C"/>
        </w:pBdr>
        <w:spacing w:line="400" w:lineRule="exact"/>
      </w:pPr>
      <w:bookmarkStart w:id="1" w:name="_Toc238021996"/>
      <w:r>
        <w:t>APRESENTAÇÃO</w:t>
      </w:r>
      <w:bookmarkEnd w:id="1"/>
    </w:p>
    <w:p w14:paraId="05E59133" w14:textId="77777777" w:rsidR="005E7E73" w:rsidRDefault="005E7E73" w:rsidP="004B651F">
      <w:pPr>
        <w:spacing w:after="120"/>
        <w:jc w:val="both"/>
        <w:rPr>
          <w:sz w:val="21"/>
          <w:szCs w:val="21"/>
        </w:rPr>
      </w:pPr>
      <w:r>
        <w:rPr>
          <w:sz w:val="21"/>
          <w:szCs w:val="21"/>
        </w:rPr>
        <w:t xml:space="preserve">O </w:t>
      </w:r>
      <w:proofErr w:type="spellStart"/>
      <w:r>
        <w:rPr>
          <w:b/>
          <w:bCs/>
          <w:sz w:val="21"/>
          <w:szCs w:val="21"/>
        </w:rPr>
        <w:t>Integritas</w:t>
      </w:r>
      <w:proofErr w:type="spellEnd"/>
      <w:r>
        <w:rPr>
          <w:b/>
          <w:bCs/>
          <w:sz w:val="21"/>
          <w:szCs w:val="21"/>
        </w:rPr>
        <w:t>, Núcleo de Prevenção e Enfrentamento do Assédio Sexual, do Assédio Moral e da Discriminação</w:t>
      </w:r>
      <w:r>
        <w:rPr>
          <w:sz w:val="21"/>
          <w:szCs w:val="21"/>
        </w:rPr>
        <w:t xml:space="preserve"> foi instituído pela Portaria </w:t>
      </w:r>
      <w:proofErr w:type="spellStart"/>
      <w:r>
        <w:rPr>
          <w:sz w:val="21"/>
          <w:szCs w:val="21"/>
        </w:rPr>
        <w:t>Coger</w:t>
      </w:r>
      <w:proofErr w:type="spellEnd"/>
      <w:r>
        <w:rPr>
          <w:sz w:val="21"/>
          <w:szCs w:val="21"/>
        </w:rPr>
        <w:t xml:space="preserve"> nº 590, de 11 de abril de 2024, com a missão de tratar as ocorrências relativas a assédio moral, assédio sexual, discriminação e outras formas de violência no ambiente de trabalho da Receita Federal do Brasil. O </w:t>
      </w:r>
      <w:proofErr w:type="spellStart"/>
      <w:r>
        <w:rPr>
          <w:sz w:val="21"/>
          <w:szCs w:val="21"/>
        </w:rPr>
        <w:t>Integritas</w:t>
      </w:r>
      <w:proofErr w:type="spellEnd"/>
      <w:r>
        <w:rPr>
          <w:sz w:val="21"/>
          <w:szCs w:val="21"/>
        </w:rPr>
        <w:t xml:space="preserve"> é constituído por servidoras e servidores da Corregedoria comprometidos com o aprimoramento permanente da atividade correcional nessa seara específica, atuando com responsabilidade e sensibilidade em todas as etapas da apuração disciplinar, sob os compromissos da celeridade, da imparcialidade e da proteção das vítimas, resguardado o sigilo e respeitados os direitos da pessoa denunciada. É no âmbito desse Programa que se insere a ferramenta Condutas Funcionais, </w:t>
      </w:r>
      <w:proofErr w:type="spellStart"/>
      <w:r>
        <w:rPr>
          <w:sz w:val="21"/>
          <w:szCs w:val="21"/>
        </w:rPr>
        <w:t>Integritas</w:t>
      </w:r>
      <w:proofErr w:type="spellEnd"/>
      <w:r>
        <w:rPr>
          <w:sz w:val="21"/>
          <w:szCs w:val="21"/>
        </w:rPr>
        <w:t>: instrumento de apoio à reflexão e à uniformização disciplinar que o Núcleo desenvolveu para estruturar o raciocínio jurídico nas apurações que envolvem as condutas de sua competência, e do qual este manual é o complemento teórico-prático indispensável.</w:t>
      </w:r>
    </w:p>
    <w:p w14:paraId="53000B39" w14:textId="77777777" w:rsidR="004B651F" w:rsidRPr="004B651F" w:rsidRDefault="004B651F" w:rsidP="004B651F">
      <w:pPr>
        <w:spacing w:after="120"/>
        <w:jc w:val="both"/>
        <w:rPr>
          <w:sz w:val="21"/>
          <w:szCs w:val="21"/>
        </w:rPr>
      </w:pPr>
      <w:r>
        <w:rPr>
          <w:sz w:val="21"/>
          <w:szCs w:val="21"/>
        </w:rPr>
        <w:t>A gestão correcional de um Estado Democrático de Direito não pode operar por intuição. Cada enquadramento disciplinar que afeta a vida funcional de um servidor reclama fundamentação juridicamente sustentável, o que pressupõe, ao mesmo tempo, domínio do arcabouço normativo, uniformidade interpretativa entre os órgãos do Sistema de Correição do Poder Executivo Federal (</w:t>
      </w:r>
      <w:proofErr w:type="spellStart"/>
      <w:r>
        <w:rPr>
          <w:sz w:val="21"/>
          <w:szCs w:val="21"/>
        </w:rPr>
        <w:t>Siscor</w:t>
      </w:r>
      <w:proofErr w:type="spellEnd"/>
      <w:r>
        <w:rPr>
          <w:sz w:val="21"/>
          <w:szCs w:val="21"/>
        </w:rPr>
        <w:t>) e transparência do raciocínio que conduziu à conclusão adotada. É para atender a essas três exigências que a Corregedoria da Receita Federal do Brasil (</w:t>
      </w:r>
      <w:proofErr w:type="spellStart"/>
      <w:r>
        <w:rPr>
          <w:sz w:val="21"/>
          <w:szCs w:val="21"/>
        </w:rPr>
        <w:t>Coger</w:t>
      </w:r>
      <w:proofErr w:type="spellEnd"/>
      <w:r>
        <w:rPr>
          <w:sz w:val="21"/>
          <w:szCs w:val="21"/>
        </w:rPr>
        <w:t xml:space="preserve">) desenvolveu a ferramenta </w:t>
      </w:r>
      <w:r>
        <w:rPr>
          <w:b/>
          <w:bCs/>
          <w:sz w:val="21"/>
          <w:szCs w:val="21"/>
        </w:rPr>
        <w:t xml:space="preserve">Condutas Funcionais, </w:t>
      </w:r>
      <w:proofErr w:type="spellStart"/>
      <w:r>
        <w:rPr>
          <w:b/>
          <w:bCs/>
          <w:sz w:val="21"/>
          <w:szCs w:val="21"/>
        </w:rPr>
        <w:t>Integritas</w:t>
      </w:r>
      <w:proofErr w:type="spellEnd"/>
      <w:r>
        <w:rPr>
          <w:sz w:val="21"/>
          <w:szCs w:val="21"/>
        </w:rPr>
        <w:t>: um instrumento de apoio à reflexão disciplinar estruturado na forma de fluxos decisórios, orientado pelas Notas Técnicas da Coordenação-Geral de Uniformização de Entendimentos da Corregedoria-Geral da União (CGUNE/DICOR/CRG) e ancorado na tipologia da Lei nº 8.112, de 11 de dezembro de 1990.</w:t>
      </w:r>
    </w:p>
    <w:p w14:paraId="43BB5E4D" w14:textId="77777777" w:rsidR="00FD1F6A" w:rsidRDefault="008F33CE" w:rsidP="00FD1F6A">
      <w:pPr>
        <w:spacing w:after="120"/>
        <w:jc w:val="both"/>
        <w:rPr>
          <w:sz w:val="21"/>
          <w:szCs w:val="21"/>
        </w:rPr>
      </w:pPr>
      <w:r>
        <w:rPr>
          <w:sz w:val="21"/>
          <w:szCs w:val="21"/>
        </w:rPr>
        <w:t xml:space="preserve">Este manual tem dupla finalidade. Na </w:t>
      </w:r>
      <w:r>
        <w:rPr>
          <w:b/>
          <w:bCs/>
          <w:sz w:val="21"/>
          <w:szCs w:val="21"/>
        </w:rPr>
        <w:t>Parte I</w:t>
      </w:r>
      <w:r>
        <w:rPr>
          <w:sz w:val="21"/>
          <w:szCs w:val="21"/>
        </w:rPr>
        <w:t>, expõe os fundamentos teóricos que sustentam cada eixo da ferramenta: o regime disciplinar do servidor público federal; os conceitos jurídicos de agressão física, ameaça, assédio sexual, assédio moral, discriminação no ambiente de trabalho, retaliação ao denunciante, violência verbal e perseguição sistemática no ambiente funcional (</w:t>
      </w:r>
      <w:proofErr w:type="spellStart"/>
      <w:r>
        <w:rPr>
          <w:i/>
          <w:iCs/>
          <w:sz w:val="21"/>
          <w:szCs w:val="21"/>
        </w:rPr>
        <w:t>stalking</w:t>
      </w:r>
      <w:proofErr w:type="spellEnd"/>
      <w:r>
        <w:rPr>
          <w:sz w:val="21"/>
          <w:szCs w:val="21"/>
        </w:rPr>
        <w:t xml:space="preserve">). Para cada um desses oito eixos, a Parte I apresenta os elementos constitutivos da conduta, as bases normativas e </w:t>
      </w:r>
      <w:proofErr w:type="spellStart"/>
      <w:r>
        <w:rPr>
          <w:sz w:val="21"/>
          <w:szCs w:val="21"/>
        </w:rPr>
        <w:t>doutrinárías</w:t>
      </w:r>
      <w:proofErr w:type="spellEnd"/>
      <w:r>
        <w:rPr>
          <w:sz w:val="21"/>
          <w:szCs w:val="21"/>
        </w:rPr>
        <w:t xml:space="preserve"> que fundamentam o enquadramento disciplinar, e as balizas interpretativas que orientam a subsunção ao Regime Jurídico Único. Na </w:t>
      </w:r>
      <w:r>
        <w:rPr>
          <w:b/>
          <w:bCs/>
          <w:sz w:val="21"/>
          <w:szCs w:val="21"/>
        </w:rPr>
        <w:t>Parte II</w:t>
      </w:r>
      <w:r>
        <w:rPr>
          <w:sz w:val="21"/>
          <w:szCs w:val="21"/>
        </w:rPr>
        <w:t xml:space="preserve">, descreve cada fluxo decisório do </w:t>
      </w:r>
      <w:proofErr w:type="spellStart"/>
      <w:r>
        <w:rPr>
          <w:sz w:val="21"/>
          <w:szCs w:val="21"/>
        </w:rPr>
        <w:t>Integritas</w:t>
      </w:r>
      <w:proofErr w:type="spellEnd"/>
      <w:r>
        <w:rPr>
          <w:sz w:val="21"/>
          <w:szCs w:val="21"/>
        </w:rPr>
        <w:t>, eixo a eixo, pergunta a pergunta, indicando o que o operador deve avaliar, como cada resposta abre ou fecha caminhos e qual enquadramento disciplinar orientativo cada trilha produz. A leitura integral da Parte I antes da utilização prática descrita na Parte II é fortemente recomendada: o operador que domina apenas a mecânica da ferramenta, sem compreender a teoria que a sustenta, corre o risco de selecionar opções sem o necessário juízo crítico e de não perceber quando o caso concreto exige afastamento fundamentado do caminho sugerido.</w:t>
      </w:r>
    </w:p>
    <w:p w14:paraId="061D8C96" w14:textId="77777777" w:rsidR="00F06651" w:rsidRPr="00F06651" w:rsidRDefault="00F06651" w:rsidP="00FD1F6A">
      <w:pPr>
        <w:spacing w:after="120"/>
        <w:jc w:val="both"/>
        <w:rPr>
          <w:rFonts w:ascii="Barlow Condensed" w:hAnsi="Barlow Condensed"/>
          <w:b/>
          <w:bCs/>
          <w:color w:val="074F6A" w:themeColor="accent4" w:themeShade="80"/>
          <w:sz w:val="26"/>
          <w:szCs w:val="26"/>
        </w:rPr>
      </w:pPr>
      <w:r>
        <w:rPr>
          <w:rFonts w:ascii="Barlow Condensed" w:hAnsi="Barlow Condensed"/>
          <w:b/>
          <w:bCs/>
          <w:color w:val="074F6A" w:themeColor="accent4" w:themeShade="80"/>
          <w:sz w:val="26"/>
          <w:szCs w:val="26"/>
        </w:rPr>
        <w:t>O fundamento do poder disciplinar</w:t>
      </w:r>
    </w:p>
    <w:p w14:paraId="36A71D73" w14:textId="77777777" w:rsidR="00FB3FF0" w:rsidRPr="004418BE" w:rsidRDefault="00FB3FF0" w:rsidP="00FB3FF0">
      <w:pPr>
        <w:spacing w:after="120"/>
        <w:jc w:val="both"/>
        <w:rPr>
          <w:sz w:val="21"/>
          <w:szCs w:val="21"/>
        </w:rPr>
      </w:pPr>
      <w:r>
        <w:rPr>
          <w:sz w:val="21"/>
          <w:szCs w:val="21"/>
        </w:rPr>
        <w:t xml:space="preserve">O fundamento do poder disciplinar reside na natureza peculiar do vínculo que liga o servidor ao Estado. Diferentemente da relação geral de sujeição, que submete todos os cidadãos ao ordenamento jurídico, a relação de emprego ou função pública cria o que a doutrina clássica denomina relação de </w:t>
      </w:r>
      <w:r>
        <w:rPr>
          <w:sz w:val="21"/>
          <w:szCs w:val="21"/>
        </w:rPr>
        <w:lastRenderedPageBreak/>
        <w:t>sujeição especial (</w:t>
      </w:r>
      <w:proofErr w:type="spellStart"/>
      <w:r>
        <w:rPr>
          <w:i/>
          <w:iCs/>
          <w:sz w:val="21"/>
          <w:szCs w:val="21"/>
        </w:rPr>
        <w:t>besonderes</w:t>
      </w:r>
      <w:proofErr w:type="spellEnd"/>
      <w:r>
        <w:rPr>
          <w:i/>
          <w:iCs/>
          <w:sz w:val="21"/>
          <w:szCs w:val="21"/>
        </w:rPr>
        <w:t xml:space="preserve"> </w:t>
      </w:r>
      <w:proofErr w:type="spellStart"/>
      <w:r>
        <w:rPr>
          <w:i/>
          <w:iCs/>
          <w:sz w:val="21"/>
          <w:szCs w:val="21"/>
        </w:rPr>
        <w:t>Gewaltverhältnis</w:t>
      </w:r>
      <w:proofErr w:type="spellEnd"/>
      <w:r>
        <w:rPr>
          <w:sz w:val="21"/>
          <w:szCs w:val="21"/>
        </w:rPr>
        <w:t xml:space="preserve">): uma subordinação qualificada, voluntariamente assumida no ato de investidura, que autoriza o Estado a impor deveres funcionais mais intensos do que aqueles exigíveis do cidadão comum e a reagir disciplinarmente em caso de descumprimento. Como assevera Celso Antônio Bandeira de Mello, o poder disciplinar é "inerente e indissociável da relação hierárquica" e não constitui mera faculdade administrativa, mas autêntico </w:t>
      </w:r>
      <w:r>
        <w:rPr>
          <w:i/>
          <w:iCs/>
          <w:sz w:val="21"/>
          <w:szCs w:val="21"/>
        </w:rPr>
        <w:t>poder-dever</w:t>
      </w:r>
      <w:r>
        <w:rPr>
          <w:sz w:val="21"/>
          <w:szCs w:val="21"/>
        </w:rPr>
        <w:t>: identificada a falta funcional, a autoridade competente tem a obrigação jurídica de apurá-la e, se for o caso, de punir o infrator, sob pena de condescendência punível.</w:t>
      </w:r>
      <w:r>
        <w:rPr>
          <w:rStyle w:val="Refdenotaderodap"/>
          <w:sz w:val="21"/>
          <w:szCs w:val="21"/>
        </w:rPr>
        <w:footnoteReference w:id="1"/>
      </w:r>
      <w:r>
        <w:rPr>
          <w:sz w:val="21"/>
          <w:szCs w:val="21"/>
        </w:rPr>
        <w:t xml:space="preserve"> A omissão deliberada </w:t>
      </w:r>
      <w:proofErr w:type="gramStart"/>
      <w:r>
        <w:rPr>
          <w:sz w:val="21"/>
          <w:szCs w:val="21"/>
        </w:rPr>
        <w:t>configura ela própria</w:t>
      </w:r>
      <w:proofErr w:type="gramEnd"/>
      <w:r>
        <w:rPr>
          <w:sz w:val="21"/>
          <w:szCs w:val="21"/>
        </w:rPr>
        <w:t xml:space="preserve"> infração disciplinar (Lei nº 8.112, de 1990, art. 143, </w:t>
      </w:r>
      <w:r>
        <w:rPr>
          <w:i/>
          <w:iCs/>
          <w:sz w:val="21"/>
          <w:szCs w:val="21"/>
        </w:rPr>
        <w:t>caput</w:t>
      </w:r>
      <w:r>
        <w:rPr>
          <w:sz w:val="21"/>
          <w:szCs w:val="21"/>
        </w:rPr>
        <w:t>, e art. 116, III).</w:t>
      </w:r>
    </w:p>
    <w:p w14:paraId="44219F24" w14:textId="77777777" w:rsidR="00FB3FF0" w:rsidRPr="004418BE" w:rsidRDefault="00FB3FF0" w:rsidP="00FB3FF0">
      <w:pPr>
        <w:spacing w:after="120"/>
        <w:jc w:val="both"/>
        <w:rPr>
          <w:sz w:val="21"/>
          <w:szCs w:val="21"/>
        </w:rPr>
      </w:pPr>
      <w:r>
        <w:rPr>
          <w:sz w:val="21"/>
          <w:szCs w:val="21"/>
        </w:rPr>
        <w:t xml:space="preserve">Essa caracterização do poder disciplinar como </w:t>
      </w:r>
      <w:r>
        <w:rPr>
          <w:i/>
          <w:iCs/>
          <w:sz w:val="21"/>
          <w:szCs w:val="21"/>
        </w:rPr>
        <w:t>poder-dever</w:t>
      </w:r>
      <w:r>
        <w:rPr>
          <w:sz w:val="21"/>
          <w:szCs w:val="21"/>
        </w:rPr>
        <w:t xml:space="preserve"> tem consequência metodológica direta para a ferramenta </w:t>
      </w:r>
      <w:proofErr w:type="spellStart"/>
      <w:r>
        <w:rPr>
          <w:sz w:val="21"/>
          <w:szCs w:val="21"/>
        </w:rPr>
        <w:t>Integritas</w:t>
      </w:r>
      <w:proofErr w:type="spellEnd"/>
      <w:r>
        <w:rPr>
          <w:sz w:val="21"/>
          <w:szCs w:val="21"/>
        </w:rPr>
        <w:t>: ela não oferece ao operador a opção de arquivar sem análise. Os fluxos decisórios pressupõem que a autoridade já decidiu apurar e buscam, a partir daí, organizar o raciocínio de enquadramento.</w:t>
      </w:r>
    </w:p>
    <w:p w14:paraId="58E3042A" w14:textId="77777777" w:rsidR="004418BE" w:rsidRPr="004418BE" w:rsidRDefault="004418BE" w:rsidP="004418BE">
      <w:pPr>
        <w:spacing w:after="120"/>
        <w:jc w:val="both"/>
        <w:rPr>
          <w:rFonts w:ascii="Barlow Condensed" w:hAnsi="Barlow Condensed"/>
          <w:b/>
          <w:bCs/>
          <w:color w:val="074F6A" w:themeColor="accent4" w:themeShade="80"/>
          <w:sz w:val="26"/>
          <w:szCs w:val="26"/>
        </w:rPr>
      </w:pPr>
      <w:r>
        <w:rPr>
          <w:rFonts w:ascii="Barlow Condensed" w:hAnsi="Barlow Condensed"/>
          <w:b/>
          <w:bCs/>
          <w:color w:val="074F6A" w:themeColor="accent4" w:themeShade="80"/>
          <w:sz w:val="26"/>
          <w:szCs w:val="26"/>
        </w:rPr>
        <w:t>A tipicidade administrativa e o desafio dos tipos abertos</w:t>
      </w:r>
    </w:p>
    <w:p w14:paraId="1823A22A" w14:textId="77777777" w:rsidR="00CE4479" w:rsidRPr="00D00353" w:rsidRDefault="00CE4479" w:rsidP="00CE4479">
      <w:pPr>
        <w:spacing w:after="120"/>
        <w:jc w:val="both"/>
        <w:rPr>
          <w:sz w:val="21"/>
          <w:szCs w:val="21"/>
        </w:rPr>
      </w:pPr>
      <w:r>
        <w:rPr>
          <w:sz w:val="21"/>
          <w:szCs w:val="21"/>
        </w:rPr>
        <w:t>O regime disciplinar da Lei nº 8.112, de 1990 combina dispositivos de tipicidade relativamente fechada, como o art. 132, que enumera taxativamente as infrações puníveis com demissão e dispositivos de tipicidade aberta, sobretudo os deveres do art. 116 e parte das proibições do art. 117, redigidos por meio de cláusulas gerais ("manter conduta compatível com a moralidade administrativa", "tratar com urbanidade as pessoas"). Como anota Odete Medauar, "a dificuldade de catalogar com exatidão todas as condutas que possam desatender deveres e proibições funcionais" justifica o recurso a essa técnica legislativa, que combina com a "discricionariedade inerente ao poder disciplinar".</w:t>
      </w:r>
      <w:r>
        <w:rPr>
          <w:rStyle w:val="Refdenotaderodap"/>
          <w:sz w:val="21"/>
          <w:szCs w:val="21"/>
        </w:rPr>
        <w:footnoteReference w:id="2"/>
      </w:r>
    </w:p>
    <w:p w14:paraId="2A10F61B" w14:textId="77777777" w:rsidR="00CE4479" w:rsidRPr="00D00353" w:rsidRDefault="00CE4479" w:rsidP="00CE4479">
      <w:pPr>
        <w:spacing w:after="120"/>
        <w:jc w:val="both"/>
        <w:rPr>
          <w:sz w:val="21"/>
          <w:szCs w:val="21"/>
        </w:rPr>
      </w:pPr>
      <w:r>
        <w:rPr>
          <w:sz w:val="21"/>
          <w:szCs w:val="21"/>
        </w:rPr>
        <w:t xml:space="preserve">Tipos abertos, contudo, não são tipos vazios. A abertura textual não autoriza o operador a subsumir qualquer conduta que lhe pareça inadequada; ela exige, ao contrário, um esforço de subsunção </w:t>
      </w:r>
      <w:r>
        <w:rPr>
          <w:i/>
          <w:iCs/>
          <w:sz w:val="21"/>
          <w:szCs w:val="21"/>
        </w:rPr>
        <w:t>fundamentada e objetivável</w:t>
      </w:r>
      <w:r>
        <w:rPr>
          <w:sz w:val="21"/>
          <w:szCs w:val="21"/>
        </w:rPr>
        <w:t>: identificar o fato com precisão, eleger o dever ou proibição efetivamente violado e demonstrar, mediante elemento probatório concreto, a correspondência entre a conduta apurada e o conteúdo semântico do dispositivo invocado. A doutrina consolidou esse entendimento sob o conceito de enquadramento disciplinar, que se distingue da tipicidade penal estrita mas não abdica da exigência de objetividade: "as condutas consideradas infrações devem estar legalmente previstas; ainda que indicadas mediante fórmulas amplas, sem a tipicidade rígida do Código Penal, hão de ser adotados parâmetros de objetividade no exercício do poder disciplinar para que não enseje arbítrio e subjetividade".</w:t>
      </w:r>
      <w:r>
        <w:rPr>
          <w:rStyle w:val="Refdenotaderodap"/>
          <w:sz w:val="21"/>
          <w:szCs w:val="21"/>
        </w:rPr>
        <w:footnoteReference w:id="3"/>
      </w:r>
      <w:r>
        <w:rPr>
          <w:sz w:val="21"/>
          <w:szCs w:val="21"/>
        </w:rPr>
        <w:t xml:space="preserve"> No mesmo sentido, o Manual de Processo Administrativo Disciplinar da CGU (2021, p. 89) distingue os conceitos de "tipicidade penal" e "enquadramento administrativo", assinalando que, neste último, a norma vale como </w:t>
      </w:r>
      <w:r>
        <w:rPr>
          <w:i/>
          <w:iCs/>
          <w:sz w:val="21"/>
          <w:szCs w:val="21"/>
        </w:rPr>
        <w:t>cláusula de densificação progressiva</w:t>
      </w:r>
      <w:r>
        <w:rPr>
          <w:sz w:val="21"/>
          <w:szCs w:val="21"/>
        </w:rPr>
        <w:t>, a ser preenchida à luz das circunstâncias do caso concreto e dos entendimentos consolidados pelos órgãos de correição.</w:t>
      </w:r>
    </w:p>
    <w:p w14:paraId="67BE4345" w14:textId="77777777" w:rsidR="008036B8" w:rsidRPr="00D00353" w:rsidRDefault="00CE4479" w:rsidP="00D00353">
      <w:pPr>
        <w:spacing w:after="120"/>
        <w:jc w:val="both"/>
        <w:rPr>
          <w:rFonts w:ascii="Barlow Condensed" w:hAnsi="Barlow Condensed"/>
          <w:b/>
          <w:bCs/>
          <w:color w:val="074F6A" w:themeColor="accent4" w:themeShade="80"/>
          <w:sz w:val="26"/>
          <w:szCs w:val="26"/>
        </w:rPr>
      </w:pPr>
      <w:r>
        <w:rPr>
          <w:rFonts w:ascii="Barlow Condensed" w:hAnsi="Barlow Condensed"/>
          <w:b/>
          <w:bCs/>
          <w:color w:val="074F6A" w:themeColor="accent4" w:themeShade="80"/>
          <w:sz w:val="26"/>
          <w:szCs w:val="26"/>
        </w:rPr>
        <w:t>O papel uniformizador das Notas Técnicas da CRG/CGU</w:t>
      </w:r>
    </w:p>
    <w:p w14:paraId="0927A9A0" w14:textId="77777777" w:rsidR="00083255" w:rsidRPr="00D00353" w:rsidRDefault="00083255" w:rsidP="00083255">
      <w:pPr>
        <w:spacing w:after="120"/>
        <w:jc w:val="both"/>
        <w:rPr>
          <w:sz w:val="21"/>
          <w:szCs w:val="21"/>
        </w:rPr>
      </w:pPr>
      <w:r>
        <w:rPr>
          <w:sz w:val="21"/>
          <w:szCs w:val="21"/>
        </w:rPr>
        <w:t xml:space="preserve">A Lei nº 8.112, de 1990 não tipifica de forma autônoma o assédio moral, o assédio discriminatório nem a conduta de ameaçar. O silêncio do legislador, contudo, nunca foi e não pode ser interpretado como permissão: a apuração dessas condutas faz-se por subsunção aos tipos abertos existentes. Para conferir segurança jurídica e uniformidade a essa operação intelectual, a Coordenação-Geral de </w:t>
      </w:r>
      <w:r>
        <w:rPr>
          <w:sz w:val="21"/>
          <w:szCs w:val="21"/>
        </w:rPr>
        <w:lastRenderedPageBreak/>
        <w:t>Uniformização de Entendimentos (CGUNE), vinculada à Diretoria de Articulação e Supervisão do Sistema de Correição (</w:t>
      </w:r>
      <w:proofErr w:type="spellStart"/>
      <w:r>
        <w:rPr>
          <w:sz w:val="21"/>
          <w:szCs w:val="21"/>
        </w:rPr>
        <w:t>Dicor</w:t>
      </w:r>
      <w:proofErr w:type="spellEnd"/>
      <w:r>
        <w:rPr>
          <w:sz w:val="21"/>
          <w:szCs w:val="21"/>
        </w:rPr>
        <w:t xml:space="preserve">) da Corregedoria-Geral da União (CRG/CGU), edita Notas Técnicas que, aprovadas pelo Corregedor-Geral, orientam todo o </w:t>
      </w:r>
      <w:proofErr w:type="spellStart"/>
      <w:r>
        <w:rPr>
          <w:sz w:val="21"/>
          <w:szCs w:val="21"/>
        </w:rPr>
        <w:t>Siscor</w:t>
      </w:r>
      <w:proofErr w:type="spellEnd"/>
      <w:r>
        <w:rPr>
          <w:sz w:val="21"/>
          <w:szCs w:val="21"/>
        </w:rPr>
        <w:t xml:space="preserve">. Como esclarece a Revista da CGU, Edição Especial sobre Direito Disciplinar: o preenchimento dos conceitos indeterminados nos tipos disciplinares deve obedecer a critérios objetivos, capazes de reduzir o espaço de discricionariedade e de proporcionar isonomia entre servidores em situações análogas (v. também Brilhante, T. A., "O preenchimento dos conceitos indeterminados nos tipos disciplinares: considerações sobre uniformização, regime de sujeição especial e discricionariedade", </w:t>
      </w:r>
      <w:r>
        <w:rPr>
          <w:i/>
          <w:iCs/>
          <w:sz w:val="21"/>
          <w:szCs w:val="21"/>
        </w:rPr>
        <w:t>Revista Opinião Jurídica</w:t>
      </w:r>
      <w:r>
        <w:rPr>
          <w:sz w:val="21"/>
          <w:szCs w:val="21"/>
        </w:rPr>
        <w:t>, Fortaleza, v. 8, n. 12, p. 259-272, 2010).</w:t>
      </w:r>
    </w:p>
    <w:p w14:paraId="51A326C1" w14:textId="77777777" w:rsidR="00083255" w:rsidRPr="00D00353" w:rsidRDefault="00083255" w:rsidP="00083255">
      <w:pPr>
        <w:spacing w:after="120"/>
        <w:jc w:val="both"/>
        <w:rPr>
          <w:sz w:val="21"/>
          <w:szCs w:val="21"/>
        </w:rPr>
      </w:pPr>
      <w:r>
        <w:rPr>
          <w:sz w:val="21"/>
          <w:szCs w:val="21"/>
        </w:rPr>
        <w:t xml:space="preserve">A ferramenta </w:t>
      </w:r>
      <w:proofErr w:type="spellStart"/>
      <w:r>
        <w:rPr>
          <w:sz w:val="21"/>
          <w:szCs w:val="21"/>
        </w:rPr>
        <w:t>Integritas</w:t>
      </w:r>
      <w:proofErr w:type="spellEnd"/>
      <w:r>
        <w:rPr>
          <w:sz w:val="21"/>
          <w:szCs w:val="21"/>
        </w:rPr>
        <w:t xml:space="preserve"> é construída sobre cinco Notas Técnicas que representam o estado da arte da uniformização correcional federal:</w:t>
      </w:r>
    </w:p>
    <w:p w14:paraId="7B12ACD3" w14:textId="77777777" w:rsidR="00083255" w:rsidRPr="00D00353" w:rsidRDefault="00083255">
      <w:pPr>
        <w:numPr>
          <w:ilvl w:val="0"/>
          <w:numId w:val="2"/>
        </w:numPr>
        <w:spacing w:after="120"/>
        <w:jc w:val="both"/>
        <w:rPr>
          <w:sz w:val="21"/>
          <w:szCs w:val="21"/>
        </w:rPr>
      </w:pPr>
      <w:r>
        <w:rPr>
          <w:b/>
          <w:bCs/>
          <w:sz w:val="21"/>
          <w:szCs w:val="21"/>
        </w:rPr>
        <w:t>NT nº 3285/2023/CGUNE/DICOR/CRG</w:t>
      </w:r>
      <w:r>
        <w:rPr>
          <w:sz w:val="21"/>
          <w:szCs w:val="21"/>
        </w:rPr>
        <w:t xml:space="preserve"> (Processo nº 00190.108994/2023-16, aprovada em 11/12/2023), enquadramento disciplinar das condutas de cunho sexual, sistematizando o conceito fixado pelo Parecer nº 00015/2023/CONSUNIAO/CGU/AGU (Parecer JM-03), vinculante para toda a Administração Pública Federal por despacho presidencial de 4 de setembro de 2023;</w:t>
      </w:r>
    </w:p>
    <w:p w14:paraId="167D1E61" w14:textId="77777777" w:rsidR="00083255" w:rsidRPr="00D00353" w:rsidRDefault="00083255">
      <w:pPr>
        <w:numPr>
          <w:ilvl w:val="0"/>
          <w:numId w:val="2"/>
        </w:numPr>
        <w:spacing w:after="120"/>
        <w:jc w:val="both"/>
        <w:rPr>
          <w:sz w:val="21"/>
          <w:szCs w:val="21"/>
        </w:rPr>
      </w:pPr>
      <w:r>
        <w:rPr>
          <w:b/>
          <w:bCs/>
          <w:sz w:val="21"/>
          <w:szCs w:val="21"/>
        </w:rPr>
        <w:t>NT nº 93/2024/CGUNE/DICOR/CRG</w:t>
      </w:r>
      <w:r>
        <w:rPr>
          <w:sz w:val="21"/>
          <w:szCs w:val="21"/>
        </w:rPr>
        <w:t xml:space="preserve"> (Processo nº 00190.100264/2024-58, aprovada em 26/02/2024), enquadramento disciplinar do assédio moral e da discriminação em ambiente laboral;</w:t>
      </w:r>
    </w:p>
    <w:p w14:paraId="59032F4D" w14:textId="21593895" w:rsidR="00083255" w:rsidRPr="00D00353" w:rsidRDefault="00083255">
      <w:pPr>
        <w:numPr>
          <w:ilvl w:val="0"/>
          <w:numId w:val="2"/>
        </w:numPr>
        <w:spacing w:after="120"/>
        <w:jc w:val="both"/>
        <w:rPr>
          <w:sz w:val="21"/>
          <w:szCs w:val="21"/>
        </w:rPr>
      </w:pPr>
      <w:r>
        <w:rPr>
          <w:b/>
          <w:bCs/>
          <w:sz w:val="21"/>
          <w:szCs w:val="21"/>
        </w:rPr>
        <w:t>NT nº</w:t>
      </w:r>
      <w:r w:rsidR="00126F1B">
        <w:rPr>
          <w:b/>
          <w:bCs/>
          <w:sz w:val="21"/>
          <w:szCs w:val="21"/>
        </w:rPr>
        <w:t xml:space="preserve"> </w:t>
      </w:r>
      <w:r>
        <w:rPr>
          <w:b/>
          <w:bCs/>
          <w:sz w:val="21"/>
          <w:szCs w:val="21"/>
        </w:rPr>
        <w:t>544/2024/CGUNE/DICOR/CRG</w:t>
      </w:r>
      <w:r>
        <w:rPr>
          <w:sz w:val="21"/>
          <w:szCs w:val="21"/>
        </w:rPr>
        <w:t xml:space="preserve"> (Processo nº 00190.110304/2023-99, de 30/10/2024), possibilidades de enquadramento da conduta de ameaçar praticada por servidor público federal.</w:t>
      </w:r>
    </w:p>
    <w:p w14:paraId="6A3A826C" w14:textId="77777777" w:rsidR="00C44F75" w:rsidRPr="00D00353" w:rsidRDefault="00C44F75">
      <w:pPr>
        <w:numPr>
          <w:ilvl w:val="0"/>
          <w:numId w:val="2"/>
        </w:numPr>
        <w:spacing w:after="120"/>
        <w:jc w:val="both"/>
        <w:rPr>
          <w:sz w:val="21"/>
          <w:szCs w:val="21"/>
        </w:rPr>
      </w:pPr>
      <w:r>
        <w:rPr>
          <w:b/>
          <w:bCs/>
          <w:sz w:val="21"/>
          <w:szCs w:val="21"/>
        </w:rPr>
        <w:t xml:space="preserve">NT nº 1869/2024/CGUNE/DICOR/CRG </w:t>
      </w:r>
      <w:r>
        <w:rPr>
          <w:sz w:val="21"/>
          <w:szCs w:val="21"/>
        </w:rPr>
        <w:t>(Processo nº 00190.105166/2024-15, aprovada em 10/07/2024) - possibilidade de participação, na condição de interessadas no processo administrativo disciplinar, das vítimas de assédio sexual, bem como adoção de outras medidas processuais, dadas as peculiaridades de processos que envolvam fatos desta natureza.</w:t>
      </w:r>
    </w:p>
    <w:p w14:paraId="61AA6730" w14:textId="77777777" w:rsidR="00272228" w:rsidRPr="00D00353" w:rsidRDefault="00272228">
      <w:pPr>
        <w:numPr>
          <w:ilvl w:val="0"/>
          <w:numId w:val="2"/>
        </w:numPr>
        <w:spacing w:after="120"/>
        <w:jc w:val="both"/>
        <w:rPr>
          <w:sz w:val="21"/>
          <w:szCs w:val="21"/>
        </w:rPr>
      </w:pPr>
      <w:r>
        <w:rPr>
          <w:b/>
          <w:bCs/>
          <w:sz w:val="21"/>
          <w:szCs w:val="21"/>
        </w:rPr>
        <w:t xml:space="preserve">NT nº 2993/2022/CGUNE/CRG </w:t>
      </w:r>
      <w:r>
        <w:rPr>
          <w:sz w:val="21"/>
          <w:szCs w:val="21"/>
        </w:rPr>
        <w:t>(Processo nº 00190.110310/2022-65, aprovada em 13/12/2022) - Consulta sobre a necessidade de ocultação do nome de investigados ou acusados em processos disciplinares concluídos, que envolvam ilícitos de natureza sexual, para fins de concessão de acesso à informação.</w:t>
      </w:r>
    </w:p>
    <w:p w14:paraId="6145833D" w14:textId="77777777" w:rsidR="00083255" w:rsidRPr="00D00353" w:rsidRDefault="00083255" w:rsidP="00083255">
      <w:pPr>
        <w:spacing w:after="120"/>
        <w:jc w:val="both"/>
        <w:rPr>
          <w:sz w:val="21"/>
          <w:szCs w:val="21"/>
        </w:rPr>
      </w:pPr>
      <w:r>
        <w:rPr>
          <w:sz w:val="21"/>
          <w:szCs w:val="21"/>
        </w:rPr>
        <w:t xml:space="preserve">Essas Notas Técnicas não criam direito novo: sistematizam, fundamentam e uniformizam a subsunção de condutas que já eram puníveis ao amparo dos dispositivos existentes da Lei nº 8.112, de 1990. Elas operam, assim, como instrumento de interpretação orientativa, análogo à jurisprudência administrativa consolidada, sem adquirir, contudo, caráter vinculante absoluto para a autoridade julgadora, que conserva o poder-dever de fundamentar eventual afastamento (art. 128 da Lei nº 8.112, de 1990). O status hierárquico da fonte importa: a lei vincula; o Parecer JM-03, aprovado por despacho presidencial, vincula a Administração por força do art. 40, § 1º, da Lei Complementar nº 73/1993; as Notas Técnicas </w:t>
      </w:r>
      <w:r>
        <w:rPr>
          <w:i/>
          <w:iCs/>
          <w:sz w:val="21"/>
          <w:szCs w:val="21"/>
        </w:rPr>
        <w:t>orientam e uniformizam</w:t>
      </w:r>
      <w:r>
        <w:rPr>
          <w:sz w:val="21"/>
          <w:szCs w:val="21"/>
        </w:rPr>
        <w:t>, mas não substituem o juízo fundamentado da autoridade competente.</w:t>
      </w:r>
    </w:p>
    <w:p w14:paraId="42C89D17" w14:textId="77777777" w:rsidR="008036B8" w:rsidRPr="00FB3FF0" w:rsidRDefault="008036B8" w:rsidP="00FB3FF0">
      <w:pPr>
        <w:spacing w:after="120"/>
        <w:jc w:val="both"/>
      </w:pPr>
    </w:p>
    <w:p w14:paraId="253F64B5" w14:textId="77777777" w:rsidR="00287D58" w:rsidRPr="00D00353" w:rsidRDefault="003B78AF" w:rsidP="00D00353">
      <w:pPr>
        <w:spacing w:after="120"/>
        <w:jc w:val="both"/>
        <w:rPr>
          <w:rFonts w:ascii="Barlow Condensed" w:hAnsi="Barlow Condensed"/>
          <w:b/>
          <w:bCs/>
          <w:color w:val="074F6A" w:themeColor="accent4" w:themeShade="80"/>
          <w:sz w:val="26"/>
          <w:szCs w:val="26"/>
        </w:rPr>
      </w:pPr>
      <w:r>
        <w:rPr>
          <w:rFonts w:ascii="Barlow Condensed" w:hAnsi="Barlow Condensed"/>
          <w:b/>
          <w:bCs/>
          <w:color w:val="074F6A" w:themeColor="accent4" w:themeShade="80"/>
          <w:sz w:val="26"/>
          <w:szCs w:val="26"/>
        </w:rPr>
        <w:t>O que há de novo na versão atual da ferramenta</w:t>
      </w:r>
    </w:p>
    <w:p w14:paraId="0C073612" w14:textId="77777777" w:rsidR="00287D58" w:rsidRDefault="003B78AF">
      <w:pPr>
        <w:spacing w:after="120"/>
        <w:jc w:val="both"/>
      </w:pPr>
      <w:r>
        <w:rPr>
          <w:sz w:val="21"/>
          <w:szCs w:val="21"/>
        </w:rPr>
        <w:lastRenderedPageBreak/>
        <w:t>A versão inicial da ferramenta cobria cinco eixos de análise: agressão física, ameaça, conduta sexual, discriminação e assédio moral. A versão atual expande para oito eixos, incorpora melhorias operacionais significativas e aprofunda o tratamento teórico dos eixos existentes.</w:t>
      </w:r>
    </w:p>
    <w:p w14:paraId="0BB1FA81" w14:textId="77777777" w:rsidR="00287D58" w:rsidRDefault="003B78AF">
      <w:pPr>
        <w:spacing w:after="120"/>
        <w:jc w:val="both"/>
      </w:pPr>
      <w:r>
        <w:rPr>
          <w:b/>
          <w:bCs/>
          <w:sz w:val="21"/>
          <w:szCs w:val="21"/>
        </w:rPr>
        <w:t>Novos eixos de análise:</w:t>
      </w:r>
    </w:p>
    <w:p w14:paraId="45E3CF8D" w14:textId="77777777" w:rsidR="00287D58" w:rsidRDefault="003B78AF">
      <w:pPr>
        <w:pStyle w:val="PargrafodaLista"/>
        <w:numPr>
          <w:ilvl w:val="0"/>
          <w:numId w:val="1"/>
        </w:numPr>
        <w:spacing w:after="60" w:line="270" w:lineRule="auto"/>
        <w:jc w:val="both"/>
      </w:pPr>
      <w:r>
        <w:rPr>
          <w:b/>
          <w:bCs/>
          <w:sz w:val="21"/>
          <w:szCs w:val="21"/>
        </w:rPr>
        <w:t>Eixo 6, Retaliação ao Denunciante</w:t>
      </w:r>
      <w:r>
        <w:rPr>
          <w:sz w:val="21"/>
          <w:szCs w:val="21"/>
        </w:rPr>
        <w:t xml:space="preserve"> (Capítulos 7 e 16): enquadramento disciplinar da represália praticada contra servidores que exercem direitos funcionalmente protegidos, com base na Lei nº 13.608/2018 e nos </w:t>
      </w:r>
      <w:proofErr w:type="spellStart"/>
      <w:r>
        <w:rPr>
          <w:sz w:val="21"/>
          <w:szCs w:val="21"/>
        </w:rPr>
        <w:t>arts</w:t>
      </w:r>
      <w:proofErr w:type="spellEnd"/>
      <w:r>
        <w:rPr>
          <w:sz w:val="21"/>
          <w:szCs w:val="21"/>
        </w:rPr>
        <w:t>. 116, IX e 117, IX da Lei nº 8.112, de 1990.</w:t>
      </w:r>
    </w:p>
    <w:p w14:paraId="4F9E1FE6" w14:textId="77777777" w:rsidR="00287D58" w:rsidRDefault="003B78AF">
      <w:pPr>
        <w:pStyle w:val="PargrafodaLista"/>
        <w:numPr>
          <w:ilvl w:val="0"/>
          <w:numId w:val="1"/>
        </w:numPr>
        <w:spacing w:after="60" w:line="270" w:lineRule="auto"/>
        <w:jc w:val="both"/>
      </w:pPr>
      <w:r>
        <w:rPr>
          <w:b/>
          <w:bCs/>
          <w:sz w:val="21"/>
          <w:szCs w:val="21"/>
        </w:rPr>
        <w:t>Eixo 7, Violência Verbal / Ofensa Direta</w:t>
      </w:r>
      <w:r>
        <w:rPr>
          <w:sz w:val="21"/>
          <w:szCs w:val="21"/>
        </w:rPr>
        <w:t xml:space="preserve"> (Capítulos 8 e 17): tipificação da ofensa verbal que não constitui ameaça, insultos, xingamentos e humilhações, com qualificadores para uso do cargo e publicidade da conduta.</w:t>
      </w:r>
    </w:p>
    <w:p w14:paraId="003AA5EE" w14:textId="77777777" w:rsidR="00287D58" w:rsidRDefault="003B78AF">
      <w:pPr>
        <w:pStyle w:val="PargrafodaLista"/>
        <w:numPr>
          <w:ilvl w:val="0"/>
          <w:numId w:val="1"/>
        </w:numPr>
        <w:spacing w:after="60" w:line="270" w:lineRule="auto"/>
        <w:jc w:val="both"/>
      </w:pPr>
      <w:r>
        <w:rPr>
          <w:b/>
          <w:bCs/>
          <w:sz w:val="21"/>
          <w:szCs w:val="21"/>
        </w:rPr>
        <w:t xml:space="preserve">Eixo 8, </w:t>
      </w:r>
      <w:proofErr w:type="spellStart"/>
      <w:r>
        <w:rPr>
          <w:b/>
          <w:bCs/>
          <w:sz w:val="21"/>
          <w:szCs w:val="21"/>
        </w:rPr>
        <w:t>Stalking</w:t>
      </w:r>
      <w:proofErr w:type="spellEnd"/>
      <w:r>
        <w:rPr>
          <w:b/>
          <w:bCs/>
          <w:sz w:val="21"/>
          <w:szCs w:val="21"/>
        </w:rPr>
        <w:t xml:space="preserve"> Funcional</w:t>
      </w:r>
      <w:r>
        <w:rPr>
          <w:sz w:val="21"/>
          <w:szCs w:val="21"/>
        </w:rPr>
        <w:t xml:space="preserve"> (Capítulos 9 e 18): enquadramento da perseguição reiterada no ambiente de trabalho, articulando o art. 147-A do Código Penal (Lei nº 14.132/2021) com o art. 116, IX da Lei nº 8.112, de 1990.</w:t>
      </w:r>
    </w:p>
    <w:p w14:paraId="64FC5A19" w14:textId="77777777" w:rsidR="00287D58" w:rsidRDefault="003B78AF">
      <w:pPr>
        <w:spacing w:after="120"/>
        <w:jc w:val="both"/>
      </w:pPr>
      <w:r>
        <w:rPr>
          <w:b/>
          <w:bCs/>
          <w:sz w:val="21"/>
          <w:szCs w:val="21"/>
        </w:rPr>
        <w:t>Melhorias nos eixos existentes:</w:t>
      </w:r>
    </w:p>
    <w:p w14:paraId="40196B97" w14:textId="77777777" w:rsidR="00287D58" w:rsidRDefault="003B78AF">
      <w:pPr>
        <w:pStyle w:val="PargrafodaLista"/>
        <w:numPr>
          <w:ilvl w:val="0"/>
          <w:numId w:val="1"/>
        </w:numPr>
        <w:spacing w:after="60" w:line="270" w:lineRule="auto"/>
        <w:jc w:val="both"/>
      </w:pPr>
      <w:r>
        <w:rPr>
          <w:b/>
          <w:bCs/>
          <w:sz w:val="21"/>
          <w:szCs w:val="21"/>
        </w:rPr>
        <w:t>Eixo 1:</w:t>
      </w:r>
      <w:r>
        <w:rPr>
          <w:sz w:val="21"/>
          <w:szCs w:val="21"/>
        </w:rPr>
        <w:t xml:space="preserve"> nova pergunta sobre nexo funcional; nova pergunta sobre excesso na legítima defesa.</w:t>
      </w:r>
    </w:p>
    <w:p w14:paraId="2A416768" w14:textId="77777777" w:rsidR="00287D58" w:rsidRDefault="003B78AF">
      <w:pPr>
        <w:pStyle w:val="PargrafodaLista"/>
        <w:numPr>
          <w:ilvl w:val="0"/>
          <w:numId w:val="1"/>
        </w:numPr>
        <w:spacing w:after="60" w:line="270" w:lineRule="auto"/>
        <w:jc w:val="both"/>
      </w:pPr>
      <w:r>
        <w:rPr>
          <w:b/>
          <w:bCs/>
          <w:sz w:val="21"/>
          <w:szCs w:val="21"/>
        </w:rPr>
        <w:t>Eixo 2:</w:t>
      </w:r>
      <w:r>
        <w:rPr>
          <w:sz w:val="21"/>
          <w:szCs w:val="21"/>
        </w:rPr>
        <w:t xml:space="preserve"> distinção expressa entre ameaça moderada e leve sem uso do cargo, com resultados e prazos prescricionais diferenciados.</w:t>
      </w:r>
    </w:p>
    <w:p w14:paraId="2A28DBAC" w14:textId="77777777" w:rsidR="00287D58" w:rsidRDefault="003B78AF">
      <w:pPr>
        <w:pStyle w:val="PargrafodaLista"/>
        <w:numPr>
          <w:ilvl w:val="0"/>
          <w:numId w:val="1"/>
        </w:numPr>
        <w:spacing w:after="60" w:line="270" w:lineRule="auto"/>
        <w:jc w:val="both"/>
      </w:pPr>
      <w:r>
        <w:rPr>
          <w:b/>
          <w:bCs/>
          <w:sz w:val="21"/>
          <w:szCs w:val="21"/>
        </w:rPr>
        <w:t>Eixo 3:</w:t>
      </w:r>
      <w:r>
        <w:rPr>
          <w:sz w:val="21"/>
          <w:szCs w:val="21"/>
        </w:rPr>
        <w:t xml:space="preserve"> alerta expandido sobre vícios do consentimento em contexto de subordinação hierárquica.</w:t>
      </w:r>
    </w:p>
    <w:p w14:paraId="7C80159F" w14:textId="77777777" w:rsidR="00287D58" w:rsidRDefault="003B78AF">
      <w:pPr>
        <w:pStyle w:val="PargrafodaLista"/>
        <w:numPr>
          <w:ilvl w:val="0"/>
          <w:numId w:val="1"/>
        </w:numPr>
        <w:spacing w:after="60" w:line="270" w:lineRule="auto"/>
        <w:jc w:val="both"/>
      </w:pPr>
      <w:r>
        <w:rPr>
          <w:b/>
          <w:bCs/>
          <w:sz w:val="21"/>
          <w:szCs w:val="21"/>
        </w:rPr>
        <w:t>Eixo 4:</w:t>
      </w:r>
      <w:r>
        <w:rPr>
          <w:sz w:val="21"/>
          <w:szCs w:val="21"/>
        </w:rPr>
        <w:t xml:space="preserve"> nova rota para art. 117, IX quando o servidor usa o cargo como instrumento da discriminação reiterada.</w:t>
      </w:r>
    </w:p>
    <w:p w14:paraId="58CA612F" w14:textId="77777777" w:rsidR="00287D58" w:rsidRDefault="003B78AF">
      <w:pPr>
        <w:pStyle w:val="PargrafodaLista"/>
        <w:numPr>
          <w:ilvl w:val="0"/>
          <w:numId w:val="1"/>
        </w:numPr>
        <w:spacing w:after="60" w:line="270" w:lineRule="auto"/>
        <w:jc w:val="both"/>
      </w:pPr>
      <w:r>
        <w:rPr>
          <w:b/>
          <w:bCs/>
          <w:sz w:val="21"/>
          <w:szCs w:val="21"/>
        </w:rPr>
        <w:t>Eixo 5:</w:t>
      </w:r>
      <w:r>
        <w:rPr>
          <w:sz w:val="21"/>
          <w:szCs w:val="21"/>
        </w:rPr>
        <w:t xml:space="preserve"> nova pergunta sobre uso do cargo no ato isolado grave; nova pergunta sobre motivação discriminatória no assédio horizontal e ascendente.</w:t>
      </w:r>
    </w:p>
    <w:p w14:paraId="66FF1B9E" w14:textId="77777777" w:rsidR="00287D58" w:rsidRDefault="003B78AF">
      <w:pPr>
        <w:spacing w:after="120"/>
        <w:jc w:val="both"/>
      </w:pPr>
      <w:r>
        <w:rPr>
          <w:b/>
          <w:bCs/>
          <w:sz w:val="21"/>
          <w:szCs w:val="21"/>
        </w:rPr>
        <w:t>Novas funcionalidades operacionais:</w:t>
      </w:r>
    </w:p>
    <w:p w14:paraId="63D36A8B" w14:textId="77777777" w:rsidR="00287D58" w:rsidRDefault="003B78AF">
      <w:pPr>
        <w:pStyle w:val="PargrafodaLista"/>
        <w:numPr>
          <w:ilvl w:val="0"/>
          <w:numId w:val="1"/>
        </w:numPr>
        <w:spacing w:after="60" w:line="270" w:lineRule="auto"/>
        <w:jc w:val="both"/>
      </w:pPr>
      <w:r>
        <w:rPr>
          <w:b/>
          <w:bCs/>
          <w:sz w:val="21"/>
          <w:szCs w:val="21"/>
        </w:rPr>
        <w:t>Tela de identificação do caso</w:t>
      </w:r>
      <w:r>
        <w:rPr>
          <w:sz w:val="21"/>
          <w:szCs w:val="21"/>
        </w:rPr>
        <w:t xml:space="preserve"> (número do processo, data dos fatos, servidor responsável, unidade) com dados incluídos no relatório final.</w:t>
      </w:r>
    </w:p>
    <w:p w14:paraId="40AB30C9" w14:textId="77777777" w:rsidR="00287D58" w:rsidRDefault="003B78AF">
      <w:pPr>
        <w:pStyle w:val="PargrafodaLista"/>
        <w:numPr>
          <w:ilvl w:val="0"/>
          <w:numId w:val="1"/>
        </w:numPr>
        <w:spacing w:after="60" w:line="270" w:lineRule="auto"/>
        <w:jc w:val="both"/>
      </w:pPr>
      <w:r>
        <w:rPr>
          <w:b/>
          <w:bCs/>
          <w:sz w:val="21"/>
          <w:szCs w:val="21"/>
        </w:rPr>
        <w:t>Descrição da conduta</w:t>
      </w:r>
      <w:r>
        <w:rPr>
          <w:sz w:val="21"/>
          <w:szCs w:val="21"/>
        </w:rPr>
        <w:t xml:space="preserve"> antes do fluxo, servindo de âncora cognitiva e integrando o relatório como "Conduta sob análise".</w:t>
      </w:r>
    </w:p>
    <w:p w14:paraId="027B6424" w14:textId="77777777" w:rsidR="00287D58" w:rsidRDefault="003B78AF">
      <w:pPr>
        <w:pStyle w:val="PargrafodaLista"/>
        <w:numPr>
          <w:ilvl w:val="0"/>
          <w:numId w:val="1"/>
        </w:numPr>
        <w:spacing w:after="60" w:line="270" w:lineRule="auto"/>
        <w:jc w:val="both"/>
      </w:pPr>
      <w:r>
        <w:rPr>
          <w:b/>
          <w:bCs/>
          <w:sz w:val="21"/>
          <w:szCs w:val="21"/>
        </w:rPr>
        <w:t>Gate de confirmação demissória</w:t>
      </w:r>
      <w:r>
        <w:rPr>
          <w:sz w:val="21"/>
          <w:szCs w:val="21"/>
        </w:rPr>
        <w:t xml:space="preserve"> com a Súmula 650/STJ antes de exibir qualquer resultado que conduza à demissão.</w:t>
      </w:r>
    </w:p>
    <w:p w14:paraId="52BD79BE" w14:textId="77777777" w:rsidR="00287D58" w:rsidRDefault="003B78AF">
      <w:pPr>
        <w:pStyle w:val="PargrafodaLista"/>
        <w:numPr>
          <w:ilvl w:val="0"/>
          <w:numId w:val="1"/>
        </w:numPr>
        <w:spacing w:after="60" w:line="270" w:lineRule="auto"/>
        <w:jc w:val="both"/>
      </w:pPr>
      <w:r>
        <w:rPr>
          <w:b/>
          <w:bCs/>
          <w:sz w:val="21"/>
          <w:szCs w:val="21"/>
        </w:rPr>
        <w:t>Bloco automático de prescrição</w:t>
      </w:r>
      <w:r>
        <w:rPr>
          <w:sz w:val="21"/>
          <w:szCs w:val="21"/>
        </w:rPr>
        <w:t xml:space="preserve"> em cada resultado, com cálculo em tempo real a partir da data de conhecimento do fato.</w:t>
      </w:r>
    </w:p>
    <w:p w14:paraId="49F43E80" w14:textId="77777777" w:rsidR="00287D58" w:rsidRDefault="003B78AF">
      <w:pPr>
        <w:pStyle w:val="PargrafodaLista"/>
        <w:numPr>
          <w:ilvl w:val="0"/>
          <w:numId w:val="1"/>
        </w:numPr>
        <w:spacing w:after="60" w:line="270" w:lineRule="auto"/>
        <w:jc w:val="both"/>
      </w:pPr>
      <w:r>
        <w:rPr>
          <w:b/>
          <w:bCs/>
          <w:sz w:val="21"/>
          <w:szCs w:val="21"/>
        </w:rPr>
        <w:t>Modo de múltiplas condutas:</w:t>
      </w:r>
      <w:r>
        <w:rPr>
          <w:sz w:val="21"/>
          <w:szCs w:val="21"/>
        </w:rPr>
        <w:t xml:space="preserve"> análise de condutas distintas no mesmo caso, com relatório consolidado e detecção automática de cumulatividade.</w:t>
      </w:r>
    </w:p>
    <w:p w14:paraId="3A0E8220" w14:textId="77777777" w:rsidR="00287D58" w:rsidRDefault="003B78AF">
      <w:pPr>
        <w:pStyle w:val="PargrafodaLista"/>
        <w:numPr>
          <w:ilvl w:val="0"/>
          <w:numId w:val="1"/>
        </w:numPr>
        <w:spacing w:after="60" w:line="270" w:lineRule="auto"/>
        <w:jc w:val="both"/>
      </w:pPr>
      <w:r>
        <w:rPr>
          <w:b/>
          <w:bCs/>
          <w:sz w:val="21"/>
          <w:szCs w:val="21"/>
        </w:rPr>
        <w:t>Retomada de sessão:</w:t>
      </w:r>
      <w:r>
        <w:rPr>
          <w:sz w:val="21"/>
          <w:szCs w:val="21"/>
        </w:rPr>
        <w:t xml:space="preserve"> o estado é salvo automaticamente a cada resposta; se o navegador for fechado, o operador pode retomar exatamente onde parou.</w:t>
      </w:r>
    </w:p>
    <w:p w14:paraId="59A2E65B" w14:textId="77777777" w:rsidR="00287D58" w:rsidRPr="00D00353" w:rsidRDefault="003B78AF" w:rsidP="00D00353">
      <w:pPr>
        <w:spacing w:after="120"/>
        <w:jc w:val="both"/>
        <w:rPr>
          <w:rFonts w:ascii="Barlow Condensed" w:hAnsi="Barlow Condensed"/>
          <w:b/>
          <w:bCs/>
          <w:color w:val="074F6A" w:themeColor="accent4" w:themeShade="80"/>
          <w:sz w:val="26"/>
          <w:szCs w:val="26"/>
        </w:rPr>
      </w:pPr>
      <w:r>
        <w:rPr>
          <w:rFonts w:ascii="Barlow Condensed" w:hAnsi="Barlow Condensed"/>
          <w:b/>
          <w:bCs/>
          <w:color w:val="074F6A" w:themeColor="accent4" w:themeShade="80"/>
          <w:sz w:val="26"/>
          <w:szCs w:val="26"/>
        </w:rPr>
        <w:t>Sobre o rigor das fontes e o caráter orientativo</w:t>
      </w:r>
    </w:p>
    <w:p w14:paraId="596C1E01" w14:textId="77777777" w:rsidR="00287D58" w:rsidRDefault="003B78AF">
      <w:pPr>
        <w:spacing w:after="120"/>
        <w:jc w:val="both"/>
      </w:pPr>
      <w:r>
        <w:rPr>
          <w:sz w:val="21"/>
          <w:szCs w:val="21"/>
        </w:rPr>
        <w:t>Todas as proposições normativas deste manual remetem a fontes públicas e verificáveis, relacionadas na seção de Referências. Sempre que a redação da ferramenta e a literalidade das Notas Técnicas divergem, o manual registra a divergência de forma expressa, para que o operador conheça não apenas o caminho indicado pelo software, mas também o seu exato fundamento normativo e os seus limites.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287D58" w14:paraId="0A6305CD" w14:textId="77777777">
        <w:tc>
          <w:tcPr>
            <w:tcW w:w="9070" w:type="dxa"/>
            <w:tcBorders>
              <w:left w:val="single" w:sz="24" w:space="0" w:color="B7791F"/>
            </w:tcBorders>
            <w:shd w:val="clear" w:color="auto" w:fill="F6ECD7"/>
            <w:tcMar>
              <w:top w:w="120" w:type="dxa"/>
              <w:left w:w="200" w:type="dxa"/>
              <w:bottom w:w="120" w:type="dxa"/>
              <w:right w:w="160" w:type="dxa"/>
            </w:tcMar>
          </w:tcPr>
          <w:p w14:paraId="23C7EA40" w14:textId="77777777" w:rsidR="00287D58" w:rsidRDefault="003B78AF">
            <w:pPr>
              <w:spacing w:after="40"/>
            </w:pPr>
            <w:r>
              <w:rPr>
                <w:rFonts w:ascii="Barlow Condensed" w:eastAsia="Barlow Condensed" w:hAnsi="Barlow Condensed" w:cs="Barlow Condensed"/>
                <w:b/>
                <w:bCs/>
                <w:color w:val="B7791F"/>
                <w:spacing w:val="20"/>
                <w:sz w:val="16"/>
                <w:szCs w:val="16"/>
              </w:rPr>
              <w:lastRenderedPageBreak/>
              <w:t>CAUTELA</w:t>
            </w:r>
          </w:p>
          <w:p w14:paraId="47726394" w14:textId="77777777" w:rsidR="00287D58" w:rsidRDefault="003B78AF">
            <w:pPr>
              <w:spacing w:line="264" w:lineRule="auto"/>
              <w:jc w:val="both"/>
            </w:pPr>
            <w:r>
              <w:rPr>
                <w:b/>
                <w:bCs/>
                <w:color w:val="051A3D"/>
                <w:sz w:val="21"/>
                <w:szCs w:val="21"/>
              </w:rPr>
              <w:t xml:space="preserve">CAUTELA: </w:t>
            </w:r>
            <w:r>
              <w:rPr>
                <w:color w:val="051A3D"/>
                <w:sz w:val="21"/>
                <w:szCs w:val="21"/>
              </w:rPr>
              <w:t xml:space="preserve">A ferramenta </w:t>
            </w:r>
            <w:proofErr w:type="spellStart"/>
            <w:r>
              <w:rPr>
                <w:color w:val="051A3D"/>
                <w:sz w:val="21"/>
                <w:szCs w:val="21"/>
              </w:rPr>
              <w:t>Integritas</w:t>
            </w:r>
            <w:proofErr w:type="spellEnd"/>
            <w:r>
              <w:rPr>
                <w:color w:val="051A3D"/>
                <w:sz w:val="21"/>
                <w:szCs w:val="21"/>
              </w:rPr>
              <w:t xml:space="preserve"> é instrumento de apoio à reflexão disciplinar. Não substitui despacho, parecer jurídico ou decisão administrativa fundamentada. O enquadramento gerado tem caráter orientativo e deve ser confrontado, na íntegra, com as Notas Técnicas da CRG/CGU e com as peculiaridades do caso concreto. A autoridade julgadora não está vinculada ao entendimento das Notas Técnicas, mas deve fundamentar eventual afastamento (Lei nº 8.112, de 1990, art. 128).</w:t>
            </w:r>
          </w:p>
        </w:tc>
      </w:tr>
    </w:tbl>
    <w:p w14:paraId="13E24591" w14:textId="77777777" w:rsidR="00287D58" w:rsidRDefault="003B78AF">
      <w:r>
        <w:br w:type="page"/>
      </w:r>
    </w:p>
    <w:p w14:paraId="6A939913" w14:textId="77777777" w:rsidR="00287D58" w:rsidRDefault="003B78AF">
      <w:pPr>
        <w:spacing w:before="1200" w:after="120"/>
      </w:pPr>
      <w:r>
        <w:rPr>
          <w:rFonts w:ascii="Barlow Condensed" w:eastAsia="Barlow Condensed" w:hAnsi="Barlow Condensed" w:cs="Barlow Condensed"/>
          <w:b/>
          <w:bCs/>
          <w:color w:val="8C6E2C"/>
          <w:spacing w:val="40"/>
          <w:sz w:val="40"/>
          <w:szCs w:val="40"/>
        </w:rPr>
        <w:lastRenderedPageBreak/>
        <w:t>PARTE I</w:t>
      </w:r>
    </w:p>
    <w:p w14:paraId="3B646018" w14:textId="77777777" w:rsidR="00287D58" w:rsidRDefault="003B78AF">
      <w:pPr>
        <w:pBdr>
          <w:bottom w:val="single" w:sz="16" w:space="8" w:color="C9A35C"/>
        </w:pBdr>
        <w:spacing w:before="60" w:after="100" w:line="680" w:lineRule="exact"/>
      </w:pPr>
      <w:r>
        <w:rPr>
          <w:rFonts w:ascii="Barlow Condensed" w:eastAsia="Barlow Condensed" w:hAnsi="Barlow Condensed" w:cs="Barlow Condensed"/>
          <w:b/>
          <w:bCs/>
          <w:color w:val="051A3D"/>
          <w:sz w:val="64"/>
          <w:szCs w:val="64"/>
        </w:rPr>
        <w:t>Fundamentos Teóricos</w:t>
      </w:r>
    </w:p>
    <w:p w14:paraId="14C74BAB" w14:textId="77777777" w:rsidR="00287D58" w:rsidRDefault="003B78AF">
      <w:pPr>
        <w:spacing w:after="120"/>
        <w:jc w:val="both"/>
      </w:pPr>
      <w:r>
        <w:rPr>
          <w:i/>
          <w:iCs/>
          <w:color w:val="5B6781"/>
          <w:sz w:val="22"/>
          <w:szCs w:val="22"/>
        </w:rPr>
        <w:t>O regime disciplinar, os tipos abertos da Lei nº 8.112, de 1990 e a interpretação sistêmica das Notas Técnicas que dão sustentação a cada eixo de análise da ferramenta.</w:t>
      </w:r>
    </w:p>
    <w:p w14:paraId="3CAE9585" w14:textId="77777777" w:rsidR="00287D58" w:rsidRDefault="003B78AF">
      <w:r>
        <w:br w:type="page"/>
      </w:r>
    </w:p>
    <w:p w14:paraId="10AAE437"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CAPÍTULO 1</w:t>
      </w:r>
    </w:p>
    <w:p w14:paraId="0701BDBE" w14:textId="77777777" w:rsidR="00287D58" w:rsidRDefault="003B78AF">
      <w:pPr>
        <w:pStyle w:val="Ttulo1"/>
        <w:keepNext/>
        <w:pBdr>
          <w:bottom w:val="single" w:sz="12" w:space="6" w:color="C9A35C"/>
        </w:pBdr>
        <w:spacing w:line="400" w:lineRule="exact"/>
      </w:pPr>
      <w:bookmarkStart w:id="2" w:name="_Toc238021997"/>
      <w:r>
        <w:t>1. O REGIME DISCIPLINAR DO SERVIDOR PÚBLICO FEDERAL: FUNDAMENTOS, ESTRUTURA E LIMITES DO PODER PUNITIVO DA ADMINISTRAÇÃO</w:t>
      </w:r>
      <w:bookmarkEnd w:id="2"/>
    </w:p>
    <w:p w14:paraId="68D8D87F" w14:textId="77777777" w:rsidR="00287D58" w:rsidRDefault="003B78AF">
      <w:pPr>
        <w:pStyle w:val="Ttulo2"/>
        <w:keepNext/>
      </w:pPr>
      <w:bookmarkStart w:id="3" w:name="_Toc238021998"/>
      <w:r>
        <w:t>1.1 O ponto de partida: por que o direito disciplinar existe</w:t>
      </w:r>
      <w:bookmarkEnd w:id="3"/>
    </w:p>
    <w:p w14:paraId="61F65BFF" w14:textId="77777777" w:rsidR="00287D58" w:rsidRDefault="003B78AF">
      <w:pPr>
        <w:spacing w:after="120"/>
        <w:jc w:val="both"/>
      </w:pPr>
      <w:r>
        <w:rPr>
          <w:sz w:val="21"/>
          <w:szCs w:val="21"/>
        </w:rPr>
        <w:t>O Estado Democrático de Direito não pune por punir. Toda manifestação do poder punitivo estatal, penal, civil ou administrativo, exige, para ser legítima, que se possa demonstrar que serve a um fim que o ordenamento jurídico reconhece como válido e que não poderia ser alcançado por meio menos gravoso. O direito disciplinar, nesse sentido, justifica-se por uma razão que é ao mesmo tempo institucional e constitucional: a Administração Pública só pode cumprir sua função, servir ao interesse coletivo com eficiência, moralidade e impessoalidade, se os servidores que a integram agirem em conformidade com os padrões éticos e funcionais que esse serviço exige.</w:t>
      </w:r>
    </w:p>
    <w:p w14:paraId="43343A00" w14:textId="77777777" w:rsidR="00287D58" w:rsidRDefault="003B78AF">
      <w:pPr>
        <w:spacing w:after="120"/>
        <w:jc w:val="both"/>
      </w:pPr>
      <w:r>
        <w:rPr>
          <w:sz w:val="21"/>
          <w:szCs w:val="21"/>
        </w:rPr>
        <w:t>Celso Antônio Bandeira de Mello sintetiza: o poder disciplinar existe em função do serviço, não da Administração como entidade autônoma. Essa vinculação ao fim do serviço público é o que distingue o exercício legítimo do poder disciplinar do seu exercício arbitrário, e é o que orienta, no plano prático, tanto a decisão de instaurar uma apuração quanto a dosimetria da penalidade ao seu final.</w:t>
      </w:r>
      <w:r>
        <w:rPr>
          <w:rStyle w:val="Refdenotaderodap"/>
          <w:sz w:val="21"/>
          <w:szCs w:val="21"/>
        </w:rPr>
        <w:footnoteReference w:id="4"/>
      </w:r>
    </w:p>
    <w:p w14:paraId="45A1EF36" w14:textId="77777777" w:rsidR="00287D58" w:rsidRDefault="003B78AF">
      <w:pPr>
        <w:spacing w:after="120"/>
        <w:jc w:val="both"/>
        <w:rPr>
          <w:sz w:val="21"/>
          <w:szCs w:val="21"/>
        </w:rPr>
      </w:pPr>
      <w:r>
        <w:rPr>
          <w:sz w:val="21"/>
          <w:szCs w:val="21"/>
        </w:rPr>
        <w:t>José dos Santos Carvalho Filho acrescenta a dimensão da responsabilidade bilateral: a relação entre o Estado e o servidor não é de mera sujeição; é de sujeição e de proteção recíproca. O Estado deve ao servidor as condições necessárias ao exercício das atribuições do cargo; o servidor deve ao Estado, e à sociedade, o exercício dessas atribuições nos padrões que o cargo exige.</w:t>
      </w:r>
      <w:r>
        <w:rPr>
          <w:rStyle w:val="Refdenotaderodap"/>
          <w:sz w:val="21"/>
          <w:szCs w:val="21"/>
        </w:rPr>
        <w:footnoteReference w:id="5"/>
      </w:r>
    </w:p>
    <w:p w14:paraId="7062C2F4" w14:textId="77777777" w:rsidR="00613E20" w:rsidRDefault="00613E20" w:rsidP="00613E20">
      <w:pPr>
        <w:pStyle w:val="Ttulo2"/>
        <w:keepNext/>
      </w:pPr>
      <w:bookmarkStart w:id="4" w:name="_Toc238021999"/>
      <w:r>
        <w:t>1.2 A Lei nº 8.112, de 1990 e o Regime Jurídico Único</w:t>
      </w:r>
      <w:bookmarkEnd w:id="4"/>
    </w:p>
    <w:p w14:paraId="17DE10C4" w14:textId="77777777" w:rsidR="00BC0B17" w:rsidRPr="00613E20" w:rsidRDefault="00BC0B17" w:rsidP="00BC0B17">
      <w:pPr>
        <w:spacing w:after="120"/>
        <w:jc w:val="both"/>
        <w:rPr>
          <w:sz w:val="21"/>
          <w:szCs w:val="21"/>
        </w:rPr>
      </w:pPr>
      <w:r>
        <w:rPr>
          <w:sz w:val="21"/>
          <w:szCs w:val="21"/>
        </w:rPr>
        <w:t>A Lei nº 8.112, de 1990, institui o Regime Jurídico Único (RJU) dos servidores públicos civis da União, das autarquias e das fundações públicas federais. Sua edição respondeu ao mandato do art. 39 da Constituição Federal de 1988, que exigiu a unificação dos regimes funcionais então dispersos em centenas de estatutos setoriais. Além de consolidar direitos, remunerações e garantias, o RJU conferiu ao regime disciplinar federal uma arquitetura sistematicamente coerente, organizada no Título IV (</w:t>
      </w:r>
      <w:proofErr w:type="spellStart"/>
      <w:r>
        <w:rPr>
          <w:sz w:val="21"/>
          <w:szCs w:val="21"/>
        </w:rPr>
        <w:t>arts</w:t>
      </w:r>
      <w:proofErr w:type="spellEnd"/>
      <w:r>
        <w:rPr>
          <w:sz w:val="21"/>
          <w:szCs w:val="21"/>
        </w:rPr>
        <w:t>. 116 a 182), que compreende os deveres funcionais (art. 116), as proibições (art. 117), as responsabilidades civis, penais e administrativas (</w:t>
      </w:r>
      <w:proofErr w:type="spellStart"/>
      <w:r>
        <w:rPr>
          <w:sz w:val="21"/>
          <w:szCs w:val="21"/>
        </w:rPr>
        <w:t>arts</w:t>
      </w:r>
      <w:proofErr w:type="spellEnd"/>
      <w:r>
        <w:rPr>
          <w:sz w:val="21"/>
          <w:szCs w:val="21"/>
        </w:rPr>
        <w:t>. 121 a 126) e o sistema de penalidades (</w:t>
      </w:r>
      <w:proofErr w:type="spellStart"/>
      <w:r>
        <w:rPr>
          <w:sz w:val="21"/>
          <w:szCs w:val="21"/>
        </w:rPr>
        <w:t>arts</w:t>
      </w:r>
      <w:proofErr w:type="spellEnd"/>
      <w:r>
        <w:rPr>
          <w:sz w:val="21"/>
          <w:szCs w:val="21"/>
        </w:rPr>
        <w:t>. 127 a 142).</w:t>
      </w:r>
    </w:p>
    <w:p w14:paraId="3D35E813" w14:textId="77777777" w:rsidR="00BC0B17" w:rsidRPr="00613E20" w:rsidRDefault="00BC0B17" w:rsidP="00BC0B17">
      <w:pPr>
        <w:spacing w:after="120"/>
        <w:jc w:val="both"/>
        <w:rPr>
          <w:sz w:val="21"/>
          <w:szCs w:val="21"/>
        </w:rPr>
      </w:pPr>
      <w:r>
        <w:rPr>
          <w:sz w:val="21"/>
          <w:szCs w:val="21"/>
        </w:rPr>
        <w:t>O dado histórico mais relevante dessa arquitetura é o seguinte: a Constituição de 1988 inaugurou uma nova relação entre o servidor e o Estado, ao assegurar expressamente, no art. 5º, inciso LV, o contraditório e a ampla defesa com os meios e recursos a ela inerentes nos processos administrativos em que haja litigantes ou acusados. Como observa José dos Santos Carvalho Filho, a partir desse marco, o servidor "deixou de ser um títere do poder disciplinar", passando a ser titular de garantias fundamentais que limitam e condicionam o exercício da prerrogativa punitiva da Administração.</w:t>
      </w:r>
      <w:r>
        <w:rPr>
          <w:rStyle w:val="Refdenotaderodap"/>
          <w:sz w:val="21"/>
          <w:szCs w:val="21"/>
        </w:rPr>
        <w:footnoteReference w:id="6"/>
      </w:r>
      <w:r>
        <w:rPr>
          <w:sz w:val="21"/>
          <w:szCs w:val="21"/>
        </w:rPr>
        <w:t xml:space="preserve"> A vigência simultânea dessas garantias e do poder disciplinar não gera contradição: gera tensão </w:t>
      </w:r>
      <w:r>
        <w:rPr>
          <w:sz w:val="21"/>
          <w:szCs w:val="21"/>
        </w:rPr>
        <w:lastRenderedPageBreak/>
        <w:t>produtiva, que a doutrina e a jurisprudência vêm resolvendo pelo critério da proporcionalidade e da motivação obrigatória, como se verá na seção 1.4.</w:t>
      </w:r>
    </w:p>
    <w:p w14:paraId="5814F592" w14:textId="77777777" w:rsidR="00BC0B17" w:rsidRPr="00BC0B17" w:rsidRDefault="00BC0B17" w:rsidP="002E444F">
      <w:pPr>
        <w:pStyle w:val="Ttulo2"/>
        <w:keepNext/>
      </w:pPr>
      <w:bookmarkStart w:id="5" w:name="_Toc238022000"/>
      <w:r>
        <w:t>1.3 O poder disciplinar como poder-dever e a condescendência punível</w:t>
      </w:r>
      <w:bookmarkEnd w:id="5"/>
    </w:p>
    <w:p w14:paraId="371DC59F" w14:textId="77777777" w:rsidR="00BC0B17" w:rsidRPr="002E444F" w:rsidRDefault="00BC0B17" w:rsidP="00BC0B17">
      <w:pPr>
        <w:spacing w:after="120"/>
        <w:jc w:val="both"/>
        <w:rPr>
          <w:sz w:val="21"/>
          <w:szCs w:val="21"/>
        </w:rPr>
      </w:pPr>
      <w:r>
        <w:rPr>
          <w:sz w:val="21"/>
          <w:szCs w:val="21"/>
        </w:rPr>
        <w:t>A doutrina administrativista qualifica o poder disciplinar, a prerrogativa de apurar faltas funcionais e impor sanções a servidores, não como mera faculdade, mas como autêntico poder-dever. Na formulação clássica de Hely Lopes Meirelles: "Todo chefe tem o poder e o dever de punir o subordinado quando este der ensejo, ou, se lhe faltar competência para a aplicação da pena devida, fica na obrigação de levar o fato ao conhecimento da autoridade competente"</w:t>
      </w:r>
      <w:r>
        <w:rPr>
          <w:rStyle w:val="Refdenotaderodap"/>
          <w:sz w:val="21"/>
          <w:szCs w:val="21"/>
        </w:rPr>
        <w:footnoteReference w:id="7"/>
      </w:r>
      <w:r>
        <w:rPr>
          <w:sz w:val="21"/>
          <w:szCs w:val="21"/>
        </w:rPr>
        <w:t>. A omissão dolosa na apuração configura, por si, infração disciplinar autônoma, a chamada condescendência criminosa, expressamente tipificada no art. 116, inciso III, da Lei nº 8.112, de 1990, que impõe ao servidor o dever de "levar ao conhecimento da autoridade superior as irregularidades de que tiver ciência em razão do cargo".</w:t>
      </w:r>
    </w:p>
    <w:p w14:paraId="0C33279A" w14:textId="77777777" w:rsidR="00BC0B17" w:rsidRPr="002E444F" w:rsidRDefault="00BC0B17" w:rsidP="00BC0B17">
      <w:pPr>
        <w:spacing w:after="120"/>
        <w:jc w:val="both"/>
        <w:rPr>
          <w:sz w:val="21"/>
          <w:szCs w:val="21"/>
        </w:rPr>
      </w:pPr>
      <w:r>
        <w:rPr>
          <w:sz w:val="21"/>
          <w:szCs w:val="21"/>
        </w:rPr>
        <w:t>Celso Antônio Bandeira de Mello reforça o caráter vinculado do dever de apurar ao afirmar que a Administração "não pode deixar de punir" quando identificada a infração, sob pena de violação do princípio da isonomia e de ofensa à indisponibilidade do interesse público.</w:t>
      </w:r>
      <w:r>
        <w:rPr>
          <w:rStyle w:val="Refdenotaderodap"/>
          <w:sz w:val="21"/>
          <w:szCs w:val="21"/>
        </w:rPr>
        <w:footnoteReference w:id="8"/>
      </w:r>
      <w:r>
        <w:rPr>
          <w:sz w:val="21"/>
          <w:szCs w:val="21"/>
        </w:rPr>
        <w:t xml:space="preserve"> Esse imperativo está positivado no </w:t>
      </w:r>
      <w:r>
        <w:rPr>
          <w:i/>
          <w:iCs/>
          <w:sz w:val="21"/>
          <w:szCs w:val="21"/>
        </w:rPr>
        <w:t>caput</w:t>
      </w:r>
      <w:r>
        <w:rPr>
          <w:sz w:val="21"/>
          <w:szCs w:val="21"/>
        </w:rPr>
        <w:t xml:space="preserve"> do art. 143 da Lei nº 8.112, de 1990: "A autoridade que tiver ciência de irregularidade no serviço público é obrigada a promover a sua apuração imediata, mediante sindicância ou processo administrativo disciplinar".</w:t>
      </w:r>
    </w:p>
    <w:p w14:paraId="2182F353" w14:textId="77777777" w:rsidR="00BC0B17" w:rsidRPr="002E444F" w:rsidRDefault="00BC0B17" w:rsidP="00BC0B17">
      <w:pPr>
        <w:spacing w:after="120"/>
        <w:jc w:val="both"/>
        <w:rPr>
          <w:sz w:val="21"/>
          <w:szCs w:val="21"/>
        </w:rPr>
      </w:pPr>
      <w:r>
        <w:rPr>
          <w:sz w:val="21"/>
          <w:szCs w:val="21"/>
        </w:rPr>
        <w:t>É crucial distinguir, contudo, dois momentos do exercício do poder disciplinar que possuem naturezas jurídicas distintas:</w:t>
      </w:r>
    </w:p>
    <w:p w14:paraId="37BD695B" w14:textId="77777777" w:rsidR="00BC0B17" w:rsidRPr="002E444F" w:rsidRDefault="00BC0B17">
      <w:pPr>
        <w:numPr>
          <w:ilvl w:val="0"/>
          <w:numId w:val="3"/>
        </w:numPr>
        <w:spacing w:after="120"/>
        <w:jc w:val="both"/>
        <w:rPr>
          <w:sz w:val="21"/>
          <w:szCs w:val="21"/>
        </w:rPr>
      </w:pPr>
      <w:r>
        <w:rPr>
          <w:sz w:val="21"/>
          <w:szCs w:val="21"/>
        </w:rPr>
        <w:t xml:space="preserve">O </w:t>
      </w:r>
      <w:r>
        <w:rPr>
          <w:b/>
          <w:bCs/>
          <w:sz w:val="21"/>
          <w:szCs w:val="21"/>
        </w:rPr>
        <w:t>poder de investigar</w:t>
      </w:r>
      <w:r>
        <w:rPr>
          <w:sz w:val="21"/>
          <w:szCs w:val="21"/>
        </w:rPr>
        <w:t>: sempre vinculado. Constatado indício de irregularidade, a autoridade não tem margem para decidir se abre ou não a apuração. A instauração é obrigatória.</w:t>
      </w:r>
    </w:p>
    <w:p w14:paraId="787F965B" w14:textId="77777777" w:rsidR="00BC0B17" w:rsidRPr="002E444F" w:rsidRDefault="00BC0B17">
      <w:pPr>
        <w:numPr>
          <w:ilvl w:val="0"/>
          <w:numId w:val="3"/>
        </w:numPr>
        <w:spacing w:after="120"/>
        <w:jc w:val="both"/>
        <w:rPr>
          <w:sz w:val="21"/>
          <w:szCs w:val="21"/>
        </w:rPr>
      </w:pPr>
      <w:r>
        <w:rPr>
          <w:sz w:val="21"/>
          <w:szCs w:val="21"/>
        </w:rPr>
        <w:t xml:space="preserve">O </w:t>
      </w:r>
      <w:r>
        <w:rPr>
          <w:b/>
          <w:bCs/>
          <w:sz w:val="21"/>
          <w:szCs w:val="21"/>
        </w:rPr>
        <w:t>poder de punir</w:t>
      </w:r>
      <w:r>
        <w:rPr>
          <w:sz w:val="21"/>
          <w:szCs w:val="21"/>
        </w:rPr>
        <w:t>: vinculado nas hipóteses do art. 132 (demissão), em que verificada a infração a pena é imposta independentemente de conveniência; e parcialmente discricionário nas hipóteses de advertência e suspensão (</w:t>
      </w:r>
      <w:proofErr w:type="spellStart"/>
      <w:r>
        <w:rPr>
          <w:sz w:val="21"/>
          <w:szCs w:val="21"/>
        </w:rPr>
        <w:t>arts</w:t>
      </w:r>
      <w:proofErr w:type="spellEnd"/>
      <w:r>
        <w:rPr>
          <w:sz w:val="21"/>
          <w:szCs w:val="21"/>
        </w:rPr>
        <w:t>. 129-130), em que cabe à autoridade graduar a sanção dentro dos parâmetros legais do art. 128.</w:t>
      </w:r>
    </w:p>
    <w:p w14:paraId="51B81A24" w14:textId="77777777" w:rsidR="00BC0B17" w:rsidRPr="002E444F" w:rsidRDefault="00BC0B17" w:rsidP="00BC0B17">
      <w:pPr>
        <w:spacing w:after="120"/>
        <w:jc w:val="both"/>
        <w:rPr>
          <w:sz w:val="21"/>
          <w:szCs w:val="21"/>
        </w:rPr>
      </w:pPr>
      <w:r>
        <w:rPr>
          <w:sz w:val="21"/>
          <w:szCs w:val="21"/>
        </w:rPr>
        <w:t xml:space="preserve">A ferramenta </w:t>
      </w:r>
      <w:proofErr w:type="spellStart"/>
      <w:r>
        <w:rPr>
          <w:sz w:val="21"/>
          <w:szCs w:val="21"/>
        </w:rPr>
        <w:t>Integritas</w:t>
      </w:r>
      <w:proofErr w:type="spellEnd"/>
      <w:r>
        <w:rPr>
          <w:sz w:val="21"/>
          <w:szCs w:val="21"/>
        </w:rPr>
        <w:t xml:space="preserve"> opera sobre ambos os momentos: ela pressupõe que a investigação já foi realizada ou está em curso e auxilia na operação intelectual de enquadramento, que precede e orienta a dosimetria.</w:t>
      </w:r>
    </w:p>
    <w:p w14:paraId="1ECFC54D" w14:textId="77777777" w:rsidR="00BC0B17" w:rsidRPr="00BC0B17" w:rsidRDefault="00BC0B17" w:rsidP="002E444F">
      <w:pPr>
        <w:pStyle w:val="Ttulo2"/>
        <w:keepNext/>
      </w:pPr>
      <w:bookmarkStart w:id="6" w:name="_Toc238022001"/>
      <w:r>
        <w:t>1.4 A técnica legislativa dos tipos abertos e o enquadramento disciplinar</w:t>
      </w:r>
      <w:bookmarkEnd w:id="6"/>
    </w:p>
    <w:p w14:paraId="23D0D5DE" w14:textId="77777777" w:rsidR="00BC0B17" w:rsidRPr="0094141D" w:rsidRDefault="00BC0B17" w:rsidP="00BC0B17">
      <w:pPr>
        <w:spacing w:after="120"/>
        <w:jc w:val="both"/>
        <w:rPr>
          <w:sz w:val="21"/>
          <w:szCs w:val="21"/>
        </w:rPr>
      </w:pPr>
      <w:r>
        <w:rPr>
          <w:sz w:val="21"/>
          <w:szCs w:val="21"/>
        </w:rPr>
        <w:t xml:space="preserve">A Lei nº 8.112, de 1990 emprega, nos </w:t>
      </w:r>
      <w:proofErr w:type="spellStart"/>
      <w:r>
        <w:rPr>
          <w:sz w:val="21"/>
          <w:szCs w:val="21"/>
        </w:rPr>
        <w:t>arts</w:t>
      </w:r>
      <w:proofErr w:type="spellEnd"/>
      <w:r>
        <w:rPr>
          <w:sz w:val="21"/>
          <w:szCs w:val="21"/>
        </w:rPr>
        <w:t>. 116 e 117, uma técnica legislativa deliberadamente diferente da usada pelo Código Penal: em lugar de descrever condutas específicas com todos os seus elementos, ela recorre a cláusulas gerais e conceitos jurídicos indeterminados, "manter conduta compatível com a moralidade administrativa" (art. 116, IX), "tratar com urbanidade as pessoas" (art. 116, XI), "não se valer do cargo para lograr proveito pessoal ou de outrem, em detrimento da dignidade da função pública" (art. 117, IX). Apenas o art. 132, que fixa as infrações puníveis com demissão, aproxima-se de uma tipicidade mais fechada, com enumeração taxativa e rol exaustivo.</w:t>
      </w:r>
    </w:p>
    <w:p w14:paraId="1DA976A6" w14:textId="77777777" w:rsidR="00BC0B17" w:rsidRPr="0094141D" w:rsidRDefault="00BC0B17" w:rsidP="00BC0B17">
      <w:pPr>
        <w:spacing w:after="120"/>
        <w:jc w:val="both"/>
        <w:rPr>
          <w:sz w:val="21"/>
          <w:szCs w:val="21"/>
        </w:rPr>
      </w:pPr>
      <w:r>
        <w:rPr>
          <w:sz w:val="21"/>
          <w:szCs w:val="21"/>
        </w:rPr>
        <w:t xml:space="preserve">Odete Medauar aponta as razões estruturais dessa abertura: "a dificuldade de catalogar com exatidão todas as condutas que possam desatender deveres e proibições funcionais" e "a discricionariedade </w:t>
      </w:r>
      <w:r>
        <w:rPr>
          <w:sz w:val="21"/>
          <w:szCs w:val="21"/>
        </w:rPr>
        <w:lastRenderedPageBreak/>
        <w:t>inerente ao poder disciplinar", que requer margem de avaliação contextual para se exercer de forma proporcional.</w:t>
      </w:r>
      <w:r>
        <w:rPr>
          <w:rStyle w:val="Refdenotaderodap"/>
          <w:sz w:val="21"/>
          <w:szCs w:val="21"/>
        </w:rPr>
        <w:footnoteReference w:id="9"/>
      </w:r>
      <w:r>
        <w:rPr>
          <w:sz w:val="21"/>
          <w:szCs w:val="21"/>
        </w:rPr>
        <w:t xml:space="preserve"> Tipos fechados exaustivos, num ambiente funcional tão variado quanto o de uma administração pública federal com dezenas de carreiras e contextos institucionais, produziriam lacunas insuperáveis.</w:t>
      </w:r>
    </w:p>
    <w:p w14:paraId="09397F59" w14:textId="77777777" w:rsidR="00BC0B17" w:rsidRPr="00435932" w:rsidRDefault="00BC0B17" w:rsidP="00BC0B17">
      <w:pPr>
        <w:spacing w:after="120"/>
        <w:jc w:val="both"/>
        <w:rPr>
          <w:sz w:val="21"/>
          <w:szCs w:val="21"/>
        </w:rPr>
      </w:pPr>
      <w:r>
        <w:rPr>
          <w:sz w:val="21"/>
          <w:szCs w:val="21"/>
        </w:rPr>
        <w:t>Essa abertura, porém, não equivale a arbítrio. A doutrina consolidada distingue com precisão a tipicidade penal, que exige lei certa, estrita e prévia, com descrição exaustiva de todos os elementos do tipo, do enquadramento administrativo, que "não corresponde à tipicidade penal, operando como cláusula de densificação progressiva a ser preenchida à luz das circunstâncias do caso concreto".</w:t>
      </w:r>
      <w:r>
        <w:rPr>
          <w:rStyle w:val="Refdenotaderodap"/>
          <w:sz w:val="21"/>
          <w:szCs w:val="21"/>
        </w:rPr>
        <w:footnoteReference w:id="10"/>
      </w:r>
      <w:r>
        <w:rPr>
          <w:sz w:val="21"/>
          <w:szCs w:val="21"/>
        </w:rPr>
        <w:t xml:space="preserve"> Como sustenta Thiago Alves Brilhante, o preenchimento dos conceitos indeterminados nos tipos disciplinares deve ser balizado por "critérios objetivos, capazes de reduzir o espaço de discricionariedade e de proporcionar isonomia entre servidores em situações análogas", sob pena de vulnerar a segurança jurídica e o princípio da isonomia".</w:t>
      </w:r>
      <w:r>
        <w:rPr>
          <w:rStyle w:val="Refdenotaderodap"/>
          <w:sz w:val="21"/>
          <w:szCs w:val="21"/>
        </w:rPr>
        <w:footnoteReference w:id="11"/>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C365E3" w14:paraId="61FD695B" w14:textId="77777777" w:rsidTr="000D5BD8">
        <w:tc>
          <w:tcPr>
            <w:tcW w:w="9070" w:type="dxa"/>
            <w:tcBorders>
              <w:left w:val="single" w:sz="24" w:space="0" w:color="B7791F"/>
            </w:tcBorders>
            <w:shd w:val="clear" w:color="auto" w:fill="F6ECD7"/>
            <w:tcMar>
              <w:top w:w="120" w:type="dxa"/>
              <w:left w:w="200" w:type="dxa"/>
              <w:bottom w:w="120" w:type="dxa"/>
              <w:right w:w="160" w:type="dxa"/>
            </w:tcMar>
          </w:tcPr>
          <w:p w14:paraId="7DD71FEB" w14:textId="77777777" w:rsidR="00C365E3" w:rsidRDefault="00C365E3" w:rsidP="000D5BD8">
            <w:pPr>
              <w:spacing w:after="40"/>
            </w:pPr>
            <w:r>
              <w:rPr>
                <w:rFonts w:ascii="Barlow Condensed" w:eastAsia="Barlow Condensed" w:hAnsi="Barlow Condensed" w:cs="Barlow Condensed"/>
                <w:b/>
                <w:bCs/>
                <w:color w:val="B7791F"/>
                <w:spacing w:val="20"/>
                <w:sz w:val="16"/>
                <w:szCs w:val="16"/>
              </w:rPr>
              <w:t>CAUTELA</w:t>
            </w:r>
          </w:p>
          <w:p w14:paraId="40F0691E" w14:textId="77777777" w:rsidR="00C365E3" w:rsidRDefault="00C365E3" w:rsidP="000D5BD8">
            <w:pPr>
              <w:spacing w:line="264" w:lineRule="auto"/>
              <w:jc w:val="both"/>
            </w:pPr>
            <w:r>
              <w:rPr>
                <w:b/>
                <w:bCs/>
                <w:sz w:val="21"/>
                <w:szCs w:val="21"/>
              </w:rPr>
              <w:t>Consequência metodológica direta.</w:t>
            </w:r>
            <w:r>
              <w:rPr>
                <w:sz w:val="21"/>
                <w:szCs w:val="21"/>
              </w:rPr>
              <w:t xml:space="preserve"> A abertura dos tipos disciplinares exige do operador da ferramenta </w:t>
            </w:r>
            <w:proofErr w:type="spellStart"/>
            <w:r>
              <w:rPr>
                <w:sz w:val="21"/>
                <w:szCs w:val="21"/>
              </w:rPr>
              <w:t>Integritas</w:t>
            </w:r>
            <w:proofErr w:type="spellEnd"/>
            <w:r>
              <w:rPr>
                <w:sz w:val="21"/>
                <w:szCs w:val="21"/>
              </w:rPr>
              <w:t xml:space="preserve"> um esforço de subsunção fundamentada: não basta selecionar o caminho que a ferramenta aponta. É necessário identificar, nos fatos apurados, os elementos concretos que preenchem o conteúdo semântico do dispositivo invocado. A ferramenta organiza o raciocínio; a fundamentação probatória é insubstituível.</w:t>
            </w:r>
          </w:p>
        </w:tc>
      </w:tr>
    </w:tbl>
    <w:p w14:paraId="51BFB082" w14:textId="77777777" w:rsidR="00C365E3" w:rsidRDefault="00C365E3" w:rsidP="00BC0B17">
      <w:pPr>
        <w:spacing w:after="120"/>
        <w:jc w:val="both"/>
        <w:rPr>
          <w:sz w:val="21"/>
          <w:szCs w:val="21"/>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27F36" w14:paraId="611A2CA1" w14:textId="77777777" w:rsidTr="000D5BD8">
        <w:tc>
          <w:tcPr>
            <w:tcW w:w="9070" w:type="dxa"/>
            <w:tcBorders>
              <w:left w:val="single" w:sz="24" w:space="0" w:color="C9A35C"/>
            </w:tcBorders>
            <w:shd w:val="clear" w:color="auto" w:fill="DCE6F4"/>
            <w:tcMar>
              <w:top w:w="120" w:type="dxa"/>
              <w:left w:w="200" w:type="dxa"/>
              <w:bottom w:w="120" w:type="dxa"/>
              <w:right w:w="160" w:type="dxa"/>
            </w:tcMar>
          </w:tcPr>
          <w:p w14:paraId="41E34D02" w14:textId="77777777" w:rsidR="00B27F36" w:rsidRDefault="00B27F36" w:rsidP="000D5BD8">
            <w:pPr>
              <w:spacing w:after="40"/>
            </w:pPr>
            <w:r>
              <w:rPr>
                <w:rFonts w:ascii="Barlow Condensed" w:eastAsia="Barlow Condensed" w:hAnsi="Barlow Condensed" w:cs="Barlow Condensed"/>
                <w:b/>
                <w:bCs/>
                <w:color w:val="C9A35C"/>
                <w:spacing w:val="20"/>
                <w:sz w:val="16"/>
                <w:szCs w:val="16"/>
              </w:rPr>
              <w:t>NOTA</w:t>
            </w:r>
          </w:p>
          <w:p w14:paraId="480E2124" w14:textId="77777777" w:rsidR="00B27F36" w:rsidRDefault="00B27F36" w:rsidP="000D5BD8">
            <w:pPr>
              <w:spacing w:line="264" w:lineRule="auto"/>
              <w:jc w:val="both"/>
            </w:pPr>
            <w:r>
              <w:rPr>
                <w:b/>
                <w:bCs/>
                <w:sz w:val="21"/>
                <w:szCs w:val="21"/>
              </w:rPr>
              <w:t xml:space="preserve">Tipos abertos não são tipos vazios. </w:t>
            </w:r>
            <w:r>
              <w:rPr>
                <w:sz w:val="21"/>
                <w:szCs w:val="21"/>
              </w:rPr>
              <w:t>A abertura textual exige do operador subsunção fundamentada: identificar o fato, eleger o dever ou a proibição efetivamente violada e demonstrar, em concreto, a correspondência entre um e outro. As Notas Técnicas da CRG/CGU existem justamente para uniformizar esse esforço.</w:t>
            </w:r>
          </w:p>
        </w:tc>
      </w:tr>
    </w:tbl>
    <w:p w14:paraId="442F126D" w14:textId="77777777" w:rsidR="00BC0B17" w:rsidRPr="00BC0B17" w:rsidRDefault="00BC0B17" w:rsidP="009E50AD">
      <w:pPr>
        <w:pStyle w:val="Ttulo2"/>
        <w:keepNext/>
      </w:pPr>
      <w:bookmarkStart w:id="7" w:name="_Toc238022002"/>
      <w:r>
        <w:t>1.5 A estrutura das penalidades e a dosimetria obrigatória</w:t>
      </w:r>
      <w:bookmarkEnd w:id="7"/>
    </w:p>
    <w:p w14:paraId="5CE2B5B0" w14:textId="77777777" w:rsidR="00BC0B17" w:rsidRPr="009E50AD" w:rsidRDefault="00BC0B17" w:rsidP="00BC0B17">
      <w:pPr>
        <w:spacing w:after="120"/>
        <w:jc w:val="both"/>
        <w:rPr>
          <w:sz w:val="21"/>
          <w:szCs w:val="21"/>
        </w:rPr>
      </w:pPr>
      <w:r>
        <w:rPr>
          <w:sz w:val="21"/>
          <w:szCs w:val="21"/>
        </w:rPr>
        <w:t xml:space="preserve">O art. 127 da Lei nº 8.112, de 1990 enuncia as penalidades disciplinares em rol taxativo: advertência, suspensão, demissão, cassação de aposentadoria ou disponibilidade, e destituição de cargo em comissão. Para a ferramenta </w:t>
      </w:r>
      <w:proofErr w:type="spellStart"/>
      <w:r>
        <w:rPr>
          <w:sz w:val="21"/>
          <w:szCs w:val="21"/>
        </w:rPr>
        <w:t>Integritas</w:t>
      </w:r>
      <w:proofErr w:type="spellEnd"/>
      <w:r>
        <w:rPr>
          <w:sz w:val="21"/>
          <w:szCs w:val="21"/>
        </w:rPr>
        <w:t>, são relevantes as três primeiras, estruturadas da seguinte forma:</w:t>
      </w:r>
    </w:p>
    <w:p w14:paraId="006115D4" w14:textId="77777777" w:rsidR="00BC0B17" w:rsidRPr="009E50AD" w:rsidRDefault="00BC0B17" w:rsidP="00BC0B17">
      <w:pPr>
        <w:spacing w:after="120"/>
        <w:jc w:val="both"/>
        <w:rPr>
          <w:sz w:val="21"/>
          <w:szCs w:val="21"/>
        </w:rPr>
      </w:pPr>
      <w:r>
        <w:rPr>
          <w:sz w:val="21"/>
          <w:szCs w:val="21"/>
        </w:rPr>
        <w:t>Advertência (art. 129): penalidade escrita, aplicável à violação das proibições dos incisos I a VIII e XIX do art. 117 e à inobservância de dever funcional que não justifique penalidade mais grave. Admite conversão em suspensão na hipótese de reincidência.</w:t>
      </w:r>
    </w:p>
    <w:p w14:paraId="278F2748" w14:textId="77777777" w:rsidR="00BC0B17" w:rsidRPr="009E50AD" w:rsidRDefault="00BC0B17" w:rsidP="00BC0B17">
      <w:pPr>
        <w:spacing w:after="120"/>
        <w:jc w:val="both"/>
        <w:rPr>
          <w:sz w:val="21"/>
          <w:szCs w:val="21"/>
        </w:rPr>
      </w:pPr>
      <w:r>
        <w:rPr>
          <w:sz w:val="21"/>
          <w:szCs w:val="21"/>
        </w:rPr>
        <w:t>Suspensão (art. 130): de 1 a 90 dias, aplicável nos casos de reincidência das faltas punidas com advertência, na violação das demais proibições do art. 117 que não constituam infração passível de demissão, e em outras hipóteses legalmente previstas. A suspensão implica perda da remuneração no período. Autoriza, subsidiariamente, conversão em multa de 50% quando o afastamento for inconveniente ao serviço (art. 130, § 2º).</w:t>
      </w:r>
    </w:p>
    <w:p w14:paraId="39E2B0A7" w14:textId="77777777" w:rsidR="00BC0B17" w:rsidRPr="009E50AD" w:rsidRDefault="00BC0B17" w:rsidP="00BC0B17">
      <w:pPr>
        <w:spacing w:after="120"/>
        <w:jc w:val="both"/>
        <w:rPr>
          <w:sz w:val="21"/>
          <w:szCs w:val="21"/>
        </w:rPr>
      </w:pPr>
      <w:r>
        <w:rPr>
          <w:sz w:val="21"/>
          <w:szCs w:val="21"/>
        </w:rPr>
        <w:lastRenderedPageBreak/>
        <w:t xml:space="preserve">Demissão (art. 132): rol exaustivo e taxativo de infrações expulsivas. O STJ consolidou o entendimento de que, "verificadas a autoria e a materialidade da infração disciplinar prevista no art. 132 da Lei nº 8.112, de 1990, a aplicação da demissão é ato vinculado" (MS 18.122/DF, Rel. Min. Humberto Martins, 1ª Seção, </w:t>
      </w:r>
      <w:proofErr w:type="spellStart"/>
      <w:r>
        <w:rPr>
          <w:sz w:val="21"/>
          <w:szCs w:val="21"/>
        </w:rPr>
        <w:t>DJe</w:t>
      </w:r>
      <w:proofErr w:type="spellEnd"/>
      <w:r>
        <w:rPr>
          <w:sz w:val="21"/>
          <w:szCs w:val="21"/>
        </w:rPr>
        <w:t xml:space="preserve"> 20/2/2013; MS 15.437/DF, Rel. Min. Castro Meira, 1ª Seção, </w:t>
      </w:r>
      <w:proofErr w:type="spellStart"/>
      <w:r>
        <w:rPr>
          <w:sz w:val="21"/>
          <w:szCs w:val="21"/>
        </w:rPr>
        <w:t>DJe</w:t>
      </w:r>
      <w:proofErr w:type="spellEnd"/>
      <w:r>
        <w:rPr>
          <w:sz w:val="21"/>
          <w:szCs w:val="21"/>
        </w:rPr>
        <w:t xml:space="preserve"> 26/11/2010). A autoridade julgadora, nesse caso, não dispõe de margem para substituir a demissão por penalidade mais branda com base em critérios de conveniência, ressalvado o entendimento mais recente, que admite modulação em circunstâncias excepcionais de manifesta desproporcionalidade, exigindo fundamentação reforçada.</w:t>
      </w:r>
    </w:p>
    <w:p w14:paraId="489FC112" w14:textId="77777777" w:rsidR="00BC0B17" w:rsidRPr="009E50AD" w:rsidRDefault="00BC0B17" w:rsidP="00BC0B17">
      <w:pPr>
        <w:spacing w:after="120"/>
        <w:jc w:val="both"/>
        <w:rPr>
          <w:sz w:val="21"/>
          <w:szCs w:val="21"/>
        </w:rPr>
      </w:pPr>
      <w:r>
        <w:rPr>
          <w:sz w:val="21"/>
          <w:szCs w:val="21"/>
        </w:rPr>
        <w:t>A dosimetria é a operação intelectual que vincula o enquadramento à penalidade concretamente aplicável. O art. 128 da Lei nº 8.112, de 1990 impõe à autoridade julgadora a consideração obrigatória de cinco critérios: (i) a natureza e a gravidade da infração cometida; (</w:t>
      </w:r>
      <w:proofErr w:type="spellStart"/>
      <w:r>
        <w:rPr>
          <w:sz w:val="21"/>
          <w:szCs w:val="21"/>
        </w:rPr>
        <w:t>ii</w:t>
      </w:r>
      <w:proofErr w:type="spellEnd"/>
      <w:r>
        <w:rPr>
          <w:sz w:val="21"/>
          <w:szCs w:val="21"/>
        </w:rPr>
        <w:t>) os danos dela decorrentes para o serviço público; (</w:t>
      </w:r>
      <w:proofErr w:type="spellStart"/>
      <w:r>
        <w:rPr>
          <w:sz w:val="21"/>
          <w:szCs w:val="21"/>
        </w:rPr>
        <w:t>iii</w:t>
      </w:r>
      <w:proofErr w:type="spellEnd"/>
      <w:r>
        <w:rPr>
          <w:sz w:val="21"/>
          <w:szCs w:val="21"/>
        </w:rPr>
        <w:t>) as circunstâncias agravantes; (</w:t>
      </w:r>
      <w:proofErr w:type="spellStart"/>
      <w:r>
        <w:rPr>
          <w:sz w:val="21"/>
          <w:szCs w:val="21"/>
        </w:rPr>
        <w:t>iv</w:t>
      </w:r>
      <w:proofErr w:type="spellEnd"/>
      <w:r>
        <w:rPr>
          <w:sz w:val="21"/>
          <w:szCs w:val="21"/>
        </w:rPr>
        <w:t xml:space="preserve">) as circunstâncias atenuantes; e (v) os antecedentes funcionais do servidor. O parágrafo único do mesmo artigo exige que o ato punitivo mencione expressamente o fundamento legal e a causa da sanção disciplinar, positivando, no plano estatutário, o princípio constitucional da motivação dos atos administrativos (CF, art. 37, </w:t>
      </w:r>
      <w:r>
        <w:rPr>
          <w:i/>
          <w:iCs/>
          <w:sz w:val="21"/>
          <w:szCs w:val="21"/>
        </w:rPr>
        <w:t>caput</w:t>
      </w:r>
      <w:r>
        <w:rPr>
          <w:sz w:val="21"/>
          <w:szCs w:val="21"/>
        </w:rPr>
        <w:t>; Lei nº 9.784/1999, art. 2º, parágrafo único, VII).</w:t>
      </w:r>
    </w:p>
    <w:p w14:paraId="33BEB78A" w14:textId="77777777" w:rsidR="00BC0B17" w:rsidRDefault="00BC0B17" w:rsidP="00BC0B17">
      <w:pPr>
        <w:spacing w:after="120"/>
        <w:jc w:val="both"/>
        <w:rPr>
          <w:sz w:val="21"/>
          <w:szCs w:val="21"/>
        </w:rPr>
      </w:pPr>
      <w:r>
        <w:rPr>
          <w:sz w:val="21"/>
          <w:szCs w:val="21"/>
        </w:rPr>
        <w:t>Como anota o Guia Teórico e Prático da Dosimetria da Sanção Disciplinar da CRG/CGU, publicado em novembro de 2024, "a Lei nº 8.112, de 1990, apresenta cinco critérios para a dosimetria, mas não fornece qualquer baliza objetiva sobre como realizar a distribuição de tais critérios em cada caso concreto", razão pela qual a CRG desenvolveu instrumentos complementares, como calculadoras de penalidade e parâmetros de ponderação, para operacionalizar a exigência legal de forma objetiva e isonômica.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BB4205" w14:paraId="638488D1" w14:textId="77777777" w:rsidTr="000D5BD8">
        <w:tc>
          <w:tcPr>
            <w:tcW w:w="9070" w:type="dxa"/>
            <w:tcBorders>
              <w:left w:val="single" w:sz="24" w:space="0" w:color="B7791F"/>
            </w:tcBorders>
            <w:shd w:val="clear" w:color="auto" w:fill="F6ECD7"/>
            <w:tcMar>
              <w:top w:w="120" w:type="dxa"/>
              <w:left w:w="200" w:type="dxa"/>
              <w:bottom w:w="120" w:type="dxa"/>
              <w:right w:w="160" w:type="dxa"/>
            </w:tcMar>
          </w:tcPr>
          <w:p w14:paraId="36940778" w14:textId="77777777" w:rsidR="00BB4205" w:rsidRDefault="00BB4205" w:rsidP="000D5BD8">
            <w:pPr>
              <w:spacing w:after="40"/>
            </w:pPr>
            <w:r>
              <w:rPr>
                <w:rFonts w:ascii="Barlow Condensed" w:eastAsia="Barlow Condensed" w:hAnsi="Barlow Condensed" w:cs="Barlow Condensed"/>
                <w:b/>
                <w:bCs/>
                <w:color w:val="B7791F"/>
                <w:spacing w:val="20"/>
                <w:sz w:val="16"/>
                <w:szCs w:val="16"/>
              </w:rPr>
              <w:t>CAUTELA</w:t>
            </w:r>
          </w:p>
          <w:p w14:paraId="67EF545E" w14:textId="77777777" w:rsidR="00BB4205" w:rsidRPr="00BB4205" w:rsidRDefault="00BB4205" w:rsidP="00942D6B">
            <w:pPr>
              <w:spacing w:after="120" w:line="240" w:lineRule="auto"/>
              <w:jc w:val="both"/>
              <w:rPr>
                <w:sz w:val="21"/>
                <w:szCs w:val="21"/>
              </w:rPr>
            </w:pPr>
            <w:r>
              <w:rPr>
                <w:b/>
                <w:bCs/>
                <w:sz w:val="21"/>
                <w:szCs w:val="21"/>
              </w:rPr>
              <w:t>CAUTELA, O enquadramento da ferramenta não é dosimetria</w:t>
            </w:r>
            <w:r>
              <w:rPr>
                <w:sz w:val="21"/>
                <w:szCs w:val="21"/>
              </w:rPr>
              <w:t xml:space="preserve">. A ferramenta </w:t>
            </w:r>
            <w:proofErr w:type="spellStart"/>
            <w:r>
              <w:rPr>
                <w:sz w:val="21"/>
                <w:szCs w:val="21"/>
              </w:rPr>
              <w:t>Integritas</w:t>
            </w:r>
            <w:proofErr w:type="spellEnd"/>
            <w:r>
              <w:rPr>
                <w:sz w:val="21"/>
                <w:szCs w:val="21"/>
              </w:rPr>
              <w:t xml:space="preserve"> produz um enquadramento orientativo, a identificação do dispositivo legal que melhor corresponde à conduta apurada. A dosimetria, a graduação da penalidade dentro da faixa cabível para aquele enquadramento, é operação subsequente, regida pelo art. 128 e pelos instrumentos de dosimetria da CRG/CGU, e não é realizada pela ferramenta. O operador deve, após obter o enquadramento orientativo, percorrer integralmente os critérios do art. 128 para fundamentar a penalidade proposta.</w:t>
            </w:r>
          </w:p>
        </w:tc>
      </w:tr>
    </w:tbl>
    <w:p w14:paraId="6E819EA0" w14:textId="77777777" w:rsidR="00BC0B17" w:rsidRPr="009E50AD" w:rsidRDefault="00BC0B17" w:rsidP="00BC0B17">
      <w:pPr>
        <w:spacing w:after="120"/>
        <w:jc w:val="both"/>
        <w:rPr>
          <w:sz w:val="21"/>
          <w:szCs w:val="21"/>
        </w:rPr>
      </w:pPr>
      <w:r>
        <w:rPr>
          <w:sz w:val="21"/>
          <w:szCs w:val="21"/>
        </w:rPr>
        <w:t xml:space="preserve">O enquadramento da ferramenta não é dosimetria. A ferramenta </w:t>
      </w:r>
      <w:proofErr w:type="spellStart"/>
      <w:r>
        <w:rPr>
          <w:sz w:val="21"/>
          <w:szCs w:val="21"/>
        </w:rPr>
        <w:t>Integritas</w:t>
      </w:r>
      <w:proofErr w:type="spellEnd"/>
      <w:r>
        <w:rPr>
          <w:sz w:val="21"/>
          <w:szCs w:val="21"/>
        </w:rPr>
        <w:t xml:space="preserve"> produz um enquadramento orientativo, a identificação do dispositivo legal que melhor corresponde à conduta apurada. A dosimetria, a graduação da penalidade dentro da faixa cabível para aquele enquadramento, é operação subsequente, regida pelo art. 128 e pelos instrumentos de dosimetria da CRG/CGU, e não é realizada pela ferramenta. O operador deve, após obter o enquadramento orientativo, percorrer integralmente os critérios do art. 128 para fundamentar a penalidade proposta.</w:t>
      </w:r>
    </w:p>
    <w:p w14:paraId="7DAF651F" w14:textId="77777777" w:rsidR="00BC0B17" w:rsidRPr="00BC0B17" w:rsidRDefault="00BC0B17" w:rsidP="00CB3ADF">
      <w:pPr>
        <w:pStyle w:val="Ttulo2"/>
        <w:keepNext/>
      </w:pPr>
      <w:bookmarkStart w:id="8" w:name="_Toc238022003"/>
      <w:r>
        <w:t xml:space="preserve">1.6 Os dispositivos centrais da ferramenta </w:t>
      </w:r>
      <w:proofErr w:type="spellStart"/>
      <w:r>
        <w:t>Integritas</w:t>
      </w:r>
      <w:bookmarkEnd w:id="8"/>
      <w:proofErr w:type="spellEnd"/>
    </w:p>
    <w:p w14:paraId="4CC73FFC" w14:textId="77777777" w:rsidR="00BC0B17" w:rsidRDefault="00BC0B17" w:rsidP="00BC0B17">
      <w:pPr>
        <w:spacing w:after="120"/>
        <w:jc w:val="both"/>
        <w:rPr>
          <w:sz w:val="21"/>
          <w:szCs w:val="21"/>
        </w:rPr>
      </w:pPr>
      <w:r>
        <w:rPr>
          <w:sz w:val="21"/>
          <w:szCs w:val="21"/>
        </w:rPr>
        <w:t>Os seis dispositivos da Lei nº 8.112, de 1990 que sustentam, isolada ou cumulativamente, todos os enquadramentos produzidos pela ferramenta são: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800"/>
        <w:gridCol w:w="2670"/>
      </w:tblGrid>
      <w:tr w:rsidR="008D7C32" w14:paraId="740BB45A" w14:textId="77777777" w:rsidTr="000D5BD8">
        <w:trPr>
          <w:tblHeader/>
        </w:trPr>
        <w:tc>
          <w:tcPr>
            <w:tcW w:w="160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12EE8BC7" w14:textId="77777777" w:rsidR="008D7C32" w:rsidRDefault="008D7C32" w:rsidP="000D5BD8">
            <w:r>
              <w:rPr>
                <w:rFonts w:ascii="Barlow Condensed" w:eastAsia="Barlow Condensed" w:hAnsi="Barlow Condensed" w:cs="Barlow Condensed"/>
                <w:b/>
                <w:bCs/>
                <w:color w:val="FFFFFF"/>
              </w:rPr>
              <w:lastRenderedPageBreak/>
              <w:t>Dispositivo</w:t>
            </w:r>
          </w:p>
        </w:tc>
        <w:tc>
          <w:tcPr>
            <w:tcW w:w="480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647513FA" w14:textId="77777777" w:rsidR="008D7C32" w:rsidRDefault="008D7C32" w:rsidP="000D5BD8">
            <w:r>
              <w:rPr>
                <w:rFonts w:ascii="Barlow Condensed" w:eastAsia="Barlow Condensed" w:hAnsi="Barlow Condensed" w:cs="Barlow Condensed"/>
                <w:b/>
                <w:bCs/>
                <w:color w:val="FFFFFF"/>
              </w:rPr>
              <w:t>Conteúdo normativo</w:t>
            </w:r>
          </w:p>
        </w:tc>
        <w:tc>
          <w:tcPr>
            <w:tcW w:w="267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7A8C50FB" w14:textId="77777777" w:rsidR="008D7C32" w:rsidRDefault="008D7C32" w:rsidP="000D5BD8">
            <w:r>
              <w:rPr>
                <w:rFonts w:ascii="Barlow Condensed" w:eastAsia="Barlow Condensed" w:hAnsi="Barlow Condensed" w:cs="Barlow Condensed"/>
                <w:b/>
                <w:bCs/>
                <w:color w:val="FFFFFF"/>
              </w:rPr>
              <w:t>Penalidade de referência</w:t>
            </w:r>
          </w:p>
        </w:tc>
      </w:tr>
      <w:tr w:rsidR="008D7C32" w14:paraId="0D346685" w14:textId="77777777" w:rsidTr="000D5BD8">
        <w:tc>
          <w:tcPr>
            <w:tcW w:w="16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0012D49D" w14:textId="77777777" w:rsidR="008D7C32" w:rsidRDefault="008D7C32" w:rsidP="000D5BD8">
            <w:pPr>
              <w:spacing w:line="252" w:lineRule="auto"/>
            </w:pPr>
            <w:r>
              <w:rPr>
                <w:rFonts w:ascii="JetBrains Mono" w:eastAsia="JetBrains Mono" w:hAnsi="JetBrains Mono" w:cs="JetBrains Mono"/>
                <w:color w:val="0B2C5F"/>
              </w:rPr>
              <w:t>Art. 116, IX</w:t>
            </w:r>
          </w:p>
        </w:tc>
        <w:tc>
          <w:tcPr>
            <w:tcW w:w="48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6D733E82" w14:textId="77777777" w:rsidR="008D7C32" w:rsidRDefault="008D7C32" w:rsidP="000D5BD8">
            <w:pPr>
              <w:spacing w:line="252" w:lineRule="auto"/>
            </w:pPr>
            <w:r>
              <w:t>Manter conduta compatível com a moralidade administrativa</w:t>
            </w:r>
          </w:p>
        </w:tc>
        <w:tc>
          <w:tcPr>
            <w:tcW w:w="26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7931F943" w14:textId="77777777" w:rsidR="008D7C32" w:rsidRDefault="008D7C32" w:rsidP="000D5BD8">
            <w:pPr>
              <w:spacing w:line="252" w:lineRule="auto"/>
            </w:pPr>
            <w:r>
              <w:t>Advertência ou suspensão</w:t>
            </w:r>
          </w:p>
        </w:tc>
      </w:tr>
      <w:tr w:rsidR="008D7C32" w14:paraId="23D4AF37" w14:textId="77777777" w:rsidTr="000D5BD8">
        <w:tc>
          <w:tcPr>
            <w:tcW w:w="16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2E4DB470" w14:textId="77777777" w:rsidR="008D7C32" w:rsidRDefault="008D7C32" w:rsidP="000D5BD8">
            <w:pPr>
              <w:spacing w:line="252" w:lineRule="auto"/>
            </w:pPr>
            <w:r>
              <w:rPr>
                <w:rFonts w:ascii="JetBrains Mono" w:eastAsia="JetBrains Mono" w:hAnsi="JetBrains Mono" w:cs="JetBrains Mono"/>
                <w:color w:val="0B2C5F"/>
              </w:rPr>
              <w:t>Art. 116, XI</w:t>
            </w:r>
          </w:p>
        </w:tc>
        <w:tc>
          <w:tcPr>
            <w:tcW w:w="48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76100866" w14:textId="77777777" w:rsidR="008D7C32" w:rsidRDefault="008D7C32" w:rsidP="000D5BD8">
            <w:pPr>
              <w:spacing w:line="252" w:lineRule="auto"/>
            </w:pPr>
            <w:r>
              <w:t>Tratar com urbanidade as pessoas</w:t>
            </w:r>
          </w:p>
        </w:tc>
        <w:tc>
          <w:tcPr>
            <w:tcW w:w="26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601F177B" w14:textId="77777777" w:rsidR="008D7C32" w:rsidRDefault="008D7C32" w:rsidP="000D5BD8">
            <w:pPr>
              <w:spacing w:line="252" w:lineRule="auto"/>
            </w:pPr>
            <w:r>
              <w:t>Advertência ou suspensão</w:t>
            </w:r>
          </w:p>
        </w:tc>
      </w:tr>
      <w:tr w:rsidR="008D7C32" w14:paraId="3C7BF6A9" w14:textId="77777777" w:rsidTr="000D5BD8">
        <w:tc>
          <w:tcPr>
            <w:tcW w:w="16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3152892E" w14:textId="77777777" w:rsidR="008D7C32" w:rsidRDefault="008D7C32" w:rsidP="000D5BD8">
            <w:pPr>
              <w:spacing w:line="252" w:lineRule="auto"/>
            </w:pPr>
            <w:r>
              <w:rPr>
                <w:rFonts w:ascii="JetBrains Mono" w:eastAsia="JetBrains Mono" w:hAnsi="JetBrains Mono" w:cs="JetBrains Mono"/>
                <w:color w:val="0B2C5F"/>
              </w:rPr>
              <w:t>Art. 117, V</w:t>
            </w:r>
          </w:p>
        </w:tc>
        <w:tc>
          <w:tcPr>
            <w:tcW w:w="48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46656607" w14:textId="77777777" w:rsidR="008D7C32" w:rsidRDefault="008D7C32" w:rsidP="000D5BD8">
            <w:pPr>
              <w:spacing w:line="252" w:lineRule="auto"/>
            </w:pPr>
            <w:r>
              <w:t>Não promover manifestação de desapreço no recinto da repartição</w:t>
            </w:r>
          </w:p>
        </w:tc>
        <w:tc>
          <w:tcPr>
            <w:tcW w:w="26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3B07FCD9" w14:textId="77777777" w:rsidR="008D7C32" w:rsidRDefault="008D7C32" w:rsidP="000D5BD8">
            <w:pPr>
              <w:spacing w:line="252" w:lineRule="auto"/>
            </w:pPr>
            <w:r>
              <w:t>Advertência (ou suspensão)</w:t>
            </w:r>
          </w:p>
        </w:tc>
      </w:tr>
      <w:tr w:rsidR="008D7C32" w14:paraId="4CF39407" w14:textId="77777777" w:rsidTr="000D5BD8">
        <w:tc>
          <w:tcPr>
            <w:tcW w:w="16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7AB28576" w14:textId="77777777" w:rsidR="008D7C32" w:rsidRDefault="008D7C32" w:rsidP="000D5BD8">
            <w:pPr>
              <w:spacing w:line="252" w:lineRule="auto"/>
            </w:pPr>
            <w:r>
              <w:rPr>
                <w:rFonts w:ascii="JetBrains Mono" w:eastAsia="JetBrains Mono" w:hAnsi="JetBrains Mono" w:cs="JetBrains Mono"/>
                <w:color w:val="0B2C5F"/>
              </w:rPr>
              <w:t>Art. 117, IX</w:t>
            </w:r>
          </w:p>
        </w:tc>
        <w:tc>
          <w:tcPr>
            <w:tcW w:w="48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2DB6F86E" w14:textId="77777777" w:rsidR="008D7C32" w:rsidRDefault="008D7C32" w:rsidP="000D5BD8">
            <w:pPr>
              <w:spacing w:line="252" w:lineRule="auto"/>
            </w:pPr>
            <w:r>
              <w:t>Não se valer do cargo para lograr proveito pessoal ou de outrem, em detrimento da dignidade da função pública</w:t>
            </w:r>
          </w:p>
        </w:tc>
        <w:tc>
          <w:tcPr>
            <w:tcW w:w="26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5F65517A" w14:textId="77777777" w:rsidR="008D7C32" w:rsidRDefault="008D7C32" w:rsidP="000D5BD8">
            <w:pPr>
              <w:spacing w:line="252" w:lineRule="auto"/>
            </w:pPr>
            <w:r>
              <w:t>Demissão (art. 132, XIII)</w:t>
            </w:r>
          </w:p>
        </w:tc>
      </w:tr>
      <w:tr w:rsidR="008D7C32" w14:paraId="723C5D27" w14:textId="77777777" w:rsidTr="000D5BD8">
        <w:tc>
          <w:tcPr>
            <w:tcW w:w="16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3782C129" w14:textId="77777777" w:rsidR="008D7C32" w:rsidRDefault="008D7C32" w:rsidP="000D5BD8">
            <w:pPr>
              <w:spacing w:line="252" w:lineRule="auto"/>
            </w:pPr>
            <w:r>
              <w:rPr>
                <w:rFonts w:ascii="JetBrains Mono" w:eastAsia="JetBrains Mono" w:hAnsi="JetBrains Mono" w:cs="JetBrains Mono"/>
                <w:color w:val="0B2C5F"/>
              </w:rPr>
              <w:t>Art. 132, V</w:t>
            </w:r>
          </w:p>
        </w:tc>
        <w:tc>
          <w:tcPr>
            <w:tcW w:w="48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2E391BF6" w14:textId="77777777" w:rsidR="008D7C32" w:rsidRDefault="008D7C32" w:rsidP="000D5BD8">
            <w:pPr>
              <w:spacing w:line="252" w:lineRule="auto"/>
            </w:pPr>
            <w:r>
              <w:t>Incontinência pública e conduta escandalosa, na repartição</w:t>
            </w:r>
          </w:p>
        </w:tc>
        <w:tc>
          <w:tcPr>
            <w:tcW w:w="26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5FF26C94" w14:textId="77777777" w:rsidR="008D7C32" w:rsidRDefault="008D7C32" w:rsidP="000D5BD8">
            <w:pPr>
              <w:spacing w:line="252" w:lineRule="auto"/>
            </w:pPr>
            <w:r>
              <w:t>Demissão</w:t>
            </w:r>
          </w:p>
        </w:tc>
      </w:tr>
      <w:tr w:rsidR="008D7C32" w14:paraId="2E2027F6" w14:textId="77777777" w:rsidTr="000D5BD8">
        <w:tc>
          <w:tcPr>
            <w:tcW w:w="16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10CE96E2" w14:textId="77777777" w:rsidR="008D7C32" w:rsidRDefault="008D7C32" w:rsidP="000D5BD8">
            <w:pPr>
              <w:spacing w:line="252" w:lineRule="auto"/>
            </w:pPr>
            <w:r>
              <w:rPr>
                <w:rFonts w:ascii="JetBrains Mono" w:eastAsia="JetBrains Mono" w:hAnsi="JetBrains Mono" w:cs="JetBrains Mono"/>
                <w:color w:val="0B2C5F"/>
              </w:rPr>
              <w:t>Art. 132, VII</w:t>
            </w:r>
          </w:p>
        </w:tc>
        <w:tc>
          <w:tcPr>
            <w:tcW w:w="48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607F1D5D" w14:textId="77777777" w:rsidR="008D7C32" w:rsidRDefault="008D7C32" w:rsidP="000D5BD8">
            <w:pPr>
              <w:spacing w:line="252" w:lineRule="auto"/>
            </w:pPr>
            <w:r>
              <w:t>Ofensa física, em serviço, a servidor ou a particular, salvo em legítima defesa</w:t>
            </w:r>
          </w:p>
        </w:tc>
        <w:tc>
          <w:tcPr>
            <w:tcW w:w="26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07965AA5" w14:textId="77777777" w:rsidR="008D7C32" w:rsidRDefault="008D7C32" w:rsidP="000D5BD8">
            <w:pPr>
              <w:spacing w:line="252" w:lineRule="auto"/>
            </w:pPr>
            <w:r>
              <w:t>Demissão</w:t>
            </w:r>
          </w:p>
        </w:tc>
      </w:tr>
    </w:tbl>
    <w:p w14:paraId="22A9CECD" w14:textId="77777777" w:rsidR="00BC0B17" w:rsidRPr="00CB3ADF" w:rsidRDefault="00BC0B17" w:rsidP="00BC0B17">
      <w:pPr>
        <w:spacing w:after="120"/>
        <w:jc w:val="both"/>
        <w:rPr>
          <w:sz w:val="21"/>
          <w:szCs w:val="21"/>
        </w:rPr>
      </w:pPr>
      <w:r>
        <w:rPr>
          <w:sz w:val="21"/>
          <w:szCs w:val="21"/>
        </w:rPr>
        <w:t>O art. 116, IX (moralidade administrativa) e o art. 116, XI (urbanidade) são os dois grandes tipos de absorção do regime disciplinar federal: quando a conduta não se encaixa em tipo mais específico e mais grave, é por eles que a apuração se ancora. Daí a relevância de sua análise aprofundada nos capítulos seguintes. O art. 132, V (incontinência pública e conduta escandalosa) opera como tipo residual das infrações graves que ocorrem na repartição e que não encontram enquadramento nos incisos anteriores do mesmo artigo. O art. 132, VII (ofensa física) e o art. 117, IX (valimento do cargo) são tipos com elementos próprios e mais precisos, abordados respectivamente nos Capítulos 2 e 3.</w:t>
      </w:r>
    </w:p>
    <w:p w14:paraId="676F5E6B" w14:textId="77777777" w:rsidR="00BC0B17" w:rsidRPr="00BC0B17" w:rsidRDefault="00BC0B17" w:rsidP="00CB3ADF">
      <w:pPr>
        <w:pStyle w:val="Ttulo2"/>
        <w:keepNext/>
      </w:pPr>
      <w:bookmarkStart w:id="9" w:name="_Toc238022004"/>
      <w:r>
        <w:t>1.7 O SISCOR e o papel uniformizador das Notas Técnicas da CRG/CGU</w:t>
      </w:r>
      <w:bookmarkEnd w:id="9"/>
    </w:p>
    <w:p w14:paraId="368627CE" w14:textId="77777777" w:rsidR="00BC0B17" w:rsidRPr="00B27F36" w:rsidRDefault="00BC0B17" w:rsidP="00BC0B17">
      <w:pPr>
        <w:spacing w:after="120"/>
        <w:jc w:val="both"/>
        <w:rPr>
          <w:sz w:val="21"/>
          <w:szCs w:val="21"/>
        </w:rPr>
      </w:pPr>
      <w:r>
        <w:rPr>
          <w:sz w:val="21"/>
          <w:szCs w:val="21"/>
        </w:rPr>
        <w:t>A descentralização administrativa federal cria um risco permanente: que condutas idênticas recebam enquadramentos diferentes em órgãos distintos, comprometendo a isonomia e a segurança jurídica. Para enfrentar esse risco, o Decreto nº 5.480, de 30 de junho de 2005, instituiu o Sistema de Correição do Poder Executivo Federal (</w:t>
      </w:r>
      <w:proofErr w:type="spellStart"/>
      <w:r>
        <w:rPr>
          <w:sz w:val="21"/>
          <w:szCs w:val="21"/>
        </w:rPr>
        <w:t>Siscor</w:t>
      </w:r>
      <w:proofErr w:type="spellEnd"/>
      <w:r>
        <w:rPr>
          <w:sz w:val="21"/>
          <w:szCs w:val="21"/>
        </w:rPr>
        <w:t>), integrando as unidades de correição de todos os órgãos e entidades federais sob coordenação normativa da Corregedoria-Geral da União (CRG/CGU), órgão de cúpula do sistema.</w:t>
      </w:r>
    </w:p>
    <w:p w14:paraId="53B1EA1E" w14:textId="77777777" w:rsidR="00BC0B17" w:rsidRPr="00B27F36" w:rsidRDefault="00BC0B17" w:rsidP="00BC0B17">
      <w:pPr>
        <w:spacing w:after="120"/>
        <w:jc w:val="both"/>
        <w:rPr>
          <w:sz w:val="21"/>
          <w:szCs w:val="21"/>
        </w:rPr>
      </w:pPr>
      <w:r>
        <w:rPr>
          <w:sz w:val="21"/>
          <w:szCs w:val="21"/>
        </w:rPr>
        <w:t>No âmbito da CRG, a Coordenação-Geral de Uniformização de Entendimentos (CGUNE), vinculada à Diretoria de Articulação e Supervisão do Sistema de Correição (</w:t>
      </w:r>
      <w:proofErr w:type="spellStart"/>
      <w:r>
        <w:rPr>
          <w:sz w:val="21"/>
          <w:szCs w:val="21"/>
        </w:rPr>
        <w:t>Dicor</w:t>
      </w:r>
      <w:proofErr w:type="spellEnd"/>
      <w:r>
        <w:rPr>
          <w:sz w:val="21"/>
          <w:szCs w:val="21"/>
        </w:rPr>
        <w:t xml:space="preserve">), edita Notas Técnicas que sistematizam os entendimentos correntes sobre o enquadramento de determinadas condutas. Aprovadas pelo Corregedor-Geral e disponibilizadas no Repositório de Conhecimento da CGU, essas Notas operam como soft </w:t>
      </w:r>
      <w:proofErr w:type="spellStart"/>
      <w:r>
        <w:rPr>
          <w:sz w:val="21"/>
          <w:szCs w:val="21"/>
        </w:rPr>
        <w:t>law</w:t>
      </w:r>
      <w:proofErr w:type="spellEnd"/>
      <w:r>
        <w:rPr>
          <w:sz w:val="21"/>
          <w:szCs w:val="21"/>
        </w:rPr>
        <w:t xml:space="preserve"> correcional: não possuem força vinculante equivalente à lei, mas criam expectativas legítimas de tratamento isonômico e são invocadas reiteradamente como fundamento de decisões administrativas em todo o </w:t>
      </w:r>
      <w:proofErr w:type="spellStart"/>
      <w:r>
        <w:rPr>
          <w:sz w:val="21"/>
          <w:szCs w:val="21"/>
        </w:rPr>
        <w:t>Siscor</w:t>
      </w:r>
      <w:proofErr w:type="spellEnd"/>
      <w:r>
        <w:rPr>
          <w:sz w:val="21"/>
          <w:szCs w:val="21"/>
        </w:rPr>
        <w:t>.</w:t>
      </w:r>
    </w:p>
    <w:p w14:paraId="6B6F6A65" w14:textId="77777777" w:rsidR="00BC0B17" w:rsidRPr="00B27F36" w:rsidRDefault="00BC0B17" w:rsidP="00BC0B17">
      <w:pPr>
        <w:spacing w:after="120"/>
        <w:jc w:val="both"/>
        <w:rPr>
          <w:sz w:val="21"/>
          <w:szCs w:val="21"/>
        </w:rPr>
      </w:pPr>
      <w:r>
        <w:rPr>
          <w:sz w:val="21"/>
          <w:szCs w:val="21"/>
        </w:rPr>
        <w:t xml:space="preserve">A distinção entre os níveis normativos é essencial para a correta utilização da ferramenta </w:t>
      </w:r>
      <w:proofErr w:type="spellStart"/>
      <w:r>
        <w:rPr>
          <w:sz w:val="21"/>
          <w:szCs w:val="21"/>
        </w:rPr>
        <w:t>Integritas</w:t>
      </w:r>
      <w:proofErr w:type="spellEnd"/>
      <w:r>
        <w:rPr>
          <w:sz w:val="21"/>
          <w:szCs w:val="21"/>
        </w:rPr>
        <w:t>:</w:t>
      </w:r>
    </w:p>
    <w:p w14:paraId="2C519B4E" w14:textId="77777777" w:rsidR="00BC0B17" w:rsidRPr="00B27F36" w:rsidRDefault="00BC0B17">
      <w:pPr>
        <w:numPr>
          <w:ilvl w:val="0"/>
          <w:numId w:val="4"/>
        </w:numPr>
        <w:spacing w:after="120"/>
        <w:jc w:val="both"/>
        <w:rPr>
          <w:sz w:val="21"/>
          <w:szCs w:val="21"/>
        </w:rPr>
      </w:pPr>
      <w:r>
        <w:rPr>
          <w:sz w:val="21"/>
          <w:szCs w:val="21"/>
        </w:rPr>
        <w:t>Lei nº 8.112, de 1990: vincula. Nenhuma penalidade pode ser aplicada sem amparo em seus dispositivos.</w:t>
      </w:r>
    </w:p>
    <w:p w14:paraId="51BFC77E" w14:textId="77777777" w:rsidR="00BC0B17" w:rsidRPr="00B27F36" w:rsidRDefault="00BC0B17">
      <w:pPr>
        <w:numPr>
          <w:ilvl w:val="0"/>
          <w:numId w:val="4"/>
        </w:numPr>
        <w:spacing w:after="120"/>
        <w:jc w:val="both"/>
        <w:rPr>
          <w:sz w:val="21"/>
          <w:szCs w:val="21"/>
        </w:rPr>
      </w:pPr>
      <w:r>
        <w:rPr>
          <w:sz w:val="21"/>
          <w:szCs w:val="21"/>
        </w:rPr>
        <w:t>Parecer nº 00015/2023/CONSUNIAO/CGU/AGU (JM-03, aprovado por despacho presidencial em 4/9/2023): vincula toda a Administração Pública Federal, por força do art. 40, § 1º, da Lei Complementar nº 73/1993.</w:t>
      </w:r>
    </w:p>
    <w:p w14:paraId="4555038A" w14:textId="77777777" w:rsidR="00BC0B17" w:rsidRPr="00B27F36" w:rsidRDefault="00BC0B17">
      <w:pPr>
        <w:numPr>
          <w:ilvl w:val="0"/>
          <w:numId w:val="4"/>
        </w:numPr>
        <w:spacing w:after="120"/>
        <w:jc w:val="both"/>
        <w:rPr>
          <w:sz w:val="21"/>
          <w:szCs w:val="21"/>
        </w:rPr>
      </w:pPr>
      <w:r>
        <w:rPr>
          <w:sz w:val="21"/>
          <w:szCs w:val="21"/>
        </w:rPr>
        <w:lastRenderedPageBreak/>
        <w:t>Notas Técnicas da CRG/CGU: orientam e uniformizam. A autoridade julgadora pode delas divergir, mas deve fundamentar o afastamento, conforme o art. 128 da Lei nº 8.112, de 1990 e o princípio da motivação (Lei nº 9.784/1999, art. 2º).</w:t>
      </w:r>
    </w:p>
    <w:p w14:paraId="6975AC02" w14:textId="77777777" w:rsidR="00BC0B17" w:rsidRPr="00B27F36" w:rsidRDefault="00BC0B17" w:rsidP="00BC0B17">
      <w:pPr>
        <w:spacing w:after="120"/>
        <w:jc w:val="both"/>
        <w:rPr>
          <w:sz w:val="21"/>
          <w:szCs w:val="21"/>
        </w:rPr>
      </w:pPr>
      <w:r>
        <w:rPr>
          <w:sz w:val="21"/>
          <w:szCs w:val="21"/>
        </w:rPr>
        <w:t xml:space="preserve">A ferramenta </w:t>
      </w:r>
      <w:proofErr w:type="spellStart"/>
      <w:r>
        <w:rPr>
          <w:sz w:val="21"/>
          <w:szCs w:val="21"/>
        </w:rPr>
        <w:t>Integritas</w:t>
      </w:r>
      <w:proofErr w:type="spellEnd"/>
      <w:r>
        <w:rPr>
          <w:sz w:val="21"/>
          <w:szCs w:val="21"/>
        </w:rPr>
        <w:t xml:space="preserve"> foi construída sobre as Notas Técnicas que representam o estado atual da uniformização correcional federal para as condutas de maior incidência prática nos processos disciplinares contemporâneos:</w:t>
      </w:r>
    </w:p>
    <w:p w14:paraId="6254B1A0" w14:textId="77777777" w:rsidR="00BC0B17" w:rsidRPr="00B27F36" w:rsidRDefault="00BC0B17">
      <w:pPr>
        <w:numPr>
          <w:ilvl w:val="0"/>
          <w:numId w:val="5"/>
        </w:numPr>
        <w:spacing w:after="120"/>
        <w:jc w:val="both"/>
        <w:rPr>
          <w:sz w:val="21"/>
          <w:szCs w:val="21"/>
        </w:rPr>
      </w:pPr>
      <w:r>
        <w:rPr>
          <w:b/>
          <w:bCs/>
          <w:sz w:val="21"/>
          <w:szCs w:val="21"/>
        </w:rPr>
        <w:t>NT nº 3285/2023/CGUNE/DICOR/CRG</w:t>
      </w:r>
      <w:r>
        <w:rPr>
          <w:sz w:val="21"/>
          <w:szCs w:val="21"/>
        </w:rPr>
        <w:t xml:space="preserve"> (Processo nº 00190.108994/2023-16, aprovada em 11/12/2023): enquadramento das condutas de cunho sexual.</w:t>
      </w:r>
    </w:p>
    <w:p w14:paraId="662F2C5A" w14:textId="77777777" w:rsidR="00BC0B17" w:rsidRPr="00B27F36" w:rsidRDefault="00BC0B17">
      <w:pPr>
        <w:numPr>
          <w:ilvl w:val="0"/>
          <w:numId w:val="5"/>
        </w:numPr>
        <w:spacing w:after="120"/>
        <w:jc w:val="both"/>
        <w:rPr>
          <w:sz w:val="21"/>
          <w:szCs w:val="21"/>
        </w:rPr>
      </w:pPr>
      <w:r>
        <w:rPr>
          <w:b/>
          <w:bCs/>
          <w:sz w:val="21"/>
          <w:szCs w:val="21"/>
        </w:rPr>
        <w:t>NT nº 93/2024/CGUNE/DICOR/CRG</w:t>
      </w:r>
      <w:r>
        <w:rPr>
          <w:sz w:val="21"/>
          <w:szCs w:val="21"/>
        </w:rPr>
        <w:t xml:space="preserve"> (Processo nº 00190.100264/2024-58, aprovada em 26/02/2024): enquadramento do assédio moral e da discriminação em ambiente laboral.</w:t>
      </w:r>
    </w:p>
    <w:p w14:paraId="3AC561BF" w14:textId="77777777" w:rsidR="00BC0B17" w:rsidRDefault="00BC0B17">
      <w:pPr>
        <w:numPr>
          <w:ilvl w:val="0"/>
          <w:numId w:val="5"/>
        </w:numPr>
        <w:spacing w:after="120"/>
        <w:jc w:val="both"/>
        <w:rPr>
          <w:sz w:val="21"/>
          <w:szCs w:val="21"/>
        </w:rPr>
      </w:pPr>
      <w:r>
        <w:rPr>
          <w:b/>
          <w:bCs/>
          <w:sz w:val="21"/>
          <w:szCs w:val="21"/>
        </w:rPr>
        <w:t>NT nº 544/2024/CGUNE/DICOR/CRG</w:t>
      </w:r>
      <w:r>
        <w:rPr>
          <w:sz w:val="21"/>
          <w:szCs w:val="21"/>
        </w:rPr>
        <w:t xml:space="preserve"> (Processo nº 00190.110304/2023-99, de 30/10/2024): enquadramento da conduta de ameaçar.</w:t>
      </w:r>
    </w:p>
    <w:p w14:paraId="4143A930" w14:textId="77777777" w:rsidR="006B70D8" w:rsidRDefault="006B70D8">
      <w:pPr>
        <w:numPr>
          <w:ilvl w:val="0"/>
          <w:numId w:val="5"/>
        </w:numPr>
        <w:spacing w:after="120"/>
        <w:jc w:val="both"/>
        <w:rPr>
          <w:sz w:val="21"/>
          <w:szCs w:val="21"/>
        </w:rPr>
      </w:pPr>
      <w:r>
        <w:rPr>
          <w:b/>
          <w:bCs/>
          <w:sz w:val="21"/>
          <w:szCs w:val="21"/>
        </w:rPr>
        <w:t>NT nº 2709/2025/CGUNE/DICOR/CRG</w:t>
      </w:r>
      <w:r>
        <w:rPr>
          <w:sz w:val="21"/>
          <w:szCs w:val="21"/>
        </w:rPr>
        <w:t xml:space="preserve"> (Processo nº 00190.107820/2025-06, de 11/08/2025): eventual competência exclusiva da Controladoria-Geral da União para apurar casos de retaliação direcionada a testemunha em procedimentos investigativos ou acusatórios.</w:t>
      </w:r>
    </w:p>
    <w:p w14:paraId="5BBE773E" w14:textId="77777777" w:rsidR="00BC0B17" w:rsidRPr="00BC0B17" w:rsidRDefault="00BC0B17" w:rsidP="00BC0B17">
      <w:pPr>
        <w:spacing w:after="120"/>
        <w:jc w:val="both"/>
      </w:pPr>
      <w:r>
        <w:rPr>
          <w:sz w:val="21"/>
          <w:szCs w:val="21"/>
        </w:rPr>
        <w:t>Cada um desses eixos normativos é examinado em profundidade nos Capítulos 3, 4, 5 e 6 da Parte I. A Parte II descreve como esses fundamentos se traduzem nos fluxos decisórios da ferramenta</w:t>
      </w:r>
      <w:r>
        <w:t>.</w:t>
      </w:r>
    </w:p>
    <w:p w14:paraId="34F17970" w14:textId="77777777" w:rsidR="00287D58" w:rsidRDefault="003B78AF">
      <w:pPr>
        <w:pStyle w:val="Ttulo2"/>
        <w:keepNext/>
      </w:pPr>
      <w:bookmarkStart w:id="10" w:name="_Toc238022005"/>
      <w:r>
        <w:t>1.8 A hierarquia das fontes e os limites da ferramenta</w:t>
      </w:r>
      <w:bookmarkEnd w:id="10"/>
    </w:p>
    <w:p w14:paraId="2ECC9774" w14:textId="77777777" w:rsidR="00287D58" w:rsidRDefault="003B78AF">
      <w:pPr>
        <w:spacing w:after="120"/>
        <w:jc w:val="both"/>
      </w:pPr>
      <w:r>
        <w:rPr>
          <w:sz w:val="21"/>
          <w:szCs w:val="21"/>
        </w:rPr>
        <w:t xml:space="preserve">A lei vincula; o Parecer JM-03 vincula a Administração; as Notas Técnicas orientam e uniformizam, mas não vinculam a autoridade julgadora, que pode delas divergir mediante fundamentação idônea. A ferramenta </w:t>
      </w:r>
      <w:proofErr w:type="spellStart"/>
      <w:r>
        <w:rPr>
          <w:sz w:val="21"/>
          <w:szCs w:val="21"/>
        </w:rPr>
        <w:t>Integritas</w:t>
      </w:r>
      <w:proofErr w:type="spellEnd"/>
      <w:r>
        <w:rPr>
          <w:sz w:val="21"/>
          <w:szCs w:val="21"/>
        </w:rPr>
        <w:t xml:space="preserve"> produz resultado orientativo com a mesma natureza das Notas Técnicas, é ponto de partida qualificado para a análise disciplinar, não decisão.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287D58" w14:paraId="4B865909" w14:textId="77777777">
        <w:tc>
          <w:tcPr>
            <w:tcW w:w="9070" w:type="dxa"/>
            <w:tcBorders>
              <w:left w:val="single" w:sz="24" w:space="0" w:color="B7791F"/>
            </w:tcBorders>
            <w:shd w:val="clear" w:color="auto" w:fill="F6ECD7"/>
            <w:tcMar>
              <w:top w:w="120" w:type="dxa"/>
              <w:left w:w="200" w:type="dxa"/>
              <w:bottom w:w="120" w:type="dxa"/>
              <w:right w:w="160" w:type="dxa"/>
            </w:tcMar>
          </w:tcPr>
          <w:p w14:paraId="79DB07D7" w14:textId="77777777" w:rsidR="00287D58" w:rsidRDefault="003B78AF">
            <w:pPr>
              <w:spacing w:after="40"/>
            </w:pPr>
            <w:r>
              <w:rPr>
                <w:rFonts w:ascii="Barlow Condensed" w:eastAsia="Barlow Condensed" w:hAnsi="Barlow Condensed" w:cs="Barlow Condensed"/>
                <w:b/>
                <w:bCs/>
                <w:color w:val="B7791F"/>
                <w:spacing w:val="20"/>
                <w:sz w:val="16"/>
                <w:szCs w:val="16"/>
              </w:rPr>
              <w:t>CAUTELA</w:t>
            </w:r>
          </w:p>
          <w:p w14:paraId="62C8C6FA" w14:textId="77777777" w:rsidR="00287D58" w:rsidRDefault="003B78AF">
            <w:pPr>
              <w:spacing w:line="264" w:lineRule="auto"/>
              <w:jc w:val="both"/>
            </w:pPr>
            <w:r>
              <w:rPr>
                <w:b/>
                <w:bCs/>
                <w:sz w:val="21"/>
                <w:szCs w:val="21"/>
              </w:rPr>
              <w:t xml:space="preserve">CAUTELA, Hierarquia das fontes: </w:t>
            </w:r>
            <w:r>
              <w:rPr>
                <w:sz w:val="21"/>
                <w:szCs w:val="21"/>
              </w:rPr>
              <w:t>A autoridade que divergir do entendimento de uma Nota Técnica deve fundamentar expressamente o afastamento. Não por obrigação legal, mas porque a fundamentação do afastamento é o mecanismo que permite o controle de consistência do sistema disciplinar e que protege a autoridade de questionamentos sobre a isonomia do tratamento dado a casos análogos.</w:t>
            </w:r>
          </w:p>
        </w:tc>
      </w:tr>
    </w:tbl>
    <w:p w14:paraId="7C127D8A" w14:textId="77777777" w:rsidR="006070FB" w:rsidRPr="006070FB" w:rsidRDefault="006070FB" w:rsidP="006070FB">
      <w:pPr>
        <w:pStyle w:val="Ttulo2"/>
        <w:keepNext/>
      </w:pPr>
      <w:bookmarkStart w:id="11" w:name="_Toc238022006"/>
      <w:r>
        <w:t>1.9 A Convenção nº 190 da OIT e a expansão do conceito de ambiente de trabalho: implicações transversais para os oito eixos</w:t>
      </w:r>
      <w:bookmarkEnd w:id="11"/>
    </w:p>
    <w:p w14:paraId="6C671E14" w14:textId="77777777" w:rsidR="006070FB" w:rsidRPr="006070FB" w:rsidRDefault="006070FB" w:rsidP="000E2F58">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O problema que a Convenção nº 190 resolveu</w:t>
      </w:r>
    </w:p>
    <w:p w14:paraId="4AF9C459" w14:textId="77777777" w:rsidR="00452B87" w:rsidRPr="00452B87" w:rsidRDefault="006070FB" w:rsidP="00452B87">
      <w:pPr>
        <w:spacing w:after="120"/>
        <w:jc w:val="both"/>
        <w:rPr>
          <w:sz w:val="21"/>
          <w:szCs w:val="21"/>
        </w:rPr>
      </w:pPr>
      <w:r>
        <w:rPr>
          <w:sz w:val="21"/>
          <w:szCs w:val="21"/>
        </w:rPr>
        <w:t>O direito disciplinar operou por décadas com um conceito implicitamente espacial e temporal de ambiente de trabalho. A palavra-chave é "implicitamente". Não havia dispositivo legal algum na Lei nº 8.112, de 1990 que definisse ambiente de trabalho como o espaço físico da repartição durante o expediente formal. Essa limitação não era escrita, era uma pressuposição tácita, um filtro cognitivo que os operadores do direito disciplinar aplicavam sem perceber que o faziam.</w:t>
      </w:r>
    </w:p>
    <w:p w14:paraId="6AEE7780" w14:textId="77777777" w:rsidR="00452B87" w:rsidRPr="00452B87" w:rsidRDefault="00452B87" w:rsidP="00452B87">
      <w:pPr>
        <w:spacing w:after="120"/>
        <w:jc w:val="both"/>
        <w:rPr>
          <w:sz w:val="21"/>
          <w:szCs w:val="21"/>
        </w:rPr>
      </w:pPr>
      <w:r>
        <w:rPr>
          <w:sz w:val="21"/>
          <w:szCs w:val="21"/>
        </w:rPr>
        <w:lastRenderedPageBreak/>
        <w:t>Isso tem consequência doutrinária relevante: a limitação não decorria de uma interpretação deliberada e justificada da lei. Decorria de um hábito conceitual, a suposição de que o trabalho acontece em um lugar específico, em um horário específico, entre pessoas que se encontram fisicamente. Esse hábito era suficiente para funcionar enquanto as relações de trabalho eram majoritariamente presenciais, sedentárias e hierárquicas num sentido topográfico claro.</w:t>
      </w:r>
    </w:p>
    <w:p w14:paraId="596B5C4A" w14:textId="77777777" w:rsidR="00452B87" w:rsidRPr="00452B87" w:rsidRDefault="00452B87" w:rsidP="00452B87">
      <w:pPr>
        <w:spacing w:after="120"/>
        <w:jc w:val="both"/>
        <w:rPr>
          <w:sz w:val="21"/>
          <w:szCs w:val="21"/>
        </w:rPr>
      </w:pPr>
      <w:r>
        <w:rPr>
          <w:sz w:val="21"/>
          <w:szCs w:val="21"/>
        </w:rPr>
        <w:t>O problema identificado pelo manual é que, mesmo antes da era digital, esse conceito já gerava zonas de impunidade estrutural, e o adjetivo "estrutural" é decisivo. Não eram zonas de impunidade acidentais, geradas por falha do operador ou por dificuldade probatória. Eram zonas de impunidade que o próprio sistema conceitual produzia sistematicamente, porque a pergunta "a conduta ocorreu no ambiente de trabalho?" era respondida pelo critério do espaço e do horário, e não pelo critério do nexo funcional.</w:t>
      </w:r>
    </w:p>
    <w:p w14:paraId="06C06737" w14:textId="77777777" w:rsidR="00452B87" w:rsidRPr="00452B87" w:rsidRDefault="00452B87" w:rsidP="00452B87">
      <w:pPr>
        <w:spacing w:after="120"/>
        <w:jc w:val="both"/>
        <w:rPr>
          <w:sz w:val="21"/>
          <w:szCs w:val="21"/>
        </w:rPr>
      </w:pPr>
      <w:r>
        <w:rPr>
          <w:sz w:val="21"/>
          <w:szCs w:val="21"/>
        </w:rPr>
        <w:t>O manual elenca quatro exemplos paradigmáticos dessas zonas de penumbra normativa:</w:t>
      </w:r>
    </w:p>
    <w:p w14:paraId="1E4464C7" w14:textId="77777777" w:rsidR="00452B87" w:rsidRPr="00452B87" w:rsidRDefault="00452B87">
      <w:pPr>
        <w:numPr>
          <w:ilvl w:val="0"/>
          <w:numId w:val="22"/>
        </w:numPr>
        <w:spacing w:after="120"/>
        <w:jc w:val="both"/>
        <w:rPr>
          <w:sz w:val="21"/>
          <w:szCs w:val="21"/>
        </w:rPr>
      </w:pPr>
      <w:r>
        <w:rPr>
          <w:sz w:val="21"/>
          <w:szCs w:val="21"/>
        </w:rPr>
        <w:t>O assédio praticado na viagem de trabalho</w:t>
      </w:r>
    </w:p>
    <w:p w14:paraId="40DAD7D2" w14:textId="77777777" w:rsidR="00452B87" w:rsidRPr="00452B87" w:rsidRDefault="00452B87">
      <w:pPr>
        <w:numPr>
          <w:ilvl w:val="0"/>
          <w:numId w:val="22"/>
        </w:numPr>
        <w:spacing w:after="120"/>
        <w:jc w:val="both"/>
        <w:rPr>
          <w:sz w:val="21"/>
          <w:szCs w:val="21"/>
        </w:rPr>
      </w:pPr>
      <w:r>
        <w:rPr>
          <w:sz w:val="21"/>
          <w:szCs w:val="21"/>
        </w:rPr>
        <w:t>A mensagem enviada às 23h pelo canal corporativo</w:t>
      </w:r>
    </w:p>
    <w:p w14:paraId="26966F9A" w14:textId="77777777" w:rsidR="00452B87" w:rsidRPr="00452B87" w:rsidRDefault="00452B87">
      <w:pPr>
        <w:numPr>
          <w:ilvl w:val="0"/>
          <w:numId w:val="22"/>
        </w:numPr>
        <w:spacing w:after="120"/>
        <w:jc w:val="both"/>
        <w:rPr>
          <w:sz w:val="21"/>
          <w:szCs w:val="21"/>
        </w:rPr>
      </w:pPr>
      <w:r>
        <w:rPr>
          <w:sz w:val="21"/>
          <w:szCs w:val="21"/>
        </w:rPr>
        <w:t>O episódio na confraternização do setor</w:t>
      </w:r>
    </w:p>
    <w:p w14:paraId="74443864" w14:textId="77777777" w:rsidR="00452B87" w:rsidRPr="00452B87" w:rsidRDefault="00452B87">
      <w:pPr>
        <w:numPr>
          <w:ilvl w:val="0"/>
          <w:numId w:val="22"/>
        </w:numPr>
        <w:spacing w:after="120"/>
        <w:jc w:val="both"/>
        <w:rPr>
          <w:sz w:val="21"/>
          <w:szCs w:val="21"/>
        </w:rPr>
      </w:pPr>
      <w:r>
        <w:rPr>
          <w:sz w:val="21"/>
          <w:szCs w:val="21"/>
        </w:rPr>
        <w:t>A ofensa praticada no deslocamento custeado pela instituição</w:t>
      </w:r>
    </w:p>
    <w:p w14:paraId="78343F2C" w14:textId="77777777" w:rsidR="00452B87" w:rsidRPr="00452B87" w:rsidRDefault="00452B87" w:rsidP="00452B87">
      <w:pPr>
        <w:spacing w:after="120"/>
        <w:jc w:val="both"/>
        <w:rPr>
          <w:sz w:val="21"/>
          <w:szCs w:val="21"/>
        </w:rPr>
      </w:pPr>
      <w:r>
        <w:rPr>
          <w:sz w:val="21"/>
          <w:szCs w:val="21"/>
        </w:rPr>
        <w:t>Esses quatro exemplos não foram escolhidos aleatoriamente. Cada um deles representa uma categoria distinta de situação que o conceito espacial-temporal clássico não conseguia absorver:</w:t>
      </w:r>
    </w:p>
    <w:p w14:paraId="07687C17" w14:textId="77777777" w:rsidR="00452B87" w:rsidRPr="00452B87" w:rsidRDefault="00452B87" w:rsidP="00452B87">
      <w:pPr>
        <w:spacing w:after="120"/>
        <w:jc w:val="both"/>
        <w:rPr>
          <w:sz w:val="21"/>
          <w:szCs w:val="21"/>
        </w:rPr>
      </w:pPr>
      <w:r>
        <w:rPr>
          <w:b/>
          <w:bCs/>
          <w:sz w:val="21"/>
          <w:szCs w:val="21"/>
        </w:rPr>
        <w:t>A viagem de trabalho</w:t>
      </w:r>
      <w:r>
        <w:rPr>
          <w:sz w:val="21"/>
          <w:szCs w:val="21"/>
        </w:rPr>
        <w:t xml:space="preserve"> representa a expansão geográfica, o servidor está fora da repartição, em outro município ou estado, hospedado em hotel. O espaço físico não é o da instituição, mas a situação é integralmente funcional: a viagem ocorre a serviço, com diárias pagas pela instituição, a serviço de finalidade institucional.</w:t>
      </w:r>
    </w:p>
    <w:p w14:paraId="4E6D30A2" w14:textId="77777777" w:rsidR="00452B87" w:rsidRPr="00452B87" w:rsidRDefault="00452B87" w:rsidP="00452B87">
      <w:pPr>
        <w:spacing w:after="120"/>
        <w:jc w:val="both"/>
        <w:rPr>
          <w:sz w:val="21"/>
          <w:szCs w:val="21"/>
        </w:rPr>
      </w:pPr>
      <w:r>
        <w:rPr>
          <w:b/>
          <w:bCs/>
          <w:sz w:val="21"/>
          <w:szCs w:val="21"/>
        </w:rPr>
        <w:t>A mensagem às 23h</w:t>
      </w:r>
      <w:r>
        <w:rPr>
          <w:sz w:val="21"/>
          <w:szCs w:val="21"/>
        </w:rPr>
        <w:t xml:space="preserve"> representa a expansão temporal e digital simultaneamente, o horário não é o de expediente, o meio é digital, mas o canal é corporativo e o conteúdo é funcionalmente relacionado.</w:t>
      </w:r>
    </w:p>
    <w:p w14:paraId="4DEF8C1F" w14:textId="77777777" w:rsidR="00452B87" w:rsidRPr="00452B87" w:rsidRDefault="00452B87" w:rsidP="00452B87">
      <w:pPr>
        <w:spacing w:after="120"/>
        <w:jc w:val="both"/>
        <w:rPr>
          <w:sz w:val="21"/>
          <w:szCs w:val="21"/>
        </w:rPr>
      </w:pPr>
      <w:r>
        <w:rPr>
          <w:b/>
          <w:bCs/>
          <w:sz w:val="21"/>
          <w:szCs w:val="21"/>
        </w:rPr>
        <w:t>A confraternização do setor</w:t>
      </w:r>
      <w:r>
        <w:rPr>
          <w:sz w:val="21"/>
          <w:szCs w:val="21"/>
        </w:rPr>
        <w:t xml:space="preserve"> representa o caso mais delicado: o evento é social por natureza, a participação é formalmente voluntária, o espaço pode ser externo à repartição, mas o evento é organizado pela instituição ou pela chefia, a presença tem conotação funcional implícita (a ausência é notada), e as relações de poder hierárquico que estruturam o cotidiano da repartição estão plenamente ativas.</w:t>
      </w:r>
    </w:p>
    <w:p w14:paraId="79DF4FDC" w14:textId="77777777" w:rsidR="00452B87" w:rsidRPr="00452B87" w:rsidRDefault="00452B87" w:rsidP="00452B87">
      <w:pPr>
        <w:spacing w:after="120"/>
        <w:jc w:val="both"/>
        <w:rPr>
          <w:sz w:val="21"/>
          <w:szCs w:val="21"/>
        </w:rPr>
      </w:pPr>
      <w:r>
        <w:rPr>
          <w:b/>
          <w:bCs/>
          <w:sz w:val="21"/>
          <w:szCs w:val="21"/>
        </w:rPr>
        <w:t>O deslocamento custeado pela instituição</w:t>
      </w:r>
      <w:r>
        <w:rPr>
          <w:sz w:val="21"/>
          <w:szCs w:val="21"/>
        </w:rPr>
        <w:t xml:space="preserve"> representa a extensão aos trajetos e meios de transporte: a van institucional que leva servidores a um evento externo, o táxi pago com verba da diária, o carro oficial. O espaço físico não é a repartição, mas o deslocamento é funcional em toda a sua extensão.</w:t>
      </w:r>
    </w:p>
    <w:p w14:paraId="07079985" w14:textId="77777777" w:rsidR="006070FB" w:rsidRPr="006070FB" w:rsidRDefault="00452B87" w:rsidP="00452B87">
      <w:pPr>
        <w:spacing w:after="120"/>
        <w:jc w:val="both"/>
        <w:rPr>
          <w:sz w:val="21"/>
          <w:szCs w:val="21"/>
        </w:rPr>
      </w:pPr>
      <w:r>
        <w:rPr>
          <w:sz w:val="21"/>
          <w:szCs w:val="21"/>
        </w:rPr>
        <w:t xml:space="preserve">Em todos esses casos, antes da Convenção nº 190, a conduta ficava em "zona de penumbra normativa" e o manual é preciso ao descrever essa penumbra como uma situação "nem claramente dentro nem claramente fora do alcance da apuração disciplinar". Isso é pior do que uma zona de exclusão clara. Uma zona de exclusão clara pelo menos permite que o operador saiba que não pode agir. A penumbra gera </w:t>
      </w:r>
      <w:r>
        <w:rPr>
          <w:b/>
          <w:bCs/>
          <w:sz w:val="21"/>
          <w:szCs w:val="21"/>
        </w:rPr>
        <w:t>insegurança jurídica bilateral</w:t>
      </w:r>
      <w:r>
        <w:rPr>
          <w:sz w:val="21"/>
          <w:szCs w:val="21"/>
        </w:rPr>
        <w:t>: o agressor não sabe se sua conduta é apurável; a vítima não sabe se pode denunciar; o operador não sabe se deve instaurar; a autoridade não sabe se pode punir.</w:t>
      </w:r>
    </w:p>
    <w:p w14:paraId="49993AB0" w14:textId="77777777" w:rsidR="006070FB" w:rsidRPr="006070FB" w:rsidRDefault="006070FB" w:rsidP="000E2F58">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A definição expansiva do art. 3º da Convenção nº 190</w:t>
      </w:r>
    </w:p>
    <w:p w14:paraId="166D54B2" w14:textId="77777777" w:rsidR="006070FB" w:rsidRPr="006070FB" w:rsidRDefault="006070FB" w:rsidP="006070FB">
      <w:pPr>
        <w:spacing w:after="120"/>
        <w:jc w:val="both"/>
        <w:rPr>
          <w:sz w:val="21"/>
          <w:szCs w:val="21"/>
        </w:rPr>
      </w:pPr>
      <w:r>
        <w:rPr>
          <w:sz w:val="21"/>
          <w:szCs w:val="21"/>
        </w:rPr>
        <w:lastRenderedPageBreak/>
        <w:t>O art. 3º da Convenção nº 190 da OIT estabelece que o instrumento se aplica à violência e ao assédio no mundo do trabalho que ocorre:</w:t>
      </w:r>
    </w:p>
    <w:p w14:paraId="7B56F392" w14:textId="77777777" w:rsidR="006070FB" w:rsidRPr="006070FB" w:rsidRDefault="006070FB" w:rsidP="006070FB">
      <w:pPr>
        <w:spacing w:after="120"/>
        <w:jc w:val="both"/>
        <w:rPr>
          <w:i/>
          <w:iCs/>
          <w:sz w:val="21"/>
          <w:szCs w:val="21"/>
        </w:rPr>
      </w:pPr>
      <w:r>
        <w:rPr>
          <w:i/>
          <w:iCs/>
          <w:sz w:val="21"/>
          <w:szCs w:val="21"/>
        </w:rPr>
        <w:t>"(a) no local de trabalho, inclusive nos espaços públicos e privados quando constituírem um local de trabalho; (b) nos locais onde o trabalhador recebe pagamento, descansa ou come, ou utiliza instalações sanitárias ou de higiene pessoal e vestiários; (c) durante as deslocações, viagens, formações, eventos ou atividades sociais ligadas ao trabalho; (d) nas comunicações relacionadas com o trabalho, inclusive as efetuadas por meio de tecnologias de informação e comunicação; (e) no alojamento fornecido pelo empregador; e (f) nos trajetos entre o domicílio e o local de trabalho."</w:t>
      </w:r>
    </w:p>
    <w:p w14:paraId="51CB301C" w14:textId="77777777" w:rsidR="002913EA" w:rsidRPr="002913EA" w:rsidRDefault="002913EA" w:rsidP="002913EA">
      <w:pPr>
        <w:jc w:val="both"/>
        <w:rPr>
          <w:sz w:val="21"/>
          <w:szCs w:val="21"/>
        </w:rPr>
      </w:pPr>
      <w:r>
        <w:rPr>
          <w:sz w:val="21"/>
          <w:szCs w:val="21"/>
        </w:rPr>
        <w:t>O ponto de partida da compreensão da solução adotada pela Convenção nº 190 é entender por que a solução óbvia, ampliar a lista de espaços físicos protegidos, seria insuficiente por construção, independentemente de quantos itens essa lista contivesse.</w:t>
      </w:r>
    </w:p>
    <w:p w14:paraId="7B01769D" w14:textId="77777777" w:rsidR="002913EA" w:rsidRPr="002913EA" w:rsidRDefault="002913EA" w:rsidP="002913EA">
      <w:pPr>
        <w:jc w:val="both"/>
        <w:rPr>
          <w:sz w:val="21"/>
          <w:szCs w:val="21"/>
        </w:rPr>
      </w:pPr>
      <w:r>
        <w:rPr>
          <w:sz w:val="21"/>
          <w:szCs w:val="21"/>
        </w:rPr>
        <w:t>Uma lista de espaços físicos protegidos é o que a teoria do direito chama de definição ostensiva: ela aponta exemplos e diz "isto também é ambiente de trabalho". O hotel em viagem de trabalho, também. O refeitório da repartição, também. O veículo institucional, também. A dificuldade estrutural de qualquer definição ostensiva é que ela resolve os casos que o legislador previu e deixa em aberto todos os casos que ele não previu. E o mundo real produz casos com uma velocidade e criatividade que nenhum legislador consegue antecipar.</w:t>
      </w:r>
    </w:p>
    <w:p w14:paraId="02305A14" w14:textId="77777777" w:rsidR="002913EA" w:rsidRPr="002913EA" w:rsidRDefault="002913EA" w:rsidP="002913EA">
      <w:pPr>
        <w:jc w:val="both"/>
        <w:rPr>
          <w:sz w:val="21"/>
          <w:szCs w:val="21"/>
        </w:rPr>
      </w:pPr>
      <w:r>
        <w:rPr>
          <w:sz w:val="21"/>
          <w:szCs w:val="21"/>
        </w:rPr>
        <w:t>A pergunta que uma lista de espaços não consegue responder é: "e este caso aqui, que não está na lista?" A resposta obrigatória de qualquer sistema baseado em lista taxativa é: se não está na lista, não está protegido. Isso cria o que a teoria jurídica chama de lacunas por exaustão, a norma exaure sua capacidade de regular quando a realidade apresenta um caso não previsto, e a ausência de previsão expressa produz ausência de proteção.</w:t>
      </w:r>
    </w:p>
    <w:p w14:paraId="13FC5A41" w14:textId="77777777" w:rsidR="002913EA" w:rsidRPr="002913EA" w:rsidRDefault="002913EA" w:rsidP="002913EA">
      <w:pPr>
        <w:jc w:val="both"/>
        <w:rPr>
          <w:sz w:val="21"/>
          <w:szCs w:val="21"/>
        </w:rPr>
      </w:pPr>
      <w:r>
        <w:rPr>
          <w:sz w:val="21"/>
          <w:szCs w:val="21"/>
        </w:rPr>
        <w:t>No campo específico do ambiente de trabalho, as lacunas por exaustão de uma lista espacial seriam permanentes e crescentes. Crescentes porque as formas de trabalho evoluem mais rapidamente do que as normas: o trabalho remoto, o trabalho híbrido, as plataformas digitais de colaboração, as videoconferências em que o servidor está em sua residência, mas plenamente inserido em dinâmicas funcionais, nenhum legislador de 1990, ou mesmo de 2010, poderia ter previsto todos esses contextos para incluí-los em uma lista. Permanentes porque, mesmo que o legislador tentasse atualizar a lista periodicamente, a defasagem entre a norma e a realidade seria inevitável.</w:t>
      </w:r>
    </w:p>
    <w:p w14:paraId="531F30CD" w14:textId="77777777" w:rsidR="002913EA" w:rsidRDefault="002913EA" w:rsidP="002913EA">
      <w:pPr>
        <w:jc w:val="both"/>
        <w:rPr>
          <w:sz w:val="21"/>
          <w:szCs w:val="21"/>
        </w:rPr>
      </w:pPr>
      <w:r>
        <w:rPr>
          <w:sz w:val="21"/>
          <w:szCs w:val="21"/>
        </w:rPr>
        <w:t>A Convenção nº 190 resolveu esse problema estrutural não adicionando itens à lista, mas mudando a natureza do critério definitório.</w:t>
      </w:r>
    </w:p>
    <w:p w14:paraId="6EA01A5C" w14:textId="77777777" w:rsidR="002913EA" w:rsidRPr="002913EA" w:rsidRDefault="002913EA" w:rsidP="002913EA">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A natureza da operação: de definição denotativa para definição conotativa</w:t>
      </w:r>
    </w:p>
    <w:p w14:paraId="0F203F39" w14:textId="77777777" w:rsidR="002913EA" w:rsidRPr="002913EA" w:rsidRDefault="002913EA" w:rsidP="002913EA">
      <w:pPr>
        <w:jc w:val="both"/>
        <w:rPr>
          <w:sz w:val="21"/>
          <w:szCs w:val="21"/>
        </w:rPr>
      </w:pPr>
      <w:r>
        <w:rPr>
          <w:sz w:val="21"/>
          <w:szCs w:val="21"/>
        </w:rPr>
        <w:t xml:space="preserve">O manual formula a distinção com precisão quando descreve a definição espacial como </w:t>
      </w:r>
      <w:r>
        <w:rPr>
          <w:b/>
          <w:bCs/>
          <w:sz w:val="21"/>
          <w:szCs w:val="21"/>
        </w:rPr>
        <w:t>denotativa</w:t>
      </w:r>
      <w:r>
        <w:rPr>
          <w:sz w:val="21"/>
          <w:szCs w:val="21"/>
        </w:rPr>
        <w:t xml:space="preserve"> e a definição funcional como </w:t>
      </w:r>
      <w:r>
        <w:rPr>
          <w:b/>
          <w:bCs/>
          <w:sz w:val="21"/>
          <w:szCs w:val="21"/>
        </w:rPr>
        <w:t>conotativa</w:t>
      </w:r>
      <w:r>
        <w:rPr>
          <w:sz w:val="21"/>
          <w:szCs w:val="21"/>
        </w:rPr>
        <w:t>. Esses dois conceitos merecem desenvolvimento, porque são eles que explicam por que a troca de critério é uma solução estruturalmente superior e não apenas uma ampliação quantitativa da proteção.</w:t>
      </w:r>
    </w:p>
    <w:p w14:paraId="632634AA" w14:textId="77777777" w:rsidR="002913EA" w:rsidRPr="002913EA" w:rsidRDefault="002913EA" w:rsidP="002913EA">
      <w:pPr>
        <w:jc w:val="both"/>
        <w:rPr>
          <w:sz w:val="21"/>
          <w:szCs w:val="21"/>
        </w:rPr>
      </w:pPr>
      <w:r>
        <w:rPr>
          <w:sz w:val="21"/>
          <w:szCs w:val="21"/>
        </w:rPr>
        <w:t xml:space="preserve">Uma </w:t>
      </w:r>
      <w:r>
        <w:rPr>
          <w:b/>
          <w:bCs/>
          <w:sz w:val="21"/>
          <w:szCs w:val="21"/>
        </w:rPr>
        <w:t>definição denotativa</w:t>
      </w:r>
      <w:r>
        <w:rPr>
          <w:sz w:val="21"/>
          <w:szCs w:val="21"/>
        </w:rPr>
        <w:t xml:space="preserve"> opera por extensão: enumera os membros de uma classe. "Ambiente de trabalho é a repartição, o corredor, o refeitório, o estacionamento, o hotel em viagem, o veículo institucional." Cada item acrescentado amplia a extensão da classe. A classe cresce, mas o critério que determina a pertinência permanece implícito, e, por permanecer implícito, não pode ser aplicado a casos novos que a lista não contempla.</w:t>
      </w:r>
    </w:p>
    <w:p w14:paraId="4BBF381F" w14:textId="77777777" w:rsidR="002913EA" w:rsidRPr="002913EA" w:rsidRDefault="002913EA" w:rsidP="002913EA">
      <w:pPr>
        <w:jc w:val="both"/>
        <w:rPr>
          <w:sz w:val="21"/>
          <w:szCs w:val="21"/>
        </w:rPr>
      </w:pPr>
      <w:r>
        <w:rPr>
          <w:sz w:val="21"/>
          <w:szCs w:val="21"/>
        </w:rPr>
        <w:t xml:space="preserve">Uma </w:t>
      </w:r>
      <w:r>
        <w:rPr>
          <w:b/>
          <w:bCs/>
          <w:sz w:val="21"/>
          <w:szCs w:val="21"/>
        </w:rPr>
        <w:t>definição conotativa</w:t>
      </w:r>
      <w:r>
        <w:rPr>
          <w:sz w:val="21"/>
          <w:szCs w:val="21"/>
        </w:rPr>
        <w:t xml:space="preserve"> opera por intenção: identifica a característica essencial que define a pertinência de qualquer objeto à classe. "Ambiente de trabalho é qualquer contexto que tenha nexo funcional com o vínculo laboral das partes." Esse critério não lista exemplos, enuncia a propriedade </w:t>
      </w:r>
      <w:r>
        <w:rPr>
          <w:sz w:val="21"/>
          <w:szCs w:val="21"/>
        </w:rPr>
        <w:lastRenderedPageBreak/>
        <w:t>que todos os exemplos compartilham. E, por enunciar a propriedade em vez de listar os exemplos, permite que o operador aplique o critério a qualquer caso novo, sem necessidade de previsão expressa anterior.</w:t>
      </w:r>
    </w:p>
    <w:p w14:paraId="01D8D95A" w14:textId="77777777" w:rsidR="002913EA" w:rsidRPr="002913EA" w:rsidRDefault="002913EA" w:rsidP="002913EA">
      <w:pPr>
        <w:jc w:val="both"/>
        <w:rPr>
          <w:sz w:val="21"/>
          <w:szCs w:val="21"/>
        </w:rPr>
      </w:pPr>
      <w:r>
        <w:rPr>
          <w:sz w:val="21"/>
          <w:szCs w:val="21"/>
        </w:rPr>
        <w:t xml:space="preserve">A superioridade técnica da definição conotativa em contextos normativos é exatamente esta: ela torna o critério </w:t>
      </w:r>
      <w:r>
        <w:rPr>
          <w:b/>
          <w:bCs/>
          <w:sz w:val="21"/>
          <w:szCs w:val="21"/>
        </w:rPr>
        <w:t>explícito e aplicável</w:t>
      </w:r>
      <w:r>
        <w:rPr>
          <w:sz w:val="21"/>
          <w:szCs w:val="21"/>
        </w:rPr>
        <w:t xml:space="preserve"> a casos não previstos. O operador que tem uma definição conotativa não precisa perguntar "esse caso está na lista?", pode perguntar "esse caso tem a propriedade definidora?" E a resposta à segunda pergunta não depende de nenhuma decisão legislativa prévia: depende da análise das circunstâncias concretas à luz do critério enunciado.</w:t>
      </w:r>
    </w:p>
    <w:p w14:paraId="77170E3C" w14:textId="77777777" w:rsidR="002913EA" w:rsidRPr="002913EA" w:rsidRDefault="002913EA" w:rsidP="002913EA">
      <w:pPr>
        <w:jc w:val="both"/>
        <w:rPr>
          <w:sz w:val="21"/>
          <w:szCs w:val="21"/>
        </w:rPr>
      </w:pPr>
      <w:r>
        <w:rPr>
          <w:sz w:val="21"/>
          <w:szCs w:val="21"/>
        </w:rPr>
        <w:t xml:space="preserve">No contexto disciplinar, isso tem consequência direta: o operador da apuração que tem o conceito funcional de ambiente de trabalho pode analisar qualquer situação nova, a conduta praticada em plataforma de realidade virtual usada para reuniões de equipe, o episódio no grupo de WhatsApp criado espontaneamente pelos servidores para assuntos do setor, o comportamento durante a </w:t>
      </w:r>
      <w:proofErr w:type="spellStart"/>
      <w:r>
        <w:rPr>
          <w:sz w:val="21"/>
          <w:szCs w:val="21"/>
        </w:rPr>
        <w:t>happy</w:t>
      </w:r>
      <w:proofErr w:type="spellEnd"/>
      <w:r>
        <w:rPr>
          <w:sz w:val="21"/>
          <w:szCs w:val="21"/>
        </w:rPr>
        <w:t xml:space="preserve"> hour que o chefe organizou via convite institucional, sem precisar de norma específica que declare aquele contexto como "ambiente de trabalho". A pergunta é sempre a mesma: há nexo funcional com o vínculo laboral das partes?</w:t>
      </w:r>
    </w:p>
    <w:p w14:paraId="4A8A0B03" w14:textId="77777777" w:rsidR="002913EA" w:rsidRPr="002913EA" w:rsidRDefault="002913EA" w:rsidP="002913EA">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A estrutura do art. 3º: uma lista exemplificativa com princípio enunciado</w:t>
      </w:r>
    </w:p>
    <w:p w14:paraId="2CD53C32" w14:textId="77777777" w:rsidR="002913EA" w:rsidRPr="002913EA" w:rsidRDefault="002913EA" w:rsidP="002913EA">
      <w:pPr>
        <w:jc w:val="both"/>
        <w:rPr>
          <w:sz w:val="21"/>
          <w:szCs w:val="21"/>
        </w:rPr>
      </w:pPr>
      <w:r>
        <w:rPr>
          <w:sz w:val="21"/>
          <w:szCs w:val="21"/>
        </w:rPr>
        <w:t xml:space="preserve">Compreendida a operação jurídico-filosófica, é possível analisar com maior precisão a estrutura técnica do art. 3º da Convenção nº 190. O artigo não é simplesmente uma lista mais longa do que as listas anteriores. É uma </w:t>
      </w:r>
      <w:r>
        <w:rPr>
          <w:b/>
          <w:bCs/>
          <w:sz w:val="21"/>
          <w:szCs w:val="21"/>
        </w:rPr>
        <w:t>lista exemplificativa orientada por um princípio conotativo explicitado dentro da própria lista</w:t>
      </w:r>
      <w:r>
        <w:rPr>
          <w:sz w:val="21"/>
          <w:szCs w:val="21"/>
        </w:rPr>
        <w:t>.</w:t>
      </w:r>
    </w:p>
    <w:p w14:paraId="0B73164B" w14:textId="77777777" w:rsidR="002913EA" w:rsidRPr="002913EA" w:rsidRDefault="002913EA" w:rsidP="002913EA">
      <w:pPr>
        <w:jc w:val="both"/>
        <w:rPr>
          <w:sz w:val="21"/>
          <w:szCs w:val="21"/>
        </w:rPr>
      </w:pPr>
      <w:r>
        <w:rPr>
          <w:sz w:val="21"/>
          <w:szCs w:val="21"/>
        </w:rPr>
        <w:t>Os seis itens do art. 3º percorrem dimensões progressivamente mais distantes do núcleo espacial tradicional:</w:t>
      </w:r>
    </w:p>
    <w:p w14:paraId="592B03B3" w14:textId="77777777" w:rsidR="002913EA" w:rsidRPr="002913EA" w:rsidRDefault="002913EA" w:rsidP="002913EA">
      <w:pPr>
        <w:jc w:val="both"/>
        <w:rPr>
          <w:sz w:val="21"/>
          <w:szCs w:val="21"/>
        </w:rPr>
      </w:pPr>
      <w:r>
        <w:rPr>
          <w:sz w:val="21"/>
          <w:szCs w:val="21"/>
        </w:rPr>
        <w:t xml:space="preserve">O </w:t>
      </w:r>
      <w:r>
        <w:rPr>
          <w:b/>
          <w:bCs/>
          <w:sz w:val="21"/>
          <w:szCs w:val="21"/>
        </w:rPr>
        <w:t>item (a)</w:t>
      </w:r>
      <w:r>
        <w:rPr>
          <w:sz w:val="21"/>
          <w:szCs w:val="21"/>
        </w:rPr>
        <w:t xml:space="preserve">, o local de trabalho </w:t>
      </w:r>
      <w:r>
        <w:rPr>
          <w:i/>
          <w:iCs/>
          <w:sz w:val="21"/>
          <w:szCs w:val="21"/>
        </w:rPr>
        <w:t>stricto sensu</w:t>
      </w:r>
      <w:r>
        <w:rPr>
          <w:sz w:val="21"/>
          <w:szCs w:val="21"/>
        </w:rPr>
        <w:t>, inclusive em espaços públicos e privados quando constituírem local de trabalho, já expande o conceito ao incluir espaços que não são da instituição, mas que funcionalmente se tornam local de trabalho (a loja do varejista onde o auditor fiscal realiza diligência, o escritório do contribuinte onde ocorre reunião de fiscalização, o espaço público onde o servidor da Receita Federal realiza ação fiscal).</w:t>
      </w:r>
    </w:p>
    <w:p w14:paraId="6239DCAA" w14:textId="77777777" w:rsidR="002913EA" w:rsidRPr="002913EA" w:rsidRDefault="002913EA" w:rsidP="002913EA">
      <w:pPr>
        <w:jc w:val="both"/>
        <w:rPr>
          <w:sz w:val="21"/>
          <w:szCs w:val="21"/>
        </w:rPr>
      </w:pPr>
      <w:r>
        <w:rPr>
          <w:sz w:val="21"/>
          <w:szCs w:val="21"/>
        </w:rPr>
        <w:t xml:space="preserve">O </w:t>
      </w:r>
      <w:r>
        <w:rPr>
          <w:b/>
          <w:bCs/>
          <w:sz w:val="21"/>
          <w:szCs w:val="21"/>
        </w:rPr>
        <w:t>item (b)</w:t>
      </w:r>
      <w:r>
        <w:rPr>
          <w:sz w:val="21"/>
          <w:szCs w:val="21"/>
        </w:rPr>
        <w:t>, locais de apoio dentro do espaço institucional, expande horizontalmente dentro do próprio edifício: o refeitório, o banheiro, o vestiário, a sala de descanso. A expansão parece modesta, mas sua consequência disciplinar é relevante: afasta qualquer interpretação que limite o "em serviço" à sala de trabalho formal.</w:t>
      </w:r>
    </w:p>
    <w:p w14:paraId="60D36283" w14:textId="77777777" w:rsidR="002913EA" w:rsidRPr="002913EA" w:rsidRDefault="002913EA" w:rsidP="002913EA">
      <w:pPr>
        <w:jc w:val="both"/>
        <w:rPr>
          <w:sz w:val="21"/>
          <w:szCs w:val="21"/>
        </w:rPr>
      </w:pPr>
      <w:r>
        <w:rPr>
          <w:sz w:val="21"/>
          <w:szCs w:val="21"/>
        </w:rPr>
        <w:t xml:space="preserve">O </w:t>
      </w:r>
      <w:r>
        <w:rPr>
          <w:b/>
          <w:bCs/>
          <w:sz w:val="21"/>
          <w:szCs w:val="21"/>
        </w:rPr>
        <w:t>item (c)</w:t>
      </w:r>
      <w:r>
        <w:rPr>
          <w:sz w:val="21"/>
          <w:szCs w:val="21"/>
        </w:rPr>
        <w:t xml:space="preserve">, deslocamentos, viagens, formações, eventos e atividades sociais </w:t>
      </w:r>
      <w:r>
        <w:rPr>
          <w:b/>
          <w:bCs/>
          <w:sz w:val="21"/>
          <w:szCs w:val="21"/>
        </w:rPr>
        <w:t>ligadas ao trabalho</w:t>
      </w:r>
      <w:r>
        <w:rPr>
          <w:sz w:val="21"/>
          <w:szCs w:val="21"/>
        </w:rPr>
        <w:t xml:space="preserve">, é o item em que o princípio conotativo aparece explicitamente. A expressão "ligadas ao trabalho" não é uma qualificação incidental: é o critério definitório que governa a interpretação de todo o artigo. Viagens, formações e eventos não estão no âmbito da Convenção porque integram uma lista, estão porque são </w:t>
      </w:r>
      <w:r>
        <w:rPr>
          <w:b/>
          <w:bCs/>
          <w:sz w:val="21"/>
          <w:szCs w:val="21"/>
        </w:rPr>
        <w:t>ligadas ao trabalho</w:t>
      </w:r>
      <w:r>
        <w:rPr>
          <w:sz w:val="21"/>
          <w:szCs w:val="21"/>
        </w:rPr>
        <w:t>. E qualquer outro contexto que seja ligado ao trabalho da mesma forma que esses estão ligados também integra o âmbito da Convenção, mesmo que não esteja nominalmente listado.</w:t>
      </w:r>
    </w:p>
    <w:p w14:paraId="287725FD" w14:textId="77777777" w:rsidR="002913EA" w:rsidRPr="002913EA" w:rsidRDefault="002913EA" w:rsidP="002913EA">
      <w:pPr>
        <w:jc w:val="both"/>
        <w:rPr>
          <w:sz w:val="21"/>
          <w:szCs w:val="21"/>
        </w:rPr>
      </w:pPr>
      <w:r>
        <w:rPr>
          <w:sz w:val="21"/>
          <w:szCs w:val="21"/>
        </w:rPr>
        <w:t xml:space="preserve">O </w:t>
      </w:r>
      <w:r>
        <w:rPr>
          <w:b/>
          <w:bCs/>
          <w:sz w:val="21"/>
          <w:szCs w:val="21"/>
        </w:rPr>
        <w:t>item (d)</w:t>
      </w:r>
      <w:r>
        <w:rPr>
          <w:sz w:val="21"/>
          <w:szCs w:val="21"/>
        </w:rPr>
        <w:t xml:space="preserve">, comunicações relacionadas ao trabalho, inclusive por tecnologias de informação e comunicação, abandona inteiramente o critério espacial. Uma comunicação não tem espaço físico; tem conteúdo e contexto. A proteção da Convenção se aplica não porque a comunicação ocorreu em determinado lugar, mas porque ela é </w:t>
      </w:r>
      <w:r>
        <w:rPr>
          <w:b/>
          <w:bCs/>
          <w:sz w:val="21"/>
          <w:szCs w:val="21"/>
        </w:rPr>
        <w:t>relacionada ao trabalho</w:t>
      </w:r>
      <w:r>
        <w:rPr>
          <w:sz w:val="21"/>
          <w:szCs w:val="21"/>
        </w:rPr>
        <w:t>, o mesmo critério funcional de nexo.</w:t>
      </w:r>
    </w:p>
    <w:p w14:paraId="7DF9320C" w14:textId="77777777" w:rsidR="002913EA" w:rsidRPr="002913EA" w:rsidRDefault="002913EA" w:rsidP="002913EA">
      <w:pPr>
        <w:jc w:val="both"/>
        <w:rPr>
          <w:sz w:val="21"/>
          <w:szCs w:val="21"/>
        </w:rPr>
      </w:pPr>
      <w:r>
        <w:rPr>
          <w:sz w:val="21"/>
          <w:szCs w:val="21"/>
        </w:rPr>
        <w:t xml:space="preserve">O </w:t>
      </w:r>
      <w:r>
        <w:rPr>
          <w:b/>
          <w:bCs/>
          <w:sz w:val="21"/>
          <w:szCs w:val="21"/>
        </w:rPr>
        <w:t>item (e)</w:t>
      </w:r>
      <w:r>
        <w:rPr>
          <w:sz w:val="21"/>
          <w:szCs w:val="21"/>
        </w:rPr>
        <w:t xml:space="preserve">, alojamento fornecido pelo empregador, é o exemplo mais nítido de que o critério de pertinência é o nexo funcional, não a propriedade ou a função formal do espaço. Um alojamento não é um espaço de trabalho em nenhum sentido convencional. É um espaço de repouso. Mas ele integra o </w:t>
      </w:r>
      <w:r>
        <w:rPr>
          <w:sz w:val="21"/>
          <w:szCs w:val="21"/>
        </w:rPr>
        <w:lastRenderedPageBreak/>
        <w:t>ambiente de trabalho protegido pela Convenção porque o vínculo laboral é o que coloca o trabalhador naquele espaço, é a instituição que o fornece, é o serviço que o exige, é a relação funcional que explica a presença do trabalhador ali.</w:t>
      </w:r>
    </w:p>
    <w:p w14:paraId="5C020014" w14:textId="77777777" w:rsidR="002913EA" w:rsidRPr="002913EA" w:rsidRDefault="002913EA" w:rsidP="002913EA">
      <w:pPr>
        <w:jc w:val="both"/>
        <w:rPr>
          <w:sz w:val="21"/>
          <w:szCs w:val="21"/>
        </w:rPr>
      </w:pPr>
      <w:r>
        <w:rPr>
          <w:sz w:val="21"/>
          <w:szCs w:val="21"/>
        </w:rPr>
        <w:t xml:space="preserve">O </w:t>
      </w:r>
      <w:r>
        <w:rPr>
          <w:b/>
          <w:bCs/>
          <w:sz w:val="21"/>
          <w:szCs w:val="21"/>
        </w:rPr>
        <w:t>item (f)</w:t>
      </w:r>
      <w:r>
        <w:rPr>
          <w:sz w:val="21"/>
          <w:szCs w:val="21"/>
        </w:rPr>
        <w:t>, trajetos entre o domicílio e o local de trabalho, fecha a lista no ponto mais distante espacialmente do núcleo tradicional e, por isso, demonstra com clareza definitiva que o critério não pode ser espacial: o trajeto de casa ao trabalho não é um espaço da instituição, não está sob controle do empregador, não é remunerado como tempo de trabalho, mas tem nexo funcional com o vínculo laboral porque é o deslocamento que o vínculo exige.</w:t>
      </w:r>
    </w:p>
    <w:p w14:paraId="53C9D3B5" w14:textId="77777777" w:rsidR="002913EA" w:rsidRPr="002913EA" w:rsidRDefault="002913EA" w:rsidP="002913EA">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"Ligadas ao trabalho" como chave hermenêutica de toda a enumeração</w:t>
      </w:r>
    </w:p>
    <w:p w14:paraId="00CBBBCC" w14:textId="77777777" w:rsidR="002913EA" w:rsidRPr="002913EA" w:rsidRDefault="002913EA" w:rsidP="002913EA">
      <w:pPr>
        <w:jc w:val="both"/>
        <w:rPr>
          <w:sz w:val="21"/>
          <w:szCs w:val="21"/>
        </w:rPr>
      </w:pPr>
      <w:r>
        <w:rPr>
          <w:sz w:val="21"/>
          <w:szCs w:val="21"/>
        </w:rPr>
        <w:t>O manual identifica a expressão "ligadas ao trabalho", que aparece explicitamente no item (c), como o princípio interpretativo de toda a lista. Essa identificação tem fundamento técnico preciso que merece ser desenvolvido.</w:t>
      </w:r>
    </w:p>
    <w:p w14:paraId="22F029F3" w14:textId="77777777" w:rsidR="002913EA" w:rsidRPr="002913EA" w:rsidRDefault="002913EA" w:rsidP="002913EA">
      <w:pPr>
        <w:jc w:val="both"/>
        <w:rPr>
          <w:sz w:val="21"/>
          <w:szCs w:val="21"/>
        </w:rPr>
      </w:pPr>
      <w:r>
        <w:rPr>
          <w:sz w:val="21"/>
          <w:szCs w:val="21"/>
        </w:rPr>
        <w:t xml:space="preserve">Em teoria da interpretação jurídica, quando uma lista contém um item que explicita o critério de pertinência da própria lista, esse critério tem função hermenêutica sobre toda a enumeração, não apenas sobre o item em que aparece. É o que os manuais de hermenêutica chamam de </w:t>
      </w:r>
      <w:r>
        <w:rPr>
          <w:b/>
          <w:bCs/>
          <w:sz w:val="21"/>
          <w:szCs w:val="21"/>
        </w:rPr>
        <w:t>cláusula interpretativa embebida</w:t>
      </w:r>
      <w:r>
        <w:rPr>
          <w:sz w:val="21"/>
          <w:szCs w:val="21"/>
        </w:rPr>
        <w:t>: uma disposição que, estando dentro de um rol, revela a lógica subjacente a todo o rol e permite que o intérprete aplique essa lógica além dos exemplos listados.</w:t>
      </w:r>
    </w:p>
    <w:p w14:paraId="72860287" w14:textId="77777777" w:rsidR="002913EA" w:rsidRPr="002913EA" w:rsidRDefault="002913EA" w:rsidP="002913EA">
      <w:pPr>
        <w:jc w:val="both"/>
        <w:rPr>
          <w:sz w:val="21"/>
          <w:szCs w:val="21"/>
        </w:rPr>
      </w:pPr>
      <w:r>
        <w:rPr>
          <w:sz w:val="21"/>
          <w:szCs w:val="21"/>
        </w:rPr>
        <w:t xml:space="preserve">A expressão "ligadas ao trabalho" no item (c) cumpre exatamente essa função. Ela explicita que o critério de inclusão dos itens (a) a (f) não é o caráter formalmente institucional do espaço, nem a propriedade do bem, nem o horário é a relação funcional com o trabalho. Cada um dos seis itens pode ser </w:t>
      </w:r>
      <w:proofErr w:type="spellStart"/>
      <w:r>
        <w:rPr>
          <w:sz w:val="21"/>
          <w:szCs w:val="21"/>
        </w:rPr>
        <w:t>redescrito</w:t>
      </w:r>
      <w:proofErr w:type="spellEnd"/>
      <w:r>
        <w:rPr>
          <w:sz w:val="21"/>
          <w:szCs w:val="21"/>
        </w:rPr>
        <w:t xml:space="preserve"> como uma aplicação desse critério: o local de trabalho é ligado ao trabalho por definição; o refeitório é ligado ao trabalho porque é parte da estrutura que o trabalho exige; o alojamento é ligado ao trabalho porque é fornecido em razão do vínculo; o trajeto é ligado ao trabalho porque é o deslocamento que o vínculo determina; as comunicações são ligadas ao trabalho quando seu conteúdo ou contexto as conecta funcionalmente às relações laborais.</w:t>
      </w:r>
    </w:p>
    <w:p w14:paraId="1A1BE3AD" w14:textId="77777777" w:rsidR="002913EA" w:rsidRPr="002913EA" w:rsidRDefault="002913EA" w:rsidP="002913EA">
      <w:pPr>
        <w:jc w:val="both"/>
        <w:rPr>
          <w:sz w:val="21"/>
          <w:szCs w:val="21"/>
        </w:rPr>
      </w:pPr>
      <w:r>
        <w:rPr>
          <w:sz w:val="21"/>
          <w:szCs w:val="21"/>
        </w:rPr>
        <w:t>O efeito hermenêutico concreto dessa leitura é duplo. Por um lado, impede a interpretação taxativa da lista, a lista não pode ser lida como "apenas esses seis contextos e nenhum outro", porque a função da lista é exemplificar a aplicação do critério, não o exaurir. Por outro lado, fornece o teste operacional para casos não listados: qualquer situação não mencionada no art. 3º integra o âmbito da Convenção se, e somente se, for ligada ao trabalho no mesmo sentido em que os exemplos listados são ligados ao trabalho.</w:t>
      </w:r>
    </w:p>
    <w:p w14:paraId="3AFA3200" w14:textId="77777777" w:rsidR="002913EA" w:rsidRPr="002913EA" w:rsidRDefault="002913EA" w:rsidP="002913EA">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A pergunta que substitui todas as perguntas espaciais e temporais</w:t>
      </w:r>
    </w:p>
    <w:p w14:paraId="2B5CEEC9" w14:textId="77777777" w:rsidR="002913EA" w:rsidRPr="002913EA" w:rsidRDefault="002913EA" w:rsidP="00904F00">
      <w:pPr>
        <w:jc w:val="both"/>
        <w:rPr>
          <w:sz w:val="21"/>
          <w:szCs w:val="21"/>
        </w:rPr>
      </w:pPr>
      <w:r>
        <w:rPr>
          <w:sz w:val="21"/>
          <w:szCs w:val="21"/>
        </w:rPr>
        <w:t>O resultado prático de toda essa operação é a substituição de uma multiplicidade de perguntas-filtro por uma pergunta única e suficiente.</w:t>
      </w:r>
    </w:p>
    <w:p w14:paraId="2741651F" w14:textId="77777777" w:rsidR="002913EA" w:rsidRPr="002913EA" w:rsidRDefault="002913EA" w:rsidP="00904F00">
      <w:pPr>
        <w:jc w:val="both"/>
        <w:rPr>
          <w:sz w:val="21"/>
          <w:szCs w:val="21"/>
        </w:rPr>
      </w:pPr>
      <w:r>
        <w:rPr>
          <w:sz w:val="21"/>
          <w:szCs w:val="21"/>
        </w:rPr>
        <w:t>O operador que trabalhava com o conceito espacial-temporal implícito precisava percorrer uma sequência de verificações: a conduta ocorreu dentro do edifício da repartição? Ocorreu durante o expediente? O agressor e a vítima estavam fisicamente presentes? Ocorreu em espaço formalmente institucional? Cada uma dessas verificações era uma oportunidade para uma resposta negativa que excluísse a conduta do âmbito disciplinar, e, como demonstrado, várias situações de relevância disciplinar inequívoca produziriam respostas negativas a pelo menos uma dessas verificações.</w:t>
      </w:r>
    </w:p>
    <w:p w14:paraId="12D11069" w14:textId="77777777" w:rsidR="002913EA" w:rsidRPr="002913EA" w:rsidRDefault="002913EA" w:rsidP="00904F00">
      <w:pPr>
        <w:jc w:val="both"/>
        <w:rPr>
          <w:sz w:val="21"/>
          <w:szCs w:val="21"/>
        </w:rPr>
      </w:pPr>
      <w:r>
        <w:rPr>
          <w:sz w:val="21"/>
          <w:szCs w:val="21"/>
        </w:rPr>
        <w:t xml:space="preserve">A Convenção nº 190 substitui esse conjunto de verificações por uma única pergunta: </w:t>
      </w:r>
      <w:r>
        <w:rPr>
          <w:b/>
          <w:bCs/>
          <w:sz w:val="21"/>
          <w:szCs w:val="21"/>
        </w:rPr>
        <w:t>a conduta tem nexo com o vínculo funcional das partes?</w:t>
      </w:r>
      <w:r>
        <w:rPr>
          <w:sz w:val="21"/>
          <w:szCs w:val="21"/>
        </w:rPr>
        <w:t xml:space="preserve"> Se a resposta for afirmativa, o contexto é ambiente de trabalho protegido, independentemente de qualquer das verificações espaciais ou temporais anteriores. A conduta pode ter ocorrido em espaço não institucional, fora do horário de expediente, </w:t>
      </w:r>
      <w:r>
        <w:rPr>
          <w:sz w:val="21"/>
          <w:szCs w:val="21"/>
        </w:rPr>
        <w:lastRenderedPageBreak/>
        <w:t>por canal privado, em evento de caráter social: nenhuma dessas circunstâncias, isolada ou combinada, é capaz de negar o nexo funcional quando ele existe.</w:t>
      </w:r>
    </w:p>
    <w:p w14:paraId="796F3DD2" w14:textId="77777777" w:rsidR="002913EA" w:rsidRDefault="002913EA" w:rsidP="00904F00">
      <w:pPr>
        <w:jc w:val="both"/>
        <w:rPr>
          <w:sz w:val="21"/>
          <w:szCs w:val="21"/>
        </w:rPr>
      </w:pPr>
      <w:r>
        <w:rPr>
          <w:sz w:val="21"/>
          <w:szCs w:val="21"/>
        </w:rPr>
        <w:t xml:space="preserve">Para o operador da ferramenta </w:t>
      </w:r>
      <w:proofErr w:type="spellStart"/>
      <w:r>
        <w:rPr>
          <w:sz w:val="21"/>
          <w:szCs w:val="21"/>
        </w:rPr>
        <w:t>Integritas</w:t>
      </w:r>
      <w:proofErr w:type="spellEnd"/>
      <w:r>
        <w:rPr>
          <w:sz w:val="21"/>
          <w:szCs w:val="21"/>
        </w:rPr>
        <w:t>, essa substituição tem consequência metodológica direta: a pergunta "onde ocorreu?" e "quando ocorreu?" são perguntas de instrução, relevantes para a reconstrução dos fatos e para a dosimetria, mas não são perguntas de enquadramento. A pergunta de enquadramento é: há nexo funcional? E o nexo funcional existe quando a situação em que a conduta ocorreu pode ser explicada, em alguma medida relevante, pelo vínculo de trabalho que une as partes, porque foi o vínculo que as colocou naquele contexto, ou porque foi o vínculo que conferiu ao agressor o poder ou a influência que tornou a conduta eficaz como instrumento de dano.</w:t>
      </w:r>
    </w:p>
    <w:p w14:paraId="3BA38B8A" w14:textId="77777777" w:rsidR="006070FB" w:rsidRPr="006070FB" w:rsidRDefault="006070FB" w:rsidP="000E2F58">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As três dimensões de expansão e suas implicações disciplinares</w:t>
      </w:r>
    </w:p>
    <w:p w14:paraId="0C2CF67E" w14:textId="77777777" w:rsidR="006070FB" w:rsidRPr="006070FB" w:rsidRDefault="006070FB" w:rsidP="000E2F58">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Dimensão espacial: além das paredes da repartição.</w:t>
      </w:r>
    </w:p>
    <w:p w14:paraId="33F8EC95" w14:textId="77777777" w:rsidR="006070FB" w:rsidRPr="006070FB" w:rsidRDefault="006070FB" w:rsidP="006070FB">
      <w:pPr>
        <w:spacing w:after="120"/>
        <w:jc w:val="both"/>
        <w:rPr>
          <w:sz w:val="21"/>
          <w:szCs w:val="21"/>
        </w:rPr>
      </w:pPr>
      <w:r>
        <w:rPr>
          <w:sz w:val="21"/>
          <w:szCs w:val="21"/>
        </w:rPr>
        <w:t xml:space="preserve">A Convenção nº 190 abrange explicitamente locais onde o trabalhador recebe pagamento, descansa, come ou utiliza instalações sanitárias e vestiários. No contexto do serviço público federal, isso significa que o refeitório da repartição, o corredor de acesso ao banheiro, a área de fumantes no pátio externo, a sala de descanso e o estacionamento do edifício público são ambientes protegidos pela </w:t>
      </w:r>
      <w:proofErr w:type="gramStart"/>
      <w:r>
        <w:rPr>
          <w:sz w:val="21"/>
          <w:szCs w:val="21"/>
        </w:rPr>
        <w:t>Convenção  e</w:t>
      </w:r>
      <w:proofErr w:type="gramEnd"/>
      <w:r>
        <w:rPr>
          <w:sz w:val="21"/>
          <w:szCs w:val="21"/>
        </w:rPr>
        <w:t>, por extensão, ambientes em que condutas de assédio, violência e discriminação têm relevância disciplinar plena.</w:t>
      </w:r>
    </w:p>
    <w:p w14:paraId="6F98DB6E" w14:textId="77777777" w:rsidR="006070FB" w:rsidRPr="006070FB" w:rsidRDefault="006070FB" w:rsidP="006070FB">
      <w:pPr>
        <w:spacing w:after="120"/>
        <w:jc w:val="both"/>
        <w:rPr>
          <w:sz w:val="21"/>
          <w:szCs w:val="21"/>
        </w:rPr>
      </w:pPr>
      <w:r>
        <w:rPr>
          <w:sz w:val="21"/>
          <w:szCs w:val="21"/>
        </w:rPr>
        <w:t xml:space="preserve">Para os fins práticos dos eixos da ferramenta </w:t>
      </w:r>
      <w:proofErr w:type="spellStart"/>
      <w:r>
        <w:rPr>
          <w:sz w:val="21"/>
          <w:szCs w:val="21"/>
        </w:rPr>
        <w:t>Integritas</w:t>
      </w:r>
      <w:proofErr w:type="spellEnd"/>
      <w:r>
        <w:rPr>
          <w:sz w:val="21"/>
          <w:szCs w:val="21"/>
        </w:rPr>
        <w:t>, essa extensão espacial impacta especialmente o Eixo 1 (Agressão Física). O elemento "em serviço" do art. 132, VII da Lei nº 8.112, de 1990, interpretado à luz da Convenção nº 190, não pode ser entendido como circunscrito ao espaço formal da sala de trabalho durante o expediente. A agressão praticada no corredor, no refeitório, no estacionamento ou em qualquer dependência do edifício público, durante ou em torno do horário de trabalho, satisfaz o nexo funcional, porque esses espaços são extensões funcionais do ambiente de trabalho. A interpretação restritiva que limitaria o "em serviço" ao espaço físico da repartição stricto sensu não é compatível com o parâmetro convencional adotado como vetor interpretativo.</w:t>
      </w:r>
    </w:p>
    <w:p w14:paraId="5626F9DB" w14:textId="77777777" w:rsidR="006070FB" w:rsidRPr="006070FB" w:rsidRDefault="006070FB" w:rsidP="000E2F58">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Dimensão temporal e contextual: deslocamentos, viagens, treinamentos e eventos.</w:t>
      </w:r>
    </w:p>
    <w:p w14:paraId="304C19CE" w14:textId="77777777" w:rsidR="006070FB" w:rsidRPr="006070FB" w:rsidRDefault="006070FB" w:rsidP="006070FB">
      <w:pPr>
        <w:spacing w:after="120"/>
        <w:jc w:val="both"/>
        <w:rPr>
          <w:sz w:val="21"/>
          <w:szCs w:val="21"/>
        </w:rPr>
      </w:pPr>
      <w:r>
        <w:rPr>
          <w:sz w:val="21"/>
          <w:szCs w:val="21"/>
        </w:rPr>
        <w:t>Esta é a extensão de maior alcance prático para o serviço público federal. Viagens de trabalho, para fiscalizações externas, diligências, reuniões interinstitucionais, representação do órgão, treinamentos e capacitações, eventos sociais ligados ao trabalho como confraternizações, formaturas e despedidas de colegas, todos esses contextos estão expressamente incluídos no âmbito de aplicação da Convenção nº 190.</w:t>
      </w:r>
    </w:p>
    <w:p w14:paraId="7286C61B" w14:textId="77777777" w:rsidR="006070FB" w:rsidRPr="006070FB" w:rsidRDefault="006070FB" w:rsidP="006070FB">
      <w:pPr>
        <w:spacing w:after="120"/>
        <w:jc w:val="both"/>
        <w:rPr>
          <w:sz w:val="21"/>
          <w:szCs w:val="21"/>
        </w:rPr>
      </w:pPr>
      <w:r>
        <w:rPr>
          <w:sz w:val="21"/>
          <w:szCs w:val="21"/>
        </w:rPr>
        <w:t>A implicação disciplinar é direta e transversal. O servidor que assedia sexualmente a colega durante viagem de trabalho não está em "contexto alheio ao serviço", está em contexto que a Convenção nº 190 identifica expressamente como extensão do ambiente de trabalho, e que a apuração disciplinar deve tratar com o mesmo rigor que os episódios ocorridos dentro da repartição. O mesmo raciocínio se aplica ao assédio moral praticado em treinamento, à discriminação manifestada em evento social da equipe, à retaliação articulada em jantar de confraternização, à violência verbal proferida no deslocamento de van fornecida pela instituição para evento externo.</w:t>
      </w:r>
    </w:p>
    <w:p w14:paraId="376AE495" w14:textId="77777777" w:rsidR="006070FB" w:rsidRPr="006070FB" w:rsidRDefault="006070FB" w:rsidP="006070FB">
      <w:pPr>
        <w:spacing w:after="120"/>
        <w:jc w:val="both"/>
        <w:rPr>
          <w:sz w:val="21"/>
          <w:szCs w:val="21"/>
        </w:rPr>
      </w:pPr>
      <w:r>
        <w:rPr>
          <w:sz w:val="21"/>
          <w:szCs w:val="21"/>
        </w:rPr>
        <w:t>Para o Eixo 3 (Assédio Sexual), essa extensão tem consequência particularmente relevante: episódios ocorridos em viagens de trabalho, em que a situação de convívio forçado e de isolamento do ambiente habitual amplifica a vulnerabilidade da vítima, são frequentemente os mais graves e, sem a clareza normativa que a Convenção nº 190 oferece, corriam o risco de serem tratados como ocorrências "fora do serviço". A Convenção fecha esse espaço interpretativo.</w:t>
      </w:r>
    </w:p>
    <w:p w14:paraId="1ACFFBD4" w14:textId="77777777" w:rsidR="006070FB" w:rsidRPr="006070FB" w:rsidRDefault="006070FB" w:rsidP="006070FB">
      <w:pPr>
        <w:spacing w:after="120"/>
        <w:jc w:val="both"/>
        <w:rPr>
          <w:sz w:val="21"/>
          <w:szCs w:val="21"/>
        </w:rPr>
      </w:pPr>
      <w:r>
        <w:rPr>
          <w:sz w:val="21"/>
          <w:szCs w:val="21"/>
        </w:rPr>
        <w:lastRenderedPageBreak/>
        <w:t>Para o Eixo 5 (Assédio Moral), a extensão contextual tem relevância para a construção do padrão. O comportamento do agressor em treinamentos, em viagens e em eventos sociais integra o padrão de condutas hostis que define o assédio moral e os episódios nesses contextos devem ser colhidos pela instrução com o mesmo rigor que os episódios intramuros. A linha do tempo do assédio moral não pode ignorar o que ocorreu no jantar da equipe, na viagem ao escritório regional ou na capacitação realizada em hotel.</w:t>
      </w:r>
    </w:p>
    <w:p w14:paraId="37FCA35F" w14:textId="77777777" w:rsidR="006070FB" w:rsidRPr="006070FB" w:rsidRDefault="006070FB" w:rsidP="000E2F58">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Dimensão digital: comunicações relacionadas ao trabalho.</w:t>
      </w:r>
    </w:p>
    <w:p w14:paraId="7214458E" w14:textId="77777777" w:rsidR="006070FB" w:rsidRPr="006070FB" w:rsidRDefault="006070FB" w:rsidP="006070FB">
      <w:pPr>
        <w:spacing w:after="120"/>
        <w:jc w:val="both"/>
        <w:rPr>
          <w:sz w:val="21"/>
          <w:szCs w:val="21"/>
        </w:rPr>
      </w:pPr>
      <w:r>
        <w:rPr>
          <w:sz w:val="21"/>
          <w:szCs w:val="21"/>
        </w:rPr>
        <w:t>A extensão do ambiente de trabalho às "comunicações relacionadas com o trabalho, inclusive as efetuadas por meio de tecnologias de informação e comunicação" é, no contexto contemporâneo, talvez a mais significativa das três dimensões. Ela incorpora ao âmbito de proteção da Convenção nº 190 todo o ecossistema digital das relações funcionais: e-mails institucionais, aplicativos de mensagens corporativos, grupos de trabalho em plataformas digitais, videoconferências, e-mails enviados de endereço institucional mesmo fora do horário de expediente, e comunicações em redes sociais quando relacionadas ao trabalho.</w:t>
      </w:r>
    </w:p>
    <w:p w14:paraId="0EBD54D2" w14:textId="77777777" w:rsidR="006070FB" w:rsidRPr="006070FB" w:rsidRDefault="006070FB" w:rsidP="006070FB">
      <w:pPr>
        <w:spacing w:after="120"/>
        <w:jc w:val="both"/>
        <w:rPr>
          <w:sz w:val="21"/>
          <w:szCs w:val="21"/>
        </w:rPr>
      </w:pPr>
      <w:r>
        <w:rPr>
          <w:sz w:val="21"/>
          <w:szCs w:val="21"/>
        </w:rPr>
        <w:t xml:space="preserve">O critério definidor é </w:t>
      </w:r>
      <w:proofErr w:type="gramStart"/>
      <w:r>
        <w:rPr>
          <w:sz w:val="21"/>
          <w:szCs w:val="21"/>
        </w:rPr>
        <w:t>"relacionadas</w:t>
      </w:r>
      <w:proofErr w:type="gramEnd"/>
      <w:r>
        <w:rPr>
          <w:sz w:val="21"/>
          <w:szCs w:val="21"/>
        </w:rPr>
        <w:t xml:space="preserve"> ao trabalho", não "enviadas pelo canal institucional". Uma mensagem enviada pelo celular pessoal de um servidor ao celular pessoal de outro servidor, com conteúdo que é indubitavelmente relacionado ao trabalho, seja porque trata de assunto funcional, seja porque é enviada pelo superior hierárquico para o subordinado em virtude dessa relação hierárquica, está no âmbito de proteção da Convenção nº 190. O canal privado não privatiza o conteúdo funcional.</w:t>
      </w:r>
    </w:p>
    <w:p w14:paraId="106BB610" w14:textId="77777777" w:rsidR="006070FB" w:rsidRPr="006070FB" w:rsidRDefault="006070FB" w:rsidP="006070FB">
      <w:pPr>
        <w:spacing w:after="120"/>
        <w:jc w:val="both"/>
        <w:rPr>
          <w:sz w:val="21"/>
          <w:szCs w:val="21"/>
        </w:rPr>
      </w:pPr>
      <w:r>
        <w:rPr>
          <w:sz w:val="21"/>
          <w:szCs w:val="21"/>
        </w:rPr>
        <w:t>Para o Eixo 8 (</w:t>
      </w:r>
      <w:proofErr w:type="spellStart"/>
      <w:r>
        <w:rPr>
          <w:i/>
          <w:iCs/>
          <w:sz w:val="21"/>
          <w:szCs w:val="21"/>
        </w:rPr>
        <w:t>Stalking</w:t>
      </w:r>
      <w:proofErr w:type="spellEnd"/>
      <w:r>
        <w:rPr>
          <w:sz w:val="21"/>
          <w:szCs w:val="21"/>
        </w:rPr>
        <w:t xml:space="preserve"> Funcional), essa extensão digital é estruturante. O monitoramento via sistemas corporativos, o envio insistente de mensagens por canais institucionais após pedido de cessação, o acesso indevido a dados pessoais via sistemas do órgão, todos esses meios são abrangidos pelo conceito expandido da Convenção. Mas a Convenção também abrange o </w:t>
      </w:r>
      <w:proofErr w:type="spellStart"/>
      <w:r>
        <w:rPr>
          <w:i/>
          <w:iCs/>
          <w:sz w:val="21"/>
          <w:szCs w:val="21"/>
        </w:rPr>
        <w:t>stalking</w:t>
      </w:r>
      <w:proofErr w:type="spellEnd"/>
      <w:r>
        <w:rPr>
          <w:sz w:val="21"/>
          <w:szCs w:val="21"/>
        </w:rPr>
        <w:t xml:space="preserve"> praticado por meios privados quando o conteúdo ou o contexto é funcionalmente relacionado, o que amplia o alcance da análise pelo Eixo 8 além dos sistemas corporativos.</w:t>
      </w:r>
    </w:p>
    <w:p w14:paraId="0F343904" w14:textId="77777777" w:rsidR="006070FB" w:rsidRDefault="006070FB" w:rsidP="006070FB">
      <w:pPr>
        <w:spacing w:after="120"/>
        <w:jc w:val="both"/>
        <w:rPr>
          <w:sz w:val="21"/>
          <w:szCs w:val="21"/>
        </w:rPr>
      </w:pPr>
      <w:r>
        <w:rPr>
          <w:sz w:val="21"/>
          <w:szCs w:val="21"/>
        </w:rPr>
        <w:t>Para o Eixo 2 (Ameaça) e o Eixo 7 (Violência Verbal), a extensão digital significa que ameaças e ofensas praticadas por mensagem de texto pessoal, por aplicativo privado ou por rede social têm plena relevância disciplinar quando relacionadas ao trabalho, seja pelo conteúdo (referência a questões funcionais), seja pelo contexto da relação (superior que usa canal privado para atingir subordinado em razão dessa relação).</w:t>
      </w:r>
    </w:p>
    <w:p w14:paraId="617C0094" w14:textId="77777777" w:rsidR="00664A06" w:rsidRDefault="00A8730B" w:rsidP="00A8730B">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O problema específico da confraternização</w:t>
      </w:r>
    </w:p>
    <w:p w14:paraId="6D2F1B75" w14:textId="77777777" w:rsidR="00CF41A2" w:rsidRPr="00CF41A2" w:rsidRDefault="00CF41A2" w:rsidP="00CF41A2">
      <w:pPr>
        <w:rPr>
          <w:sz w:val="21"/>
          <w:szCs w:val="21"/>
        </w:rPr>
      </w:pPr>
      <w:r>
        <w:rPr>
          <w:sz w:val="21"/>
          <w:szCs w:val="21"/>
        </w:rPr>
        <w:t xml:space="preserve">Os quatro exemplos de zonas de penumbra normativa listados no manual, a viagem de trabalho, a mensagem às 23h, a confraternização e o deslocamento custeado pela instituição, não têm complexidade equivalente. A viagem de trabalho, o deslocamento e a mensagem noturna pelo canal corporativo apresentam nexo funcional relativamente visível: o vínculo laboral explica diretamente a presença das partes naquele contexto. Em todos esses casos, é possível dizer sem hesitação que o servidor está ali </w:t>
      </w:r>
      <w:r>
        <w:rPr>
          <w:b/>
          <w:bCs/>
          <w:sz w:val="21"/>
          <w:szCs w:val="21"/>
        </w:rPr>
        <w:t>em razão do trabalho</w:t>
      </w:r>
      <w:r>
        <w:rPr>
          <w:sz w:val="21"/>
          <w:szCs w:val="21"/>
        </w:rPr>
        <w:t>.</w:t>
      </w:r>
    </w:p>
    <w:p w14:paraId="433D54B6" w14:textId="77777777" w:rsidR="00CF41A2" w:rsidRDefault="00CF41A2" w:rsidP="00CF41A2">
      <w:pPr>
        <w:rPr>
          <w:sz w:val="21"/>
          <w:szCs w:val="21"/>
        </w:rPr>
      </w:pPr>
      <w:r>
        <w:rPr>
          <w:sz w:val="21"/>
          <w:szCs w:val="21"/>
        </w:rPr>
        <w:t xml:space="preserve">A confraternização é diferente. Ela é o caso em que o nexo funcional existe com igual intensidade, mas está deliberadamente encoberto por uma camada de informalidade que o torna menos evidente, e que os agressores exploram precisamente porque sabem que essa camada dificulta o enquadramento posterior. É por isso que a confraternização merece tratamento analítico autônomo: não é apenas mais um exemplo de contexto externo ao expediente formal, é o caso em que a tensão </w:t>
      </w:r>
      <w:r>
        <w:rPr>
          <w:sz w:val="21"/>
          <w:szCs w:val="21"/>
        </w:rPr>
        <w:lastRenderedPageBreak/>
        <w:t>entre o caráter social do evento e o caráter funcional das relações que o estruturam atinge seu ponto máximo.</w:t>
      </w:r>
    </w:p>
    <w:p w14:paraId="22E791AD" w14:textId="77777777" w:rsidR="00CF41A2" w:rsidRPr="00CF41A2" w:rsidRDefault="00CF41A2" w:rsidP="00CF41A2">
      <w:pPr>
        <w:rPr>
          <w:b/>
          <w:bCs/>
          <w:sz w:val="21"/>
          <w:szCs w:val="21"/>
        </w:rPr>
      </w:pPr>
      <w:r>
        <w:rPr>
          <w:b/>
          <w:bCs/>
          <w:sz w:val="21"/>
          <w:szCs w:val="21"/>
        </w:rPr>
        <w:t>A ambiguidade constitutiva: formalmente voluntária, funcionalmente compulsória</w:t>
      </w:r>
    </w:p>
    <w:p w14:paraId="28CC5F3C" w14:textId="77777777" w:rsidR="00CF41A2" w:rsidRPr="00CF41A2" w:rsidRDefault="00CF41A2" w:rsidP="00CF41A2">
      <w:pPr>
        <w:jc w:val="both"/>
        <w:rPr>
          <w:sz w:val="21"/>
          <w:szCs w:val="21"/>
        </w:rPr>
      </w:pPr>
      <w:r>
        <w:rPr>
          <w:sz w:val="21"/>
          <w:szCs w:val="21"/>
        </w:rPr>
        <w:t xml:space="preserve">A característica que distingue a confraternização de todos os demais contextos é o que se pode chamar de </w:t>
      </w:r>
      <w:r>
        <w:rPr>
          <w:b/>
          <w:bCs/>
          <w:sz w:val="21"/>
          <w:szCs w:val="21"/>
        </w:rPr>
        <w:t>compulsoriedade implícita</w:t>
      </w:r>
      <w:r>
        <w:rPr>
          <w:sz w:val="21"/>
          <w:szCs w:val="21"/>
        </w:rPr>
        <w:t>: a presença é formalmente voluntária e funcionalmente esperada.</w:t>
      </w:r>
    </w:p>
    <w:p w14:paraId="436E3BEA" w14:textId="77777777" w:rsidR="00CF41A2" w:rsidRPr="00CF41A2" w:rsidRDefault="00CF41A2" w:rsidP="00CF41A2">
      <w:pPr>
        <w:jc w:val="both"/>
        <w:rPr>
          <w:sz w:val="21"/>
          <w:szCs w:val="21"/>
        </w:rPr>
      </w:pPr>
      <w:r>
        <w:rPr>
          <w:sz w:val="21"/>
          <w:szCs w:val="21"/>
        </w:rPr>
        <w:t>Nenhuma norma compele o servidor a comparecer ao jantar de fim de ano do setor. Não há portaria de designação, não há registro de ponto, não há consequência funcional formal pela ausência. A participação é, em sentido técnico-jurídico, ato de vontade do servidor. E é exatamente essa condição, a ausência de convocação formal, que criava, no regime conceitual anterior à Convenção nº 190, a possibilidade de argumentar que tudo o que ocorre na confraternização é estritamente privado e alheio ao serviço.</w:t>
      </w:r>
    </w:p>
    <w:p w14:paraId="76FD65E8" w14:textId="77777777" w:rsidR="00CF41A2" w:rsidRPr="00CF41A2" w:rsidRDefault="00CF41A2" w:rsidP="00CF41A2">
      <w:pPr>
        <w:jc w:val="both"/>
        <w:rPr>
          <w:sz w:val="21"/>
          <w:szCs w:val="21"/>
        </w:rPr>
      </w:pPr>
      <w:r>
        <w:rPr>
          <w:sz w:val="21"/>
          <w:szCs w:val="21"/>
        </w:rPr>
        <w:t>Mas a realidade das relações de trabalho, especialmente no serviço público com suas dinâmicas hierárquicas relativamente rígidas, é outra. A ausência na confraternização organizada pela chefia é notada, registrada na memória coletiva do setor, e frequentemente interpretada como sinal de distanciamento, desengajamento ou, nos ambientes mais patológicos, de desrespeito à liderança. O servidor que nunca comparece às confraternizações pode encontrar dificuldades sutis e não documentáveis na relação com a chefia, avaliações de desempenho menos favoráveis, menor acesso a oportunidades de capacitação, atribuição de tarefas menos interessantes. Nenhuma dessas consequências poderá jamais ser formalmente vinculada à ausência nas confraternizações, mas qualquer servidor experiente reconhece o padrão.</w:t>
      </w:r>
    </w:p>
    <w:p w14:paraId="723B76AE" w14:textId="77777777" w:rsidR="00CF41A2" w:rsidRPr="00CF41A2" w:rsidRDefault="00CF41A2" w:rsidP="00CF41A2">
      <w:pPr>
        <w:jc w:val="both"/>
        <w:rPr>
          <w:sz w:val="21"/>
          <w:szCs w:val="21"/>
        </w:rPr>
      </w:pPr>
      <w:r>
        <w:rPr>
          <w:sz w:val="21"/>
          <w:szCs w:val="21"/>
        </w:rPr>
        <w:t xml:space="preserve">Isso cria uma situação de </w:t>
      </w:r>
      <w:r>
        <w:rPr>
          <w:b/>
          <w:bCs/>
          <w:sz w:val="21"/>
          <w:szCs w:val="21"/>
        </w:rPr>
        <w:t>compulsoriedade implícita estrutural</w:t>
      </w:r>
      <w:r>
        <w:rPr>
          <w:sz w:val="21"/>
          <w:szCs w:val="21"/>
        </w:rPr>
        <w:t>: o servidor comparece não porque quer, mas porque a ausência tem custos funcionais que prefere evitar, custos que existem precisamente porque a confraternização é um evento organizado no contexto das relações de trabalho e que carrega o peso hierárquico dessas relações. A informalidade da ocasião não elimina a hierarquia; em certos ambientes, a dissolve apenas o suficiente para que ela opere de forma menos visível e mais eficaz.</w:t>
      </w:r>
    </w:p>
    <w:p w14:paraId="6E44E5B9" w14:textId="77777777" w:rsidR="00CF41A2" w:rsidRPr="00CF41A2" w:rsidRDefault="00CF41A2" w:rsidP="00CF41A2">
      <w:pPr>
        <w:jc w:val="both"/>
        <w:rPr>
          <w:sz w:val="21"/>
          <w:szCs w:val="21"/>
        </w:rPr>
      </w:pPr>
      <w:r>
        <w:rPr>
          <w:sz w:val="21"/>
          <w:szCs w:val="21"/>
        </w:rPr>
        <w:t>A Convenção nº 190, ao incluir os "eventos sociais ligados ao trabalho" no conceito de ambiente de trabalho, captura exatamente essa realidade. O critério não é se a participação foi formalmente compulsória, é se o evento está ligado ao trabalho. E a confraternização organizada pela chefia para a equipe está ligada ao trabalho por definição, independentemente da voluntariedade formal da participação.</w:t>
      </w:r>
    </w:p>
    <w:p w14:paraId="642DD56D" w14:textId="77777777" w:rsidR="00545EE8" w:rsidRPr="00545EE8" w:rsidRDefault="00545EE8" w:rsidP="00545EE8">
      <w:pPr>
        <w:rPr>
          <w:b/>
          <w:bCs/>
          <w:sz w:val="21"/>
          <w:szCs w:val="21"/>
        </w:rPr>
      </w:pPr>
      <w:r>
        <w:rPr>
          <w:b/>
          <w:bCs/>
          <w:sz w:val="21"/>
          <w:szCs w:val="21"/>
        </w:rPr>
        <w:t>O afrouxamento das inibições como mecanismo de risco</w:t>
      </w:r>
    </w:p>
    <w:p w14:paraId="4D61B41A" w14:textId="77777777" w:rsidR="00545EE8" w:rsidRPr="00545EE8" w:rsidRDefault="00545EE8" w:rsidP="00545EE8">
      <w:pPr>
        <w:jc w:val="both"/>
        <w:rPr>
          <w:sz w:val="21"/>
          <w:szCs w:val="21"/>
        </w:rPr>
      </w:pPr>
      <w:r>
        <w:rPr>
          <w:sz w:val="21"/>
          <w:szCs w:val="21"/>
        </w:rPr>
        <w:t>A confraternização não apenas mantém as relações de poder hierárquico, ela as reconfigura temporariamente em um contexto em que as inibições formais que normalmente regulam a expressão dessas relações estão deliberadamente reduzidas. Esse é o segundo elemento que torna a confraternização um caso analiticamente especial.</w:t>
      </w:r>
    </w:p>
    <w:p w14:paraId="38472CCD" w14:textId="77777777" w:rsidR="00545EE8" w:rsidRPr="00545EE8" w:rsidRDefault="00545EE8" w:rsidP="00545EE8">
      <w:pPr>
        <w:jc w:val="both"/>
        <w:rPr>
          <w:sz w:val="21"/>
          <w:szCs w:val="21"/>
        </w:rPr>
      </w:pPr>
      <w:r>
        <w:rPr>
          <w:sz w:val="21"/>
          <w:szCs w:val="21"/>
        </w:rPr>
        <w:t>No ambiente formal da repartição, o servidor que ocupa posição de chefia opera sob um conjunto de restrições comportamentais que ele próprio conhece: há registros, há testemunhas em posição de neutralidade relativa, há a consciência de que o comportamento está sendo observado por colegas que podem reportá-lo, há o peso do ambiente institucional que sinaliza o que é e o que não é adequado. Essas restrições não eliminam condutas abusivas, como demonstra a frequência do assédio moral e sexual no ambiente formal, mas exercem sobre elas uma pressão regulatória que tem alguma eficácia.</w:t>
      </w:r>
    </w:p>
    <w:p w14:paraId="1D8E88C5" w14:textId="77777777" w:rsidR="00545EE8" w:rsidRPr="00545EE8" w:rsidRDefault="00545EE8" w:rsidP="00545EE8">
      <w:pPr>
        <w:jc w:val="both"/>
        <w:rPr>
          <w:sz w:val="21"/>
          <w:szCs w:val="21"/>
        </w:rPr>
      </w:pPr>
      <w:r>
        <w:rPr>
          <w:sz w:val="21"/>
          <w:szCs w:val="21"/>
        </w:rPr>
        <w:t xml:space="preserve">Na confraternização, essas restrições são sistematicamente enfraquecidas por mecanismos que fazem parte da própria natureza do evento. O consumo de bebidas alcoólicas, presente na grande maioria das confraternizações, reduz o controle inibitório do agressor e é frequentemente utilizado como </w:t>
      </w:r>
      <w:r>
        <w:rPr>
          <w:sz w:val="21"/>
          <w:szCs w:val="21"/>
        </w:rPr>
        <w:lastRenderedPageBreak/>
        <w:t xml:space="preserve">justificativa posterior, "foi uma brincadeira, estava comemorando, não era para ser levado a sério". O caráter informal do espaço e da ocasião cria a percepção de que as regras de conduta profissional estão suspensas, ao menos parcialmente. A mistura de relações hierárquicas e de sociabilidade informal produz ambiguidade sobre quais normas se aplicam. E a presença de álcool, a redução das inibições, a informalidade do espaço e a ambiguidade normativa configuram juntos o que a literatura sobre assédio sexual no trabalho identifica como </w:t>
      </w:r>
      <w:r>
        <w:rPr>
          <w:b/>
          <w:bCs/>
          <w:sz w:val="21"/>
          <w:szCs w:val="21"/>
        </w:rPr>
        <w:t>contexto permissivo estrutural</w:t>
      </w:r>
      <w:r>
        <w:rPr>
          <w:sz w:val="21"/>
          <w:szCs w:val="21"/>
        </w:rPr>
        <w:t>, um ambiente em que o agressor percebe que os custos de uma conduta abusiva são menores do que no ambiente formal.</w:t>
      </w:r>
    </w:p>
    <w:p w14:paraId="0021AE4F" w14:textId="77777777" w:rsidR="00545EE8" w:rsidRPr="00545EE8" w:rsidRDefault="00545EE8" w:rsidP="00545EE8">
      <w:pPr>
        <w:jc w:val="both"/>
        <w:rPr>
          <w:sz w:val="21"/>
          <w:szCs w:val="21"/>
        </w:rPr>
      </w:pPr>
      <w:r>
        <w:rPr>
          <w:sz w:val="21"/>
          <w:szCs w:val="21"/>
        </w:rPr>
        <w:t xml:space="preserve">Para o operador da instrução disciplinar, essa dinâmica tem consequência direta: a conduta praticada em confraternização não é menos </w:t>
      </w:r>
      <w:proofErr w:type="gramStart"/>
      <w:r>
        <w:rPr>
          <w:sz w:val="21"/>
          <w:szCs w:val="21"/>
        </w:rPr>
        <w:t>grave</w:t>
      </w:r>
      <w:proofErr w:type="gramEnd"/>
      <w:r>
        <w:rPr>
          <w:sz w:val="21"/>
          <w:szCs w:val="21"/>
        </w:rPr>
        <w:t xml:space="preserve"> por ter ocorrido em contexto informal, pode ser mais grave, porque o agressor soube escolher um contexto em que as proteções da vítima estavam reduzidas. A informalidade do evento não mitiga a responsabilidade; pode agravá-la ao revelar que o agressor reconheceu e explorou deliberadamente as condições que tornavam a vítima mais vulnerável.</w:t>
      </w:r>
    </w:p>
    <w:p w14:paraId="2728BDC7" w14:textId="77777777" w:rsidR="00545EE8" w:rsidRPr="00545EE8" w:rsidRDefault="00545EE8" w:rsidP="00545EE8">
      <w:pPr>
        <w:jc w:val="both"/>
        <w:rPr>
          <w:b/>
          <w:bCs/>
          <w:sz w:val="21"/>
          <w:szCs w:val="21"/>
        </w:rPr>
      </w:pPr>
      <w:r>
        <w:rPr>
          <w:b/>
          <w:bCs/>
          <w:sz w:val="21"/>
          <w:szCs w:val="21"/>
        </w:rPr>
        <w:t>A confraternização como espaço de revelação de padrões latentes</w:t>
      </w:r>
    </w:p>
    <w:p w14:paraId="61055428" w14:textId="77777777" w:rsidR="00545EE8" w:rsidRPr="00545EE8" w:rsidRDefault="00545EE8" w:rsidP="00545EE8">
      <w:pPr>
        <w:jc w:val="both"/>
        <w:rPr>
          <w:sz w:val="21"/>
          <w:szCs w:val="21"/>
        </w:rPr>
      </w:pPr>
      <w:r>
        <w:rPr>
          <w:sz w:val="21"/>
          <w:szCs w:val="21"/>
        </w:rPr>
        <w:t>Há um terceiro aspecto da confraternização que tem relevância específica para a construção do padrão de conduta nas apurações de assédio moral: ela é frequentemente o espaço em que condutas que no ambiente formal estavam contidas emergem de forma mais explícita.</w:t>
      </w:r>
    </w:p>
    <w:p w14:paraId="247A7B18" w14:textId="77777777" w:rsidR="00545EE8" w:rsidRPr="00545EE8" w:rsidRDefault="00545EE8" w:rsidP="00545EE8">
      <w:pPr>
        <w:jc w:val="both"/>
        <w:rPr>
          <w:sz w:val="21"/>
          <w:szCs w:val="21"/>
        </w:rPr>
      </w:pPr>
      <w:r>
        <w:rPr>
          <w:sz w:val="21"/>
          <w:szCs w:val="21"/>
        </w:rPr>
        <w:t>O assédio moral, por sua natureza, opera muitas vezes por meio de condutas que individualmente são ambíguas e coletivamente revelam um padrão. No ambiente formal, o assediador controla com maior cuidado a intensidade e a visibilidade de cada ato, o comentário depreciativo é dito em tom de brincadeira, o isolamento é disfarçado de reorganização de tarefas, a humilhação é embalada em crítica técnica. Na confraternização, o relaxamento das inibições pode fazer com que esse controle seja exercido com menor rigor, e condutas que o assediador normalmente calibraria com mais cuidado aparecem em forma mais direta.</w:t>
      </w:r>
    </w:p>
    <w:p w14:paraId="09D1052A" w14:textId="77777777" w:rsidR="00545EE8" w:rsidRPr="00545EE8" w:rsidRDefault="00545EE8" w:rsidP="00545EE8">
      <w:pPr>
        <w:jc w:val="both"/>
        <w:rPr>
          <w:sz w:val="21"/>
          <w:szCs w:val="21"/>
        </w:rPr>
      </w:pPr>
      <w:r>
        <w:rPr>
          <w:sz w:val="21"/>
          <w:szCs w:val="21"/>
        </w:rPr>
        <w:t>A piada humilhante sobre o desempenho do servidor feita em voz alta diante de toda a equipe, no jantar de fim de ano, é frequentemente mais explícita do que qualquer das críticas que o assediador fez individualmente durante o ano. O comentário discriminatório sobre a gravidez da servidora, proferido quando o chefe já tinha alguns drinques, é mais revelador do que qualquer das microagressões cotidianas. A exclusão da confraternização, o servidor que "esqueceu" de convidar determinado colega, é em si mesma uma conduta que, quando inserida no padrão mais amplo de isolamento sistemático, tem plena relevância disciplinar.</w:t>
      </w:r>
    </w:p>
    <w:p w14:paraId="32BFCDA3" w14:textId="77777777" w:rsidR="00545EE8" w:rsidRPr="00545EE8" w:rsidRDefault="00545EE8" w:rsidP="00545EE8">
      <w:pPr>
        <w:jc w:val="both"/>
        <w:rPr>
          <w:sz w:val="21"/>
          <w:szCs w:val="21"/>
        </w:rPr>
      </w:pPr>
      <w:r>
        <w:rPr>
          <w:sz w:val="21"/>
          <w:szCs w:val="21"/>
        </w:rPr>
        <w:t>O Guia Lilás da CGU menciona expressamente o "isolar a pessoa assediada de confraternizações, almoços e atividades realizadas em conjunto com os demais colegas" como conduta que pode configurar assédio moral. A exclusão da confraternização não é um ato neutro: quando integra um padrão de isolamento deliberado, é parte do instrumento pelo qual o assediador deteriora a posição do servidor no coletivo de trabalho.</w:t>
      </w:r>
    </w:p>
    <w:p w14:paraId="0340B498" w14:textId="77777777" w:rsidR="00545EE8" w:rsidRPr="00545EE8" w:rsidRDefault="00545EE8" w:rsidP="00545EE8">
      <w:pPr>
        <w:jc w:val="both"/>
        <w:rPr>
          <w:sz w:val="21"/>
          <w:szCs w:val="21"/>
        </w:rPr>
      </w:pPr>
      <w:r>
        <w:rPr>
          <w:sz w:val="21"/>
          <w:szCs w:val="21"/>
        </w:rPr>
        <w:t>Para a instrução disciplinar no Eixo 5 (Assédio Moral), isso tem implicação metodológica precisa: ao construir a linha do tempo do padrão de condutas hostis, o operador deve colher ativamente o que ocorreu nas confraternizações, tanto o que foi praticado ativamente (humilhações, comentários, exclusões explícitas) quanto o que foi praticado por omissão deliberada (o convite que não foi enviado ao servidor isolado).</w:t>
      </w:r>
    </w:p>
    <w:p w14:paraId="645CDE8B" w14:textId="77777777" w:rsidR="00290533" w:rsidRPr="00290533" w:rsidRDefault="00290533" w:rsidP="00290533">
      <w:pPr>
        <w:rPr>
          <w:b/>
          <w:bCs/>
          <w:sz w:val="21"/>
          <w:szCs w:val="21"/>
        </w:rPr>
      </w:pPr>
      <w:r>
        <w:rPr>
          <w:b/>
          <w:bCs/>
          <w:sz w:val="21"/>
          <w:szCs w:val="21"/>
        </w:rPr>
        <w:t>O nexo funcional na confraternização: como demonstrá-lo</w:t>
      </w:r>
    </w:p>
    <w:p w14:paraId="59D26498" w14:textId="77777777" w:rsidR="00290533" w:rsidRPr="00290533" w:rsidRDefault="00290533" w:rsidP="00B722AE">
      <w:pPr>
        <w:jc w:val="both"/>
        <w:rPr>
          <w:sz w:val="21"/>
          <w:szCs w:val="21"/>
        </w:rPr>
      </w:pPr>
      <w:r>
        <w:rPr>
          <w:sz w:val="21"/>
          <w:szCs w:val="21"/>
        </w:rPr>
        <w:t xml:space="preserve">O nexo funcional de uma confraternização com o vínculo laboral das partes não é presumido, precisa ser identificado nas circunstâncias concretas do caso. Na grande maioria dos casos, essa identificação é simples porque as circunstâncias são evidentes. Mas o operador precisa saber quais elementos </w:t>
      </w:r>
      <w:r>
        <w:rPr>
          <w:sz w:val="21"/>
          <w:szCs w:val="21"/>
        </w:rPr>
        <w:lastRenderedPageBreak/>
        <w:t>constituem esse nexo, especialmente para os casos em que o investigado argumenta que o evento era "completamente pessoal e desvinculado do trabalho".</w:t>
      </w:r>
    </w:p>
    <w:p w14:paraId="776A13DA" w14:textId="77777777" w:rsidR="00290533" w:rsidRPr="00290533" w:rsidRDefault="00290533" w:rsidP="00B722AE">
      <w:pPr>
        <w:jc w:val="both"/>
        <w:rPr>
          <w:sz w:val="21"/>
          <w:szCs w:val="21"/>
        </w:rPr>
      </w:pPr>
      <w:r>
        <w:rPr>
          <w:sz w:val="21"/>
          <w:szCs w:val="21"/>
        </w:rPr>
        <w:t>Os indicadores de nexo funcional de uma confraternização com o vínculo laboral são cumulativos, não é necessário que todos estejam presentes, e a presença de alguns é suficiente para estabelecer o nexo:</w:t>
      </w:r>
    </w:p>
    <w:p w14:paraId="3B887CF8" w14:textId="77777777" w:rsidR="00290533" w:rsidRPr="00290533" w:rsidRDefault="00290533">
      <w:pPr>
        <w:pStyle w:val="PargrafodaLista"/>
        <w:numPr>
          <w:ilvl w:val="0"/>
          <w:numId w:val="23"/>
        </w:numPr>
        <w:jc w:val="both"/>
        <w:rPr>
          <w:sz w:val="21"/>
          <w:szCs w:val="21"/>
        </w:rPr>
      </w:pPr>
      <w:r>
        <w:rPr>
          <w:b/>
          <w:bCs/>
          <w:sz w:val="21"/>
          <w:szCs w:val="21"/>
        </w:rPr>
        <w:t>Organização pela chefia ou pela instituição.</w:t>
      </w:r>
      <w:r>
        <w:rPr>
          <w:sz w:val="21"/>
          <w:szCs w:val="21"/>
        </w:rPr>
        <w:t xml:space="preserve"> Quando o evento é organizado pelo superior hierárquico, pela equipe de gestão de pessoas ou pela própria instituição, o nexo é direto: o evento existe em razão do vínculo funcional que une os participantes, e é a posição funcional do organizador que confere ao evento sua identidade coletiva. O jantar de fim de ano organizado pelo chefe de divisão para sua equipe é um evento funcional com caráter social, não um evento social com participantes que por acaso trabalham juntos.</w:t>
      </w:r>
    </w:p>
    <w:p w14:paraId="7E2F09C9" w14:textId="77777777" w:rsidR="00290533" w:rsidRPr="00290533" w:rsidRDefault="00290533">
      <w:pPr>
        <w:pStyle w:val="PargrafodaLista"/>
        <w:numPr>
          <w:ilvl w:val="0"/>
          <w:numId w:val="23"/>
        </w:numPr>
        <w:jc w:val="both"/>
        <w:rPr>
          <w:sz w:val="21"/>
          <w:szCs w:val="21"/>
        </w:rPr>
      </w:pPr>
      <w:r>
        <w:rPr>
          <w:b/>
          <w:bCs/>
          <w:sz w:val="21"/>
          <w:szCs w:val="21"/>
        </w:rPr>
        <w:t>Composição do grupo de participantes.</w:t>
      </w:r>
      <w:r>
        <w:rPr>
          <w:sz w:val="21"/>
          <w:szCs w:val="21"/>
        </w:rPr>
        <w:t xml:space="preserve"> Quando os participantes são os integrantes de uma equipe, setor ou unidade, e são convidados nessa qualidade, a composição do grupo revela o nexo funcional. O agrupamento não é casual: é determinado pelo vínculo de trabalho.</w:t>
      </w:r>
    </w:p>
    <w:p w14:paraId="6D976019" w14:textId="77777777" w:rsidR="00290533" w:rsidRPr="00290533" w:rsidRDefault="00290533">
      <w:pPr>
        <w:pStyle w:val="PargrafodaLista"/>
        <w:numPr>
          <w:ilvl w:val="0"/>
          <w:numId w:val="23"/>
        </w:numPr>
        <w:jc w:val="both"/>
        <w:rPr>
          <w:sz w:val="21"/>
          <w:szCs w:val="21"/>
        </w:rPr>
      </w:pPr>
      <w:r>
        <w:rPr>
          <w:b/>
          <w:bCs/>
          <w:sz w:val="21"/>
          <w:szCs w:val="21"/>
        </w:rPr>
        <w:t>Financiamento ou suporte institucional.</w:t>
      </w:r>
      <w:r>
        <w:rPr>
          <w:sz w:val="21"/>
          <w:szCs w:val="21"/>
        </w:rPr>
        <w:t xml:space="preserve"> Quando o evento conta com financiamento, espaço ou logística institucional, mesmo que parcial, o nexo é reforçado pelo engajamento da própria instituição na realização do evento.</w:t>
      </w:r>
    </w:p>
    <w:p w14:paraId="634E977D" w14:textId="77777777" w:rsidR="00290533" w:rsidRPr="00290533" w:rsidRDefault="00290533">
      <w:pPr>
        <w:pStyle w:val="PargrafodaLista"/>
        <w:numPr>
          <w:ilvl w:val="0"/>
          <w:numId w:val="23"/>
        </w:numPr>
        <w:jc w:val="both"/>
        <w:rPr>
          <w:sz w:val="21"/>
          <w:szCs w:val="21"/>
        </w:rPr>
      </w:pPr>
      <w:r>
        <w:rPr>
          <w:b/>
          <w:bCs/>
          <w:sz w:val="21"/>
          <w:szCs w:val="21"/>
        </w:rPr>
        <w:t>Presença de figuras de autoridade hierárquica.</w:t>
      </w:r>
      <w:r>
        <w:rPr>
          <w:sz w:val="21"/>
          <w:szCs w:val="21"/>
        </w:rPr>
        <w:t xml:space="preserve"> A presença do superior hierárquico não é apenas um dado de contexto: é um elemento que mantém ativa a relação de poder que estrutura o cotidiano funcional. O servidor não deixa de ser subordinado porque está no restaurante. O chefe não deixa de ser chefe porque está sem gravata.</w:t>
      </w:r>
    </w:p>
    <w:p w14:paraId="591692B7" w14:textId="77777777" w:rsidR="00290533" w:rsidRPr="00290533" w:rsidRDefault="00290533">
      <w:pPr>
        <w:pStyle w:val="PargrafodaLista"/>
        <w:numPr>
          <w:ilvl w:val="0"/>
          <w:numId w:val="23"/>
        </w:numPr>
        <w:jc w:val="both"/>
        <w:rPr>
          <w:sz w:val="21"/>
          <w:szCs w:val="21"/>
        </w:rPr>
      </w:pPr>
      <w:r>
        <w:rPr>
          <w:b/>
          <w:bCs/>
          <w:sz w:val="21"/>
          <w:szCs w:val="21"/>
        </w:rPr>
        <w:t>Assunto tratado.</w:t>
      </w:r>
      <w:r>
        <w:rPr>
          <w:sz w:val="21"/>
          <w:szCs w:val="21"/>
        </w:rPr>
        <w:t xml:space="preserve"> Quando as conversas no evento versam sobre questões funcionais, avaliações de desempenho, distribuição de tarefas, decisões sobre a equipe, o conteúdo funcional da interação reforça o nexo. É comum que confraternizações sejam usadas para conversas que o superior prefere ter fora do ambiente formal precisamente porque a informalidade reduz a possibilidade de registro e de testemunho qualificado.</w:t>
      </w:r>
    </w:p>
    <w:p w14:paraId="52075D6E" w14:textId="77777777" w:rsidR="00B722AE" w:rsidRDefault="00B722AE" w:rsidP="00B722AE">
      <w:pPr>
        <w:rPr>
          <w:b/>
          <w:bCs/>
          <w:sz w:val="21"/>
          <w:szCs w:val="21"/>
        </w:rPr>
      </w:pPr>
      <w:r>
        <w:rPr>
          <w:b/>
          <w:bCs/>
          <w:sz w:val="21"/>
          <w:szCs w:val="21"/>
        </w:rPr>
        <w:t>O problema da prova: a invisibilidade estrutural do que ocorre na confraternização</w:t>
      </w:r>
    </w:p>
    <w:p w14:paraId="7F9834D3" w14:textId="77777777" w:rsidR="00B722AE" w:rsidRPr="00B722AE" w:rsidRDefault="00B722AE" w:rsidP="00B722AE">
      <w:pPr>
        <w:jc w:val="both"/>
        <w:rPr>
          <w:sz w:val="21"/>
          <w:szCs w:val="21"/>
        </w:rPr>
      </w:pPr>
      <w:r>
        <w:rPr>
          <w:sz w:val="21"/>
          <w:szCs w:val="21"/>
        </w:rPr>
        <w:t>A confraternização apresenta um problema probatório que é parte de sua característica estrutural e que o operador da instrução precisa antecipar. As condutas praticadas nesses eventos são frequentemente mais difíceis de provar do que as condutas praticadas no ambiente formal, por razões que o agressor muitas vezes conhece e explora:</w:t>
      </w:r>
    </w:p>
    <w:p w14:paraId="0D2F8A20" w14:textId="77777777" w:rsidR="00B722AE" w:rsidRPr="00B722AE" w:rsidRDefault="00B722AE" w:rsidP="00B722AE">
      <w:pPr>
        <w:jc w:val="both"/>
        <w:rPr>
          <w:sz w:val="21"/>
          <w:szCs w:val="21"/>
        </w:rPr>
      </w:pPr>
      <w:r>
        <w:rPr>
          <w:sz w:val="21"/>
          <w:szCs w:val="21"/>
        </w:rPr>
        <w:t>A ausência de registros físicos é quase total. Não há e-mails, não há documentos, não há sistemas corporativos que registrem o que foi dito ou feito. As provas são predominantemente testemunhais, e os potenciais testemunhos pertencem a colegas que estavam no mesmo evento, que têm suas próprias relações de trabalho com o agressor, e que podem ter dificuldade em assumir o papel de testemunha contra a chefia.</w:t>
      </w:r>
    </w:p>
    <w:p w14:paraId="73D2B0AF" w14:textId="77777777" w:rsidR="00B722AE" w:rsidRPr="00B722AE" w:rsidRDefault="00B722AE" w:rsidP="00B722AE">
      <w:pPr>
        <w:jc w:val="both"/>
        <w:rPr>
          <w:sz w:val="21"/>
          <w:szCs w:val="21"/>
        </w:rPr>
      </w:pPr>
      <w:r>
        <w:rPr>
          <w:sz w:val="21"/>
          <w:szCs w:val="21"/>
        </w:rPr>
        <w:t>O consumo de álcool é frequentemente invocado para desacreditar as declarações da vítima, "ela estava bebendo, pode ter interpretado mal", ou para justificar a conduta do agressor, "estava alterado, não era sua intenção". Nenhum desses argumentos tem sustentação jurídica: a vítima que consumiu bebida alcoólica não perde a credibilidade de seu relato, e o agressor que estava sob efeito de álcool não tem sua responsabilidade disciplinar reduzida, o estado de embriaguez voluntária não configura excludente nem atenuante no direito disciplinar.</w:t>
      </w:r>
    </w:p>
    <w:p w14:paraId="74D11937" w14:textId="77777777" w:rsidR="00B722AE" w:rsidRPr="00B722AE" w:rsidRDefault="00B722AE" w:rsidP="00B722AE">
      <w:pPr>
        <w:jc w:val="both"/>
        <w:rPr>
          <w:sz w:val="21"/>
          <w:szCs w:val="21"/>
        </w:rPr>
      </w:pPr>
      <w:r>
        <w:rPr>
          <w:sz w:val="21"/>
          <w:szCs w:val="21"/>
        </w:rPr>
        <w:t xml:space="preserve">A natureza informal do evento é utilizada para requalificar as condutas, "foi uma brincadeira", "era o clima da festa", "todo mundo estava brincando assim". Essa requalificação retroativa é um mecanismo de defesa recorrente que o operador deve tratar com o ceticismo que merece: a natureza informal do </w:t>
      </w:r>
      <w:r>
        <w:rPr>
          <w:sz w:val="21"/>
          <w:szCs w:val="21"/>
        </w:rPr>
        <w:lastRenderedPageBreak/>
        <w:t>evento não transforma assédio em brincadeira, humilhação em descontração, ou toque não consentido em exuberância festiva.</w:t>
      </w:r>
    </w:p>
    <w:p w14:paraId="14C145B3" w14:textId="77777777" w:rsidR="00B722AE" w:rsidRPr="00B722AE" w:rsidRDefault="00B722AE" w:rsidP="00B722AE">
      <w:pPr>
        <w:jc w:val="both"/>
        <w:rPr>
          <w:sz w:val="21"/>
          <w:szCs w:val="21"/>
        </w:rPr>
      </w:pPr>
      <w:r>
        <w:rPr>
          <w:sz w:val="21"/>
          <w:szCs w:val="21"/>
        </w:rPr>
        <w:t>Para a instrução, o operador deve adotar estratégia probatória que reconheça essas dificuldades antecipadamente: colher com cuidado os relatos de todos os presentes, inclusive daqueles que podem ter observado de forma periférica sem ter sido diretamente visados; solicitar registros fotográficos ou de vídeo que tenham sido produzidos no evento e que possam confirmar presença, composição do grupo e, eventualmente, condutas; e tratar as tentativas de requalificação retroativa como dado que enfraquece a credibilidade do investigado, não como argumento que enfraquece o enquadramento da conduta.</w:t>
      </w:r>
    </w:p>
    <w:p w14:paraId="559B9B19" w14:textId="77777777" w:rsidR="006070FB" w:rsidRPr="006070FB" w:rsidRDefault="006070FB" w:rsidP="007D0C42">
      <w:pPr>
        <w:jc w:val="both"/>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A Convenção nº 190 da OIT no cenário jurídico brasileiro e seus efeitos sobre o sistema disciplinar</w:t>
      </w:r>
    </w:p>
    <w:p w14:paraId="4D99FB54" w14:textId="77777777" w:rsidR="00B16780" w:rsidRPr="00B16780" w:rsidRDefault="006070FB" w:rsidP="00B16780">
      <w:pPr>
        <w:spacing w:after="120"/>
        <w:jc w:val="both"/>
        <w:rPr>
          <w:sz w:val="21"/>
          <w:szCs w:val="21"/>
        </w:rPr>
      </w:pPr>
      <w:r>
        <w:rPr>
          <w:sz w:val="21"/>
          <w:szCs w:val="21"/>
        </w:rPr>
        <w:t xml:space="preserve">A Convenção nº 190 da OIT, assinada pelo Brasil e encaminhada pelo Poder Executivo ao Congresso Nacional para deliberação, ainda não foi aprovada pelo Poder Legislativo nem ratificada mediante depósito do instrumento correspondente junto à OIT. Não integra, portanto, o ordenamento jurídico brasileiro como norma vigente e vinculante. Essa circunstância não pode ser obscurecida na instrução de servidores que operam a ferramenta </w:t>
      </w:r>
      <w:proofErr w:type="spellStart"/>
      <w:r>
        <w:rPr>
          <w:sz w:val="21"/>
          <w:szCs w:val="21"/>
        </w:rPr>
        <w:t>Integritas</w:t>
      </w:r>
      <w:proofErr w:type="spellEnd"/>
      <w:r>
        <w:rPr>
          <w:sz w:val="21"/>
          <w:szCs w:val="21"/>
        </w:rPr>
        <w:t>: a Convenção é referência doutrinária e principiológica relevante, mas não fonte normativa autônoma e diretamente aplicável ao processo disciplinar enquanto pendente sua incorporação.</w:t>
      </w:r>
    </w:p>
    <w:p w14:paraId="274B98EA" w14:textId="77777777" w:rsidR="00B16780" w:rsidRPr="00B16780" w:rsidRDefault="00B16780" w:rsidP="00B16780">
      <w:pPr>
        <w:spacing w:after="120"/>
        <w:jc w:val="both"/>
        <w:rPr>
          <w:sz w:val="21"/>
          <w:szCs w:val="21"/>
        </w:rPr>
      </w:pPr>
      <w:r>
        <w:rPr>
          <w:sz w:val="21"/>
          <w:szCs w:val="21"/>
        </w:rPr>
        <w:t>A consequência prática dessa pendência é que o fundamento jurídico imediato do enquadramento disciplinar permanece sendo a Lei nº 8.112, de 1990, interpretada à luz dos princípios constitucionais da dignidade da pessoa humana, da moralidade administrativa e da proteção à saúde e à segurança no trabalho, e não a Convenção nº 190 como norma de aplicação direta. A NT nº 93/2024/CGUNE/DICOR/CRG e a NT nº 3285/2023/CGUNE/DICOR/CRG mencionam a Convenção nº 190 como referência de inspiração internacional e doutrinária para a sistematização dos conceitos de assédio moral e assédio sexual, mas o enquadramento normativo que essas Notas Técnicas operacionalizam decorre dos dispositivos da Lei nº 8.112, de 1990, e da fundamentação constitucional já consolidada na jurisprudência do TST e do STF sobre dignidade e proteção ao trabalho.</w:t>
      </w:r>
    </w:p>
    <w:p w14:paraId="1A3602DB" w14:textId="77777777" w:rsidR="006070FB" w:rsidRPr="006070FB" w:rsidRDefault="00B16780" w:rsidP="00B16780">
      <w:pPr>
        <w:spacing w:after="120"/>
        <w:jc w:val="both"/>
        <w:rPr>
          <w:sz w:val="21"/>
          <w:szCs w:val="21"/>
        </w:rPr>
      </w:pPr>
      <w:r>
        <w:rPr>
          <w:sz w:val="21"/>
          <w:szCs w:val="21"/>
        </w:rPr>
        <w:t xml:space="preserve">Isso não esvazia a utilidade do conceito de ambiente de trabalho ampliado que a Convenção propõe. O operador da ferramenta </w:t>
      </w:r>
      <w:proofErr w:type="spellStart"/>
      <w:r>
        <w:rPr>
          <w:sz w:val="21"/>
          <w:szCs w:val="21"/>
        </w:rPr>
        <w:t>Integritas</w:t>
      </w:r>
      <w:proofErr w:type="spellEnd"/>
      <w:r>
        <w:rPr>
          <w:sz w:val="21"/>
          <w:szCs w:val="21"/>
        </w:rPr>
        <w:t xml:space="preserve"> pode e deve utilizá-lo como referencial interpretativo de apoio — a ideia de que a pergunta relevante não é "onde" ou "quando" a conduta ocorreu, mas se há nexo funcional entre a situação e o vínculo de trabalho das partes é compatível com a interpretação sistemática que a própria Lei nº 8.112, de 1990, já permite e que as Notas Técnicas da CRG/CGU vêm consolidando, independentemente do estágio de tramitação da Convenção no Congresso Nacional. O que se deve evitar, por rigor técnico, é atribuir a esse conceito força normativa de tratado incorporado, ou afirmar que o Brasil já ratificou a Convenção nº 190 — afirmação que não corresponde à situação legislativa atual e que comprometeria a precisão técnica do material de capacitação.</w:t>
      </w:r>
    </w:p>
    <w:p w14:paraId="251847BA" w14:textId="77777777" w:rsidR="006070FB" w:rsidRPr="006070FB" w:rsidRDefault="006070FB" w:rsidP="000E2F58">
      <w:pPr>
        <w:rPr>
          <w:rFonts w:ascii="Barlow Condensed" w:eastAsia="Barlow Condensed" w:hAnsi="Barlow Condensed" w:cs="Barlow Condensed"/>
          <w:b/>
          <w:bCs/>
          <w:color w:val="0B2C5F"/>
          <w:sz w:val="26"/>
          <w:szCs w:val="26"/>
        </w:rPr>
      </w:pPr>
      <w:r>
        <w:rPr>
          <w:rFonts w:ascii="Barlow Condensed" w:eastAsia="Barlow Condensed" w:hAnsi="Barlow Condensed" w:cs="Barlow Condensed"/>
          <w:b/>
          <w:bCs/>
          <w:color w:val="0B2C5F"/>
          <w:sz w:val="26"/>
          <w:szCs w:val="26"/>
        </w:rPr>
        <w:t>Implicações transversais para a instrução probatória</w:t>
      </w:r>
    </w:p>
    <w:p w14:paraId="2F847EF1" w14:textId="77777777" w:rsidR="006070FB" w:rsidRPr="006070FB" w:rsidRDefault="006070FB" w:rsidP="006070FB">
      <w:pPr>
        <w:spacing w:after="120"/>
        <w:jc w:val="both"/>
        <w:rPr>
          <w:sz w:val="21"/>
          <w:szCs w:val="21"/>
        </w:rPr>
      </w:pPr>
      <w:r>
        <w:rPr>
          <w:sz w:val="21"/>
          <w:szCs w:val="21"/>
        </w:rPr>
        <w:t>A extensão do conceito de ambiente de trabalho pela Convenção nº 190 tem consequências práticas para a instrução probatória que o operador precisa incorporar:</w:t>
      </w:r>
    </w:p>
    <w:p w14:paraId="0906AB43" w14:textId="77777777" w:rsidR="006070FB" w:rsidRPr="00DC0596" w:rsidRDefault="006070FB" w:rsidP="00DC0596">
      <w:pPr>
        <w:pStyle w:val="PargrafodaLista"/>
        <w:numPr>
          <w:ilvl w:val="0"/>
          <w:numId w:val="34"/>
        </w:numPr>
        <w:spacing w:after="120"/>
        <w:jc w:val="both"/>
        <w:rPr>
          <w:sz w:val="21"/>
          <w:szCs w:val="21"/>
        </w:rPr>
      </w:pPr>
      <w:r>
        <w:rPr>
          <w:sz w:val="21"/>
          <w:szCs w:val="21"/>
        </w:rPr>
        <w:t xml:space="preserve">Colher os episódios em todos os contextos. A instrução não pode limitar sua investigação ao que ocorreu "dentro da repartição durante o expediente". Ao ouvir a vítima, o operador deve perguntar ativamente: houve episódios em viagens de trabalho? Em treinamentos? Em eventos sociais da equipe? Por mensagens enviadas fora do horário de expediente? Em </w:t>
      </w:r>
      <w:r>
        <w:rPr>
          <w:sz w:val="21"/>
          <w:szCs w:val="21"/>
        </w:rPr>
        <w:lastRenderedPageBreak/>
        <w:t>deslocamentos? Cada um desses contextos é ambiente de trabalho protegido pela Convenção nº 190.</w:t>
      </w:r>
    </w:p>
    <w:p w14:paraId="5FE4D64C" w14:textId="77777777" w:rsidR="006070FB" w:rsidRPr="00DC0596" w:rsidRDefault="006070FB" w:rsidP="00DC0596">
      <w:pPr>
        <w:pStyle w:val="PargrafodaLista"/>
        <w:numPr>
          <w:ilvl w:val="0"/>
          <w:numId w:val="34"/>
        </w:numPr>
        <w:spacing w:after="120"/>
        <w:jc w:val="both"/>
        <w:rPr>
          <w:sz w:val="21"/>
          <w:szCs w:val="21"/>
        </w:rPr>
      </w:pPr>
      <w:r>
        <w:rPr>
          <w:sz w:val="21"/>
          <w:szCs w:val="21"/>
        </w:rPr>
        <w:t>Preservar registros digitais com urgência. As comunicações digitais relacionadas ao trabalho são evidência primária, e têm políticas de retenção que podem apagá-las antes do término da instrução. A preservação imediata de mensagens, e-mails, registros de videoconferência e comunicações em plataformas digitais é providência urgente que deve preceder qualquer outra diligência.</w:t>
      </w:r>
    </w:p>
    <w:p w14:paraId="68FDFAD9" w14:textId="77777777" w:rsidR="006070FB" w:rsidRPr="00DC0596" w:rsidRDefault="006070FB" w:rsidP="00DC0596">
      <w:pPr>
        <w:pStyle w:val="PargrafodaLista"/>
        <w:numPr>
          <w:ilvl w:val="0"/>
          <w:numId w:val="34"/>
        </w:numPr>
        <w:spacing w:after="120"/>
        <w:jc w:val="both"/>
        <w:rPr>
          <w:sz w:val="21"/>
          <w:szCs w:val="21"/>
        </w:rPr>
      </w:pPr>
      <w:r>
        <w:rPr>
          <w:sz w:val="21"/>
          <w:szCs w:val="21"/>
        </w:rPr>
        <w:t>Tratar a viagem de trabalho como ambiente de trabalho integral. O episódio de assédio sexual ocorrido em hotel durante viagem de trabalho, o jantar de confraternização em que o superior proferiu ofensas verbais ao subordinado, o deslocamento em veículo institucional durante o qual ocorreu ameaça, todos são ambientes de trabalho para fins da Convenção nº 190, e o operador deve enquadrá-los com o mesmo rigor que os episódios intramuros, sem que a localização geográfica afete a análise de nexo funcional.</w:t>
      </w:r>
    </w:p>
    <w:p w14:paraId="728D3D7B" w14:textId="77777777" w:rsidR="006070FB" w:rsidRPr="00DC0596" w:rsidRDefault="006070FB" w:rsidP="00DC0596">
      <w:pPr>
        <w:pStyle w:val="PargrafodaLista"/>
        <w:numPr>
          <w:ilvl w:val="0"/>
          <w:numId w:val="34"/>
        </w:numPr>
        <w:spacing w:after="120"/>
        <w:jc w:val="both"/>
        <w:rPr>
          <w:sz w:val="21"/>
          <w:szCs w:val="21"/>
        </w:rPr>
      </w:pPr>
      <w:r>
        <w:rPr>
          <w:sz w:val="21"/>
          <w:szCs w:val="21"/>
        </w:rPr>
        <w:t>Reconhecer o agravamento da vulnerabilidade em certos contextos. A Convenção nº 190 não apenas amplia os ambientes protegidos, ela implicitamente reconhece que certos ambientes amplificam a vulnerabilidade da vítima. A viagem de trabalho coloca o subordinado em situação de dependência adicional em relação à chefia, sem a estrutura de suporte do ambiente habitual, sem colegas que poderiam testemunhar, sem a possibilidade de simplesmente ir embora ao final do dia. Esse agravamento da vulnerabilidade deve ser considerado na dosimetria da penalidade como circunstância de agravamento, nos termos do art. 128 da Lei nº 8.112, de 1990.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070FB" w14:paraId="42B60181" w14:textId="77777777" w:rsidTr="00BC79F4">
        <w:tc>
          <w:tcPr>
            <w:tcW w:w="9070" w:type="dxa"/>
            <w:tcBorders>
              <w:left w:val="single" w:sz="24" w:space="0" w:color="B7791F"/>
            </w:tcBorders>
            <w:shd w:val="clear" w:color="auto" w:fill="F6ECD7"/>
            <w:tcMar>
              <w:top w:w="120" w:type="dxa"/>
              <w:left w:w="200" w:type="dxa"/>
              <w:bottom w:w="120" w:type="dxa"/>
              <w:right w:w="160" w:type="dxa"/>
            </w:tcMar>
          </w:tcPr>
          <w:p w14:paraId="2F7C920B" w14:textId="77777777" w:rsidR="000E2F58" w:rsidRDefault="006070FB" w:rsidP="000E2F58">
            <w:pPr>
              <w:spacing w:after="40"/>
              <w:rPr>
                <w:rFonts w:ascii="Barlow Condensed" w:eastAsia="Barlow Condensed" w:hAnsi="Barlow Condensed" w:cs="Barlow Condensed"/>
                <w:b/>
                <w:bCs/>
                <w:color w:val="B7791F"/>
                <w:spacing w:val="20"/>
                <w:sz w:val="16"/>
                <w:szCs w:val="16"/>
              </w:rPr>
            </w:pPr>
            <w:r>
              <w:rPr>
                <w:rFonts w:ascii="Barlow Condensed" w:eastAsia="Barlow Condensed" w:hAnsi="Barlow Condensed" w:cs="Barlow Condensed"/>
                <w:b/>
                <w:bCs/>
                <w:color w:val="B7791F"/>
                <w:spacing w:val="20"/>
                <w:sz w:val="16"/>
                <w:szCs w:val="16"/>
              </w:rPr>
              <w:t>CAUTELA</w:t>
            </w:r>
          </w:p>
          <w:p w14:paraId="58FB7B4C" w14:textId="77777777" w:rsidR="006070FB" w:rsidRPr="000E2F58" w:rsidRDefault="006070FB" w:rsidP="00C91E2E">
            <w:pPr>
              <w:spacing w:after="40" w:line="240" w:lineRule="auto"/>
              <w:jc w:val="both"/>
              <w:rPr>
                <w:sz w:val="21"/>
                <w:szCs w:val="21"/>
              </w:rPr>
            </w:pPr>
            <w:r>
              <w:rPr>
                <w:b/>
                <w:bCs/>
                <w:sz w:val="21"/>
                <w:szCs w:val="21"/>
              </w:rPr>
              <w:t xml:space="preserve">Síntese operacional para o operador da ferramenta </w:t>
            </w:r>
            <w:proofErr w:type="spellStart"/>
            <w:r>
              <w:rPr>
                <w:b/>
                <w:bCs/>
                <w:sz w:val="21"/>
                <w:szCs w:val="21"/>
              </w:rPr>
              <w:t>Integritas</w:t>
            </w:r>
            <w:proofErr w:type="spellEnd"/>
            <w:r>
              <w:rPr>
                <w:sz w:val="21"/>
                <w:szCs w:val="21"/>
              </w:rPr>
              <w:t>: ao responder às perguntas sobre "nexo com o serviço" (Eixo 1), "contexto funcional" (Eixos 2, 7 e 8) e "ambiente de trabalho" (Eixos 3, 4, 5 e 6), tenha como referência não o espaço físico da repartição nem o horário formal de expediente, mas a pergunta que a Convenção nº 190 da OIT formulou com precisão: há nexo entre a situação em que a conduta ocorreu e o vínculo funcional das partes? Se sim, o ambiente de trabalho está presente, e com ele, a plena incidência do sistema disciplinar.</w:t>
            </w:r>
          </w:p>
        </w:tc>
      </w:tr>
    </w:tbl>
    <w:p w14:paraId="5B64851B" w14:textId="77777777" w:rsidR="00287D58" w:rsidRDefault="003B78AF">
      <w:pPr>
        <w:pStyle w:val="Ttulo2"/>
        <w:keepNext/>
      </w:pPr>
      <w:bookmarkStart w:id="12" w:name="_Toc238022007"/>
      <w:r>
        <w:t>1.10 A independência das instâncias: estrutura e limites</w:t>
      </w:r>
      <w:bookmarkEnd w:id="12"/>
    </w:p>
    <w:p w14:paraId="3A535572" w14:textId="77777777" w:rsidR="00287D58" w:rsidRDefault="003B78AF">
      <w:pPr>
        <w:spacing w:after="120"/>
        <w:jc w:val="both"/>
      </w:pPr>
      <w:r>
        <w:rPr>
          <w:sz w:val="21"/>
          <w:szCs w:val="21"/>
        </w:rPr>
        <w:t>A regra é a independência (art. 125): as sanções civis, penais e administrativas podem cumular-se sem que a punição em uma esfera impeça ou limite a punição nas demais. A exceção é a comunicabilidade vinculante (art. 126): a responsabilidade administrativa será afastada apenas em dois casos, absolvição criminal que negar a existência do fato; e absolvição criminal que negar a autoria. Toda outra forma de desfecho criminal, absolvição por insuficiência de provas, por dúvida, por excludente de culpabilidade ou por prescrição, não vincula a Administração.</w:t>
      </w:r>
    </w:p>
    <w:p w14:paraId="2A01BAD3" w14:textId="77777777" w:rsidR="00287D58" w:rsidRDefault="003B78AF">
      <w:pPr>
        <w:pStyle w:val="Ttulo2"/>
        <w:keepNext/>
      </w:pPr>
      <w:bookmarkStart w:id="13" w:name="_Toc238022008"/>
      <w:r>
        <w:t>1.11 A prescrição da ação disciplinar: estrutura, prazos e o risco específico da advertência</w:t>
      </w:r>
      <w:bookmarkEnd w:id="13"/>
    </w:p>
    <w:p w14:paraId="1F690446" w14:textId="77777777" w:rsidR="00287D58" w:rsidRDefault="003B78AF">
      <w:pPr>
        <w:spacing w:after="120"/>
        <w:jc w:val="both"/>
      </w:pPr>
      <w:r>
        <w:rPr>
          <w:sz w:val="21"/>
          <w:szCs w:val="21"/>
        </w:rPr>
        <w:t>A prescrição é o instituto pelo qual o decurso do tempo extingue o direito de punir. O art. 142 da Lei nº 8.112, de 1990 organiza os prazos por penalidade aplicável: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00"/>
        <w:gridCol w:w="2370"/>
      </w:tblGrid>
      <w:tr w:rsidR="00287D58" w14:paraId="40E8BDF0" w14:textId="77777777">
        <w:trPr>
          <w:tblHeader/>
        </w:trPr>
        <w:tc>
          <w:tcPr>
            <w:tcW w:w="420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1AD5C02F" w14:textId="77777777" w:rsidR="00287D58" w:rsidRDefault="003B78AF">
            <w:r>
              <w:rPr>
                <w:rFonts w:ascii="Barlow Condensed" w:eastAsia="Barlow Condensed" w:hAnsi="Barlow Condensed" w:cs="Barlow Condensed"/>
                <w:b/>
                <w:bCs/>
                <w:color w:val="FFFFFF"/>
              </w:rPr>
              <w:lastRenderedPageBreak/>
              <w:t>Penalidade</w:t>
            </w:r>
          </w:p>
        </w:tc>
        <w:tc>
          <w:tcPr>
            <w:tcW w:w="250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153A7AE2" w14:textId="77777777" w:rsidR="00287D58" w:rsidRDefault="003B78AF">
            <w:r>
              <w:rPr>
                <w:rFonts w:ascii="Barlow Condensed" w:eastAsia="Barlow Condensed" w:hAnsi="Barlow Condensed" w:cs="Barlow Condensed"/>
                <w:b/>
                <w:bCs/>
                <w:color w:val="FFFFFF"/>
              </w:rPr>
              <w:t>Prazo prescricional</w:t>
            </w:r>
          </w:p>
        </w:tc>
        <w:tc>
          <w:tcPr>
            <w:tcW w:w="237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7F88DF3A" w14:textId="77777777" w:rsidR="00287D58" w:rsidRDefault="003B78AF">
            <w:r>
              <w:rPr>
                <w:rFonts w:ascii="Barlow Condensed" w:eastAsia="Barlow Condensed" w:hAnsi="Barlow Condensed" w:cs="Barlow Condensed"/>
                <w:b/>
                <w:bCs/>
                <w:color w:val="FFFFFF"/>
              </w:rPr>
              <w:t>Base legal</w:t>
            </w:r>
          </w:p>
        </w:tc>
      </w:tr>
      <w:tr w:rsidR="00287D58" w14:paraId="51A42C72" w14:textId="77777777">
        <w:tc>
          <w:tcPr>
            <w:tcW w:w="42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3BCB826B" w14:textId="77777777" w:rsidR="00287D58" w:rsidRDefault="003B78AF">
            <w:pPr>
              <w:spacing w:line="252" w:lineRule="auto"/>
            </w:pPr>
            <w:r>
              <w:t>Demissão, cassação de aposentadoria, destituição</w:t>
            </w:r>
          </w:p>
        </w:tc>
        <w:tc>
          <w:tcPr>
            <w:tcW w:w="25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095721BC" w14:textId="77777777" w:rsidR="00287D58" w:rsidRDefault="003B78AF">
            <w:pPr>
              <w:spacing w:line="252" w:lineRule="auto"/>
            </w:pPr>
            <w:r>
              <w:t>5 anos</w:t>
            </w:r>
          </w:p>
        </w:tc>
        <w:tc>
          <w:tcPr>
            <w:tcW w:w="23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6EB5DB1F" w14:textId="77777777" w:rsidR="00287D58" w:rsidRDefault="003B78AF">
            <w:pPr>
              <w:spacing w:line="252" w:lineRule="auto"/>
            </w:pPr>
            <w:r>
              <w:rPr>
                <w:rFonts w:ascii="JetBrains Mono" w:eastAsia="JetBrains Mono" w:hAnsi="JetBrains Mono" w:cs="JetBrains Mono"/>
                <w:color w:val="0B2C5F"/>
              </w:rPr>
              <w:t>Art. 142, I</w:t>
            </w:r>
          </w:p>
        </w:tc>
      </w:tr>
      <w:tr w:rsidR="00287D58" w14:paraId="05A5005F" w14:textId="77777777">
        <w:tc>
          <w:tcPr>
            <w:tcW w:w="42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2249F8BE" w14:textId="77777777" w:rsidR="00287D58" w:rsidRDefault="003B78AF">
            <w:pPr>
              <w:spacing w:line="252" w:lineRule="auto"/>
            </w:pPr>
            <w:r>
              <w:t>Suspensão</w:t>
            </w:r>
          </w:p>
        </w:tc>
        <w:tc>
          <w:tcPr>
            <w:tcW w:w="25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0AD85703" w14:textId="77777777" w:rsidR="00287D58" w:rsidRDefault="003B78AF">
            <w:pPr>
              <w:spacing w:line="252" w:lineRule="auto"/>
            </w:pPr>
            <w:r>
              <w:t>2 anos</w:t>
            </w:r>
          </w:p>
        </w:tc>
        <w:tc>
          <w:tcPr>
            <w:tcW w:w="23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288EB43B" w14:textId="77777777" w:rsidR="00287D58" w:rsidRDefault="003B78AF">
            <w:pPr>
              <w:spacing w:line="252" w:lineRule="auto"/>
            </w:pPr>
            <w:r>
              <w:rPr>
                <w:rFonts w:ascii="JetBrains Mono" w:eastAsia="JetBrains Mono" w:hAnsi="JetBrains Mono" w:cs="JetBrains Mono"/>
                <w:color w:val="0B2C5F"/>
              </w:rPr>
              <w:t>Art. 142, II</w:t>
            </w:r>
          </w:p>
        </w:tc>
      </w:tr>
      <w:tr w:rsidR="00287D58" w14:paraId="4A1F1EE5" w14:textId="77777777">
        <w:tc>
          <w:tcPr>
            <w:tcW w:w="42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260BF42F" w14:textId="77777777" w:rsidR="00287D58" w:rsidRDefault="003B78AF">
            <w:pPr>
              <w:spacing w:line="252" w:lineRule="auto"/>
            </w:pPr>
            <w:r>
              <w:t>Advertência</w:t>
            </w:r>
          </w:p>
        </w:tc>
        <w:tc>
          <w:tcPr>
            <w:tcW w:w="25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33A38757" w14:textId="77777777" w:rsidR="00287D58" w:rsidRDefault="003B78AF">
            <w:pPr>
              <w:spacing w:line="252" w:lineRule="auto"/>
            </w:pPr>
            <w:r>
              <w:t>180 dias</w:t>
            </w:r>
          </w:p>
        </w:tc>
        <w:tc>
          <w:tcPr>
            <w:tcW w:w="23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238BED66" w14:textId="77777777" w:rsidR="00287D58" w:rsidRDefault="003B78AF">
            <w:pPr>
              <w:spacing w:line="252" w:lineRule="auto"/>
            </w:pPr>
            <w:r>
              <w:rPr>
                <w:rFonts w:ascii="JetBrains Mono" w:eastAsia="JetBrains Mono" w:hAnsi="JetBrains Mono" w:cs="JetBrains Mono"/>
                <w:color w:val="0B2C5F"/>
              </w:rPr>
              <w:t>Art. 142, III</w:t>
            </w:r>
          </w:p>
        </w:tc>
      </w:tr>
    </w:tbl>
    <w:p w14:paraId="26F123EA" w14:textId="77777777" w:rsidR="00287D58" w:rsidRDefault="003B78AF">
      <w:pPr>
        <w:spacing w:after="120"/>
        <w:jc w:val="both"/>
      </w:pPr>
      <w:r>
        <w:rPr>
          <w:sz w:val="21"/>
          <w:szCs w:val="21"/>
        </w:rPr>
        <w:t>O prazo inicia-se da data em que a autoridade competente tomou conhecimento do fato, não da data do fato em si (art. 142, §1º). Se o fato configura também crime, aplica-se o prazo prescricional da lei penal quando este for superior (art. 142, §2º). O art. 129, in fine, autoriza a autoridade, motivadamente, a converter advertência em suspensão quando a gravidade dos fatos justifica penalidade mais severa, ampliando o prazo prescricional de 180 dias para 2 anos. A ferramenta exibe o prazo aplicável a cada resultado e disponibiliza calculador automático.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287D58" w14:paraId="16E7C3DB" w14:textId="77777777">
        <w:tc>
          <w:tcPr>
            <w:tcW w:w="9070" w:type="dxa"/>
            <w:tcBorders>
              <w:left w:val="single" w:sz="24" w:space="0" w:color="B7791F"/>
            </w:tcBorders>
            <w:shd w:val="clear" w:color="auto" w:fill="F6ECD7"/>
            <w:tcMar>
              <w:top w:w="120" w:type="dxa"/>
              <w:left w:w="200" w:type="dxa"/>
              <w:bottom w:w="120" w:type="dxa"/>
              <w:right w:w="160" w:type="dxa"/>
            </w:tcMar>
          </w:tcPr>
          <w:p w14:paraId="0BFB90FE" w14:textId="77777777" w:rsidR="00287D58" w:rsidRDefault="003B78AF">
            <w:pPr>
              <w:spacing w:after="40"/>
            </w:pPr>
            <w:r>
              <w:rPr>
                <w:rFonts w:ascii="Barlow Condensed" w:eastAsia="Barlow Condensed" w:hAnsi="Barlow Condensed" w:cs="Barlow Condensed"/>
                <w:b/>
                <w:bCs/>
                <w:color w:val="B7791F"/>
                <w:spacing w:val="20"/>
                <w:sz w:val="16"/>
                <w:szCs w:val="16"/>
              </w:rPr>
              <w:t>CAUTELA</w:t>
            </w:r>
          </w:p>
          <w:p w14:paraId="4CF6109A" w14:textId="77777777" w:rsidR="00287D58" w:rsidRDefault="003B78AF">
            <w:pPr>
              <w:spacing w:line="264" w:lineRule="auto"/>
              <w:jc w:val="both"/>
            </w:pPr>
            <w:r>
              <w:rPr>
                <w:b/>
                <w:bCs/>
                <w:sz w:val="21"/>
                <w:szCs w:val="21"/>
              </w:rPr>
              <w:t xml:space="preserve">ATENÇÃO: </w:t>
            </w:r>
            <w:r>
              <w:rPr>
                <w:sz w:val="21"/>
                <w:szCs w:val="21"/>
              </w:rPr>
              <w:t>O prazo de 180 dias para advertência é o mais curto do regime disciplinar. Condutas enquadradas como falta de urbanidade (ameaça leve, ofensa verbal sem gravidade) prescrevem com rapidez. Verifique o prazo antes de qualquer outra providência processual.</w:t>
            </w:r>
          </w:p>
        </w:tc>
      </w:tr>
    </w:tbl>
    <w:p w14:paraId="54516F37" w14:textId="77777777" w:rsidR="00287D58" w:rsidRDefault="003B78AF">
      <w:pPr>
        <w:pStyle w:val="Ttulo2"/>
        <w:keepNext/>
      </w:pPr>
      <w:bookmarkStart w:id="14" w:name="_Toc238022009"/>
      <w:r>
        <w:t>1.11 O operador e a ferramenta: o que o capítulo estabelece para o que vem a seguir</w:t>
      </w:r>
      <w:bookmarkEnd w:id="14"/>
    </w:p>
    <w:p w14:paraId="532475D5" w14:textId="77777777" w:rsidR="00287D58" w:rsidRDefault="003B78AF">
      <w:pPr>
        <w:spacing w:after="120"/>
        <w:jc w:val="both"/>
      </w:pPr>
      <w:r>
        <w:rPr>
          <w:sz w:val="21"/>
          <w:szCs w:val="21"/>
        </w:rPr>
        <w:t xml:space="preserve">O direito disciplinar que a ferramenta </w:t>
      </w:r>
      <w:proofErr w:type="spellStart"/>
      <w:r>
        <w:rPr>
          <w:sz w:val="21"/>
          <w:szCs w:val="21"/>
        </w:rPr>
        <w:t>Integritas</w:t>
      </w:r>
      <w:proofErr w:type="spellEnd"/>
      <w:r>
        <w:rPr>
          <w:sz w:val="21"/>
          <w:szCs w:val="21"/>
        </w:rPr>
        <w:t xml:space="preserve"> operacionaliza é um direito que: existe em função do serviço público e da sociedade que ele serve; é construído sobre tipos abertos que exigem do operador subsunção fundamentada e motivada; é exercido como poder-dever e não como faculdade; tem na dosimetria e na prescrição dois dos seus pontos de maior exigência técnica; e é uniformizado, mas não vinculado, pelas Notas Técnicas da CRG/CGU. O operador que compreende essas premissas utilizará a ferramenta como ela foi projetada: como instrumento de organização do raciocínio disciplinar que devolve ao operador, não substitui, o juízo de responsabilidade que compete à autoridade competente exercer.</w:t>
      </w:r>
    </w:p>
    <w:p w14:paraId="38C958F3" w14:textId="77777777" w:rsidR="00287D58" w:rsidRDefault="003B78AF">
      <w:r>
        <w:br w:type="page"/>
      </w:r>
    </w:p>
    <w:p w14:paraId="1F6643B0"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CAPÍTULO 2</w:t>
      </w:r>
    </w:p>
    <w:p w14:paraId="313F6F82" w14:textId="77777777" w:rsidR="00287D58" w:rsidRDefault="003B78AF">
      <w:pPr>
        <w:pStyle w:val="Ttulo1"/>
        <w:keepNext/>
        <w:pBdr>
          <w:bottom w:val="single" w:sz="12" w:space="6" w:color="C9A35C"/>
        </w:pBdr>
        <w:spacing w:line="400" w:lineRule="exact"/>
      </w:pPr>
      <w:bookmarkStart w:id="15" w:name="_Toc238022010"/>
      <w:r>
        <w:t>2. AGRESSÃO FÍSICA NO SERVIÇO PÚBLICO FEDERAL: O ÚNICO TIPO DISCIPLINAR DE VIOLÊNCIA FÍSICA E OS SEUS LIMITES INTERPRETATIVOS</w:t>
      </w:r>
      <w:bookmarkEnd w:id="15"/>
    </w:p>
    <w:p w14:paraId="69A5AD62" w14:textId="77777777" w:rsidR="00061A41" w:rsidRPr="00061A41" w:rsidRDefault="00061A41" w:rsidP="00061A41">
      <w:pPr>
        <w:pStyle w:val="Ttulo2"/>
        <w:keepNext/>
      </w:pPr>
      <w:bookmarkStart w:id="16" w:name="_Toc238022011"/>
      <w:r>
        <w:t>2.1 Fundamento e bem jurídico tutelado</w:t>
      </w:r>
      <w:bookmarkEnd w:id="16"/>
    </w:p>
    <w:p w14:paraId="13F97CAB" w14:textId="77777777" w:rsidR="00061A41" w:rsidRPr="00061A41" w:rsidRDefault="00061A41" w:rsidP="00061A41">
      <w:pPr>
        <w:spacing w:after="120"/>
        <w:jc w:val="both"/>
        <w:rPr>
          <w:sz w:val="21"/>
          <w:szCs w:val="21"/>
        </w:rPr>
      </w:pPr>
      <w:r>
        <w:rPr>
          <w:sz w:val="21"/>
          <w:szCs w:val="21"/>
        </w:rPr>
        <w:t>A previsão do art. 132, inciso VII, da Lei nº 8.112, de 1990 expressa uma das raras hipóteses em que o estatuto disciplinar federal utiliza tipo relativamente fechado, com elementos objetivos claramente delineados, em vez de recorrer à cláusula geral que caracteriza os deveres do art. 116. A especificidade não é casual: a violência física no ambiente de trabalho compromete simultaneamente dois bens jurídicos de natureza distinta. No plano externo, viola a integridade física da vítima, servidor ou particular, e o dever geral de respeito à dignidade da pessoa humana, consagrado no art. 1º, III, da Constituição Federal. No plano interno, desestrutura o ambiente de trabalho, afeta a hierarquia e o prestígio institucional da Administração Pública e demonstra incompatibilidade do agente com o exercício regular de cargo público, cuja essência é o serviço ordenado ao interesse coletivo.</w:t>
      </w:r>
    </w:p>
    <w:p w14:paraId="65306D75" w14:textId="77777777" w:rsidR="00061A41" w:rsidRPr="00061A41" w:rsidRDefault="00061A41" w:rsidP="00061A41">
      <w:pPr>
        <w:spacing w:after="120"/>
        <w:jc w:val="both"/>
        <w:rPr>
          <w:sz w:val="21"/>
          <w:szCs w:val="21"/>
        </w:rPr>
      </w:pPr>
      <w:r>
        <w:rPr>
          <w:b/>
          <w:bCs/>
          <w:sz w:val="21"/>
          <w:szCs w:val="21"/>
        </w:rPr>
        <w:t>Hely Lopes Meirelles</w:t>
      </w:r>
      <w:r>
        <w:rPr>
          <w:sz w:val="21"/>
          <w:szCs w:val="21"/>
        </w:rPr>
        <w:t xml:space="preserve"> sintetizou que o processo disciplinar existe para apurar e punir "faltas graves dos servidores públicos e demais pessoas sujeitas ao regime funcional", sendo a agressão física em serviço paradigma dessas faltas em razão da gravidade intrínseca da violência exercida no espaço institucional</w:t>
      </w:r>
      <w:r>
        <w:rPr>
          <w:rStyle w:val="Refdenotaderodap"/>
          <w:sz w:val="21"/>
          <w:szCs w:val="21"/>
        </w:rPr>
        <w:footnoteReference w:id="12"/>
      </w:r>
      <w:r>
        <w:rPr>
          <w:sz w:val="21"/>
          <w:szCs w:val="21"/>
        </w:rPr>
        <w:t>. A gravidade justifica a resposta mais severa prevista no estatuto: a demissão.</w:t>
      </w:r>
    </w:p>
    <w:p w14:paraId="0DE40A55" w14:textId="77777777" w:rsidR="00061A41" w:rsidRPr="00061A41" w:rsidRDefault="00061A41" w:rsidP="00061A41">
      <w:pPr>
        <w:pStyle w:val="Ttulo2"/>
        <w:keepNext/>
      </w:pPr>
      <w:bookmarkStart w:id="17" w:name="_Toc238022012"/>
      <w:r>
        <w:t>2.2 Os elementos constitutivos do tipo</w:t>
      </w:r>
      <w:bookmarkEnd w:id="17"/>
    </w:p>
    <w:p w14:paraId="006D16C8" w14:textId="77777777" w:rsidR="00061A41" w:rsidRPr="00061A41" w:rsidRDefault="00061A41" w:rsidP="00061A41">
      <w:pPr>
        <w:spacing w:after="120"/>
        <w:jc w:val="both"/>
        <w:rPr>
          <w:sz w:val="21"/>
          <w:szCs w:val="21"/>
        </w:rPr>
      </w:pPr>
      <w:r>
        <w:rPr>
          <w:sz w:val="21"/>
          <w:szCs w:val="21"/>
        </w:rPr>
        <w:t>A configuração da infração prevista no art. 132, VII, exige a presença cumulativa de três elementos objetivos:</w:t>
      </w:r>
    </w:p>
    <w:p w14:paraId="740F9719" w14:textId="77777777" w:rsidR="00061A41" w:rsidRPr="00082F18" w:rsidRDefault="00061A41" w:rsidP="00061A41">
      <w:pPr>
        <w:spacing w:after="120"/>
        <w:jc w:val="both"/>
        <w:rPr>
          <w:sz w:val="21"/>
          <w:szCs w:val="21"/>
        </w:rPr>
      </w:pPr>
      <w:r>
        <w:rPr>
          <w:sz w:val="21"/>
          <w:szCs w:val="21"/>
        </w:rPr>
        <w:t>a) Contato físico ofensivo. A expressão "ofensa física" designa qualquer conduta que importe em violência corporal direta contra a vítima: socos, tapas, empurrões com força, chutes, mordidas, arremesso de objetos que atinjam o corpo, ou qualquer outro meio de força física empregado contra a integridade corporal de outrem. Por ser um tipo administrativo incompleto e necessitar complementação normativa, recorre-se aos conceitos do Direito Penal, tendo em vista a similitude do tema, remete, assim, ao art. 129 do Código Penal (lesão corporal) e às suas formas qualificadas como parâmetro de interpretação. Ameaças verbais, insultos, gestos intimidatórios e contato de mínima intensidade (como um toque leve no ombro) não constituem "ofensa física" para fins disciplinares, podem configurar outras infrações (urbanidade, moralidade), mas não o tipo do inciso VII.</w:t>
      </w:r>
    </w:p>
    <w:p w14:paraId="15248CE0" w14:textId="77777777" w:rsidR="00061A41" w:rsidRPr="00F0268A" w:rsidRDefault="00061A41" w:rsidP="00061A41">
      <w:pPr>
        <w:spacing w:after="120"/>
        <w:jc w:val="both"/>
        <w:rPr>
          <w:sz w:val="21"/>
          <w:szCs w:val="21"/>
        </w:rPr>
      </w:pPr>
      <w:r>
        <w:rPr>
          <w:sz w:val="21"/>
          <w:szCs w:val="21"/>
        </w:rPr>
        <w:t xml:space="preserve">b) O nexo com o serviço ("em serviço"). O elemento locativo-funcional "em serviço" é decisivo e merece atenção particular. A jurisprudência firmou que a expressão não se satisfaz com a mera presença do agente no local de trabalho: exige que o servidor esteja efetivamente no exercício de suas atribuições funcionais ou que a conduta decorra, direta ou indiretamente, do exercício dessas atribuições. Por essa razão, o Tribunal Regional Federal da 5ª Região assentou que "o artigo 132, VII, da Lei nº 8.112, de 1990 estabelece que o agente deve estar em serviço para configurar a infração prevista naquele dispositivo legal, não podendo o mesmo ser aplicado aos servidores que estejam de férias ou em licença". A agressão ocorrida em folga, em ambiente doméstico ou em contexto absolutamente alheio </w:t>
      </w:r>
      <w:r>
        <w:rPr>
          <w:sz w:val="21"/>
          <w:szCs w:val="21"/>
        </w:rPr>
        <w:lastRenderedPageBreak/>
        <w:t>à função pública não encontra amparo no inciso VII, sem prejuízo de outros enquadramentos disciplinares, se a conduta projetar reflexo funcional (</w:t>
      </w:r>
      <w:proofErr w:type="spellStart"/>
      <w:r>
        <w:rPr>
          <w:sz w:val="21"/>
          <w:szCs w:val="21"/>
        </w:rPr>
        <w:t>arts</w:t>
      </w:r>
      <w:proofErr w:type="spellEnd"/>
      <w:r>
        <w:rPr>
          <w:sz w:val="21"/>
          <w:szCs w:val="21"/>
        </w:rPr>
        <w:t>. 116, IX, ou 132, I, conforme o caso).</w:t>
      </w:r>
    </w:p>
    <w:p w14:paraId="363D36E1" w14:textId="77777777" w:rsidR="00061A41" w:rsidRPr="00B94485" w:rsidRDefault="00061A41" w:rsidP="00061A41">
      <w:pPr>
        <w:spacing w:after="120"/>
        <w:jc w:val="both"/>
        <w:rPr>
          <w:sz w:val="21"/>
          <w:szCs w:val="21"/>
        </w:rPr>
      </w:pPr>
      <w:r>
        <w:rPr>
          <w:sz w:val="21"/>
          <w:szCs w:val="21"/>
        </w:rPr>
        <w:t>c) Sujeito passivo: servidor ou particular. O tipo protege tanto o colega de trabalho, independentemente de hierarquia, podendo ser superior, par ou subordinado, quanto o particular que esteja presente no ambiente de trabalho: usuário do serviço, prestador, visitante ou qualquer pessoa física que se encontre na repartição. A amplitude do sujeito passivo revela a preocupação do legislador em tutelar não apenas as relações internas da Administração, mas também a confiança do cidadão na instituição pública e na integridade de seus agentes.</w:t>
      </w:r>
    </w:p>
    <w:p w14:paraId="656F36D8" w14:textId="77777777" w:rsidR="00061A41" w:rsidRPr="00061A41" w:rsidRDefault="00061A41" w:rsidP="00061A41">
      <w:pPr>
        <w:pStyle w:val="Ttulo2"/>
        <w:keepNext/>
      </w:pPr>
      <w:bookmarkStart w:id="18" w:name="_Toc238022013"/>
      <w:r>
        <w:t>2.3 A excludente de legítima defesa e o problema do excesso</w:t>
      </w:r>
      <w:bookmarkEnd w:id="18"/>
    </w:p>
    <w:p w14:paraId="7697E5E4" w14:textId="77777777" w:rsidR="00061A41" w:rsidRPr="00061A41" w:rsidRDefault="00061A41" w:rsidP="00061A41">
      <w:pPr>
        <w:spacing w:after="120"/>
        <w:jc w:val="both"/>
        <w:rPr>
          <w:sz w:val="21"/>
          <w:szCs w:val="21"/>
        </w:rPr>
      </w:pPr>
      <w:r>
        <w:rPr>
          <w:sz w:val="21"/>
          <w:szCs w:val="21"/>
        </w:rPr>
        <w:t xml:space="preserve">O art. 132, VII, contém ressalva expressa de legítima defesa, "salvo em legítima defesa própria ou de outrem", tornando-se uma das raras hipóteses do estatuto disciplinar federal que positivam uma excludente de ilicitude diretamente no texto da norma. Para o preenchimento do conteúdo dessa excludente, a doutrina e a prática disciplinar recorrem por analogia ao Código Penal, aplicando os requisitos dos </w:t>
      </w:r>
      <w:proofErr w:type="spellStart"/>
      <w:r>
        <w:rPr>
          <w:sz w:val="21"/>
          <w:szCs w:val="21"/>
        </w:rPr>
        <w:t>arts</w:t>
      </w:r>
      <w:proofErr w:type="spellEnd"/>
      <w:r>
        <w:rPr>
          <w:sz w:val="21"/>
          <w:szCs w:val="21"/>
        </w:rPr>
        <w:t>. 23, II, e 25, que definem: "entende-se em legítima defesa quem, usando moderadamente dos meios necessários, repele injusta agressão, atual ou iminente, a direito seu ou de outrem".</w:t>
      </w:r>
    </w:p>
    <w:p w14:paraId="3C5B4B79" w14:textId="77777777" w:rsidR="00061A41" w:rsidRPr="00061A41" w:rsidRDefault="00061A41" w:rsidP="00061A41">
      <w:pPr>
        <w:spacing w:after="120"/>
        <w:jc w:val="both"/>
        <w:rPr>
          <w:sz w:val="21"/>
          <w:szCs w:val="21"/>
        </w:rPr>
      </w:pPr>
      <w:r>
        <w:rPr>
          <w:sz w:val="21"/>
          <w:szCs w:val="21"/>
        </w:rPr>
        <w:t>São requisitos cumulativos para o reconhecimento da excludente:</w:t>
      </w:r>
    </w:p>
    <w:p w14:paraId="156B2D50" w14:textId="77777777" w:rsidR="00061A41" w:rsidRPr="008D0CA3" w:rsidRDefault="00061A41" w:rsidP="00061A41">
      <w:pPr>
        <w:spacing w:after="120"/>
        <w:jc w:val="both"/>
        <w:rPr>
          <w:sz w:val="21"/>
          <w:szCs w:val="21"/>
        </w:rPr>
      </w:pPr>
      <w:r>
        <w:rPr>
          <w:sz w:val="21"/>
          <w:szCs w:val="21"/>
        </w:rPr>
        <w:t xml:space="preserve">I. Agressão injusta. A reação deve responder a uma agressão que não seja autorizada pelo direito, isto é, que não constitua exercício regular de poder disciplinar, coação legítima ou ato funcional de qualquer natureza. Não há legítima defesa </w:t>
      </w:r>
      <w:proofErr w:type="gramStart"/>
      <w:r>
        <w:rPr>
          <w:sz w:val="21"/>
          <w:szCs w:val="21"/>
        </w:rPr>
        <w:t>contra ordem</w:t>
      </w:r>
      <w:proofErr w:type="gramEnd"/>
      <w:r>
        <w:rPr>
          <w:sz w:val="21"/>
          <w:szCs w:val="21"/>
        </w:rPr>
        <w:t xml:space="preserve"> funcional legal, ainda que inconveniente ao servidor.</w:t>
      </w:r>
    </w:p>
    <w:p w14:paraId="4BB60D0F" w14:textId="77777777" w:rsidR="00061A41" w:rsidRPr="008D0CA3" w:rsidRDefault="00061A41" w:rsidP="00061A41">
      <w:pPr>
        <w:spacing w:after="120"/>
        <w:jc w:val="both"/>
        <w:rPr>
          <w:sz w:val="21"/>
          <w:szCs w:val="21"/>
        </w:rPr>
      </w:pPr>
      <w:r>
        <w:rPr>
          <w:sz w:val="21"/>
          <w:szCs w:val="21"/>
        </w:rPr>
        <w:t>II. Atualidade ou iminência da agressão. A reação defensiva deve ocorrer durante a agressão em curso ou imediatamente antes de ela se iniciar, quando sua ocorrência for iminente e certa. A reação após a cessação da agressão, a chamada legítima defesa sucessiva ou diferida, não está coberta pela excludente e configura conduta autônoma e ilícita. A contemporaneidade entre agressão e reação é requisito inafastável.</w:t>
      </w:r>
    </w:p>
    <w:p w14:paraId="221FDEBA" w14:textId="77777777" w:rsidR="00061A41" w:rsidRPr="008D0CA3" w:rsidRDefault="00061A41" w:rsidP="00061A41">
      <w:pPr>
        <w:spacing w:after="120"/>
        <w:jc w:val="both"/>
        <w:rPr>
          <w:sz w:val="21"/>
          <w:szCs w:val="21"/>
        </w:rPr>
      </w:pPr>
      <w:r>
        <w:rPr>
          <w:sz w:val="21"/>
          <w:szCs w:val="21"/>
        </w:rPr>
        <w:t>III. Uso moderado dos meios necessários. A reação deve ser proporcional à agressão sofrida, empregando o mínimo necessário para a repelir. O critério é objetivo: avalia-se se meios menos danosos, razoavelmente disponíveis no momento, seriam capazes de afastar a agressão. Não se exige do servidor o cálculo frio de um especialista em situação de perigo, mas exige-se que a resposta não seja manifestamente desproporcional.</w:t>
      </w:r>
    </w:p>
    <w:p w14:paraId="3BB05D16" w14:textId="77777777" w:rsidR="00061A41" w:rsidRPr="008D0CA3" w:rsidRDefault="00061A41" w:rsidP="00061A41">
      <w:pPr>
        <w:spacing w:after="120"/>
        <w:jc w:val="both"/>
        <w:rPr>
          <w:sz w:val="21"/>
          <w:szCs w:val="21"/>
        </w:rPr>
      </w:pPr>
      <w:r>
        <w:rPr>
          <w:sz w:val="21"/>
          <w:szCs w:val="21"/>
        </w:rPr>
        <w:t xml:space="preserve">IV. Defesa de direito próprio ou de outrem. A excludente cobre não apenas a autodefesa, mas também a defesa de terceiro que esteja sendo agredido no ambiente de trabalho (colega, usuário, </w:t>
      </w:r>
      <w:proofErr w:type="gramStart"/>
      <w:r>
        <w:rPr>
          <w:sz w:val="21"/>
          <w:szCs w:val="21"/>
        </w:rPr>
        <w:t xml:space="preserve">visitante </w:t>
      </w:r>
      <w:proofErr w:type="spellStart"/>
      <w:r>
        <w:rPr>
          <w:sz w:val="21"/>
          <w:szCs w:val="21"/>
        </w:rPr>
        <w:t>etc</w:t>
      </w:r>
      <w:proofErr w:type="spellEnd"/>
      <w:proofErr w:type="gramEnd"/>
      <w:r>
        <w:rPr>
          <w:sz w:val="21"/>
          <w:szCs w:val="21"/>
        </w:rPr>
        <w:t>). Essa extensão é expressamente reconhecida no próprio texto do art. 132, VII, ao incluir "legítima defesa de outrem".</w:t>
      </w:r>
    </w:p>
    <w:p w14:paraId="77EFF4D3" w14:textId="77777777" w:rsidR="00061A41" w:rsidRDefault="00061A41" w:rsidP="00061A41">
      <w:pPr>
        <w:spacing w:after="120"/>
        <w:jc w:val="both"/>
        <w:rPr>
          <w:sz w:val="21"/>
          <w:szCs w:val="21"/>
        </w:rPr>
      </w:pPr>
      <w:r>
        <w:rPr>
          <w:sz w:val="21"/>
          <w:szCs w:val="21"/>
        </w:rPr>
        <w:t xml:space="preserve">O ponto de maior relevância prática é o excesso, regulado pelo art. 23, parágrafo único, do Código Penal: "O agente, em qualquer das hipóteses deste artigo, responderá pelo excesso doloso ou culposo." O excesso doloso ocorre quando o servidor, já tendo cessado a agressão ou já a tendo repelido com sucesso, deliberadamente prossegue na violência com intenção de causar dano. O excesso culposo ocorre quando o servidor, por imprudência ou descontrole emocional, ultrapassa sem intenção os limites necessários à defesa. Em ambos os casos, o excesso não está coberto pela excludente: o servidor </w:t>
      </w:r>
      <w:r>
        <w:rPr>
          <w:sz w:val="21"/>
          <w:szCs w:val="21"/>
        </w:rPr>
        <w:lastRenderedPageBreak/>
        <w:t>responde disciplinarmente, e eventualmente nas demais instâncias, pela conduta excessiva. Cessada a agressão sofrida, cessa também o direito de reagir.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313D26" w14:paraId="7DE11DB8" w14:textId="77777777" w:rsidTr="000D5BD8">
        <w:tc>
          <w:tcPr>
            <w:tcW w:w="9070" w:type="dxa"/>
            <w:tcBorders>
              <w:left w:val="single" w:sz="24" w:space="0" w:color="B7791F"/>
            </w:tcBorders>
            <w:shd w:val="clear" w:color="auto" w:fill="F6ECD7"/>
            <w:tcMar>
              <w:top w:w="120" w:type="dxa"/>
              <w:left w:w="200" w:type="dxa"/>
              <w:bottom w:w="120" w:type="dxa"/>
              <w:right w:w="160" w:type="dxa"/>
            </w:tcMar>
          </w:tcPr>
          <w:p w14:paraId="4B9028B4" w14:textId="77777777" w:rsidR="00313D26" w:rsidRDefault="00313D26" w:rsidP="000D5BD8">
            <w:pPr>
              <w:spacing w:after="40"/>
            </w:pPr>
            <w:r>
              <w:rPr>
                <w:rFonts w:ascii="Barlow Condensed" w:eastAsia="Barlow Condensed" w:hAnsi="Barlow Condensed" w:cs="Barlow Condensed"/>
                <w:b/>
                <w:bCs/>
                <w:color w:val="B7791F"/>
                <w:spacing w:val="20"/>
                <w:sz w:val="16"/>
                <w:szCs w:val="16"/>
              </w:rPr>
              <w:t>CAUTELA</w:t>
            </w:r>
          </w:p>
          <w:p w14:paraId="74766A83" w14:textId="77777777" w:rsidR="00313D26" w:rsidRPr="00313D26" w:rsidRDefault="00313D26" w:rsidP="00313D26">
            <w:pPr>
              <w:spacing w:after="120"/>
              <w:jc w:val="both"/>
              <w:rPr>
                <w:sz w:val="21"/>
                <w:szCs w:val="21"/>
              </w:rPr>
            </w:pPr>
            <w:r>
              <w:rPr>
                <w:b/>
                <w:bCs/>
                <w:sz w:val="21"/>
                <w:szCs w:val="21"/>
              </w:rPr>
              <w:t>Repercussão da excludente na esfera criminal sobre o PAD.</w:t>
            </w:r>
            <w:r>
              <w:rPr>
                <w:sz w:val="21"/>
                <w:szCs w:val="21"/>
              </w:rPr>
              <w:t xml:space="preserve"> O Portal de Corregedorias do Governo Federal esclarece que, embora não expresso literalmente no art. 126 da Lei nº 8.112, de 1990, inclui-se como exceção à independência das instâncias "a possibilidade de a ação criminal comprovar a existência de excludente de ilicitude a favor do servidor (atuação ao amparo de estado de necessidade, legítima defesa, exercício regular de direito)". Assim, se a sentença penal </w:t>
            </w:r>
            <w:r>
              <w:rPr>
                <w:b/>
                <w:bCs/>
                <w:sz w:val="21"/>
                <w:szCs w:val="21"/>
              </w:rPr>
              <w:t>reconhecer categoricamente</w:t>
            </w:r>
            <w:r>
              <w:rPr>
                <w:sz w:val="21"/>
                <w:szCs w:val="21"/>
              </w:rPr>
              <w:t xml:space="preserve"> a legítima defesa, esse reconhecimento projeta eficácia sobre o PAD, vinculando a instância administrativa à conclusão de que não há ilicitude a punir.</w:t>
            </w:r>
          </w:p>
        </w:tc>
      </w:tr>
    </w:tbl>
    <w:p w14:paraId="403E1F0B" w14:textId="77777777" w:rsidR="00061A41" w:rsidRPr="00061A41" w:rsidRDefault="00061A41" w:rsidP="00061A41">
      <w:pPr>
        <w:pStyle w:val="Ttulo2"/>
        <w:keepNext/>
      </w:pPr>
      <w:bookmarkStart w:id="19" w:name="_Toc238022014"/>
      <w:r>
        <w:t>2.4 A natureza vinculada da demissão: Súmula 650/STJ</w:t>
      </w:r>
      <w:bookmarkEnd w:id="19"/>
    </w:p>
    <w:p w14:paraId="2A39C4EF" w14:textId="77777777" w:rsidR="00061A41" w:rsidRPr="00061A41" w:rsidRDefault="00061A41" w:rsidP="00061A41">
      <w:pPr>
        <w:spacing w:after="120"/>
        <w:jc w:val="both"/>
        <w:rPr>
          <w:sz w:val="21"/>
          <w:szCs w:val="21"/>
        </w:rPr>
      </w:pPr>
      <w:r>
        <w:rPr>
          <w:sz w:val="21"/>
          <w:szCs w:val="21"/>
        </w:rPr>
        <w:t xml:space="preserve">A consequência disciplinar da agressão física configurada é a demissão, e não há margem de escolha para a autoridade julgadora. O STJ consolidou esse entendimento na </w:t>
      </w:r>
      <w:r>
        <w:rPr>
          <w:b/>
          <w:bCs/>
          <w:sz w:val="21"/>
          <w:szCs w:val="21"/>
        </w:rPr>
        <w:t>Súmula nº 650</w:t>
      </w:r>
      <w:r>
        <w:rPr>
          <w:sz w:val="21"/>
          <w:szCs w:val="21"/>
        </w:rPr>
        <w:t xml:space="preserve"> (1ª Seção, aprovada em 22/9/2021, </w:t>
      </w:r>
      <w:proofErr w:type="spellStart"/>
      <w:r>
        <w:rPr>
          <w:sz w:val="21"/>
          <w:szCs w:val="21"/>
        </w:rPr>
        <w:t>DJe</w:t>
      </w:r>
      <w:proofErr w:type="spellEnd"/>
      <w:r>
        <w:rPr>
          <w:sz w:val="21"/>
          <w:szCs w:val="21"/>
        </w:rPr>
        <w:t xml:space="preserve"> 27/9/2021):</w:t>
      </w:r>
    </w:p>
    <w:p w14:paraId="0544D9CC" w14:textId="77777777" w:rsidR="00061A41" w:rsidRPr="00061A41" w:rsidRDefault="00061A41" w:rsidP="00061A41">
      <w:pPr>
        <w:spacing w:after="120"/>
        <w:jc w:val="both"/>
        <w:rPr>
          <w:sz w:val="21"/>
          <w:szCs w:val="21"/>
        </w:rPr>
      </w:pPr>
      <w:r>
        <w:rPr>
          <w:sz w:val="21"/>
          <w:szCs w:val="21"/>
        </w:rPr>
        <w:t>"A autoridade administrativa não dispõe de discricionariedade para aplicar ao servidor pena diversa de demissão quando caracterizadas as hipóteses previstas no art. 132 da Lei nº 8.112, de 1990."</w:t>
      </w:r>
    </w:p>
    <w:p w14:paraId="3D6419D6" w14:textId="77777777" w:rsidR="00061A41" w:rsidRPr="00061A41" w:rsidRDefault="00061A41" w:rsidP="00061A41">
      <w:pPr>
        <w:spacing w:after="120"/>
        <w:jc w:val="both"/>
        <w:rPr>
          <w:sz w:val="21"/>
          <w:szCs w:val="21"/>
        </w:rPr>
      </w:pPr>
      <w:r>
        <w:rPr>
          <w:sz w:val="21"/>
          <w:szCs w:val="21"/>
        </w:rPr>
        <w:t xml:space="preserve">A súmula tem consequência processual precisa: argumentos de proporcionalidade, razoabilidade, tempo de serviço ou ausência de antecedentes funcionais são inservíveis para afastar ou abrandar a demissão nas hipóteses do art. 132. Como explicita o </w:t>
      </w:r>
      <w:r>
        <w:rPr>
          <w:i/>
          <w:iCs/>
          <w:sz w:val="21"/>
          <w:szCs w:val="21"/>
        </w:rPr>
        <w:t>Dizer o Direito</w:t>
      </w:r>
      <w:r>
        <w:rPr>
          <w:sz w:val="21"/>
          <w:szCs w:val="21"/>
        </w:rPr>
        <w:t>: "o administrador não tem qualquer margem de discricionariedade na aplicação da pena, tratando-se de ato plenamente vinculado. Logo, deverá ser aplicada a pena de demissão". Isso não significa que os antecedentes funcionais sejam irrelevantes em absoluto, eles integram o conjunto de elementos que podem sustentar, em grau de recurso ou revisão judicial, argumentos de desconstrução do próprio enquadramento, mas não têm força para substituir a penalidade legalmente imposta.</w:t>
      </w:r>
    </w:p>
    <w:p w14:paraId="443FFF75" w14:textId="77777777" w:rsidR="00061A41" w:rsidRPr="00061A41" w:rsidRDefault="00061A41" w:rsidP="00061A41">
      <w:pPr>
        <w:spacing w:after="120"/>
        <w:jc w:val="both"/>
        <w:rPr>
          <w:sz w:val="21"/>
          <w:szCs w:val="21"/>
        </w:rPr>
      </w:pPr>
      <w:r>
        <w:rPr>
          <w:sz w:val="21"/>
          <w:szCs w:val="21"/>
        </w:rPr>
        <w:t>O art. 128 da Lei nº 8.112, de 1990, que regula a dosimetria das penalidades, não se aplica às hipóteses do art. 132: não há faixa de graduação quando a lei fixa penalidade única e obrigatória. O art. 128 opera no espaço de discricionariedade restrita das hipóteses de advertência e suspensão; para as condutas demissórias taxativas do art. 132, sua função é apenas garantir a motivação do ato, a descrição fundamentada dos fatos que satisfazem cada elemento do tipo.</w:t>
      </w:r>
    </w:p>
    <w:p w14:paraId="663807BD" w14:textId="77777777" w:rsidR="00061A41" w:rsidRPr="00061A41" w:rsidRDefault="00061A41" w:rsidP="00061A41">
      <w:pPr>
        <w:pStyle w:val="Ttulo2"/>
        <w:keepNext/>
      </w:pPr>
      <w:bookmarkStart w:id="20" w:name="_Toc238022015"/>
      <w:r>
        <w:t>2.5 A independência das instâncias e seus limites</w:t>
      </w:r>
      <w:bookmarkEnd w:id="20"/>
    </w:p>
    <w:p w14:paraId="0E8DCE81" w14:textId="77777777" w:rsidR="00061A41" w:rsidRPr="00061A41" w:rsidRDefault="00061A41" w:rsidP="00061A41">
      <w:pPr>
        <w:spacing w:after="120"/>
        <w:jc w:val="both"/>
        <w:rPr>
          <w:sz w:val="21"/>
          <w:szCs w:val="21"/>
        </w:rPr>
      </w:pPr>
      <w:r>
        <w:rPr>
          <w:sz w:val="21"/>
          <w:szCs w:val="21"/>
        </w:rPr>
        <w:t xml:space="preserve">A Lei nº 8.112, de 1990 positivou, nos </w:t>
      </w:r>
      <w:proofErr w:type="spellStart"/>
      <w:r>
        <w:rPr>
          <w:sz w:val="21"/>
          <w:szCs w:val="21"/>
        </w:rPr>
        <w:t>arts</w:t>
      </w:r>
      <w:proofErr w:type="spellEnd"/>
      <w:r>
        <w:rPr>
          <w:sz w:val="21"/>
          <w:szCs w:val="21"/>
        </w:rPr>
        <w:t>. 125 e 126, o regime de independência e de eventual comunicação entre as instâncias administrativa, civil e penal:</w:t>
      </w:r>
    </w:p>
    <w:p w14:paraId="7137F377" w14:textId="77777777" w:rsidR="00061A41" w:rsidRPr="000E5F7A" w:rsidRDefault="00061A41" w:rsidP="00061A41">
      <w:pPr>
        <w:spacing w:after="120"/>
        <w:jc w:val="both"/>
        <w:rPr>
          <w:sz w:val="21"/>
          <w:szCs w:val="21"/>
        </w:rPr>
      </w:pPr>
      <w:r>
        <w:rPr>
          <w:sz w:val="21"/>
          <w:szCs w:val="21"/>
        </w:rPr>
        <w:t>Regra geral, independência (art. 125): "As sanções civis, penais e administrativas poderão cumular-se, sendo independentes entre si." A instauração e o prosseguimento do PAD não dependem do andamento de inquérito ou ação penal; a punição disciplinar pode ser aplicada antes, durante ou depois do processo criminal; a absolvição penal por insuficiência de provas não vincula a esfera administrativa.</w:t>
      </w:r>
    </w:p>
    <w:p w14:paraId="0A841CD0" w14:textId="77777777" w:rsidR="00061A41" w:rsidRPr="000E5F7A" w:rsidRDefault="00061A41" w:rsidP="00061A41">
      <w:pPr>
        <w:spacing w:after="120"/>
        <w:jc w:val="both"/>
        <w:rPr>
          <w:sz w:val="21"/>
          <w:szCs w:val="21"/>
        </w:rPr>
      </w:pPr>
      <w:r>
        <w:rPr>
          <w:sz w:val="21"/>
          <w:szCs w:val="21"/>
        </w:rPr>
        <w:t xml:space="preserve">Exceção, comunicabilidade (art. 126): "A responsabilidade administrativa do servidor será afastada no caso de absolvição criminal que negue a existência do fato ou sua autoria." A repercussão penal no PAD </w:t>
      </w:r>
      <w:r>
        <w:rPr>
          <w:sz w:val="21"/>
          <w:szCs w:val="21"/>
        </w:rPr>
        <w:lastRenderedPageBreak/>
        <w:t>exige decisão criminal categórica que negue: (a) que o fato ocorreu (inexistência material); ou (b) que o servidor foi o autor (negação da autoria). A absolvição por dúvida, insuficiência probatória (art. 386, VII, do CPP) ou por causas que não impliquem negação do fato e da autoria não vincula a instância administrativa, o servidor pode, nesses casos, ser demitido mesmo após absolvição penal.</w:t>
      </w:r>
    </w:p>
    <w:p w14:paraId="0951FF5A" w14:textId="77777777" w:rsidR="00061A41" w:rsidRPr="00061A41" w:rsidRDefault="00061A41" w:rsidP="00061A41">
      <w:pPr>
        <w:spacing w:after="120"/>
        <w:jc w:val="both"/>
        <w:rPr>
          <w:sz w:val="21"/>
          <w:szCs w:val="21"/>
        </w:rPr>
      </w:pPr>
      <w:r>
        <w:rPr>
          <w:sz w:val="21"/>
          <w:szCs w:val="21"/>
        </w:rPr>
        <w:t>Como sintetiza a jurisprudência do STF: "Pela falta residual, não compreendida na absolvição pelo juízo criminal, é admissível a punição administrativa do servidor público." A especificidade da esfera disciplinar reside em que ela tutela o interesse funcional da Administração, a manutenção da ética e da integridade do serviço público, enquanto a esfera penal tutela a coletividade mais amplamente; os objetos de proteção são distintos, o que explica a compatibilidade de resultados diferentes nas duas instâncias.</w:t>
      </w:r>
    </w:p>
    <w:p w14:paraId="29BDE47B" w14:textId="77777777" w:rsidR="00061A41" w:rsidRPr="00061A41" w:rsidRDefault="00061A41" w:rsidP="00061A41">
      <w:pPr>
        <w:pStyle w:val="Ttulo2"/>
        <w:keepNext/>
      </w:pPr>
      <w:bookmarkStart w:id="21" w:name="_Toc238022016"/>
      <w:r>
        <w:t>2.6 Síntese operacional: como a ferramenta trata a agressão física</w:t>
      </w:r>
      <w:bookmarkEnd w:id="21"/>
    </w:p>
    <w:p w14:paraId="74F312C7" w14:textId="77777777" w:rsidR="00061A41" w:rsidRPr="00061A41" w:rsidRDefault="00061A41" w:rsidP="00061A41">
      <w:pPr>
        <w:spacing w:after="120"/>
        <w:jc w:val="both"/>
        <w:rPr>
          <w:sz w:val="21"/>
          <w:szCs w:val="21"/>
        </w:rPr>
      </w:pPr>
      <w:r>
        <w:rPr>
          <w:sz w:val="21"/>
          <w:szCs w:val="21"/>
        </w:rPr>
        <w:t xml:space="preserve">O Eixo 1 da ferramenta </w:t>
      </w:r>
      <w:proofErr w:type="spellStart"/>
      <w:r>
        <w:rPr>
          <w:sz w:val="21"/>
          <w:szCs w:val="21"/>
        </w:rPr>
        <w:t>Integritas</w:t>
      </w:r>
      <w:proofErr w:type="spellEnd"/>
      <w:r>
        <w:rPr>
          <w:sz w:val="21"/>
          <w:szCs w:val="21"/>
        </w:rPr>
        <w:t xml:space="preserve"> corresponde ao art. 132, VII. O fluxo decisório é deliberadamente simples em razão da tipicidade mais fechada desse dispositivo: a ferramenta avalia a presença do contato físico, do nexo com o serviço e da possível excludente de legítima defesa. Verificados os dois primeiros elementos e afastada a excludente, o resultado é invariavelmente o enquadramento em demissão. A simplicidade do fluxo expressa a rigidez da norma: aqui, mais do que em qualquer outro eixo da ferramenta, a tarefa do operador é provar os fatos, não ponderar a penalidade.</w:t>
      </w:r>
    </w:p>
    <w:p w14:paraId="2C24632A" w14:textId="77777777" w:rsidR="00287D58" w:rsidRDefault="00287D58">
      <w:pPr>
        <w:spacing w:after="120"/>
        <w:jc w:val="both"/>
      </w:pPr>
    </w:p>
    <w:p w14:paraId="0AFD1A4D" w14:textId="77777777" w:rsidR="00287D58" w:rsidRDefault="003B78AF">
      <w:r>
        <w:br w:type="page"/>
      </w:r>
    </w:p>
    <w:p w14:paraId="2AE6BFDC"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CAPÍTULO 3</w:t>
      </w:r>
    </w:p>
    <w:p w14:paraId="715B2420" w14:textId="77777777" w:rsidR="00287D58" w:rsidRDefault="003B78AF">
      <w:pPr>
        <w:pStyle w:val="Ttulo1"/>
        <w:keepNext/>
        <w:pBdr>
          <w:bottom w:val="single" w:sz="12" w:space="6" w:color="C9A35C"/>
        </w:pBdr>
        <w:spacing w:line="400" w:lineRule="exact"/>
      </w:pPr>
      <w:bookmarkStart w:id="22" w:name="_Toc238022017"/>
      <w:r>
        <w:t>3. AMEAÇA NO SERVIÇO PÚBLICO FEDERAL: VIOLÊNCIA PSICOLÓGICA, SILÊNCIO LEGISLATIVO E O ENQUADRAMENTO PELA NT Nº 544/2024</w:t>
      </w:r>
      <w:bookmarkEnd w:id="22"/>
    </w:p>
    <w:p w14:paraId="5085CB39" w14:textId="77777777" w:rsidR="00287D58" w:rsidRDefault="003B78AF">
      <w:pPr>
        <w:pStyle w:val="Ttulo2"/>
        <w:keepNext/>
      </w:pPr>
      <w:bookmarkStart w:id="23" w:name="_Toc238022018"/>
      <w:r>
        <w:t>3.1 O problema que a NT nº 544/2024 veio resolver</w:t>
      </w:r>
      <w:bookmarkEnd w:id="23"/>
    </w:p>
    <w:p w14:paraId="37D21D41" w14:textId="77777777" w:rsidR="00BA3590" w:rsidRPr="00BA3590" w:rsidRDefault="00BA3590" w:rsidP="00BA3590">
      <w:pPr>
        <w:spacing w:after="120"/>
        <w:jc w:val="both"/>
        <w:rPr>
          <w:sz w:val="21"/>
          <w:szCs w:val="21"/>
        </w:rPr>
      </w:pPr>
      <w:r>
        <w:rPr>
          <w:sz w:val="21"/>
          <w:szCs w:val="21"/>
        </w:rPr>
        <w:t xml:space="preserve">A conduta de ameaçar não encontra tipo disciplinar autônomo na Lei nº 8.112, de 1990. Ao contrário da agressão </w:t>
      </w:r>
      <w:proofErr w:type="spellStart"/>
      <w:proofErr w:type="gramStart"/>
      <w:r>
        <w:rPr>
          <w:sz w:val="21"/>
          <w:szCs w:val="21"/>
        </w:rPr>
        <w:t>física,que</w:t>
      </w:r>
      <w:proofErr w:type="spellEnd"/>
      <w:proofErr w:type="gramEnd"/>
      <w:r>
        <w:rPr>
          <w:sz w:val="21"/>
          <w:szCs w:val="21"/>
        </w:rPr>
        <w:t xml:space="preserve"> o art. 132, VII, tipifica com elementos relativamente precisos, a ameaça praticada por servidor público federal deve ser submetida a um processo de enquadramento por subsunção aos tipos abertos do estatuto, exigindo do operador uma avaliação cuidadosa da intensidade da conduta para que se identifique qual dispositivo melhor a recepciona. A própria NT nº 544/2024/CGUNE/DICOR/CRG reconhece essa dificuldade de saída: "Ressalte-se desde já a dificuldade de tratar dos casos de ameaça por conta da ausência de previsão da definição de um tipo específico na mencionada norma legal. Assim sendo, e considerando os tipos abertos da mencionada Lei nº 8.112, de 1990, o principal desafio é verificar qual a intensidade da conduta do agente que pratica a ameaça, o que pode ser determinante no sentido de abrir algumas opções de enquadramento dessa conduta irregular" (item 4.1).</w:t>
      </w:r>
    </w:p>
    <w:p w14:paraId="12B90E66" w14:textId="77777777" w:rsidR="00BA3590" w:rsidRPr="00BA3590" w:rsidRDefault="00BA3590" w:rsidP="00BA3590">
      <w:pPr>
        <w:spacing w:after="120"/>
        <w:jc w:val="both"/>
        <w:rPr>
          <w:sz w:val="21"/>
          <w:szCs w:val="21"/>
        </w:rPr>
      </w:pPr>
      <w:r>
        <w:rPr>
          <w:sz w:val="21"/>
          <w:szCs w:val="21"/>
        </w:rPr>
        <w:t xml:space="preserve">Essa característica (ausência de tipo específico + subsunção via tipos abertos + determinação pela intensidade) torna o capítulo da ameaça o mais exigente do ponto de vista do juízo disciplinar. A ferramenta </w:t>
      </w:r>
      <w:proofErr w:type="spellStart"/>
      <w:r>
        <w:rPr>
          <w:sz w:val="21"/>
          <w:szCs w:val="21"/>
        </w:rPr>
        <w:t>Integritas</w:t>
      </w:r>
      <w:proofErr w:type="spellEnd"/>
      <w:r>
        <w:rPr>
          <w:sz w:val="21"/>
          <w:szCs w:val="21"/>
        </w:rPr>
        <w:t xml:space="preserve"> organiza esse raciocínio em três eixos de gravidade derivados da NT nº 544/2024, com uma quarta rota de enquadramento que exige ressalva doutrinária específica, tratada na seção 3.4.</w:t>
      </w:r>
    </w:p>
    <w:p w14:paraId="606A12FA" w14:textId="77777777" w:rsidR="00BA3590" w:rsidRPr="00BA3590" w:rsidRDefault="00BA3590" w:rsidP="00BA3590">
      <w:pPr>
        <w:pStyle w:val="Ttulo2"/>
        <w:keepNext/>
      </w:pPr>
      <w:bookmarkStart w:id="24" w:name="_Toc238022019"/>
      <w:r>
        <w:t>3.2 O conceito de ameaça e seu referencial no Código Penal</w:t>
      </w:r>
      <w:bookmarkEnd w:id="24"/>
    </w:p>
    <w:p w14:paraId="6066FC4D" w14:textId="77777777" w:rsidR="00483A84" w:rsidRDefault="00483A84" w:rsidP="00483A84">
      <w:pPr>
        <w:spacing w:after="120"/>
        <w:jc w:val="both"/>
        <w:rPr>
          <w:sz w:val="21"/>
          <w:szCs w:val="21"/>
        </w:rPr>
      </w:pPr>
      <w:r>
        <w:rPr>
          <w:sz w:val="21"/>
          <w:szCs w:val="21"/>
        </w:rPr>
        <w:t xml:space="preserve">A Organização Mundial da Saúde (Relatório Mundial sobre Violência e Saúde, 2002) define violência abrangendo explicitamente a violência psicológica: "o uso intencional da força física ou do poder, real ou em ameaça". Bessel van der </w:t>
      </w:r>
      <w:proofErr w:type="spellStart"/>
      <w:r>
        <w:rPr>
          <w:sz w:val="21"/>
          <w:szCs w:val="21"/>
        </w:rPr>
        <w:t>Kolk</w:t>
      </w:r>
      <w:proofErr w:type="spellEnd"/>
      <w:r>
        <w:rPr>
          <w:sz w:val="21"/>
          <w:szCs w:val="21"/>
        </w:rPr>
        <w:t xml:space="preserve"> demonstrou que a resposta do organismo à ameaça, real ou percebida, ativa os mesmos circuitos neurais que a resposta à violência física consumada.</w:t>
      </w:r>
      <w:r>
        <w:rPr>
          <w:rStyle w:val="Refdenotaderodap"/>
          <w:sz w:val="21"/>
          <w:szCs w:val="21"/>
        </w:rPr>
        <w:footnoteReference w:id="13"/>
      </w:r>
      <w:r>
        <w:rPr>
          <w:sz w:val="21"/>
          <w:szCs w:val="21"/>
        </w:rPr>
        <w:t xml:space="preserve"> A vítima de ameaça grave vive em estado de alerta permanente, com custos cognitivos, emocionais e funcionais que comprometem diretamente a capacidade de trabalho.</w:t>
      </w:r>
    </w:p>
    <w:p w14:paraId="69E9FCFF" w14:textId="77777777" w:rsidR="00CE544C" w:rsidRDefault="00CE544C" w:rsidP="00CE544C">
      <w:pPr>
        <w:spacing w:after="120"/>
        <w:jc w:val="both"/>
        <w:rPr>
          <w:sz w:val="21"/>
          <w:szCs w:val="21"/>
        </w:rPr>
      </w:pPr>
      <w:r>
        <w:rPr>
          <w:sz w:val="21"/>
          <w:szCs w:val="21"/>
        </w:rPr>
        <w:t>A inexistência de definição autônoma no estatuto disciplinar reclama o recurso, por analogia, ao conceito do Código Penal. O art. 147 do Decreto-Lei nº 2.848/1940 (Código Penal) tipifica a ameaça como a conduta de "ameaçar alguém, por palavra, escrito ou gesto, ou qualquer outro meio simbólico, de causar-lhe mal injusto e grave", cominando pena de detenção de 1 a 6 meses, ou multa, condicionada à representação da vítima (art. 147, parágrafo único). O bem jurídico protegido é a liberdade psíquica da pessoa: a tutela recai sobre o equilíbrio emocional e a capacidade de autodeterminação da vontade, comprometidos pela promessa de mal futuro.</w:t>
      </w:r>
    </w:p>
    <w:p w14:paraId="509BB979" w14:textId="77777777" w:rsidR="00BA3590" w:rsidRPr="00BA3590" w:rsidRDefault="00BA3590" w:rsidP="00BA3590">
      <w:pPr>
        <w:spacing w:after="120"/>
        <w:jc w:val="both"/>
        <w:rPr>
          <w:sz w:val="21"/>
          <w:szCs w:val="21"/>
        </w:rPr>
      </w:pPr>
      <w:r>
        <w:rPr>
          <w:sz w:val="21"/>
          <w:szCs w:val="21"/>
        </w:rPr>
        <w:t>A doutrina penal consolidou dois requisitos normativos centrais do tipo:</w:t>
      </w:r>
    </w:p>
    <w:p w14:paraId="012733F2" w14:textId="77777777" w:rsidR="00BA3590" w:rsidRPr="004A0621" w:rsidRDefault="00BA3590" w:rsidP="00BA3590">
      <w:pPr>
        <w:spacing w:after="120"/>
        <w:jc w:val="both"/>
        <w:rPr>
          <w:sz w:val="21"/>
          <w:szCs w:val="21"/>
        </w:rPr>
      </w:pPr>
      <w:r>
        <w:rPr>
          <w:sz w:val="21"/>
          <w:szCs w:val="21"/>
        </w:rPr>
        <w:t xml:space="preserve">Injusto, o mal prometido não pode ter respaldo legal. Como observa Rogério Greco, "exige a lei penal, para fins de configuração do delito de ameaça, que o mal prenunciado pelo agente seja injusto e </w:t>
      </w:r>
      <w:r>
        <w:rPr>
          <w:sz w:val="21"/>
          <w:szCs w:val="21"/>
        </w:rPr>
        <w:lastRenderedPageBreak/>
        <w:t>grave".</w:t>
      </w:r>
      <w:r>
        <w:rPr>
          <w:rStyle w:val="Refdenotaderodap"/>
          <w:sz w:val="21"/>
          <w:szCs w:val="21"/>
        </w:rPr>
        <w:footnoteReference w:id="14"/>
      </w:r>
      <w:r>
        <w:rPr>
          <w:sz w:val="21"/>
          <w:szCs w:val="21"/>
        </w:rPr>
        <w:t xml:space="preserve"> Por isso, a comunicação de medidas legítimas, como a instauração de sindicância, a interposição de recurso ou a formalização de representação correcional, não configura ameaça típica, pois o mal anunciado é justo (tem amparo no ordenamento).</w:t>
      </w:r>
    </w:p>
    <w:p w14:paraId="58008E59" w14:textId="77777777" w:rsidR="00BA3590" w:rsidRPr="004A0621" w:rsidRDefault="00BA3590" w:rsidP="00BA3590">
      <w:pPr>
        <w:spacing w:after="120"/>
        <w:jc w:val="both"/>
        <w:rPr>
          <w:sz w:val="21"/>
          <w:szCs w:val="21"/>
        </w:rPr>
      </w:pPr>
      <w:r>
        <w:rPr>
          <w:sz w:val="21"/>
          <w:szCs w:val="21"/>
        </w:rPr>
        <w:t>Grave, o mal prometido deve ter extensão suficiente para intimidar um homem médio, consideradas as condições pessoais da vítima. A avaliação é objetiva-subjetiva: não basta que o agente subjetivamente intencione intimidar; é necessário que a ameaça seja, objetivamente, idônea a causar temor fundado. Nas palavras de Fernando Capez: "o mal prometido deve ser de importância capital para a vítima, de modo que seja capaz de intimidá-la".</w:t>
      </w:r>
      <w:r>
        <w:rPr>
          <w:rStyle w:val="Refdenotaderodap"/>
          <w:sz w:val="21"/>
          <w:szCs w:val="21"/>
        </w:rPr>
        <w:footnoteReference w:id="15"/>
      </w:r>
    </w:p>
    <w:p w14:paraId="2861D875" w14:textId="77777777" w:rsidR="00BA3590" w:rsidRDefault="00BA3590" w:rsidP="00BA3590">
      <w:pPr>
        <w:spacing w:after="120"/>
        <w:jc w:val="both"/>
        <w:rPr>
          <w:sz w:val="21"/>
          <w:szCs w:val="21"/>
        </w:rPr>
      </w:pPr>
      <w:r>
        <w:rPr>
          <w:sz w:val="21"/>
          <w:szCs w:val="21"/>
        </w:rPr>
        <w:t>O tipo é formal: consuma-se quando a vítima toma conhecimento da promessa de mal injusto e grave, independentemente de que se sinta efetivamente intimidada, embora a ausência de qualquer efeito intimidatório possa indicar a inidoneidade da ameaça para os fins do tipo. A tentativa é teoricamente admissível na forma escrita, de difícil configuração prática.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97737" w14:paraId="75FE3534" w14:textId="77777777" w:rsidTr="000D5BD8">
        <w:tc>
          <w:tcPr>
            <w:tcW w:w="9070" w:type="dxa"/>
            <w:tcBorders>
              <w:left w:val="single" w:sz="24" w:space="0" w:color="B7791F"/>
            </w:tcBorders>
            <w:shd w:val="clear" w:color="auto" w:fill="F6ECD7"/>
            <w:tcMar>
              <w:top w:w="120" w:type="dxa"/>
              <w:left w:w="200" w:type="dxa"/>
              <w:bottom w:w="120" w:type="dxa"/>
              <w:right w:w="160" w:type="dxa"/>
            </w:tcMar>
          </w:tcPr>
          <w:p w14:paraId="4CB9C390" w14:textId="77777777" w:rsidR="00697737" w:rsidRDefault="00697737" w:rsidP="000D5BD8">
            <w:pPr>
              <w:spacing w:after="40"/>
            </w:pPr>
            <w:r>
              <w:rPr>
                <w:rFonts w:ascii="Barlow Condensed" w:eastAsia="Barlow Condensed" w:hAnsi="Barlow Condensed" w:cs="Barlow Condensed"/>
                <w:b/>
                <w:bCs/>
                <w:color w:val="B7791F"/>
                <w:spacing w:val="20"/>
                <w:sz w:val="16"/>
                <w:szCs w:val="16"/>
              </w:rPr>
              <w:t>CAUTELA</w:t>
            </w:r>
          </w:p>
          <w:p w14:paraId="0D905AF6" w14:textId="77777777" w:rsidR="00697737" w:rsidRPr="00697737" w:rsidRDefault="00697737" w:rsidP="00C91E2E">
            <w:pPr>
              <w:spacing w:after="120" w:line="240" w:lineRule="auto"/>
              <w:jc w:val="both"/>
              <w:rPr>
                <w:sz w:val="21"/>
                <w:szCs w:val="21"/>
              </w:rPr>
            </w:pPr>
            <w:r>
              <w:rPr>
                <w:b/>
                <w:bCs/>
                <w:sz w:val="21"/>
                <w:szCs w:val="21"/>
              </w:rPr>
              <w:t>Ameaça legítima não é infração disciplinar.</w:t>
            </w:r>
            <w:r>
              <w:rPr>
                <w:sz w:val="21"/>
                <w:szCs w:val="21"/>
              </w:rPr>
              <w:t xml:space="preserve"> A advertência de que instaurará PAD, que representará à autoridade hierárquica, que divulgará o fato em canal oficial de denúncia ou que acionará o Ministério Público não constitui ameaça para fins disciplinares ou penais. Trata-se de exercício de direito assegurado pelo ordenamento. O servidor que ameaça com medidas legalmente disponíveis pratica ato legítimo.</w:t>
            </w:r>
          </w:p>
        </w:tc>
      </w:tr>
    </w:tbl>
    <w:p w14:paraId="344C01AE" w14:textId="77777777" w:rsidR="00697737" w:rsidRPr="004A0621" w:rsidRDefault="00697737" w:rsidP="00BA3590">
      <w:pPr>
        <w:spacing w:after="120"/>
        <w:jc w:val="both"/>
        <w:rPr>
          <w:sz w:val="21"/>
          <w:szCs w:val="21"/>
        </w:rPr>
      </w:pPr>
    </w:p>
    <w:p w14:paraId="62E9385D" w14:textId="77777777" w:rsidR="00BA3590" w:rsidRPr="00D20D4D" w:rsidRDefault="00BA3590" w:rsidP="00D20D4D">
      <w:pPr>
        <w:pStyle w:val="Ttulo2"/>
        <w:keepNext/>
      </w:pPr>
      <w:bookmarkStart w:id="25" w:name="_Toc238022020"/>
      <w:r>
        <w:t>3.3 A tripartição de gravidade da NT nº 544/2024</w:t>
      </w:r>
      <w:bookmarkEnd w:id="25"/>
    </w:p>
    <w:p w14:paraId="282444EB" w14:textId="77777777" w:rsidR="00BA3590" w:rsidRPr="00D20D4D" w:rsidRDefault="00BA3590" w:rsidP="00BA3590">
      <w:pPr>
        <w:spacing w:after="120"/>
        <w:jc w:val="both"/>
        <w:rPr>
          <w:sz w:val="21"/>
          <w:szCs w:val="21"/>
        </w:rPr>
      </w:pPr>
      <w:r>
        <w:rPr>
          <w:sz w:val="21"/>
          <w:szCs w:val="21"/>
        </w:rPr>
        <w:t>A NT nº 544/2024 não estabelece um tipo único para a ameaça funcional: ela traça um espectro de gravidade com três hipóteses exemplificativas, deixando expresso que a lista "é meramente exemplificativa, ou seja, sem nenhuma pretensão de esgotar as múltiplas possibilidades" (item 4.1). Os três patamares, com seus respectivos enquadramentos e penalidades orientativas, são os seguintes:</w:t>
      </w:r>
    </w:p>
    <w:p w14:paraId="1274ABE3" w14:textId="77777777" w:rsidR="00BA3590" w:rsidRPr="00D20D4D" w:rsidRDefault="00BA3590" w:rsidP="00BA3590">
      <w:pPr>
        <w:spacing w:after="120"/>
        <w:jc w:val="both"/>
        <w:rPr>
          <w:sz w:val="21"/>
          <w:szCs w:val="21"/>
        </w:rPr>
      </w:pPr>
      <w:r>
        <w:rPr>
          <w:sz w:val="21"/>
          <w:szCs w:val="21"/>
        </w:rPr>
        <w:t xml:space="preserve">GRAVIDADE BAIXA, Ameaça de </w:t>
      </w:r>
      <w:proofErr w:type="spellStart"/>
      <w:r>
        <w:rPr>
          <w:sz w:val="21"/>
          <w:szCs w:val="21"/>
        </w:rPr>
        <w:t>dano</w:t>
      </w:r>
      <w:proofErr w:type="spellEnd"/>
      <w:r>
        <w:rPr>
          <w:sz w:val="21"/>
          <w:szCs w:val="21"/>
        </w:rPr>
        <w:t xml:space="preserve"> à imagem ou à carreira, no calor de discussão</w:t>
      </w:r>
    </w:p>
    <w:p w14:paraId="20F2E601" w14:textId="77777777" w:rsidR="00BA3590" w:rsidRPr="00D20D4D" w:rsidRDefault="00BA3590" w:rsidP="00BA3590">
      <w:pPr>
        <w:spacing w:after="120"/>
        <w:jc w:val="both"/>
        <w:rPr>
          <w:sz w:val="21"/>
          <w:szCs w:val="21"/>
        </w:rPr>
      </w:pPr>
      <w:r>
        <w:rPr>
          <w:i/>
          <w:iCs/>
          <w:sz w:val="21"/>
          <w:szCs w:val="21"/>
        </w:rPr>
        <w:t>Hipótese típica:</w:t>
      </w:r>
      <w:r>
        <w:rPr>
          <w:sz w:val="21"/>
          <w:szCs w:val="21"/>
        </w:rPr>
        <w:t xml:space="preserve"> afirmação, em contexto de desentendimento, de que o servidor vai "destruir a carreira" do colega, relatar fatos ao chefe com intenção de prejudicar, ou usar a rede de relações institucionais para isolar o outro profissionalmente. Ausência de violência física na promessa.</w:t>
      </w:r>
    </w:p>
    <w:p w14:paraId="216E733B" w14:textId="77777777" w:rsidR="00BA3590" w:rsidRPr="00D20D4D" w:rsidRDefault="00BA3590" w:rsidP="00BA3590">
      <w:pPr>
        <w:spacing w:after="120"/>
        <w:jc w:val="both"/>
        <w:rPr>
          <w:sz w:val="21"/>
          <w:szCs w:val="21"/>
        </w:rPr>
      </w:pPr>
      <w:r>
        <w:rPr>
          <w:i/>
          <w:iCs/>
          <w:sz w:val="21"/>
          <w:szCs w:val="21"/>
        </w:rPr>
        <w:t>Enquadramentos expressos pela NT:</w:t>
      </w:r>
    </w:p>
    <w:p w14:paraId="2547611F" w14:textId="77777777" w:rsidR="00BA3590" w:rsidRPr="00D20D4D" w:rsidRDefault="00BA3590">
      <w:pPr>
        <w:numPr>
          <w:ilvl w:val="0"/>
          <w:numId w:val="6"/>
        </w:numPr>
        <w:spacing w:after="120"/>
        <w:jc w:val="both"/>
        <w:rPr>
          <w:sz w:val="21"/>
          <w:szCs w:val="21"/>
        </w:rPr>
      </w:pPr>
      <w:r>
        <w:rPr>
          <w:sz w:val="21"/>
          <w:szCs w:val="21"/>
        </w:rPr>
        <w:t>Descumprimento do dever de urbanidade, art. 116, XI, da Lei nº 8.112, de 1990</w:t>
      </w:r>
    </w:p>
    <w:p w14:paraId="3E65AF10" w14:textId="77777777" w:rsidR="00BA3590" w:rsidRPr="00D20D4D" w:rsidRDefault="00BA3590">
      <w:pPr>
        <w:numPr>
          <w:ilvl w:val="0"/>
          <w:numId w:val="6"/>
        </w:numPr>
        <w:spacing w:after="120"/>
        <w:jc w:val="both"/>
        <w:rPr>
          <w:sz w:val="21"/>
          <w:szCs w:val="21"/>
        </w:rPr>
      </w:pPr>
      <w:r>
        <w:rPr>
          <w:sz w:val="21"/>
          <w:szCs w:val="21"/>
        </w:rPr>
        <w:t>Manifestação de desapreço no recinto da repartição, art. 117, V, da Lei nº 8.112, de 1990</w:t>
      </w:r>
    </w:p>
    <w:p w14:paraId="5DF9D99E" w14:textId="77777777" w:rsidR="00BA3590" w:rsidRPr="00D20D4D" w:rsidRDefault="00BA3590" w:rsidP="00BA3590">
      <w:pPr>
        <w:spacing w:after="120"/>
        <w:jc w:val="both"/>
        <w:rPr>
          <w:sz w:val="21"/>
          <w:szCs w:val="21"/>
        </w:rPr>
      </w:pPr>
      <w:r>
        <w:rPr>
          <w:i/>
          <w:iCs/>
          <w:sz w:val="21"/>
          <w:szCs w:val="21"/>
        </w:rPr>
        <w:t>Penalidade orientativa:</w:t>
      </w:r>
      <w:r>
        <w:rPr>
          <w:sz w:val="21"/>
          <w:szCs w:val="21"/>
        </w:rPr>
        <w:t xml:space="preserve"> advertência, observados os elementos do art. 128. A NT ressalva que a pena pode ser agravada para suspensão se os elementos de gravidade, natureza, dano, circunstâncias e antecedentes assim indicarem, aproveitando a discricionariedade concedida pelo art. 129, </w:t>
      </w:r>
      <w:r>
        <w:rPr>
          <w:i/>
          <w:iCs/>
          <w:sz w:val="21"/>
          <w:szCs w:val="21"/>
        </w:rPr>
        <w:t>in fine</w:t>
      </w:r>
      <w:r>
        <w:rPr>
          <w:sz w:val="21"/>
          <w:szCs w:val="21"/>
        </w:rPr>
        <w:t>, da Lei nº 8.112, de 1990.</w:t>
      </w:r>
    </w:p>
    <w:p w14:paraId="551E7650" w14:textId="77777777" w:rsidR="00BA3590" w:rsidRPr="00D20D4D" w:rsidRDefault="00BA3590" w:rsidP="00BA3590">
      <w:pPr>
        <w:spacing w:after="120"/>
        <w:jc w:val="both"/>
        <w:rPr>
          <w:sz w:val="21"/>
          <w:szCs w:val="21"/>
        </w:rPr>
      </w:pPr>
      <w:r>
        <w:rPr>
          <w:i/>
          <w:iCs/>
          <w:sz w:val="21"/>
          <w:szCs w:val="21"/>
        </w:rPr>
        <w:lastRenderedPageBreak/>
        <w:t>Prazo prescricional:</w:t>
      </w:r>
      <w:r>
        <w:rPr>
          <w:sz w:val="21"/>
          <w:szCs w:val="21"/>
        </w:rPr>
        <w:t xml:space="preserve"> 180 dias (art. 142, III), a contar do conhecimento pela autoridade com poder disciplinar. O prazo curto exige agilidade na apuração.</w:t>
      </w:r>
    </w:p>
    <w:p w14:paraId="0CADB4D4" w14:textId="77777777" w:rsidR="00BA3590" w:rsidRPr="00957DCE" w:rsidRDefault="00BA3590" w:rsidP="00BA3590">
      <w:pPr>
        <w:spacing w:after="120"/>
        <w:jc w:val="both"/>
        <w:rPr>
          <w:sz w:val="21"/>
          <w:szCs w:val="21"/>
        </w:rPr>
      </w:pPr>
      <w:r>
        <w:rPr>
          <w:sz w:val="21"/>
          <w:szCs w:val="21"/>
        </w:rPr>
        <w:t>GRAVIDADE MÉDIA, Ameaça de perpetrar agressão física</w:t>
      </w:r>
    </w:p>
    <w:p w14:paraId="7EFEF3B7" w14:textId="77777777" w:rsidR="00BA3590" w:rsidRPr="00957DCE" w:rsidRDefault="00BA3590" w:rsidP="00BA3590">
      <w:pPr>
        <w:spacing w:after="120"/>
        <w:jc w:val="both"/>
        <w:rPr>
          <w:sz w:val="21"/>
          <w:szCs w:val="21"/>
        </w:rPr>
      </w:pPr>
      <w:r>
        <w:rPr>
          <w:i/>
          <w:iCs/>
          <w:sz w:val="21"/>
          <w:szCs w:val="21"/>
        </w:rPr>
        <w:t>Hipótese típica:</w:t>
      </w:r>
      <w:r>
        <w:rPr>
          <w:sz w:val="21"/>
          <w:szCs w:val="21"/>
        </w:rPr>
        <w:t xml:space="preserve"> promessa de violência corporal ("vou te bater", "você vai apanhar", "não vai sair daqui de pé"), ainda que não acompanhada de contato físico ou de instrumento físico. O essencial é a promessa de mal físico grave.</w:t>
      </w:r>
    </w:p>
    <w:p w14:paraId="15D8B75B" w14:textId="77777777" w:rsidR="00BA3590" w:rsidRPr="00957DCE" w:rsidRDefault="00BA3590" w:rsidP="00BA3590">
      <w:pPr>
        <w:spacing w:after="120"/>
        <w:jc w:val="both"/>
        <w:rPr>
          <w:sz w:val="21"/>
          <w:szCs w:val="21"/>
        </w:rPr>
      </w:pPr>
      <w:r>
        <w:rPr>
          <w:i/>
          <w:iCs/>
          <w:sz w:val="21"/>
          <w:szCs w:val="21"/>
        </w:rPr>
        <w:t>Enquadramento expresso pela NT:</w:t>
      </w:r>
    </w:p>
    <w:p w14:paraId="35FEEBE9" w14:textId="77777777" w:rsidR="00BA3590" w:rsidRPr="00957DCE" w:rsidRDefault="00BA3590">
      <w:pPr>
        <w:numPr>
          <w:ilvl w:val="0"/>
          <w:numId w:val="7"/>
        </w:numPr>
        <w:spacing w:after="120"/>
        <w:jc w:val="both"/>
        <w:rPr>
          <w:sz w:val="21"/>
          <w:szCs w:val="21"/>
        </w:rPr>
      </w:pPr>
      <w:r>
        <w:rPr>
          <w:sz w:val="21"/>
          <w:szCs w:val="21"/>
        </w:rPr>
        <w:t>Descumprimento do dever de manter conduta compatível com a moralidade administrativa, art. 116, IX, da Lei nº 8.112, de 1990</w:t>
      </w:r>
    </w:p>
    <w:p w14:paraId="0FAD18EC" w14:textId="77777777" w:rsidR="00BA3590" w:rsidRPr="00957DCE" w:rsidRDefault="00BA3590" w:rsidP="00BA3590">
      <w:pPr>
        <w:spacing w:after="120"/>
        <w:jc w:val="both"/>
        <w:rPr>
          <w:sz w:val="21"/>
          <w:szCs w:val="21"/>
        </w:rPr>
      </w:pPr>
      <w:r>
        <w:rPr>
          <w:i/>
          <w:iCs/>
          <w:sz w:val="21"/>
          <w:szCs w:val="21"/>
        </w:rPr>
        <w:t>Penalidade orientativa:</w:t>
      </w:r>
      <w:r>
        <w:rPr>
          <w:sz w:val="21"/>
          <w:szCs w:val="21"/>
        </w:rPr>
        <w:t xml:space="preserve"> suspensão. A NT fundamenta essa graduação na natureza dolosa da conduta, na sua capacidade de gerar danos morais ao ameaçado e na proporcionalidade com a gravidade do comportamento: "a ameaça de agressão física possui gravidade elevada, podendo inclusive ser capaz de gerar danos morais em face da perturbação causada ao ameaçado, além de ser caracterizada como uma conduta naturalmente dolosa" (item 4.24).</w:t>
      </w:r>
    </w:p>
    <w:p w14:paraId="7EA1CFF3" w14:textId="77777777" w:rsidR="00BA3590" w:rsidRPr="00957DCE" w:rsidRDefault="00BA3590" w:rsidP="00BA3590">
      <w:pPr>
        <w:spacing w:after="120"/>
        <w:jc w:val="both"/>
        <w:rPr>
          <w:sz w:val="21"/>
          <w:szCs w:val="21"/>
        </w:rPr>
      </w:pPr>
      <w:r>
        <w:rPr>
          <w:sz w:val="21"/>
          <w:szCs w:val="21"/>
        </w:rPr>
        <w:t xml:space="preserve">A suspensão pode ser alcançada tanto pela aplicação direta do art. 130 (reincidência ou violação de proibições mais graves) quanto pela via do art. 129, </w:t>
      </w:r>
      <w:r>
        <w:rPr>
          <w:i/>
          <w:iCs/>
          <w:sz w:val="21"/>
          <w:szCs w:val="21"/>
        </w:rPr>
        <w:t>in fine</w:t>
      </w:r>
      <w:r>
        <w:rPr>
          <w:sz w:val="21"/>
          <w:szCs w:val="21"/>
        </w:rPr>
        <w:t xml:space="preserve"> (conversão discricionária e motivada de advertência em suspensão, quando a gravidade da conduta assim reclamar), não sendo necessária a reincidência quando o primeiro episódio já ostenta os elementos de gravidade suficientes.</w:t>
      </w:r>
    </w:p>
    <w:p w14:paraId="20B3A2A7" w14:textId="77777777" w:rsidR="00BA3590" w:rsidRPr="00782931" w:rsidRDefault="00BA3590" w:rsidP="00BA3590">
      <w:pPr>
        <w:spacing w:after="120"/>
        <w:jc w:val="both"/>
        <w:rPr>
          <w:sz w:val="21"/>
          <w:szCs w:val="21"/>
        </w:rPr>
      </w:pPr>
      <w:r>
        <w:rPr>
          <w:sz w:val="21"/>
          <w:szCs w:val="21"/>
        </w:rPr>
        <w:t>GRAVIDADE ALTA, Ameaça de morte ou ameaça inserida em contexto de assédio moral</w:t>
      </w:r>
    </w:p>
    <w:p w14:paraId="2673A06F" w14:textId="77777777" w:rsidR="00BA3590" w:rsidRPr="00782931" w:rsidRDefault="00BA3590" w:rsidP="00BA3590">
      <w:pPr>
        <w:spacing w:after="120"/>
        <w:jc w:val="both"/>
        <w:rPr>
          <w:sz w:val="21"/>
          <w:szCs w:val="21"/>
        </w:rPr>
      </w:pPr>
      <w:r>
        <w:rPr>
          <w:i/>
          <w:iCs/>
          <w:sz w:val="21"/>
          <w:szCs w:val="21"/>
        </w:rPr>
        <w:t>Hipótese típica:</w:t>
      </w:r>
      <w:r>
        <w:rPr>
          <w:sz w:val="21"/>
          <w:szCs w:val="21"/>
        </w:rPr>
        <w:t xml:space="preserve"> promessa de matar a vítima ou um familiar seu; ameaça reiterada constitutiva de padrão sistemático de terror psicológico configurador de assédio moral; qualquer ameaça que, pelo seu conteúdo ou contexto, apresente o mais alto grau de reprovabilidade social, a ponto de ser também tipificada penalmente (como o crime do art. 147 do CP na sua forma mais grave).</w:t>
      </w:r>
    </w:p>
    <w:p w14:paraId="3CDE8BE8" w14:textId="77777777" w:rsidR="00BA3590" w:rsidRPr="00782931" w:rsidRDefault="00BA3590" w:rsidP="00BA3590">
      <w:pPr>
        <w:spacing w:after="120"/>
        <w:jc w:val="both"/>
        <w:rPr>
          <w:sz w:val="21"/>
          <w:szCs w:val="21"/>
        </w:rPr>
      </w:pPr>
      <w:r>
        <w:rPr>
          <w:i/>
          <w:iCs/>
          <w:sz w:val="21"/>
          <w:szCs w:val="21"/>
        </w:rPr>
        <w:t>Enquadramento expresso pela NT:</w:t>
      </w:r>
    </w:p>
    <w:p w14:paraId="40AA04FE" w14:textId="77777777" w:rsidR="00BA3590" w:rsidRPr="00782931" w:rsidRDefault="00BA3590">
      <w:pPr>
        <w:numPr>
          <w:ilvl w:val="0"/>
          <w:numId w:val="8"/>
        </w:numPr>
        <w:spacing w:after="120"/>
        <w:jc w:val="both"/>
        <w:rPr>
          <w:sz w:val="21"/>
          <w:szCs w:val="21"/>
        </w:rPr>
      </w:pPr>
      <w:r>
        <w:rPr>
          <w:sz w:val="21"/>
          <w:szCs w:val="21"/>
        </w:rPr>
        <w:t>Incontinência pública e conduta escandalosa, na repartição, art. 132, V, da Lei nº 8.112, de 1990</w:t>
      </w:r>
    </w:p>
    <w:p w14:paraId="558E6993" w14:textId="77777777" w:rsidR="00BA3590" w:rsidRPr="00782931" w:rsidRDefault="00BA3590" w:rsidP="00BA3590">
      <w:pPr>
        <w:spacing w:after="120"/>
        <w:jc w:val="both"/>
        <w:rPr>
          <w:sz w:val="21"/>
          <w:szCs w:val="21"/>
        </w:rPr>
      </w:pPr>
      <w:r>
        <w:rPr>
          <w:i/>
          <w:iCs/>
          <w:sz w:val="21"/>
          <w:szCs w:val="21"/>
        </w:rPr>
        <w:t>Penalidade:</w:t>
      </w:r>
      <w:r>
        <w:rPr>
          <w:sz w:val="21"/>
          <w:szCs w:val="21"/>
        </w:rPr>
        <w:t xml:space="preserve"> demissão (ato vinculado, pela Súmula 650/STJ). A NT fundamenta esse escalamento no fato de que "se um comportamento moralmente impróprio e ofensivo, perpetrado no ambiente de trabalho ou relacionado ao exercício das funções públicas, apresenta o mais alto grau de reprovabilidade social, a ponto de ser tipificado penalmente, é evidente que a sua consumação ofende a moralidade administrativa de maneira grave e, portanto, de forma escandalosa" (item 4.39).</w:t>
      </w:r>
    </w:p>
    <w:p w14:paraId="53751C6B" w14:textId="77777777" w:rsidR="00BA3590" w:rsidRPr="00782931" w:rsidRDefault="00BA3590" w:rsidP="00BA3590">
      <w:pPr>
        <w:spacing w:after="120"/>
        <w:jc w:val="both"/>
        <w:rPr>
          <w:sz w:val="21"/>
          <w:szCs w:val="21"/>
        </w:rPr>
      </w:pPr>
      <w:r>
        <w:rPr>
          <w:sz w:val="21"/>
          <w:szCs w:val="21"/>
        </w:rPr>
        <w:t>A NT esclarece ainda que a conduta escandalosa pode configurar-se tanto por manifestações públicas e ostensivas (com alarde presenciado por outros) quanto por comportamentos "ainda que não dotados de publicidade, capazes de causar escândalo pela gravidade da ofensa aos padrões morais estabelecidos" (item 4.28), afastando qualquer interpretação de que a publicidade externa seria elemento necessário do tipo.</w:t>
      </w:r>
    </w:p>
    <w:p w14:paraId="4ED023EA" w14:textId="77777777" w:rsidR="00BA3590" w:rsidRPr="00782931" w:rsidRDefault="00BA3590" w:rsidP="00BA3590">
      <w:pPr>
        <w:spacing w:after="120"/>
        <w:jc w:val="both"/>
        <w:rPr>
          <w:sz w:val="21"/>
          <w:szCs w:val="21"/>
        </w:rPr>
      </w:pPr>
      <w:r>
        <w:rPr>
          <w:sz w:val="21"/>
          <w:szCs w:val="21"/>
        </w:rPr>
        <w:t>Síntese dos três graus (conforme NT nº 544/2024):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5"/>
        <w:gridCol w:w="2992"/>
        <w:gridCol w:w="1499"/>
        <w:gridCol w:w="1399"/>
        <w:gridCol w:w="1965"/>
      </w:tblGrid>
      <w:tr w:rsidR="00782931" w14:paraId="2696C3BB" w14:textId="77777777" w:rsidTr="000D5BD8">
        <w:trPr>
          <w:tblHeader/>
        </w:trPr>
        <w:tc>
          <w:tcPr>
            <w:tcW w:w="120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21FEA931" w14:textId="77777777" w:rsidR="00782931" w:rsidRDefault="00782931" w:rsidP="000D5BD8">
            <w:r>
              <w:rPr>
                <w:rFonts w:ascii="Barlow Condensed" w:eastAsia="Barlow Condensed" w:hAnsi="Barlow Condensed" w:cs="Barlow Condensed"/>
                <w:b/>
                <w:bCs/>
                <w:color w:val="FFFFFF"/>
              </w:rPr>
              <w:lastRenderedPageBreak/>
              <w:t>Patamar</w:t>
            </w:r>
          </w:p>
        </w:tc>
        <w:tc>
          <w:tcPr>
            <w:tcW w:w="300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41AD86D5" w14:textId="77777777" w:rsidR="00782931" w:rsidRDefault="00782931" w:rsidP="000D5BD8">
            <w:r>
              <w:rPr>
                <w:rFonts w:ascii="Barlow Condensed" w:eastAsia="Barlow Condensed" w:hAnsi="Barlow Condensed" w:cs="Barlow Condensed"/>
                <w:b/>
                <w:bCs/>
                <w:color w:val="FFFFFF"/>
              </w:rPr>
              <w:t>Caracterização</w:t>
            </w:r>
          </w:p>
        </w:tc>
        <w:tc>
          <w:tcPr>
            <w:tcW w:w="150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391A5E8A" w14:textId="77777777" w:rsidR="00782931" w:rsidRDefault="00782931" w:rsidP="000D5BD8">
            <w:r>
              <w:rPr>
                <w:rFonts w:ascii="Barlow Condensed" w:eastAsia="Barlow Condensed" w:hAnsi="Barlow Condensed" w:cs="Barlow Condensed"/>
                <w:b/>
                <w:bCs/>
                <w:color w:val="FFFFFF"/>
              </w:rPr>
              <w:t>Enquadramento</w:t>
            </w:r>
          </w:p>
        </w:tc>
        <w:tc>
          <w:tcPr>
            <w:tcW w:w="140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43A9A0B6" w14:textId="77777777" w:rsidR="00782931" w:rsidRDefault="00782931" w:rsidP="000D5BD8">
            <w:r>
              <w:rPr>
                <w:rFonts w:ascii="Barlow Condensed" w:eastAsia="Barlow Condensed" w:hAnsi="Barlow Condensed" w:cs="Barlow Condensed"/>
                <w:b/>
                <w:bCs/>
                <w:color w:val="FFFFFF"/>
              </w:rPr>
              <w:t>Penalidade</w:t>
            </w:r>
          </w:p>
        </w:tc>
        <w:tc>
          <w:tcPr>
            <w:tcW w:w="197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5D873205" w14:textId="77777777" w:rsidR="00782931" w:rsidRDefault="00782931" w:rsidP="000D5BD8">
            <w:r>
              <w:rPr>
                <w:rFonts w:ascii="Barlow Condensed" w:eastAsia="Barlow Condensed" w:hAnsi="Barlow Condensed" w:cs="Barlow Condensed"/>
                <w:b/>
                <w:bCs/>
                <w:color w:val="FFFFFF"/>
              </w:rPr>
              <w:t>Prescrição</w:t>
            </w:r>
          </w:p>
        </w:tc>
      </w:tr>
      <w:tr w:rsidR="00782931" w14:paraId="1019E210" w14:textId="77777777" w:rsidTr="000D5BD8">
        <w:tc>
          <w:tcPr>
            <w:tcW w:w="12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00DFB594" w14:textId="77777777" w:rsidR="00782931" w:rsidRDefault="00782931" w:rsidP="000D5BD8">
            <w:pPr>
              <w:spacing w:line="252" w:lineRule="auto"/>
            </w:pPr>
            <w:r>
              <w:t>GRAVE</w:t>
            </w:r>
          </w:p>
        </w:tc>
        <w:tc>
          <w:tcPr>
            <w:tcW w:w="30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21459DAC" w14:textId="77777777" w:rsidR="00782931" w:rsidRDefault="00782931" w:rsidP="000D5BD8">
            <w:pPr>
              <w:spacing w:line="252" w:lineRule="auto"/>
            </w:pPr>
            <w:r>
              <w:t>Ameaça de morte ou inserida em contexto de assédio, alto grau de intimidação com repercussão escandalosa</w:t>
            </w:r>
          </w:p>
        </w:tc>
        <w:tc>
          <w:tcPr>
            <w:tcW w:w="15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06BE9E17" w14:textId="77777777" w:rsidR="00782931" w:rsidRDefault="00782931" w:rsidP="000D5BD8">
            <w:pPr>
              <w:spacing w:line="252" w:lineRule="auto"/>
            </w:pPr>
            <w:r>
              <w:rPr>
                <w:rFonts w:ascii="JetBrains Mono" w:eastAsia="JetBrains Mono" w:hAnsi="JetBrains Mono" w:cs="JetBrains Mono"/>
                <w:color w:val="0B2C5F"/>
              </w:rPr>
              <w:t>Art. 132, V</w:t>
            </w:r>
          </w:p>
        </w:tc>
        <w:tc>
          <w:tcPr>
            <w:tcW w:w="14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59C385B9" w14:textId="77777777" w:rsidR="00782931" w:rsidRDefault="00782931" w:rsidP="000D5BD8">
            <w:pPr>
              <w:spacing w:line="252" w:lineRule="auto"/>
            </w:pPr>
            <w:r>
              <w:t>Demissão</w:t>
            </w:r>
          </w:p>
        </w:tc>
        <w:tc>
          <w:tcPr>
            <w:tcW w:w="19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3CEDF697" w14:textId="77777777" w:rsidR="00782931" w:rsidRDefault="00782931" w:rsidP="000D5BD8">
            <w:pPr>
              <w:spacing w:line="252" w:lineRule="auto"/>
            </w:pPr>
            <w:r>
              <w:t>5 anos</w:t>
            </w:r>
          </w:p>
        </w:tc>
      </w:tr>
      <w:tr w:rsidR="00782931" w14:paraId="4405A4F0" w14:textId="77777777" w:rsidTr="000D5BD8">
        <w:tc>
          <w:tcPr>
            <w:tcW w:w="12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4C02462B" w14:textId="77777777" w:rsidR="00782931" w:rsidRDefault="00782931" w:rsidP="000D5BD8">
            <w:pPr>
              <w:spacing w:line="252" w:lineRule="auto"/>
            </w:pPr>
            <w:r>
              <w:t>MODERADA</w:t>
            </w:r>
          </w:p>
        </w:tc>
        <w:tc>
          <w:tcPr>
            <w:tcW w:w="30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0E4ACEF8" w14:textId="77777777" w:rsidR="00782931" w:rsidRDefault="00782931" w:rsidP="000D5BD8">
            <w:pPr>
              <w:spacing w:line="252" w:lineRule="auto"/>
            </w:pPr>
            <w:r>
              <w:t>Ameaça de perpetrar agressão física, dolosa, apta a gerar dano moral pela perturbação causada</w:t>
            </w:r>
          </w:p>
        </w:tc>
        <w:tc>
          <w:tcPr>
            <w:tcW w:w="15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66F2B06C" w14:textId="77777777" w:rsidR="00782931" w:rsidRDefault="00782931" w:rsidP="000D5BD8">
            <w:pPr>
              <w:spacing w:line="252" w:lineRule="auto"/>
            </w:pPr>
            <w:r>
              <w:rPr>
                <w:rFonts w:ascii="JetBrains Mono" w:eastAsia="JetBrains Mono" w:hAnsi="JetBrains Mono" w:cs="JetBrains Mono"/>
                <w:color w:val="0B2C5F"/>
              </w:rPr>
              <w:t>Art. 116, IX</w:t>
            </w:r>
          </w:p>
        </w:tc>
        <w:tc>
          <w:tcPr>
            <w:tcW w:w="14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0766FF25" w14:textId="77777777" w:rsidR="00782931" w:rsidRDefault="00782931" w:rsidP="000D5BD8">
            <w:pPr>
              <w:spacing w:line="252" w:lineRule="auto"/>
            </w:pPr>
            <w:r>
              <w:t>Suspensão</w:t>
            </w:r>
          </w:p>
        </w:tc>
        <w:tc>
          <w:tcPr>
            <w:tcW w:w="19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1556F51A" w14:textId="77777777" w:rsidR="00782931" w:rsidRDefault="00782931" w:rsidP="000D5BD8">
            <w:pPr>
              <w:spacing w:line="252" w:lineRule="auto"/>
            </w:pPr>
            <w:r>
              <w:t>2 anos</w:t>
            </w:r>
          </w:p>
        </w:tc>
      </w:tr>
      <w:tr w:rsidR="00782931" w14:paraId="11F52700" w14:textId="77777777" w:rsidTr="000D5BD8">
        <w:tc>
          <w:tcPr>
            <w:tcW w:w="12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27955166" w14:textId="77777777" w:rsidR="00782931" w:rsidRDefault="00782931" w:rsidP="000D5BD8">
            <w:pPr>
              <w:spacing w:line="252" w:lineRule="auto"/>
            </w:pPr>
            <w:r>
              <w:t>LEVE</w:t>
            </w:r>
          </w:p>
        </w:tc>
        <w:tc>
          <w:tcPr>
            <w:tcW w:w="30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2660711A" w14:textId="77777777" w:rsidR="00782931" w:rsidRDefault="00782931" w:rsidP="000D5BD8">
            <w:pPr>
              <w:spacing w:line="252" w:lineRule="auto"/>
            </w:pPr>
            <w:r>
              <w:t xml:space="preserve">Rispidez hostil; ameaça de </w:t>
            </w:r>
            <w:proofErr w:type="spellStart"/>
            <w:r>
              <w:t>dano</w:t>
            </w:r>
            <w:proofErr w:type="spellEnd"/>
            <w:r>
              <w:t xml:space="preserve"> à imagem ou carreira no calor de discussão</w:t>
            </w:r>
          </w:p>
        </w:tc>
        <w:tc>
          <w:tcPr>
            <w:tcW w:w="15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5CDFAB04" w14:textId="77777777" w:rsidR="00782931" w:rsidRDefault="00782931" w:rsidP="000D5BD8">
            <w:pPr>
              <w:spacing w:line="252" w:lineRule="auto"/>
            </w:pPr>
            <w:r>
              <w:rPr>
                <w:rFonts w:ascii="JetBrains Mono" w:eastAsia="JetBrains Mono" w:hAnsi="JetBrains Mono" w:cs="JetBrains Mono"/>
                <w:color w:val="0B2C5F"/>
              </w:rPr>
              <w:t>Art. 116, XI</w:t>
            </w:r>
            <w:r>
              <w:t xml:space="preserve"> / </w:t>
            </w:r>
            <w:r>
              <w:rPr>
                <w:rFonts w:ascii="JetBrains Mono" w:eastAsia="JetBrains Mono" w:hAnsi="JetBrains Mono" w:cs="JetBrains Mono"/>
                <w:color w:val="0B2C5F"/>
              </w:rPr>
              <w:t>Art. 117, V</w:t>
            </w:r>
          </w:p>
        </w:tc>
        <w:tc>
          <w:tcPr>
            <w:tcW w:w="14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0BB0979E" w14:textId="77777777" w:rsidR="00782931" w:rsidRDefault="00782931" w:rsidP="000D5BD8">
            <w:pPr>
              <w:spacing w:line="252" w:lineRule="auto"/>
            </w:pPr>
            <w:r>
              <w:t>Advertência</w:t>
            </w:r>
          </w:p>
        </w:tc>
        <w:tc>
          <w:tcPr>
            <w:tcW w:w="19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10B52FBD" w14:textId="77777777" w:rsidR="00782931" w:rsidRDefault="00782931" w:rsidP="000D5BD8">
            <w:pPr>
              <w:spacing w:line="252" w:lineRule="auto"/>
            </w:pPr>
            <w:r>
              <w:t>180 dias</w:t>
            </w:r>
          </w:p>
        </w:tc>
      </w:tr>
    </w:tbl>
    <w:p w14:paraId="04E5ED77" w14:textId="77777777" w:rsidR="00782931" w:rsidRDefault="00782931" w:rsidP="00BA3590">
      <w:pPr>
        <w:spacing w:after="120"/>
        <w:jc w:val="both"/>
        <w:rPr>
          <w:b/>
          <w:bCs/>
          <w:sz w:val="21"/>
          <w:szCs w:val="21"/>
        </w:rPr>
      </w:pPr>
    </w:p>
    <w:p w14:paraId="03D3A622" w14:textId="77777777" w:rsidR="00BA3590" w:rsidRPr="00E425CF" w:rsidRDefault="00BA3590" w:rsidP="00E425CF">
      <w:pPr>
        <w:pStyle w:val="Ttulo2"/>
        <w:keepNext/>
      </w:pPr>
      <w:bookmarkStart w:id="26" w:name="_Toc238022021"/>
      <w:r>
        <w:t>3.4 Ressalva doutrinária: o art. 117, IX e os limites expressos da NT nº 544/2024</w:t>
      </w:r>
      <w:bookmarkEnd w:id="26"/>
    </w:p>
    <w:p w14:paraId="699906CB" w14:textId="77777777" w:rsidR="00BA3590" w:rsidRPr="00782931" w:rsidRDefault="00BA3590" w:rsidP="00BA3590">
      <w:pPr>
        <w:spacing w:after="120"/>
        <w:jc w:val="both"/>
        <w:rPr>
          <w:sz w:val="21"/>
          <w:szCs w:val="21"/>
        </w:rPr>
      </w:pPr>
      <w:r>
        <w:rPr>
          <w:sz w:val="21"/>
          <w:szCs w:val="21"/>
        </w:rPr>
        <w:t xml:space="preserve">A ferramenta </w:t>
      </w:r>
      <w:proofErr w:type="spellStart"/>
      <w:r>
        <w:rPr>
          <w:sz w:val="21"/>
          <w:szCs w:val="21"/>
        </w:rPr>
        <w:t>Integritas</w:t>
      </w:r>
      <w:proofErr w:type="spellEnd"/>
      <w:r>
        <w:rPr>
          <w:sz w:val="21"/>
          <w:szCs w:val="21"/>
        </w:rPr>
        <w:t xml:space="preserve"> introduz, no Eixo 2, uma rota de enquadramento não diretamente mencionada nas conclusões da NT nº 544, de 2024: a ameaça de gravidade moderada praticada com uso do cargo ou da posição hierárquica como instrumento de pressão é direcionada ao art. 117, IX ("não se valer do cargo para lograr proveito pessoal ou de outrem, em detrimento da dignidade da função pública"), cuja transgressão resulta em demissão por força do art. 132, XIII.</w:t>
      </w:r>
    </w:p>
    <w:p w14:paraId="2EA68C8A" w14:textId="77777777" w:rsidR="00BA3590" w:rsidRPr="00782931" w:rsidRDefault="00BA3590" w:rsidP="00BA3590">
      <w:pPr>
        <w:spacing w:after="120"/>
        <w:jc w:val="both"/>
        <w:rPr>
          <w:sz w:val="21"/>
          <w:szCs w:val="21"/>
        </w:rPr>
      </w:pPr>
      <w:r>
        <w:rPr>
          <w:sz w:val="21"/>
          <w:szCs w:val="21"/>
        </w:rPr>
        <w:t xml:space="preserve">Este manual registra, com transparência, que essa rota não encontra amparo literal nas conclusões da NT nº 544/2024. O texto da Nota enuncia expressamente três e apenas três hipóteses de enquadramento: </w:t>
      </w:r>
      <w:proofErr w:type="spellStart"/>
      <w:r>
        <w:rPr>
          <w:sz w:val="21"/>
          <w:szCs w:val="21"/>
        </w:rPr>
        <w:t>arts</w:t>
      </w:r>
      <w:proofErr w:type="spellEnd"/>
      <w:r>
        <w:rPr>
          <w:sz w:val="21"/>
          <w:szCs w:val="21"/>
        </w:rPr>
        <w:t>. 116, XI / 117, V (advertência), art. 116, IX (suspensão), e art. 132, V (demissão). O art. 117, IX não aparece em nenhum ponto da NT 544, nem em suas análises nem em suas conclusões.</w:t>
      </w:r>
    </w:p>
    <w:p w14:paraId="466A4819" w14:textId="77777777" w:rsidR="00BA3590" w:rsidRPr="00782931" w:rsidRDefault="00BA3590" w:rsidP="00BA3590">
      <w:pPr>
        <w:spacing w:after="120"/>
        <w:jc w:val="both"/>
        <w:rPr>
          <w:sz w:val="21"/>
          <w:szCs w:val="21"/>
        </w:rPr>
      </w:pPr>
      <w:r>
        <w:rPr>
          <w:sz w:val="21"/>
          <w:szCs w:val="21"/>
        </w:rPr>
        <w:t>A rota "ameaça moderada com cargo → art. 117, IX → demissão" deriva, portanto, de uma interpretação sistêmica que harmoniza a NT 544 com a NT nº 93/2024 (que trata o valimento do cargo como elemento que qualifica assédios para a demissão) e com a doutrina geral sobre o art. 117, IX. A lógica é a seguinte: se o servidor usa a autoridade do cargo como instrumento para intimidar, ameaçando, por exemplo, prejudicar a carreira do subordinado caso este não ceda a determinada exigência, haveria não apenas ameaça (art. 116, IX), mas exploração ilegítima da posição funcional para fins de pressão pessoal, o que poderia configurar o tipo do art. 117, IX.</w:t>
      </w:r>
    </w:p>
    <w:p w14:paraId="765CC93C" w14:textId="77777777" w:rsidR="00BA3590" w:rsidRPr="00782931" w:rsidRDefault="00BA3590" w:rsidP="00BA3590">
      <w:pPr>
        <w:spacing w:after="120"/>
        <w:jc w:val="both"/>
        <w:rPr>
          <w:sz w:val="21"/>
          <w:szCs w:val="21"/>
        </w:rPr>
      </w:pPr>
      <w:r>
        <w:rPr>
          <w:sz w:val="21"/>
          <w:szCs w:val="21"/>
        </w:rPr>
        <w:t>Essa interpretação é doutrinariamente defensável, mas exige rigor analítico. Os elementos do art. 117, IX são:</w:t>
      </w:r>
    </w:p>
    <w:p w14:paraId="60A1010D" w14:textId="77777777" w:rsidR="00BA3590" w:rsidRPr="00782931" w:rsidRDefault="00BA3590">
      <w:pPr>
        <w:numPr>
          <w:ilvl w:val="0"/>
          <w:numId w:val="9"/>
        </w:numPr>
        <w:spacing w:after="120"/>
        <w:jc w:val="both"/>
        <w:rPr>
          <w:sz w:val="21"/>
          <w:szCs w:val="21"/>
        </w:rPr>
      </w:pPr>
      <w:r>
        <w:rPr>
          <w:sz w:val="21"/>
          <w:szCs w:val="21"/>
        </w:rPr>
        <w:t xml:space="preserve">Valer-se do cargo, o servidor deve ter utilizado, de modo ativo e instrumental, as prerrogativas ou a autoridade decorrente do cargo como meio de pressão. Não basta que o servidor seja hierarquicamente superior à vítima: é necessário que a ameaça tenha sido praticada </w:t>
      </w:r>
      <w:r>
        <w:rPr>
          <w:i/>
          <w:iCs/>
          <w:sz w:val="21"/>
          <w:szCs w:val="21"/>
        </w:rPr>
        <w:t>por meio</w:t>
      </w:r>
      <w:r>
        <w:rPr>
          <w:sz w:val="21"/>
          <w:szCs w:val="21"/>
        </w:rPr>
        <w:t xml:space="preserve"> do exercício das prerrogativas do cargo (poder de avaliação, de designação de tarefas, de acesso a informações funcionais, de controle de progressão).</w:t>
      </w:r>
    </w:p>
    <w:p w14:paraId="1BB22C1D" w14:textId="77777777" w:rsidR="00BA3590" w:rsidRPr="00782931" w:rsidRDefault="00BA3590">
      <w:pPr>
        <w:numPr>
          <w:ilvl w:val="0"/>
          <w:numId w:val="9"/>
        </w:numPr>
        <w:spacing w:after="120"/>
        <w:jc w:val="both"/>
        <w:rPr>
          <w:sz w:val="21"/>
          <w:szCs w:val="21"/>
        </w:rPr>
      </w:pPr>
      <w:r>
        <w:rPr>
          <w:sz w:val="21"/>
          <w:szCs w:val="21"/>
        </w:rPr>
        <w:t>Lograr proveito pessoal ou de outrem, o tipo exige uma finalidade específica de extração de vantagem, seja para o próprio servidor, seja para terceiro. Ameaçar para impor respeito pessoal, para intimidar um desafeto ou para silenciar uma denúncia não se encaixa automaticamente no conceito de "proveito", que a doutrina tende a interpretar como vantagem mensurável (patrimonial, profissional, pessoal).</w:t>
      </w:r>
    </w:p>
    <w:p w14:paraId="1D530697" w14:textId="77777777" w:rsidR="00BA3590" w:rsidRPr="00782931" w:rsidRDefault="00BA3590">
      <w:pPr>
        <w:numPr>
          <w:ilvl w:val="0"/>
          <w:numId w:val="9"/>
        </w:numPr>
        <w:spacing w:after="120"/>
        <w:jc w:val="both"/>
        <w:rPr>
          <w:sz w:val="21"/>
          <w:szCs w:val="21"/>
        </w:rPr>
      </w:pPr>
      <w:r>
        <w:rPr>
          <w:sz w:val="21"/>
          <w:szCs w:val="21"/>
        </w:rPr>
        <w:lastRenderedPageBreak/>
        <w:t>Em detrimento da dignidade da função pública, exige-se que o uso do cargo tenha comprometido a imagem institucional da função, não apenas a relação interpessoal entre os envolvidos.</w:t>
      </w:r>
    </w:p>
    <w:p w14:paraId="15308F39" w14:textId="77777777" w:rsidR="00BA3590" w:rsidRDefault="00BA3590" w:rsidP="00BA3590">
      <w:pPr>
        <w:spacing w:after="120"/>
        <w:jc w:val="both"/>
        <w:rPr>
          <w:sz w:val="21"/>
          <w:szCs w:val="21"/>
        </w:rPr>
      </w:pPr>
      <w:r>
        <w:rPr>
          <w:sz w:val="21"/>
          <w:szCs w:val="21"/>
        </w:rPr>
        <w:t>A reunião cumulativa desses três elementos, em cenário de mera ameaça funcional sem extração evidente de proveito, é de difícil demonstração probatória. O risco operacional é relevante: ao enquadrar automaticamente em art. 117, IX uma ameaça moderada com presença hierárquica, o operador escalaria a conduta do patamar de suspensão (expressamente previsto pela NT 544 para ameaça de agressão física) para o de demissão, um ato vinculado que a Súmula 650/STJ não autoriza reverter por razões de proporcionalidade.</w:t>
      </w:r>
    </w:p>
    <w:p w14:paraId="02F33250" w14:textId="77777777" w:rsidR="00BA3590" w:rsidRPr="00E425CF" w:rsidRDefault="00BA3590" w:rsidP="00E425CF">
      <w:pPr>
        <w:pStyle w:val="Ttulo2"/>
        <w:keepNext/>
      </w:pPr>
      <w:bookmarkStart w:id="27" w:name="_Toc238022022"/>
      <w:r>
        <w:t>3.5 A questão da prescrição e a relevância do grau de enquadramento</w:t>
      </w:r>
      <w:bookmarkEnd w:id="27"/>
    </w:p>
    <w:p w14:paraId="46DDC7CE" w14:textId="77777777" w:rsidR="00BA3590" w:rsidRPr="00E425CF" w:rsidRDefault="00BA3590" w:rsidP="00BA3590">
      <w:pPr>
        <w:spacing w:after="120"/>
        <w:jc w:val="both"/>
        <w:rPr>
          <w:sz w:val="21"/>
          <w:szCs w:val="21"/>
        </w:rPr>
      </w:pPr>
      <w:r>
        <w:rPr>
          <w:sz w:val="21"/>
          <w:szCs w:val="21"/>
        </w:rPr>
        <w:t>A NT nº 544/2024 dedica atenção específica ao tema prescricional, o que revela uma preocupação prática que o operador não pode ignorar. O art. 142 da Lei nº 8.112, de 1990 fixa os seguintes prazos para o início da contagem da prescrição (a partir da data em que a autoridade competente tomar conhecimento do fato):</w:t>
      </w:r>
    </w:p>
    <w:p w14:paraId="45471223" w14:textId="77777777" w:rsidR="00BA3590" w:rsidRPr="00E425CF" w:rsidRDefault="00BA3590">
      <w:pPr>
        <w:numPr>
          <w:ilvl w:val="0"/>
          <w:numId w:val="10"/>
        </w:numPr>
        <w:spacing w:after="120"/>
        <w:jc w:val="both"/>
        <w:rPr>
          <w:sz w:val="21"/>
          <w:szCs w:val="21"/>
        </w:rPr>
      </w:pPr>
      <w:r>
        <w:rPr>
          <w:sz w:val="21"/>
          <w:szCs w:val="21"/>
        </w:rPr>
        <w:t>Advertência: 180 dias (art. 142, III)</w:t>
      </w:r>
    </w:p>
    <w:p w14:paraId="528FB390" w14:textId="77777777" w:rsidR="00BA3590" w:rsidRPr="00E425CF" w:rsidRDefault="00BA3590">
      <w:pPr>
        <w:numPr>
          <w:ilvl w:val="0"/>
          <w:numId w:val="10"/>
        </w:numPr>
        <w:spacing w:after="120"/>
        <w:jc w:val="both"/>
        <w:rPr>
          <w:sz w:val="21"/>
          <w:szCs w:val="21"/>
        </w:rPr>
      </w:pPr>
      <w:r>
        <w:rPr>
          <w:sz w:val="21"/>
          <w:szCs w:val="21"/>
        </w:rPr>
        <w:t>Suspensão: 2 anos (art. 142, II)</w:t>
      </w:r>
    </w:p>
    <w:p w14:paraId="6DE875E6" w14:textId="77777777" w:rsidR="00BA3590" w:rsidRPr="00E425CF" w:rsidRDefault="00BA3590">
      <w:pPr>
        <w:numPr>
          <w:ilvl w:val="0"/>
          <w:numId w:val="10"/>
        </w:numPr>
        <w:spacing w:after="120"/>
        <w:jc w:val="both"/>
        <w:rPr>
          <w:sz w:val="21"/>
          <w:szCs w:val="21"/>
        </w:rPr>
      </w:pPr>
      <w:r>
        <w:rPr>
          <w:sz w:val="21"/>
          <w:szCs w:val="21"/>
        </w:rPr>
        <w:t>Demissão: 5 anos (art. 142, I), ou o prazo da lei penal, se a conduta também constitui crime (art. 142, § 2º)</w:t>
      </w:r>
    </w:p>
    <w:p w14:paraId="09FFE98D" w14:textId="77777777" w:rsidR="00BA3590" w:rsidRPr="00E425CF" w:rsidRDefault="00BA3590" w:rsidP="00BA3590">
      <w:pPr>
        <w:spacing w:after="120"/>
        <w:jc w:val="both"/>
        <w:rPr>
          <w:sz w:val="21"/>
          <w:szCs w:val="21"/>
        </w:rPr>
      </w:pPr>
      <w:r>
        <w:rPr>
          <w:sz w:val="21"/>
          <w:szCs w:val="21"/>
        </w:rPr>
        <w:t xml:space="preserve">A NT 544 sinaliza que o prazo de 180 dias para a advertência é "o mais exíguo", podendo "culminar com vários casos de impunidade pela superveniência da perda do direito de punir" (item 4.25). Isso tem consequência prática direta: se a conduta for de ameaça de baixa gravidade (art. 116, XI ou art. 117, V) e a apuração for instaurada com atraso, a prescrição pode já ter operado quando do julgamento. Por outro lado, o art. 129, </w:t>
      </w:r>
      <w:r>
        <w:rPr>
          <w:i/>
          <w:iCs/>
          <w:sz w:val="21"/>
          <w:szCs w:val="21"/>
        </w:rPr>
        <w:t>in fine</w:t>
      </w:r>
      <w:r>
        <w:rPr>
          <w:sz w:val="21"/>
          <w:szCs w:val="21"/>
        </w:rPr>
        <w:t>, autoriza motivadamente a conversão da advertência em suspensão, cujo prazo prescricional é de 2 anos, o que pode preservar a punibilidade em casos cuja demora na apuração tornaria impraticável a advertência.</w:t>
      </w:r>
    </w:p>
    <w:p w14:paraId="39AF7667" w14:textId="77777777" w:rsidR="00BA3590" w:rsidRPr="00E425CF" w:rsidRDefault="00BA3590" w:rsidP="00BA3590">
      <w:pPr>
        <w:spacing w:after="120"/>
        <w:jc w:val="both"/>
        <w:rPr>
          <w:sz w:val="21"/>
          <w:szCs w:val="21"/>
        </w:rPr>
      </w:pPr>
      <w:r>
        <w:rPr>
          <w:sz w:val="21"/>
          <w:szCs w:val="21"/>
        </w:rPr>
        <w:t>O raciocínio prescricional não pode, por si só, justificar o escalamento da penalidade além do que os fatos comportam. A decisão sobre o grau de enquadramento deve derivar dos elementos objetivos da conduta (conteúdo da ameaça, intensidade, contexto), não da conveniência de se escapar da prescrição. Entretanto, ele integra o conjunto de elementos que o operador deve considerar ao apresentar à autoridade julgadora o espectro de enquadramentos possíveis.</w:t>
      </w:r>
    </w:p>
    <w:p w14:paraId="1B5E1F64" w14:textId="77777777" w:rsidR="00BA3590" w:rsidRPr="00E425CF" w:rsidRDefault="00BA3590" w:rsidP="00E425CF">
      <w:pPr>
        <w:pStyle w:val="Ttulo2"/>
        <w:keepNext/>
      </w:pPr>
      <w:bookmarkStart w:id="28" w:name="_Toc238022023"/>
      <w:r>
        <w:t xml:space="preserve">3.6 Síntese operacional: o Eixo 2 da ferramenta </w:t>
      </w:r>
      <w:proofErr w:type="spellStart"/>
      <w:r>
        <w:t>Integritas</w:t>
      </w:r>
      <w:bookmarkEnd w:id="28"/>
      <w:proofErr w:type="spellEnd"/>
    </w:p>
    <w:p w14:paraId="04E70E3B" w14:textId="77777777" w:rsidR="000E7735" w:rsidRDefault="00475D29" w:rsidP="00BA3590">
      <w:pPr>
        <w:spacing w:after="120"/>
        <w:jc w:val="both"/>
        <w:rPr>
          <w:sz w:val="21"/>
          <w:szCs w:val="21"/>
        </w:rPr>
      </w:pPr>
      <w:r>
        <w:rPr>
          <w:sz w:val="21"/>
          <w:szCs w:val="21"/>
        </w:rPr>
        <w:t>Quando a trilha indicar art. 117, IX em razão do uso do cargo, o operador deve, antes de adotar o enquadramento, verificar com rigor a presença simultânea de todos os elementos do tipo: (a) o cargo foi efetivamente o instrumento da ameaça, não apenas o contexto da relação; (b) havia finalidade de obter proveito (não apenas intimidar); (c) a dignidade da função, não apenas da pessoa, foi afetada. Na ausência de qualquer desses elementos, o enquadramento mais adequado é o da NT 544 expressa: art. 116, IX com penalidade de suspensão, com o uso da posição hierárquica tratado como circunstância agravante (art. 128, Lei nº 8.112, de 1990), a ser ponderada na dosimetria. Esta ressalva não invalida o percurso da ferramenta: ela o contextualiza e impõe ao operador o ônus de fundamentar autonomamente a escolha pelo art. 117, IX.</w:t>
      </w:r>
    </w:p>
    <w:p w14:paraId="2F19AB2D" w14:textId="77777777" w:rsidR="00BA3590" w:rsidRPr="00BA3590" w:rsidRDefault="00BA3590" w:rsidP="00BA3590">
      <w:pPr>
        <w:spacing w:after="120"/>
        <w:jc w:val="both"/>
        <w:rPr>
          <w:sz w:val="21"/>
          <w:szCs w:val="21"/>
        </w:rPr>
      </w:pPr>
      <w:r>
        <w:rPr>
          <w:sz w:val="21"/>
          <w:szCs w:val="21"/>
        </w:rPr>
        <w:lastRenderedPageBreak/>
        <w:t>O Eixo 2 da ferramenta percorre as seguintes bifurcações principais:</w:t>
      </w:r>
    </w:p>
    <w:p w14:paraId="06C8AA9A" w14:textId="77777777" w:rsidR="00BA3590" w:rsidRPr="00BA3590" w:rsidRDefault="00BA3590" w:rsidP="00BA3590">
      <w:pPr>
        <w:spacing w:after="120"/>
        <w:jc w:val="both"/>
        <w:rPr>
          <w:sz w:val="21"/>
          <w:szCs w:val="21"/>
        </w:rPr>
      </w:pPr>
      <w:r>
        <w:rPr>
          <w:b/>
          <w:bCs/>
          <w:sz w:val="21"/>
          <w:szCs w:val="21"/>
        </w:rPr>
        <w:t xml:space="preserve">P1, </w:t>
      </w:r>
      <w:proofErr w:type="gramStart"/>
      <w:r>
        <w:rPr>
          <w:b/>
          <w:bCs/>
          <w:sz w:val="21"/>
          <w:szCs w:val="21"/>
        </w:rPr>
        <w:t>Houve</w:t>
      </w:r>
      <w:proofErr w:type="gramEnd"/>
      <w:r>
        <w:rPr>
          <w:b/>
          <w:bCs/>
          <w:sz w:val="21"/>
          <w:szCs w:val="21"/>
        </w:rPr>
        <w:t xml:space="preserve"> uso do cargo, hierarquia ou poder funcional como instrumento da ameaça?</w:t>
      </w:r>
      <w:r>
        <w:rPr>
          <w:sz w:val="21"/>
          <w:szCs w:val="21"/>
        </w:rPr>
        <w:t xml:space="preserve"> A resposta determina qual das duas escalas de gravidade será aplicada.</w:t>
      </w:r>
    </w:p>
    <w:p w14:paraId="5B4593D6" w14:textId="77777777" w:rsidR="00BA3590" w:rsidRPr="00BA3590" w:rsidRDefault="00BA3590" w:rsidP="00BA3590">
      <w:pPr>
        <w:spacing w:after="120"/>
        <w:jc w:val="both"/>
        <w:rPr>
          <w:sz w:val="21"/>
          <w:szCs w:val="21"/>
        </w:rPr>
      </w:pPr>
      <w:r>
        <w:rPr>
          <w:b/>
          <w:bCs/>
          <w:sz w:val="21"/>
          <w:szCs w:val="21"/>
        </w:rPr>
        <w:t xml:space="preserve">P2, </w:t>
      </w:r>
      <w:proofErr w:type="gramStart"/>
      <w:r>
        <w:rPr>
          <w:b/>
          <w:bCs/>
          <w:sz w:val="21"/>
          <w:szCs w:val="21"/>
        </w:rPr>
        <w:t>Qual</w:t>
      </w:r>
      <w:proofErr w:type="gramEnd"/>
      <w:r>
        <w:rPr>
          <w:b/>
          <w:bCs/>
          <w:sz w:val="21"/>
          <w:szCs w:val="21"/>
        </w:rPr>
        <w:t xml:space="preserve"> é o conteúdo da promessa de mal?</w:t>
      </w:r>
      <w:r>
        <w:rPr>
          <w:sz w:val="21"/>
          <w:szCs w:val="21"/>
        </w:rPr>
        <w:t xml:space="preserve"> Avalia se a ameaça é de </w:t>
      </w:r>
      <w:proofErr w:type="spellStart"/>
      <w:r>
        <w:rPr>
          <w:sz w:val="21"/>
          <w:szCs w:val="21"/>
        </w:rPr>
        <w:t>dano</w:t>
      </w:r>
      <w:proofErr w:type="spellEnd"/>
      <w:r>
        <w:rPr>
          <w:sz w:val="21"/>
          <w:szCs w:val="21"/>
        </w:rPr>
        <w:t xml:space="preserve"> à imagem/carreira (baixa), de agressão física (média) ou de morte/é inserida em contexto de assédio (alta).</w:t>
      </w:r>
    </w:p>
    <w:p w14:paraId="174553EF" w14:textId="77777777" w:rsidR="00BA3590" w:rsidRPr="00BA3590" w:rsidRDefault="00BA3590" w:rsidP="00BA3590">
      <w:pPr>
        <w:spacing w:after="120"/>
        <w:jc w:val="both"/>
        <w:rPr>
          <w:sz w:val="21"/>
          <w:szCs w:val="21"/>
        </w:rPr>
      </w:pPr>
      <w:r>
        <w:rPr>
          <w:b/>
          <w:bCs/>
          <w:sz w:val="21"/>
          <w:szCs w:val="21"/>
        </w:rPr>
        <w:t>P3, O servidor usou o cargo como instrumento da ameaça?</w:t>
      </w:r>
      <w:r>
        <w:rPr>
          <w:sz w:val="21"/>
          <w:szCs w:val="21"/>
        </w:rPr>
        <w:t xml:space="preserve"> Ponto de bifurcação que pode redirecionar para a rota art. 117, IX, e que exige, conforme a ressalva da seção 3.4, análise autônoma e rigorosa dos elementos desse tipo antes de adotar o enquadramento demissório.</w:t>
      </w:r>
    </w:p>
    <w:p w14:paraId="59B1AD79" w14:textId="77777777" w:rsidR="00BA3590" w:rsidRPr="00BA3590" w:rsidRDefault="00BA3590" w:rsidP="00BA3590">
      <w:pPr>
        <w:spacing w:after="120"/>
        <w:jc w:val="both"/>
        <w:rPr>
          <w:sz w:val="21"/>
          <w:szCs w:val="21"/>
        </w:rPr>
      </w:pPr>
      <w:r>
        <w:rPr>
          <w:sz w:val="21"/>
          <w:szCs w:val="21"/>
        </w:rPr>
        <w:t xml:space="preserve">O resultado orientativo da ferramenta é sempre o ponto de partida, não o de chegada. No capítulo da ameaça, mais do que em qualquer outro eixo do </w:t>
      </w:r>
      <w:proofErr w:type="spellStart"/>
      <w:r>
        <w:rPr>
          <w:sz w:val="21"/>
          <w:szCs w:val="21"/>
        </w:rPr>
        <w:t>Integritas</w:t>
      </w:r>
      <w:proofErr w:type="spellEnd"/>
      <w:r>
        <w:rPr>
          <w:sz w:val="21"/>
          <w:szCs w:val="21"/>
        </w:rPr>
        <w:t>, a qualificação dos fatos apurados é determinante: uma ameaça de nível médio com uso da posição hierárquica como agravante pode ensejar suspensão mais severa e dosimetria reforçada, sem necessariamente alcançar a demissão; uma ameaça de nível alto inserida em padrão sistemático de perseguição pode ensejar, cumulativamente, enquadramento no art. 132, V e avaliação de assédio moral pelo Eixo 5. A cumulatividade de condutas (ameaça + assédio + discriminação) exige análise individualizada de cada eixo e ponderação de concurso de faltas na dosimetria.</w:t>
      </w:r>
    </w:p>
    <w:p w14:paraId="1058D6E6" w14:textId="77777777" w:rsidR="00287D58" w:rsidRDefault="003B78AF">
      <w:r>
        <w:br w:type="page"/>
      </w:r>
    </w:p>
    <w:p w14:paraId="3B38E429"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CAPÍTULO 4</w:t>
      </w:r>
    </w:p>
    <w:p w14:paraId="1095D1FD" w14:textId="77777777" w:rsidR="00287D58" w:rsidRDefault="003B78AF">
      <w:pPr>
        <w:pStyle w:val="Ttulo1"/>
        <w:keepNext/>
        <w:pBdr>
          <w:bottom w:val="single" w:sz="12" w:space="6" w:color="C9A35C"/>
        </w:pBdr>
        <w:spacing w:line="400" w:lineRule="exact"/>
      </w:pPr>
      <w:bookmarkStart w:id="29" w:name="_Toc238022024"/>
      <w:r>
        <w:t>4. ASSÉDIO SEXUAL E ATOS DE CONOTAÇÃO SEXUAL: O DANO À VÍTIMA COMO CENTRO DO ENQUADRAMENTO</w:t>
      </w:r>
      <w:bookmarkEnd w:id="29"/>
    </w:p>
    <w:p w14:paraId="5EA58943" w14:textId="77777777" w:rsidR="00287D58" w:rsidRDefault="003B78AF">
      <w:pPr>
        <w:pStyle w:val="Ttulo2"/>
        <w:keepNext/>
      </w:pPr>
      <w:bookmarkStart w:id="30" w:name="_Toc238022025"/>
      <w:r>
        <w:t>4.1 O ponto de partida que o capítulo precisa estabelecer</w:t>
      </w:r>
      <w:bookmarkEnd w:id="30"/>
    </w:p>
    <w:p w14:paraId="0F8FAB94" w14:textId="77777777" w:rsidR="008C75A6" w:rsidRPr="008C75A6" w:rsidRDefault="008C75A6" w:rsidP="008C75A6">
      <w:pPr>
        <w:spacing w:after="120"/>
        <w:jc w:val="both"/>
        <w:rPr>
          <w:sz w:val="21"/>
          <w:szCs w:val="21"/>
        </w:rPr>
      </w:pPr>
      <w:r>
        <w:rPr>
          <w:sz w:val="21"/>
          <w:szCs w:val="21"/>
        </w:rPr>
        <w:t xml:space="preserve">Há um argumento que aparece com regularidade perturbadora nos processos administrativos disciplinares que envolvem condutas de natureza sexual: o de que o servidor acusado não tinha intenção de ofender, de que o comentário foi uma brincadeira, de que ele não sabia que a colega ficaria incomodada, de que não havia nenhum propósito sexual explícito na conduta. Esse argumento, quando acolhido pela autoridade julgadora, produz arquivamentos que não apenas </w:t>
      </w:r>
      <w:proofErr w:type="spellStart"/>
      <w:r>
        <w:rPr>
          <w:sz w:val="21"/>
          <w:szCs w:val="21"/>
        </w:rPr>
        <w:t>injustiçam</w:t>
      </w:r>
      <w:proofErr w:type="spellEnd"/>
      <w:r>
        <w:rPr>
          <w:sz w:val="21"/>
          <w:szCs w:val="21"/>
        </w:rPr>
        <w:t xml:space="preserve"> a vítima individual, mas corroem sistematicamente a credibilidade do canal de denúncias e a eficácia do sistema correcional.</w:t>
      </w:r>
    </w:p>
    <w:p w14:paraId="15B6173F" w14:textId="77777777" w:rsidR="008C75A6" w:rsidRPr="008C75A6" w:rsidRDefault="008C75A6" w:rsidP="008C75A6">
      <w:pPr>
        <w:spacing w:after="120"/>
        <w:jc w:val="both"/>
        <w:rPr>
          <w:sz w:val="21"/>
          <w:szCs w:val="21"/>
        </w:rPr>
      </w:pPr>
      <w:r>
        <w:rPr>
          <w:sz w:val="21"/>
          <w:szCs w:val="21"/>
        </w:rPr>
        <w:t>Este capítulo parte de uma premissa que não é nova na doutrina internacional, mas que precisa ser afirmada com clareza no contexto do direito disciplinar brasileiro: a intenção do agressor é irrelevante para a caracterização do assédio sexual e dos atos de conotação sexual. O que define a infração não é o que o servidor pretendia ao praticar a conduta, mas o que a conduta, objetivamente avaliada pelo seu conteúdo, pelo seu contexto e pelos seus efeitos sobre a vítima, significa e produz. Essa premissa não é apenas uma posição doutrinária: está positivada no Parecer JM-03, operacionalizada na NT nº 3285/2023 e fundamentada numa consistente base de pesquisa empírica sobre o impacto psicológico das condutas de conotação sexual no ambiente de trabalho.</w:t>
      </w:r>
    </w:p>
    <w:p w14:paraId="05A6947F" w14:textId="77777777" w:rsidR="00287D58" w:rsidRPr="0008340B" w:rsidRDefault="008C75A6" w:rsidP="008C75A6">
      <w:pPr>
        <w:spacing w:after="120"/>
        <w:jc w:val="both"/>
        <w:rPr>
          <w:sz w:val="21"/>
          <w:szCs w:val="21"/>
        </w:rPr>
      </w:pPr>
      <w:r>
        <w:rPr>
          <w:sz w:val="21"/>
          <w:szCs w:val="21"/>
        </w:rPr>
        <w:t>Compreender por que a intenção é irrelevante exige um percurso que vai do marco normativo ao fundamento constitucional, da psicologia clínica à prova processual. É esse percurso que este capítulo realiza.</w:t>
      </w:r>
    </w:p>
    <w:p w14:paraId="629B7FFC" w14:textId="77777777" w:rsidR="00287D58" w:rsidRDefault="003B78AF">
      <w:pPr>
        <w:pStyle w:val="Ttulo2"/>
        <w:keepNext/>
      </w:pPr>
      <w:bookmarkStart w:id="31" w:name="_Toc238022026"/>
      <w:r>
        <w:t>4.2 Marco normativo: camadas sobrepostas de proteção</w:t>
      </w:r>
      <w:bookmarkEnd w:id="31"/>
    </w:p>
    <w:p w14:paraId="0289DB10" w14:textId="77777777" w:rsidR="001A4DE1" w:rsidRPr="001A4DE1" w:rsidRDefault="003B78AF" w:rsidP="001A4DE1">
      <w:pPr>
        <w:spacing w:after="120"/>
        <w:jc w:val="both"/>
        <w:rPr>
          <w:sz w:val="21"/>
          <w:szCs w:val="21"/>
        </w:rPr>
      </w:pPr>
      <w:r>
        <w:rPr>
          <w:sz w:val="21"/>
          <w:szCs w:val="21"/>
        </w:rPr>
        <w:t>O tratamento disciplinar das condutas de cunho sexual no serviço público federal é construído sobre quatro camadas normativas que se articulam e se complementam.</w:t>
      </w:r>
    </w:p>
    <w:p w14:paraId="7DA5B998" w14:textId="77777777" w:rsidR="001A4DE1" w:rsidRPr="001A4DE1" w:rsidRDefault="001A4DE1" w:rsidP="001A4DE1">
      <w:pPr>
        <w:spacing w:after="120"/>
        <w:jc w:val="both"/>
        <w:rPr>
          <w:sz w:val="21"/>
          <w:szCs w:val="21"/>
        </w:rPr>
      </w:pPr>
      <w:r>
        <w:rPr>
          <w:b/>
          <w:bCs/>
          <w:sz w:val="21"/>
          <w:szCs w:val="21"/>
        </w:rPr>
        <w:t>O art. 216-A do Código Penal.</w:t>
      </w:r>
      <w:r>
        <w:rPr>
          <w:sz w:val="21"/>
          <w:szCs w:val="21"/>
        </w:rPr>
        <w:t xml:space="preserve"> Inserido pela Lei nº 10.224, de 15 de maio de 2001, e com pena agravada pela Lei nº 12.015/2009, o art. 216-A tipifica o assédio sexual como </w:t>
      </w:r>
      <w:r>
        <w:rPr>
          <w:i/>
          <w:iCs/>
          <w:sz w:val="21"/>
          <w:szCs w:val="21"/>
        </w:rPr>
        <w:t>"constranger alguém com o intuito de obter vantagem ou favorecimento sexual, prevalecendo-se o agente da sua condição de superior hierárquico ou ascendência inerentes ao exercício de emprego, cargo ou função"</w:t>
      </w:r>
      <w:r>
        <w:rPr>
          <w:sz w:val="21"/>
          <w:szCs w:val="21"/>
        </w:rPr>
        <w:t>. Pena: detenção de 1 a 2 anos. A tipificação penal é importante como referência, mas o direito disciplinar não está vinculado a ela: a caracterização disciplinar é mais ampla, não exige prevalência de hierarquia como elemento constitutivo, e o conceito correcional de assédio sexual elaborado pelo Parecer JM-03 é explicitamente mais abrangente do que o tipo penal.</w:t>
      </w:r>
    </w:p>
    <w:p w14:paraId="59CDF2AE" w14:textId="77777777" w:rsidR="001A4DE1" w:rsidRPr="001A4DE1" w:rsidRDefault="001A4DE1" w:rsidP="001A4DE1">
      <w:pPr>
        <w:spacing w:after="120"/>
        <w:jc w:val="both"/>
        <w:rPr>
          <w:sz w:val="21"/>
          <w:szCs w:val="21"/>
        </w:rPr>
      </w:pPr>
      <w:r>
        <w:rPr>
          <w:b/>
          <w:bCs/>
          <w:sz w:val="21"/>
          <w:szCs w:val="21"/>
        </w:rPr>
        <w:t>O Parecer JM-03 (Parecer nº 00015/2023/CONSUNIAO/CGU/AGU).</w:t>
      </w:r>
      <w:r>
        <w:rPr>
          <w:sz w:val="21"/>
          <w:szCs w:val="21"/>
        </w:rPr>
        <w:t xml:space="preserve"> Aprovado por despacho do Presidente da República em 4 de setembro de 2023, com efeito vinculante para toda a Administração Pública Federal, o Parecer JM-03 fixou o conceito correcional de assédio sexual nos seguintes termos: </w:t>
      </w:r>
      <w:r>
        <w:rPr>
          <w:i/>
          <w:iCs/>
          <w:sz w:val="21"/>
          <w:szCs w:val="21"/>
        </w:rPr>
        <w:t>"qualquer conduta de natureza sexual não desejada que tenha como efeito criar um ambiente de trabalho intimidador, hostil ou ofensivo, ou que resulte em prejuízo no emprego ou na carreira da vítima"</w:t>
      </w:r>
      <w:r>
        <w:rPr>
          <w:sz w:val="21"/>
          <w:szCs w:val="21"/>
        </w:rPr>
        <w:t xml:space="preserve">. Dois elementos dessa definição merecem imediata atenção: a expressão "não desejada", que desloca o eixo </w:t>
      </w:r>
      <w:r>
        <w:rPr>
          <w:sz w:val="21"/>
          <w:szCs w:val="21"/>
        </w:rPr>
        <w:lastRenderedPageBreak/>
        <w:t>da análise para a recepção pela vítima, não para a intenção do agressor; e a expressão "que tenha como efeito", que adota o critério do resultado sobre o ambiente ou sobre a vítima, sem exigir que o agressor tenha pretendido produzir esse efeito.</w:t>
      </w:r>
    </w:p>
    <w:p w14:paraId="4CE3F4B9" w14:textId="77777777" w:rsidR="001A4DE1" w:rsidRPr="001A4DE1" w:rsidRDefault="001A4DE1" w:rsidP="001A4DE1">
      <w:pPr>
        <w:spacing w:after="120"/>
        <w:jc w:val="both"/>
        <w:rPr>
          <w:sz w:val="21"/>
          <w:szCs w:val="21"/>
        </w:rPr>
      </w:pPr>
      <w:r>
        <w:rPr>
          <w:b/>
          <w:bCs/>
          <w:sz w:val="21"/>
          <w:szCs w:val="21"/>
        </w:rPr>
        <w:t>A NT nº 3285/2023/CGUNE/DICOR/CRG.</w:t>
      </w:r>
      <w:r>
        <w:rPr>
          <w:sz w:val="21"/>
          <w:szCs w:val="21"/>
        </w:rPr>
        <w:t xml:space="preserve"> Aprovada em 11 de dezembro de 2023 (Processo nº 00190.108994/2023-16), a Nota Técnica sistematizou o enquadramento disciplinar das condutas de cunho sexual, apoiando-se no Parecer JM-03, no Guia Lilás (CGU, 2023) e no Estudo Temático sobre assédio sexual no </w:t>
      </w:r>
      <w:proofErr w:type="spellStart"/>
      <w:r>
        <w:rPr>
          <w:sz w:val="21"/>
          <w:szCs w:val="21"/>
        </w:rPr>
        <w:t>Siscor</w:t>
      </w:r>
      <w:proofErr w:type="spellEnd"/>
      <w:r>
        <w:rPr>
          <w:sz w:val="21"/>
          <w:szCs w:val="21"/>
        </w:rPr>
        <w:t xml:space="preserve">. A NT nº 3285/2023 adotou expressamente o critério objetivo de avaliação das condutas, o conteúdo da conduta, não a intenção de quem a </w:t>
      </w:r>
      <w:proofErr w:type="gramStart"/>
      <w:r>
        <w:rPr>
          <w:sz w:val="21"/>
          <w:szCs w:val="21"/>
        </w:rPr>
        <w:t>pratica</w:t>
      </w:r>
      <w:proofErr w:type="gramEnd"/>
      <w:r>
        <w:rPr>
          <w:sz w:val="21"/>
          <w:szCs w:val="21"/>
        </w:rPr>
        <w:t>, e estabeleceu os três qualificadores autônomos que determinam o patamar de enquadramento.</w:t>
      </w:r>
    </w:p>
    <w:p w14:paraId="60302C2E" w14:textId="77777777" w:rsidR="001A4DE1" w:rsidRPr="001A4DE1" w:rsidRDefault="001A4DE1" w:rsidP="001A4DE1">
      <w:pPr>
        <w:spacing w:after="120"/>
        <w:jc w:val="both"/>
        <w:rPr>
          <w:sz w:val="21"/>
          <w:szCs w:val="21"/>
        </w:rPr>
      </w:pPr>
      <w:r>
        <w:rPr>
          <w:b/>
          <w:bCs/>
          <w:sz w:val="21"/>
          <w:szCs w:val="21"/>
        </w:rPr>
        <w:t>A Lei nº 14.457/2022 e a Convenção nº 190 da OIT.</w:t>
      </w:r>
      <w:r>
        <w:rPr>
          <w:sz w:val="21"/>
          <w:szCs w:val="21"/>
        </w:rPr>
        <w:t xml:space="preserve"> A Lei nº 14.457, de 21 de setembro de 2022, instituiu o Programa Emprega + Mulheres e criou, na CLT, o Capítulo VII sobre prevenção e combate ao assédio sexual e outras formas de violência no trabalho, tornando obrigatória a adoção de medidas preventivas. A Convenção nº 190 da OIT, ainda não ratificada pelo Brasil e aqui invocada como referência principiológica e vetor hermenêutico, define violência e assédio no trabalho como comportamentos </w:t>
      </w:r>
      <w:r>
        <w:rPr>
          <w:i/>
          <w:iCs/>
          <w:sz w:val="21"/>
          <w:szCs w:val="21"/>
        </w:rPr>
        <w:t>"de ocorrência única ou repetida"</w:t>
      </w:r>
      <w:r>
        <w:rPr>
          <w:sz w:val="21"/>
          <w:szCs w:val="21"/>
        </w:rPr>
        <w:t xml:space="preserve"> que causem dano físico, psicológico, sexual ou econômico, consagrando, no plano internacional, tanto o critério do resultado (dano) quanto a desnecessidade de reiteração para a caracterização.</w:t>
      </w:r>
    </w:p>
    <w:p w14:paraId="331BCBC9" w14:textId="77777777" w:rsidR="00161CCD" w:rsidRPr="00161CCD" w:rsidRDefault="00161CCD" w:rsidP="00161CCD">
      <w:pPr>
        <w:pStyle w:val="Ttulo2"/>
        <w:keepNext/>
      </w:pPr>
      <w:bookmarkStart w:id="32" w:name="_Toc238022027"/>
      <w:r>
        <w:t>4.3 Por que a intenção do agressor é irrelevante: os três fundamentos</w:t>
      </w:r>
      <w:bookmarkEnd w:id="32"/>
    </w:p>
    <w:p w14:paraId="4C65A726" w14:textId="77777777" w:rsidR="00927313" w:rsidRPr="00927313" w:rsidRDefault="00161CCD" w:rsidP="00927313">
      <w:pPr>
        <w:spacing w:after="120"/>
        <w:jc w:val="both"/>
        <w:rPr>
          <w:sz w:val="21"/>
          <w:szCs w:val="21"/>
        </w:rPr>
      </w:pPr>
      <w:r>
        <w:rPr>
          <w:sz w:val="21"/>
          <w:szCs w:val="21"/>
        </w:rPr>
        <w:t>A irrelevância da intenção do agressor na caracterização do assédio sexual não é uma opção interpretativa arbitrária. Tem três fundamentos distintos e complementares: constitucional, normativo e empírico.</w:t>
      </w:r>
    </w:p>
    <w:p w14:paraId="72CA416E" w14:textId="77777777" w:rsidR="00927313" w:rsidRPr="00927313" w:rsidRDefault="00927313" w:rsidP="00927313">
      <w:pPr>
        <w:spacing w:after="120"/>
        <w:jc w:val="both"/>
        <w:rPr>
          <w:sz w:val="21"/>
          <w:szCs w:val="21"/>
        </w:rPr>
      </w:pPr>
      <w:r>
        <w:rPr>
          <w:b/>
          <w:bCs/>
          <w:sz w:val="21"/>
          <w:szCs w:val="21"/>
        </w:rPr>
        <w:t>Fundamento constitucional: o direito da vítima ao ambiente de trabalho livre de violência.</w:t>
      </w:r>
      <w:r>
        <w:rPr>
          <w:sz w:val="21"/>
          <w:szCs w:val="21"/>
        </w:rPr>
        <w:t xml:space="preserve"> A Constituição Federal de 1988 erigiu a dignidade da pessoa humana como fundamento da República (art. 1º, III) e assegurou a inviolabilidade da intimidade, da vida privada, da honra e da imagem (art. 5º, X). Esses dispositivos fundam um direito constitucional ao ambiente de trabalho livre de violência e humilhação, um direito que pertence à vítima e que é violado pelo efeito da conduta, independentemente da intenção de quem a praticou. Como a conduta ofende esse direito pelo que produz, não pelo que pretendia produzir, a intenção do agressor é irrelevante para a verificação da violação.</w:t>
      </w:r>
    </w:p>
    <w:p w14:paraId="543D16FD" w14:textId="77777777" w:rsidR="00927313" w:rsidRPr="00927313" w:rsidRDefault="00927313" w:rsidP="00927313">
      <w:pPr>
        <w:spacing w:after="120"/>
        <w:jc w:val="both"/>
        <w:rPr>
          <w:sz w:val="21"/>
          <w:szCs w:val="21"/>
        </w:rPr>
      </w:pPr>
      <w:r>
        <w:rPr>
          <w:sz w:val="21"/>
          <w:szCs w:val="21"/>
        </w:rPr>
        <w:t xml:space="preserve">Ingo Wolfgang Sarlet, ao analisar a dimensão objetiva dos direitos fundamentais, afirma que eles </w:t>
      </w:r>
      <w:r>
        <w:rPr>
          <w:i/>
          <w:iCs/>
          <w:sz w:val="21"/>
          <w:szCs w:val="21"/>
        </w:rPr>
        <w:t>"impõem ao Estado (e aos particulares) um dever de proteção, que abrange não apenas a abstenção de violações, mas a adoção ativa de medidas que assegurem o exercício efetivo desses direitos"</w:t>
      </w:r>
      <w:r>
        <w:rPr>
          <w:sz w:val="21"/>
          <w:szCs w:val="21"/>
        </w:rPr>
        <w:t xml:space="preserve"> </w:t>
      </w:r>
      <w:r>
        <w:rPr>
          <w:rStyle w:val="Refdenotaderodap"/>
          <w:sz w:val="21"/>
          <w:szCs w:val="21"/>
        </w:rPr>
        <w:footnoteReference w:id="16"/>
      </w:r>
      <w:r>
        <w:rPr>
          <w:sz w:val="21"/>
          <w:szCs w:val="21"/>
        </w:rPr>
        <w:t>. Aplicada ao assédio sexual, essa dimensão objetiva significa que a proteção da vítima não pode depender da comprovação de intenção ofensiva do agressor: depende da verificação objetiva de que a conduta produziu ou era apta a produzir violação da sua dignidade.</w:t>
      </w:r>
    </w:p>
    <w:p w14:paraId="46A7D5D4" w14:textId="77777777" w:rsidR="00927313" w:rsidRPr="00927313" w:rsidRDefault="00927313" w:rsidP="00927313">
      <w:pPr>
        <w:spacing w:after="120"/>
        <w:jc w:val="both"/>
        <w:rPr>
          <w:sz w:val="21"/>
          <w:szCs w:val="21"/>
        </w:rPr>
      </w:pPr>
      <w:r>
        <w:rPr>
          <w:b/>
          <w:bCs/>
          <w:sz w:val="21"/>
          <w:szCs w:val="21"/>
        </w:rPr>
        <w:t>Fundamento normativo: o critério do "não desejado" e do "efeito".</w:t>
      </w:r>
      <w:r>
        <w:rPr>
          <w:sz w:val="21"/>
          <w:szCs w:val="21"/>
        </w:rPr>
        <w:t xml:space="preserve"> O Parecer JM-03 e a NT nº 3285/2023 adotaram, como já mencionado, os critérios de </w:t>
      </w:r>
      <w:proofErr w:type="spellStart"/>
      <w:r>
        <w:rPr>
          <w:sz w:val="21"/>
          <w:szCs w:val="21"/>
        </w:rPr>
        <w:t>indesejabilidade</w:t>
      </w:r>
      <w:proofErr w:type="spellEnd"/>
      <w:r>
        <w:rPr>
          <w:sz w:val="21"/>
          <w:szCs w:val="21"/>
        </w:rPr>
        <w:t xml:space="preserve"> pela vítima e de efeito sobre o ambiente ou sobre a carreira da vítima como elementos definidores. Nenhum dos dois critérios faz qualquer referência à intenção do agressor. A pergunta normativa relevante é dupla e objetiva: (1) a conduta tinha conotação sexual reconhecível por um observador razoável? (2) a conduta foi </w:t>
      </w:r>
      <w:r>
        <w:rPr>
          <w:sz w:val="21"/>
          <w:szCs w:val="21"/>
        </w:rPr>
        <w:lastRenderedPageBreak/>
        <w:t>indesejada pela vítima ou produziu ambiente hostil? Se ambas as respostas são afirmativas, a infração está configurada, independentemente do que o agressor afirma ter pretendido.</w:t>
      </w:r>
    </w:p>
    <w:p w14:paraId="2FC311C4" w14:textId="77777777" w:rsidR="00927313" w:rsidRPr="00927313" w:rsidRDefault="00927313" w:rsidP="00927313">
      <w:pPr>
        <w:spacing w:after="120"/>
        <w:jc w:val="both"/>
        <w:rPr>
          <w:sz w:val="21"/>
          <w:szCs w:val="21"/>
        </w:rPr>
      </w:pPr>
      <w:r>
        <w:rPr>
          <w:sz w:val="21"/>
          <w:szCs w:val="21"/>
        </w:rPr>
        <w:t xml:space="preserve">A Convenção nº 190 da OIT, no mesmo sentido, define violência e assédio como comportamentos </w:t>
      </w:r>
      <w:r>
        <w:rPr>
          <w:i/>
          <w:iCs/>
          <w:sz w:val="21"/>
          <w:szCs w:val="21"/>
        </w:rPr>
        <w:t>"suscetíveis de causar"</w:t>
      </w:r>
      <w:r>
        <w:rPr>
          <w:sz w:val="21"/>
          <w:szCs w:val="21"/>
        </w:rPr>
        <w:t xml:space="preserve"> dano, não como comportamentos </w:t>
      </w:r>
      <w:r>
        <w:rPr>
          <w:i/>
          <w:iCs/>
          <w:sz w:val="21"/>
          <w:szCs w:val="21"/>
        </w:rPr>
        <w:t>"praticados com intenção de causar"</w:t>
      </w:r>
      <w:r>
        <w:rPr>
          <w:sz w:val="21"/>
          <w:szCs w:val="21"/>
        </w:rPr>
        <w:t xml:space="preserve"> dano. A substituição do elemento intencional pelo elemento de aptidão causal é precisa e deliberada: ela reflete a conclusão, baseada em décadas de pesquisa empírica, de que exigir prova de intenção como condição de proteção à vítima equivale, na prática, a não a proteger.</w:t>
      </w:r>
    </w:p>
    <w:p w14:paraId="698D4752" w14:textId="77777777" w:rsidR="00927313" w:rsidRPr="00927313" w:rsidRDefault="00927313" w:rsidP="00927313">
      <w:pPr>
        <w:spacing w:after="120"/>
        <w:jc w:val="both"/>
        <w:rPr>
          <w:sz w:val="21"/>
          <w:szCs w:val="21"/>
        </w:rPr>
      </w:pPr>
      <w:r>
        <w:rPr>
          <w:b/>
          <w:bCs/>
          <w:sz w:val="21"/>
          <w:szCs w:val="21"/>
        </w:rPr>
        <w:t>Fundamento empírico: o que a pesquisa mostra sobre o impacto real da conduta.</w:t>
      </w:r>
      <w:r>
        <w:rPr>
          <w:sz w:val="21"/>
          <w:szCs w:val="21"/>
        </w:rPr>
        <w:t xml:space="preserve"> A pesquisa em psicologia do trabalho e psicologia clínica documentou extensamente que o impacto do assédio sexual sobre a vítima é independente da intenção do agressor. Louise Fitzgerald, em trabalho seminal publicado no </w:t>
      </w:r>
      <w:proofErr w:type="spellStart"/>
      <w:r>
        <w:rPr>
          <w:i/>
          <w:iCs/>
          <w:sz w:val="21"/>
          <w:szCs w:val="21"/>
        </w:rPr>
        <w:t>Journal</w:t>
      </w:r>
      <w:proofErr w:type="spellEnd"/>
      <w:r>
        <w:rPr>
          <w:i/>
          <w:iCs/>
          <w:sz w:val="21"/>
          <w:szCs w:val="21"/>
        </w:rPr>
        <w:t xml:space="preserve"> </w:t>
      </w:r>
      <w:proofErr w:type="spellStart"/>
      <w:r>
        <w:rPr>
          <w:i/>
          <w:iCs/>
          <w:sz w:val="21"/>
          <w:szCs w:val="21"/>
        </w:rPr>
        <w:t>of</w:t>
      </w:r>
      <w:proofErr w:type="spellEnd"/>
      <w:r>
        <w:rPr>
          <w:i/>
          <w:iCs/>
          <w:sz w:val="21"/>
          <w:szCs w:val="21"/>
        </w:rPr>
        <w:t xml:space="preserve"> </w:t>
      </w:r>
      <w:proofErr w:type="spellStart"/>
      <w:r>
        <w:rPr>
          <w:i/>
          <w:iCs/>
          <w:sz w:val="21"/>
          <w:szCs w:val="21"/>
        </w:rPr>
        <w:t>Vocational</w:t>
      </w:r>
      <w:proofErr w:type="spellEnd"/>
      <w:r>
        <w:rPr>
          <w:i/>
          <w:iCs/>
          <w:sz w:val="21"/>
          <w:szCs w:val="21"/>
        </w:rPr>
        <w:t xml:space="preserve"> </w:t>
      </w:r>
      <w:proofErr w:type="spellStart"/>
      <w:r>
        <w:rPr>
          <w:i/>
          <w:iCs/>
          <w:sz w:val="21"/>
          <w:szCs w:val="21"/>
        </w:rPr>
        <w:t>Behavior</w:t>
      </w:r>
      <w:proofErr w:type="spellEnd"/>
      <w:r>
        <w:rPr>
          <w:sz w:val="21"/>
          <w:szCs w:val="21"/>
        </w:rPr>
        <w:t xml:space="preserve"> (1988), demonstrou que mulheres expostas a condutas de conotação sexual indesejada no ambiente de trabalho sofriam os mesmos padrões de impacto psicológico independentemente de a conduta ter sido praticada com "intenção maliciosa" ou como "brincadeira". O que produzia o dano era o conteúdo da conduta e a recepção pela vítima, não a motivação do agressor.</w:t>
      </w:r>
    </w:p>
    <w:p w14:paraId="6BF5FAB0" w14:textId="77777777" w:rsidR="00927313" w:rsidRPr="00927313" w:rsidRDefault="00927313" w:rsidP="00927313">
      <w:pPr>
        <w:spacing w:after="120"/>
        <w:jc w:val="both"/>
        <w:rPr>
          <w:sz w:val="21"/>
          <w:szCs w:val="21"/>
        </w:rPr>
      </w:pPr>
      <w:r>
        <w:rPr>
          <w:sz w:val="21"/>
          <w:szCs w:val="21"/>
        </w:rPr>
        <w:t xml:space="preserve">Ilse Fitzgerald e colaboradores desenvolveram, nas décadas seguintes, a </w:t>
      </w:r>
      <w:r>
        <w:rPr>
          <w:i/>
          <w:iCs/>
          <w:sz w:val="21"/>
          <w:szCs w:val="21"/>
        </w:rPr>
        <w:t xml:space="preserve">Sexual </w:t>
      </w:r>
      <w:proofErr w:type="spellStart"/>
      <w:r>
        <w:rPr>
          <w:i/>
          <w:iCs/>
          <w:sz w:val="21"/>
          <w:szCs w:val="21"/>
        </w:rPr>
        <w:t>Experiences</w:t>
      </w:r>
      <w:proofErr w:type="spellEnd"/>
      <w:r>
        <w:rPr>
          <w:i/>
          <w:iCs/>
          <w:sz w:val="21"/>
          <w:szCs w:val="21"/>
        </w:rPr>
        <w:t xml:space="preserve"> </w:t>
      </w:r>
      <w:proofErr w:type="spellStart"/>
      <w:r>
        <w:rPr>
          <w:i/>
          <w:iCs/>
          <w:sz w:val="21"/>
          <w:szCs w:val="21"/>
        </w:rPr>
        <w:t>Questionnaire</w:t>
      </w:r>
      <w:proofErr w:type="spellEnd"/>
      <w:r>
        <w:rPr>
          <w:sz w:val="21"/>
          <w:szCs w:val="21"/>
        </w:rPr>
        <w:t xml:space="preserve"> (SEQ), instrumento de medição do assédio sexual validado em dezenas de contextos culturais diferentes, e consistentemente observaram que vítimas de condutas sexualizadas no trabalho apresentam taxas significativamente elevadas de: Transtorno de Estresse Pós-Traumático (TEPT), com prevalência entre 20% e 57% nas amostras estudadas; depressão maior; transtornos de ansiedade; comprometimento do desempenho profissional; e intenção de abandono do emprego. A variável "intenção do agressor" nunca apareceu como moderador significativo desses resultados.</w:t>
      </w:r>
    </w:p>
    <w:p w14:paraId="569F3356" w14:textId="77777777" w:rsidR="00161CCD" w:rsidRPr="00161CCD" w:rsidRDefault="00927313" w:rsidP="00927313">
      <w:pPr>
        <w:spacing w:after="120"/>
        <w:jc w:val="both"/>
        <w:rPr>
          <w:sz w:val="21"/>
          <w:szCs w:val="21"/>
        </w:rPr>
      </w:pPr>
      <w:r>
        <w:rPr>
          <w:b/>
          <w:bCs/>
          <w:sz w:val="21"/>
          <w:szCs w:val="21"/>
          <w:lang w:val="en-US"/>
        </w:rPr>
        <w:t>Margaret Stockdale</w:t>
      </w:r>
      <w:r>
        <w:rPr>
          <w:sz w:val="21"/>
          <w:szCs w:val="21"/>
          <w:lang w:val="en-US"/>
        </w:rPr>
        <w:t xml:space="preserve"> e </w:t>
      </w:r>
      <w:r>
        <w:rPr>
          <w:b/>
          <w:bCs/>
          <w:sz w:val="21"/>
          <w:szCs w:val="21"/>
          <w:lang w:val="en-US"/>
        </w:rPr>
        <w:t>Vicki Magley</w:t>
      </w:r>
      <w:r>
        <w:rPr>
          <w:sz w:val="21"/>
          <w:szCs w:val="21"/>
          <w:lang w:val="en-US"/>
        </w:rPr>
        <w:t xml:space="preserve"> </w:t>
      </w:r>
      <w:proofErr w:type="spellStart"/>
      <w:r>
        <w:rPr>
          <w:sz w:val="21"/>
          <w:szCs w:val="21"/>
          <w:lang w:val="en-US"/>
        </w:rPr>
        <w:t>sistematizaram</w:t>
      </w:r>
      <w:proofErr w:type="spellEnd"/>
      <w:r>
        <w:rPr>
          <w:sz w:val="21"/>
          <w:szCs w:val="21"/>
          <w:lang w:val="en-US"/>
        </w:rPr>
        <w:t xml:space="preserve"> esse </w:t>
      </w:r>
      <w:proofErr w:type="spellStart"/>
      <w:r>
        <w:rPr>
          <w:sz w:val="21"/>
          <w:szCs w:val="21"/>
          <w:lang w:val="en-US"/>
        </w:rPr>
        <w:t>achado</w:t>
      </w:r>
      <w:proofErr w:type="spellEnd"/>
      <w:r>
        <w:rPr>
          <w:sz w:val="21"/>
          <w:szCs w:val="21"/>
          <w:lang w:val="en-US"/>
        </w:rPr>
        <w:t xml:space="preserve"> de forma </w:t>
      </w:r>
      <w:proofErr w:type="spellStart"/>
      <w:r>
        <w:rPr>
          <w:sz w:val="21"/>
          <w:szCs w:val="21"/>
          <w:lang w:val="en-US"/>
        </w:rPr>
        <w:t>que</w:t>
      </w:r>
      <w:proofErr w:type="spellEnd"/>
      <w:r>
        <w:rPr>
          <w:sz w:val="21"/>
          <w:szCs w:val="21"/>
          <w:lang w:val="en-US"/>
        </w:rPr>
        <w:t xml:space="preserve"> </w:t>
      </w:r>
      <w:proofErr w:type="spellStart"/>
      <w:r>
        <w:rPr>
          <w:sz w:val="21"/>
          <w:szCs w:val="21"/>
          <w:lang w:val="en-US"/>
        </w:rPr>
        <w:t>merece</w:t>
      </w:r>
      <w:proofErr w:type="spellEnd"/>
      <w:r>
        <w:rPr>
          <w:sz w:val="21"/>
          <w:szCs w:val="21"/>
          <w:lang w:val="en-US"/>
        </w:rPr>
        <w:t xml:space="preserve"> ser </w:t>
      </w:r>
      <w:proofErr w:type="spellStart"/>
      <w:r>
        <w:rPr>
          <w:sz w:val="21"/>
          <w:szCs w:val="21"/>
          <w:lang w:val="en-US"/>
        </w:rPr>
        <w:t>citado</w:t>
      </w:r>
      <w:proofErr w:type="spellEnd"/>
      <w:r>
        <w:rPr>
          <w:sz w:val="21"/>
          <w:szCs w:val="21"/>
          <w:lang w:val="en-US"/>
        </w:rPr>
        <w:t xml:space="preserve"> </w:t>
      </w:r>
      <w:proofErr w:type="spellStart"/>
      <w:r>
        <w:rPr>
          <w:sz w:val="21"/>
          <w:szCs w:val="21"/>
          <w:lang w:val="en-US"/>
        </w:rPr>
        <w:t>diretamente</w:t>
      </w:r>
      <w:proofErr w:type="spellEnd"/>
      <w:r>
        <w:rPr>
          <w:sz w:val="21"/>
          <w:szCs w:val="21"/>
          <w:lang w:val="en-US"/>
        </w:rPr>
        <w:t xml:space="preserve">: </w:t>
      </w:r>
      <w:r>
        <w:rPr>
          <w:i/>
          <w:iCs/>
          <w:sz w:val="21"/>
          <w:szCs w:val="21"/>
          <w:lang w:val="en-US"/>
        </w:rPr>
        <w:t>"the psychological impact of sexual harassment is determined primarily by the objective characteristics of the harassing behavior and the victim's subjective appraisal of those behaviors, not by the harasser's intent"</w:t>
      </w:r>
      <w:r>
        <w:rPr>
          <w:sz w:val="21"/>
          <w:szCs w:val="21"/>
          <w:lang w:val="en-US"/>
        </w:rPr>
        <w:t xml:space="preserve"> (The Nature and Consequences of Sexual Harassment, 2009, p. 47). </w:t>
      </w:r>
      <w:r>
        <w:rPr>
          <w:sz w:val="21"/>
          <w:szCs w:val="21"/>
        </w:rPr>
        <w:t>A intenção do agressor, simplesmente, não é variável relevante para o dano sofrido pela vítima.</w:t>
      </w:r>
    </w:p>
    <w:p w14:paraId="34815EC2" w14:textId="77777777" w:rsidR="00161CCD" w:rsidRPr="00161CCD" w:rsidRDefault="00161CCD" w:rsidP="00161CCD">
      <w:pPr>
        <w:pStyle w:val="Ttulo2"/>
        <w:keepNext/>
      </w:pPr>
      <w:bookmarkStart w:id="33" w:name="_Toc238022028"/>
      <w:r>
        <w:t>4.4 A conotação sexual como elemento definidor: o critério objetivo</w:t>
      </w:r>
      <w:bookmarkEnd w:id="33"/>
    </w:p>
    <w:p w14:paraId="621CFD42" w14:textId="77777777" w:rsidR="00FD4CBB" w:rsidRPr="00FD4CBB" w:rsidRDefault="00FD4CBB" w:rsidP="00FD4CBB">
      <w:pPr>
        <w:spacing w:after="120"/>
        <w:jc w:val="both"/>
        <w:rPr>
          <w:sz w:val="21"/>
          <w:szCs w:val="21"/>
        </w:rPr>
      </w:pPr>
      <w:r>
        <w:rPr>
          <w:sz w:val="21"/>
          <w:szCs w:val="21"/>
        </w:rPr>
        <w:t xml:space="preserve">O primeiro passo da análise pelo Eixo 3 da ferramenta </w:t>
      </w:r>
      <w:proofErr w:type="spellStart"/>
      <w:r>
        <w:rPr>
          <w:sz w:val="21"/>
          <w:szCs w:val="21"/>
        </w:rPr>
        <w:t>Integritas</w:t>
      </w:r>
      <w:proofErr w:type="spellEnd"/>
      <w:r>
        <w:rPr>
          <w:sz w:val="21"/>
          <w:szCs w:val="21"/>
        </w:rPr>
        <w:t xml:space="preserve"> é identificar se a conduta tem conotação sexual. Esse é um critério objetivo, avaliado pelo conteúdo da conduta, não pela declaração do agressor sobre sua intenção ao praticá-la.</w:t>
      </w:r>
    </w:p>
    <w:p w14:paraId="0D2CC371" w14:textId="77777777" w:rsidR="00FD4CBB" w:rsidRPr="00FD4CBB" w:rsidRDefault="00FD4CBB" w:rsidP="00FD4CBB">
      <w:pPr>
        <w:spacing w:after="120"/>
        <w:jc w:val="both"/>
        <w:rPr>
          <w:sz w:val="21"/>
          <w:szCs w:val="21"/>
        </w:rPr>
      </w:pPr>
      <w:r>
        <w:rPr>
          <w:sz w:val="21"/>
          <w:szCs w:val="21"/>
        </w:rPr>
        <w:t>A NT nº 3285/2023 e o Guia Lilás fornecem exemplos de condutas de conotação sexual que, embora não exaustivos, orientam o operador:</w:t>
      </w:r>
    </w:p>
    <w:p w14:paraId="09528033" w14:textId="77777777" w:rsidR="00FD4CBB" w:rsidRPr="00FD4CBB" w:rsidRDefault="00FD4CBB">
      <w:pPr>
        <w:numPr>
          <w:ilvl w:val="0"/>
          <w:numId w:val="11"/>
        </w:numPr>
        <w:spacing w:after="120"/>
        <w:jc w:val="both"/>
        <w:rPr>
          <w:sz w:val="21"/>
          <w:szCs w:val="21"/>
        </w:rPr>
      </w:pPr>
      <w:r>
        <w:rPr>
          <w:sz w:val="21"/>
          <w:szCs w:val="21"/>
        </w:rPr>
        <w:t>comentários sobre o corpo da vítima com teor sexual, ainda que formulados como "elogios";</w:t>
      </w:r>
    </w:p>
    <w:p w14:paraId="3D0CD635" w14:textId="77777777" w:rsidR="00FD4CBB" w:rsidRPr="00FD4CBB" w:rsidRDefault="00FD4CBB">
      <w:pPr>
        <w:numPr>
          <w:ilvl w:val="0"/>
          <w:numId w:val="11"/>
        </w:numPr>
        <w:spacing w:after="120"/>
        <w:jc w:val="both"/>
        <w:rPr>
          <w:sz w:val="21"/>
          <w:szCs w:val="21"/>
        </w:rPr>
      </w:pPr>
      <w:r>
        <w:rPr>
          <w:sz w:val="21"/>
          <w:szCs w:val="21"/>
        </w:rPr>
        <w:t>piadas, insinuações ou convites sexuais, ainda que formulados como "brincadeiras";</w:t>
      </w:r>
    </w:p>
    <w:p w14:paraId="30827324" w14:textId="77777777" w:rsidR="00FD4CBB" w:rsidRPr="00FD4CBB" w:rsidRDefault="00FD4CBB">
      <w:pPr>
        <w:numPr>
          <w:ilvl w:val="0"/>
          <w:numId w:val="11"/>
        </w:numPr>
        <w:spacing w:after="120"/>
        <w:jc w:val="both"/>
        <w:rPr>
          <w:sz w:val="21"/>
          <w:szCs w:val="21"/>
        </w:rPr>
      </w:pPr>
      <w:r>
        <w:rPr>
          <w:sz w:val="21"/>
          <w:szCs w:val="21"/>
        </w:rPr>
        <w:t>envio de imagens, vídeos ou textos de conteúdo sexual não solicitados;</w:t>
      </w:r>
    </w:p>
    <w:p w14:paraId="1787F549" w14:textId="77777777" w:rsidR="00FD4CBB" w:rsidRPr="00FD4CBB" w:rsidRDefault="00FD4CBB">
      <w:pPr>
        <w:numPr>
          <w:ilvl w:val="0"/>
          <w:numId w:val="11"/>
        </w:numPr>
        <w:spacing w:after="120"/>
        <w:jc w:val="both"/>
        <w:rPr>
          <w:sz w:val="21"/>
          <w:szCs w:val="21"/>
        </w:rPr>
      </w:pPr>
      <w:r>
        <w:rPr>
          <w:sz w:val="21"/>
          <w:szCs w:val="21"/>
        </w:rPr>
        <w:t>toques físicos de natureza sexual não consentidos;</w:t>
      </w:r>
    </w:p>
    <w:p w14:paraId="55D9B6C1" w14:textId="77777777" w:rsidR="00FD4CBB" w:rsidRPr="00FD4CBB" w:rsidRDefault="00FD4CBB">
      <w:pPr>
        <w:numPr>
          <w:ilvl w:val="0"/>
          <w:numId w:val="11"/>
        </w:numPr>
        <w:spacing w:after="120"/>
        <w:jc w:val="both"/>
        <w:rPr>
          <w:sz w:val="21"/>
          <w:szCs w:val="21"/>
        </w:rPr>
      </w:pPr>
      <w:r>
        <w:rPr>
          <w:sz w:val="21"/>
          <w:szCs w:val="21"/>
        </w:rPr>
        <w:t>olhares, gestos ou expressões de conotação sexual que causem constrangimento;</w:t>
      </w:r>
    </w:p>
    <w:p w14:paraId="1C44DDA9" w14:textId="77777777" w:rsidR="00FD4CBB" w:rsidRPr="00FD4CBB" w:rsidRDefault="00FD4CBB">
      <w:pPr>
        <w:numPr>
          <w:ilvl w:val="0"/>
          <w:numId w:val="11"/>
        </w:numPr>
        <w:spacing w:after="120"/>
        <w:jc w:val="both"/>
        <w:rPr>
          <w:sz w:val="21"/>
          <w:szCs w:val="21"/>
        </w:rPr>
      </w:pPr>
      <w:r>
        <w:rPr>
          <w:sz w:val="21"/>
          <w:szCs w:val="21"/>
        </w:rPr>
        <w:lastRenderedPageBreak/>
        <w:t>perguntas sobre a vida íntima ou sexual da vítima não relacionadas a qualquer finalidade legítima;</w:t>
      </w:r>
    </w:p>
    <w:p w14:paraId="18F8642E" w14:textId="77777777" w:rsidR="00FD4CBB" w:rsidRPr="00FD4CBB" w:rsidRDefault="00FD4CBB">
      <w:pPr>
        <w:numPr>
          <w:ilvl w:val="0"/>
          <w:numId w:val="11"/>
        </w:numPr>
        <w:spacing w:after="120"/>
        <w:jc w:val="both"/>
        <w:rPr>
          <w:sz w:val="21"/>
          <w:szCs w:val="21"/>
        </w:rPr>
      </w:pPr>
      <w:r>
        <w:rPr>
          <w:sz w:val="21"/>
          <w:szCs w:val="21"/>
        </w:rPr>
        <w:t>exposição de material pornográfico no ambiente de trabalho;</w:t>
      </w:r>
    </w:p>
    <w:p w14:paraId="0C27ECA4" w14:textId="77777777" w:rsidR="00FD4CBB" w:rsidRPr="00FD4CBB" w:rsidRDefault="00FD4CBB">
      <w:pPr>
        <w:numPr>
          <w:ilvl w:val="0"/>
          <w:numId w:val="11"/>
        </w:numPr>
        <w:spacing w:after="120"/>
        <w:jc w:val="both"/>
        <w:rPr>
          <w:sz w:val="21"/>
          <w:szCs w:val="21"/>
        </w:rPr>
      </w:pPr>
      <w:r>
        <w:rPr>
          <w:sz w:val="21"/>
          <w:szCs w:val="21"/>
        </w:rPr>
        <w:t>comentários depreciativos sobre o comportamento sexual ou a vida afetiva da vítima.</w:t>
      </w:r>
    </w:p>
    <w:p w14:paraId="72ADFE55" w14:textId="77777777" w:rsidR="00FD4CBB" w:rsidRPr="00FD4CBB" w:rsidRDefault="00FD4CBB" w:rsidP="00FD4CBB">
      <w:pPr>
        <w:spacing w:after="120"/>
        <w:jc w:val="both"/>
        <w:rPr>
          <w:sz w:val="21"/>
          <w:szCs w:val="21"/>
        </w:rPr>
      </w:pPr>
      <w:r>
        <w:rPr>
          <w:sz w:val="21"/>
          <w:szCs w:val="21"/>
        </w:rPr>
        <w:t>A conotação sexual de uma conduta afere-se por um teste objetivo duplo: (1) um observador razoável, neutro e informado, reconheceria conteúdo sexual nessa conduta? (2) a conduta, no contexto em que foi praticada, poderia razoavelmente criar constrangimento, desconforto ou ambiente hostil para a vítima? Se ambas as respostas são afirmativas, a conotação sexual está presente, independentemente do que o agressor afirme ter pretendido.</w:t>
      </w:r>
    </w:p>
    <w:p w14:paraId="1802E9E8" w14:textId="77777777" w:rsidR="00FD4CBB" w:rsidRPr="00FD4CBB" w:rsidRDefault="00FD4CBB" w:rsidP="00FD4CBB">
      <w:pPr>
        <w:spacing w:after="120"/>
        <w:jc w:val="both"/>
        <w:rPr>
          <w:sz w:val="21"/>
          <w:szCs w:val="21"/>
        </w:rPr>
      </w:pPr>
      <w:r>
        <w:rPr>
          <w:sz w:val="21"/>
          <w:szCs w:val="21"/>
        </w:rPr>
        <w:t xml:space="preserve">O "observador razoável" da questão (1) não é um homem médio neutro de cultura genérica: é, como a doutrina norte-americana sobre assédio sexual construiu ao longo de décadas de jurisprudência, um observador informado sobre as dinâmicas de poder de gênero e sobre o impacto específico que condutas sexualizadas produzem em vítimas que frequentemente pertencem a grupos historicamente vulnerabilizados. Martha </w:t>
      </w:r>
      <w:proofErr w:type="spellStart"/>
      <w:r>
        <w:rPr>
          <w:sz w:val="21"/>
          <w:szCs w:val="21"/>
        </w:rPr>
        <w:t>Chamallas</w:t>
      </w:r>
      <w:proofErr w:type="spellEnd"/>
      <w:r>
        <w:rPr>
          <w:sz w:val="21"/>
          <w:szCs w:val="21"/>
        </w:rPr>
        <w:t xml:space="preserve"> argumenta que o teste do "observador razoável" deve ser sensível ao gênero, porque o que um homem considera "brincadeira inofensiva" pode ser, para a mulher na mesma situação, uma experiência de humilhação e intimidação com raízes numa história de subordinação que ele não compartilha</w:t>
      </w:r>
      <w:r>
        <w:rPr>
          <w:rStyle w:val="Refdenotaderodap"/>
          <w:sz w:val="21"/>
          <w:szCs w:val="21"/>
        </w:rPr>
        <w:footnoteReference w:id="17"/>
      </w:r>
      <w:r>
        <w:rPr>
          <w:sz w:val="21"/>
          <w:szCs w:val="21"/>
        </w:rPr>
        <w:t>.</w:t>
      </w:r>
    </w:p>
    <w:p w14:paraId="42D439D4" w14:textId="77777777" w:rsidR="00FD4CBB" w:rsidRPr="00FD4CBB" w:rsidRDefault="00FD4CBB" w:rsidP="00FD4CBB">
      <w:pPr>
        <w:spacing w:after="120"/>
        <w:jc w:val="both"/>
        <w:rPr>
          <w:sz w:val="21"/>
          <w:szCs w:val="21"/>
        </w:rPr>
      </w:pPr>
      <w:r>
        <w:rPr>
          <w:sz w:val="21"/>
          <w:szCs w:val="21"/>
        </w:rPr>
        <w:t>No contexto do serviço público federal brasileiro, essa sensibilidade ao gênero encontra respaldo no Protocolo para Julgamento com Perspectiva de Gênero do CNJ (Portaria CNJ nº 27/2021), cujos princípios são aplicáveis também à esfera correcional: a valoração da prova deve afastar estereótipos e reconhecer as assimetrias de poder que configuram o contexto em que as condutas ocorrem.</w:t>
      </w:r>
    </w:p>
    <w:p w14:paraId="62BB5DF8" w14:textId="77777777" w:rsidR="00161CCD" w:rsidRPr="00161CCD" w:rsidRDefault="00161CCD" w:rsidP="00161CCD">
      <w:pPr>
        <w:pStyle w:val="Ttulo2"/>
        <w:keepNext/>
      </w:pPr>
      <w:bookmarkStart w:id="34" w:name="_Toc238022029"/>
      <w:r>
        <w:t>4.5 A distinção fundamental: assédio por chantagem e assédio ambiental</w:t>
      </w:r>
      <w:bookmarkEnd w:id="34"/>
    </w:p>
    <w:p w14:paraId="4910D8C5" w14:textId="77777777" w:rsidR="00A03804" w:rsidRPr="00A03804" w:rsidRDefault="00161CCD" w:rsidP="00A03804">
      <w:pPr>
        <w:spacing w:after="120"/>
        <w:jc w:val="both"/>
        <w:rPr>
          <w:sz w:val="21"/>
          <w:szCs w:val="21"/>
        </w:rPr>
      </w:pPr>
      <w:r>
        <w:rPr>
          <w:sz w:val="21"/>
          <w:szCs w:val="21"/>
        </w:rPr>
        <w:t>A literatura científica e a NT nº 3285/2023 distinguem duas modalidades estruturalmente diferentes de assédio sexual, que produzem danos distintos, exigem análises distintas e têm implicações probatórias distintas.</w:t>
      </w:r>
    </w:p>
    <w:p w14:paraId="2658EA11" w14:textId="77777777" w:rsidR="00A03804" w:rsidRPr="00A03804" w:rsidRDefault="00A03804" w:rsidP="00A03804">
      <w:pPr>
        <w:spacing w:after="120"/>
        <w:jc w:val="both"/>
        <w:rPr>
          <w:sz w:val="21"/>
          <w:szCs w:val="21"/>
        </w:rPr>
      </w:pPr>
      <w:r>
        <w:rPr>
          <w:sz w:val="21"/>
          <w:szCs w:val="21"/>
        </w:rPr>
        <w:t>O assédio sexual por chantagem (</w:t>
      </w:r>
      <w:r>
        <w:rPr>
          <w:i/>
          <w:iCs/>
          <w:sz w:val="21"/>
          <w:szCs w:val="21"/>
        </w:rPr>
        <w:t>quid pro quo</w:t>
      </w:r>
      <w:r>
        <w:rPr>
          <w:sz w:val="21"/>
          <w:szCs w:val="21"/>
        </w:rPr>
        <w:t>). Nessa modalidade, o agressor condiciona benefícios funcionais, promoções, boas avaliações, designações vantajosas, acesso a projetos relevantes, à prestação de favores sexuais, ou ameaça consequências negativas à vítima que recusa. O elemento definidor é a condicionalidade: o agressor usa a relação de trabalho como instrumento de coerção sexual. O Parecer JM-03 e o art. 216-A do Código Penal tratam prioritariamente dessa modalidade, que é a mais diretamente vinculada ao exercício do poder hierárquico.</w:t>
      </w:r>
    </w:p>
    <w:p w14:paraId="3C184240" w14:textId="77777777" w:rsidR="00A03804" w:rsidRPr="00A03804" w:rsidRDefault="00A03804" w:rsidP="00A03804">
      <w:pPr>
        <w:spacing w:after="120"/>
        <w:jc w:val="both"/>
        <w:rPr>
          <w:sz w:val="21"/>
          <w:szCs w:val="21"/>
        </w:rPr>
      </w:pPr>
      <w:r>
        <w:rPr>
          <w:sz w:val="21"/>
          <w:szCs w:val="21"/>
        </w:rPr>
        <w:t xml:space="preserve">O </w:t>
      </w:r>
      <w:r>
        <w:rPr>
          <w:i/>
          <w:iCs/>
          <w:sz w:val="21"/>
          <w:szCs w:val="21"/>
        </w:rPr>
        <w:t>quid pro quo</w:t>
      </w:r>
      <w:r>
        <w:rPr>
          <w:sz w:val="21"/>
          <w:szCs w:val="21"/>
        </w:rPr>
        <w:t xml:space="preserve"> é a modalidade mais visível e mais facilmente compreendida como infração, porque envolve a transação explícita entre poder funcional e favores sexuais. Mas é, paradoxalmente, nem sempre a mais frequente nos processos disciplinares, precisamente porque a condicionalidade raramente é explicitada: o agressor raramente diz "se você não sair comigo, não vou te promover". A condicionalidade frequentemente é implícita, comunicada por contexto, por histórico de comportamentos, por ameaças veladas que a vítima compreende sem que sejam ditas em termos que a deixem incontroversamente documentadas.</w:t>
      </w:r>
    </w:p>
    <w:p w14:paraId="09B2744F" w14:textId="77777777" w:rsidR="00A03804" w:rsidRPr="00A03804" w:rsidRDefault="00A03804" w:rsidP="00A03804">
      <w:pPr>
        <w:spacing w:after="120"/>
        <w:jc w:val="both"/>
        <w:rPr>
          <w:sz w:val="21"/>
          <w:szCs w:val="21"/>
        </w:rPr>
      </w:pPr>
      <w:r>
        <w:rPr>
          <w:sz w:val="21"/>
          <w:szCs w:val="21"/>
        </w:rPr>
        <w:lastRenderedPageBreak/>
        <w:t xml:space="preserve">O assédio sexual ambiental (hostil). Nessa modalidade, não há condicionalidade explícita, não há promessa de benefício nem ameaça de prejuízo. O que caracteriza o assédio ambiental é a criação de ambiente de trabalho hostil, intimidador ou ofensivo por meio de condutas de conotação sexual reiteradas ou, nos casos mais graves, por meio de um único ato de intensidade suficiente para alterar de forma significativa as condições de trabalho da vítima. O Guia Lilás é específico: </w:t>
      </w:r>
      <w:r>
        <w:rPr>
          <w:i/>
          <w:iCs/>
          <w:sz w:val="21"/>
          <w:szCs w:val="21"/>
        </w:rPr>
        <w:t>"É direito de toda pessoa não aceitar conviver com cantadas, gracejos, toques ou outros comportamentos que, de alguma forma, causem incômodo, mesmo que para as outras pessoas ou para a sociedade isso pareça natural e inofensivo."</w:t>
      </w:r>
    </w:p>
    <w:p w14:paraId="1E24B31F" w14:textId="77777777" w:rsidR="00161CCD" w:rsidRPr="00161CCD" w:rsidRDefault="00A03804" w:rsidP="00A03804">
      <w:pPr>
        <w:spacing w:after="120"/>
        <w:jc w:val="both"/>
        <w:rPr>
          <w:sz w:val="21"/>
          <w:szCs w:val="21"/>
        </w:rPr>
      </w:pPr>
      <w:r>
        <w:rPr>
          <w:sz w:val="21"/>
          <w:szCs w:val="21"/>
        </w:rPr>
        <w:t>O assédio ambiental é mais difuso, mais frequente na prática cotidiana das organizações, e mais difícil de provar, exatamente porque cada episódio isolado pode parecer menor do que é, e a narrativa defensiva de "era brincadeira" é mais facilmente sustentável quando não há condicionalidade explícita. Por isso, o operador precisa analisar o padrão de comportamentos ao longo do tempo, não cada episódio em isolamento. O ambiente hostil não é criado por uma piada: é criado por um padrão de comportamentos que, acumulados, transformam o espaço de trabalho da vítima num lugar em que ela não pode estar sem experimentar constrangimento e degradação da sua dignidade.</w:t>
      </w:r>
    </w:p>
    <w:p w14:paraId="00F87D7D" w14:textId="77777777" w:rsidR="00287D58" w:rsidRDefault="003B78AF">
      <w:pPr>
        <w:pStyle w:val="Ttulo2"/>
        <w:keepNext/>
      </w:pPr>
      <w:bookmarkStart w:id="35" w:name="_Toc238022030"/>
      <w:r>
        <w:t>4.6 O consentimento e seus vícios estruturais: quando o "sim" não é sim</w:t>
      </w:r>
      <w:bookmarkEnd w:id="35"/>
    </w:p>
    <w:p w14:paraId="57F2D3FD" w14:textId="77777777" w:rsidR="00FC0C39" w:rsidRPr="00FC0C39" w:rsidRDefault="00FC0C39" w:rsidP="00FC0C39">
      <w:pPr>
        <w:spacing w:after="120"/>
        <w:jc w:val="both"/>
        <w:rPr>
          <w:sz w:val="21"/>
          <w:szCs w:val="21"/>
        </w:rPr>
      </w:pPr>
      <w:r>
        <w:rPr>
          <w:sz w:val="21"/>
          <w:szCs w:val="21"/>
        </w:rPr>
        <w:t xml:space="preserve">O consentimento é o elemento que, quando presente de forma genuína, pode afastar o ilícito mais grave nas hipóteses de assédio sexual por chantagem com "favorecimento aceito". A ferramenta </w:t>
      </w:r>
      <w:proofErr w:type="spellStart"/>
      <w:r>
        <w:rPr>
          <w:sz w:val="21"/>
          <w:szCs w:val="21"/>
        </w:rPr>
        <w:t>Integritas</w:t>
      </w:r>
      <w:proofErr w:type="spellEnd"/>
      <w:r>
        <w:rPr>
          <w:sz w:val="21"/>
          <w:szCs w:val="21"/>
        </w:rPr>
        <w:t xml:space="preserve"> exibe alerta específico neste ponto do fluxo, porque o consentimento em relações de trabalho hierárquicas é estruturalmente comprometido de uma forma que o operador precisa compreender antes de responder à pergunta.</w:t>
      </w:r>
    </w:p>
    <w:p w14:paraId="19BB77DE" w14:textId="77777777" w:rsidR="00FC0C39" w:rsidRPr="00964365" w:rsidRDefault="00FC0C39" w:rsidP="00FC0C39">
      <w:pPr>
        <w:spacing w:after="120"/>
        <w:jc w:val="both"/>
        <w:rPr>
          <w:sz w:val="21"/>
          <w:szCs w:val="21"/>
        </w:rPr>
      </w:pPr>
      <w:r>
        <w:rPr>
          <w:b/>
          <w:bCs/>
          <w:sz w:val="21"/>
          <w:szCs w:val="21"/>
        </w:rPr>
        <w:t>O consentimento genuíno exige liberdade real.</w:t>
      </w:r>
      <w:r>
        <w:rPr>
          <w:sz w:val="21"/>
          <w:szCs w:val="21"/>
        </w:rPr>
        <w:t xml:space="preserve"> Para que o consentimento seja juridicamente válido como excludente do ilícito, ele precisa ser: livre (sem coerção, ainda que implícita); inequívoco (manifestado de forma clara, não presumido de silêncio ou passividade); prestado por pessoa com capacidade de discernimento pleno; e isento de relação de poder ou dependência que comprometa a liberdade de escolha.</w:t>
      </w:r>
    </w:p>
    <w:p w14:paraId="47F22E41" w14:textId="77777777" w:rsidR="00FC0C39" w:rsidRPr="00FC0C39" w:rsidRDefault="00FC0C39" w:rsidP="00FC0C39">
      <w:pPr>
        <w:spacing w:after="120"/>
        <w:jc w:val="both"/>
        <w:rPr>
          <w:sz w:val="21"/>
          <w:szCs w:val="21"/>
        </w:rPr>
      </w:pPr>
      <w:r>
        <w:rPr>
          <w:sz w:val="21"/>
          <w:szCs w:val="21"/>
        </w:rPr>
        <w:t>É exatamente o último requisito que a relação hierárquica funcional raramente satisfaz. A assimetria de poder entre superior e subordinado no serviço público federal não é abstrata: é concreta, institucionalizada e com consequências diretas sobre a carreira, os rendimentos e o ambiente de trabalho do subordinado. O superior hierárquico tem poder, formal ou informal, sobre avaliações de desempenho, sobre atribuição de tarefas, sobre indicações para funções de confiança, sobre o cotidiano do trabalho do subordinado. Essa assimetria não precisa ser explicitada para ser sentida: ela está presente na estrutura da relação, e a vítima a percebe mesmo quando o agressor não a menciona.</w:t>
      </w:r>
    </w:p>
    <w:p w14:paraId="30E54CB4" w14:textId="77777777" w:rsidR="00FC0C39" w:rsidRPr="00FC0C39" w:rsidRDefault="00FC0C39" w:rsidP="00FC0C39">
      <w:pPr>
        <w:spacing w:after="120"/>
        <w:jc w:val="both"/>
        <w:rPr>
          <w:sz w:val="21"/>
          <w:szCs w:val="21"/>
        </w:rPr>
      </w:pPr>
      <w:r>
        <w:rPr>
          <w:sz w:val="21"/>
          <w:szCs w:val="21"/>
        </w:rPr>
        <w:t xml:space="preserve">Maria Helena Diniz define o vício do consentimento com precisão aplicável a este contexto: </w:t>
      </w:r>
      <w:r>
        <w:rPr>
          <w:i/>
          <w:iCs/>
          <w:sz w:val="21"/>
          <w:szCs w:val="21"/>
        </w:rPr>
        <w:t>"o consentimento só é válido quando emanado de vontade livre e esclarecida, sem pressão, coação ou dependência que comprometa a autonomia decisória do agente"</w:t>
      </w:r>
      <w:r>
        <w:rPr>
          <w:rStyle w:val="Refdenotaderodap"/>
          <w:i/>
          <w:iCs/>
          <w:sz w:val="21"/>
          <w:szCs w:val="21"/>
        </w:rPr>
        <w:footnoteReference w:id="18"/>
      </w:r>
      <w:r>
        <w:rPr>
          <w:sz w:val="21"/>
          <w:szCs w:val="21"/>
        </w:rPr>
        <w:t>. No ambiente funcional, a dependência hierárquica é precisamente o fator que compromete essa autonomia decisória.</w:t>
      </w:r>
    </w:p>
    <w:p w14:paraId="67BC6E1B" w14:textId="77777777" w:rsidR="00FC0C39" w:rsidRPr="00FC0C39" w:rsidRDefault="00FC0C39" w:rsidP="00FC0C39">
      <w:pPr>
        <w:spacing w:after="120"/>
        <w:jc w:val="both"/>
        <w:rPr>
          <w:sz w:val="21"/>
          <w:szCs w:val="21"/>
        </w:rPr>
      </w:pPr>
      <w:r>
        <w:rPr>
          <w:b/>
          <w:bCs/>
          <w:sz w:val="21"/>
          <w:szCs w:val="21"/>
        </w:rPr>
        <w:t>O silêncio e a passividade não são consentimento.</w:t>
      </w:r>
      <w:r>
        <w:rPr>
          <w:sz w:val="21"/>
          <w:szCs w:val="21"/>
        </w:rPr>
        <w:t xml:space="preserve"> A vítima que não resiste explicitamente, que "tolera" as condutas do superior, que às vezes parece participar de interações que contêm elementos de conotação sexual, pode estar fazendo cálculos de sobrevivência funcional, não expressando </w:t>
      </w:r>
      <w:r>
        <w:rPr>
          <w:sz w:val="21"/>
          <w:szCs w:val="21"/>
        </w:rPr>
        <w:lastRenderedPageBreak/>
        <w:t>consentimento genuíno. A decisão de não resistir abertamente ao superior hierárquico que assedia é, frequentemente, racional: a resistência explícita pode ter custos funcionais imediatos e concretos que a vítima não pode suportar. Interpretar essa não-resistência como consentimento é confundir aquiescência calculada com vontade livre.</w:t>
      </w:r>
    </w:p>
    <w:p w14:paraId="42D8DE0C" w14:textId="77777777" w:rsidR="00FC0C39" w:rsidRPr="00FC0C39" w:rsidRDefault="00FC0C39" w:rsidP="00FC0C39">
      <w:pPr>
        <w:spacing w:after="120"/>
        <w:jc w:val="both"/>
        <w:rPr>
          <w:sz w:val="21"/>
          <w:szCs w:val="21"/>
        </w:rPr>
      </w:pPr>
      <w:r>
        <w:rPr>
          <w:sz w:val="21"/>
          <w:szCs w:val="21"/>
        </w:rPr>
        <w:t>Louise Fitzgerald e colaboradores</w:t>
      </w:r>
      <w:r>
        <w:rPr>
          <w:rStyle w:val="Refdenotaderodap"/>
          <w:sz w:val="21"/>
          <w:szCs w:val="21"/>
        </w:rPr>
        <w:footnoteReference w:id="19"/>
      </w:r>
      <w:r>
        <w:rPr>
          <w:sz w:val="21"/>
          <w:szCs w:val="21"/>
        </w:rPr>
        <w:t xml:space="preserve"> documentaram esse fenômeno extensamente: em estudo com 2.544 mulheres em ambiente de trabalho universitário, apenas 5,7% das mulheres que relataram experiências que preenchiam os critérios de assédio sexual identificaram sua experiência como "assédio sexual", a grande maioria usava outros termos, minimizava a gravidade ou atribuía a si própria parte da responsabilidade. A incapacidade de nomear o que ocorreu, muito menos de resistir abertamente, é fenômeno documentado, não sinal de ausência de dano ou de presença de consentimento genuíno.</w:t>
      </w:r>
    </w:p>
    <w:p w14:paraId="14CB3CD7" w14:textId="77777777" w:rsidR="00287D58" w:rsidRDefault="00FC0C39">
      <w:pPr>
        <w:spacing w:after="120"/>
        <w:jc w:val="both"/>
        <w:rPr>
          <w:i/>
          <w:iCs/>
          <w:sz w:val="21"/>
          <w:szCs w:val="21"/>
        </w:rPr>
      </w:pPr>
      <w:r>
        <w:rPr>
          <w:sz w:val="21"/>
          <w:szCs w:val="21"/>
        </w:rPr>
        <w:t xml:space="preserve">A ferramenta </w:t>
      </w:r>
      <w:proofErr w:type="spellStart"/>
      <w:r>
        <w:rPr>
          <w:sz w:val="21"/>
          <w:szCs w:val="21"/>
        </w:rPr>
        <w:t>Integritas</w:t>
      </w:r>
      <w:proofErr w:type="spellEnd"/>
      <w:r>
        <w:rPr>
          <w:sz w:val="21"/>
          <w:szCs w:val="21"/>
        </w:rPr>
        <w:t xml:space="preserve"> exibe, no ponto em que o operador precisa avaliar o consentimento, o seguinte alerta: </w:t>
      </w:r>
      <w:r>
        <w:rPr>
          <w:i/>
          <w:iCs/>
          <w:sz w:val="21"/>
          <w:szCs w:val="21"/>
        </w:rPr>
        <w:t>"Responda 'Sim, consentida' apenas se houver elementos concretos que indiquem adesão voluntária e livre da vítima, sem qualquer pressão decorrente da relação funcional. Silêncio, tolerância passiva e ausência de resistência explícita não equivalem a consentimento genuíno quando existe assimetria de poder."</w:t>
      </w:r>
    </w:p>
    <w:p w14:paraId="53E9CCB6" w14:textId="77777777" w:rsidR="003F30C7" w:rsidRDefault="003F30C7" w:rsidP="003F30C7">
      <w:pPr>
        <w:pStyle w:val="Ttulo2"/>
        <w:keepNext/>
      </w:pPr>
      <w:bookmarkStart w:id="36" w:name="_Toc238022031"/>
      <w:r>
        <w:t>4.7 A síndrome da vítima ideal e o que a pesquisa diz sobre as reações reais</w:t>
      </w:r>
      <w:bookmarkEnd w:id="36"/>
    </w:p>
    <w:p w14:paraId="4B5F3C55" w14:textId="77777777" w:rsidR="001C6E99" w:rsidRPr="001C6E99" w:rsidRDefault="001C6E99" w:rsidP="001C6E99">
      <w:pPr>
        <w:spacing w:after="120"/>
        <w:jc w:val="both"/>
        <w:rPr>
          <w:sz w:val="21"/>
          <w:szCs w:val="21"/>
        </w:rPr>
      </w:pPr>
      <w:r>
        <w:rPr>
          <w:sz w:val="21"/>
          <w:szCs w:val="21"/>
        </w:rPr>
        <w:t>Um dos maiores obstáculos à correta análise do assédio sexual nos processos disciplinares é o que a doutrina e a literatura clínica chamam de mito da vítima ideal: a expectativa implícita de que a vítima "verdadeira" de assédio sexual deve ter reagido de forma imediata, clara e inequívoca, resistindo abertamente na hora, denunciando sem demora, exibindo sinais físicos ou psicológicos facilmente documentáveis.</w:t>
      </w:r>
    </w:p>
    <w:p w14:paraId="1F9A5708" w14:textId="77777777" w:rsidR="001C6E99" w:rsidRPr="001C6E99" w:rsidRDefault="001C6E99" w:rsidP="001C6E99">
      <w:pPr>
        <w:spacing w:after="120"/>
        <w:jc w:val="both"/>
        <w:rPr>
          <w:sz w:val="21"/>
          <w:szCs w:val="21"/>
        </w:rPr>
      </w:pPr>
      <w:r>
        <w:rPr>
          <w:sz w:val="21"/>
          <w:szCs w:val="21"/>
        </w:rPr>
        <w:t>Essa expectativa não corresponde ao que a pesquisa empírica documenta sobre as reações reais das vítimas de assédio sexual. As razões são múltiplas, bem documentadas e compreensíveis uma vez explicadas:</w:t>
      </w:r>
    </w:p>
    <w:p w14:paraId="7F0992B0" w14:textId="77777777" w:rsidR="001C6E99" w:rsidRPr="001C6E99" w:rsidRDefault="001C6E99" w:rsidP="001C6E99">
      <w:pPr>
        <w:spacing w:after="120"/>
        <w:jc w:val="both"/>
        <w:rPr>
          <w:sz w:val="21"/>
          <w:szCs w:val="21"/>
        </w:rPr>
      </w:pPr>
      <w:r>
        <w:rPr>
          <w:b/>
          <w:bCs/>
          <w:sz w:val="21"/>
          <w:szCs w:val="21"/>
        </w:rPr>
        <w:t>A normalização cultural.</w:t>
      </w:r>
      <w:r>
        <w:rPr>
          <w:sz w:val="21"/>
          <w:szCs w:val="21"/>
        </w:rPr>
        <w:t xml:space="preserve"> Em muitos ambientes de trabalho, especialmente aqueles dominados por uma cultura profissional masculina consolidada, as condutas de conotação sexual são tão comuns e tão rotineiras que as vítimas frequentemente as experimentam, num primeiro momento, como "parte do ambiente", sem conseguir enquadrá-las como violação. A nomeação do que ocorreu como assédio é frequentemente posterior à experiência, às vezes semanas ou meses depois, quando o padrão acumulado se torna inegável.</w:t>
      </w:r>
    </w:p>
    <w:p w14:paraId="2D4D6067" w14:textId="77777777" w:rsidR="001C6E99" w:rsidRPr="001C6E99" w:rsidRDefault="001C6E99" w:rsidP="001C6E99">
      <w:pPr>
        <w:spacing w:after="120"/>
        <w:jc w:val="both"/>
        <w:rPr>
          <w:sz w:val="21"/>
          <w:szCs w:val="21"/>
        </w:rPr>
      </w:pPr>
      <w:r>
        <w:rPr>
          <w:b/>
          <w:bCs/>
          <w:sz w:val="21"/>
          <w:szCs w:val="21"/>
        </w:rPr>
        <w:t>O choque e a dissociação.</w:t>
      </w:r>
      <w:r>
        <w:rPr>
          <w:sz w:val="21"/>
          <w:szCs w:val="21"/>
        </w:rPr>
        <w:t xml:space="preserve"> A psicologia clínica documenta que uma reação frequente ao primeiro episódio de assédio é o choque, uma resposta de paralisia que impede a reação imediata. A vítima "congela", não sabe o que dizer, sorri automaticamente ou muda de assunto. Essa reação é biologicamente compreensível: é a resposta de congelamento (</w:t>
      </w:r>
      <w:proofErr w:type="spellStart"/>
      <w:r>
        <w:rPr>
          <w:i/>
          <w:iCs/>
          <w:sz w:val="21"/>
          <w:szCs w:val="21"/>
        </w:rPr>
        <w:t>freeze</w:t>
      </w:r>
      <w:proofErr w:type="spellEnd"/>
      <w:r>
        <w:rPr>
          <w:i/>
          <w:iCs/>
          <w:sz w:val="21"/>
          <w:szCs w:val="21"/>
        </w:rPr>
        <w:t xml:space="preserve"> response</w:t>
      </w:r>
      <w:r>
        <w:rPr>
          <w:sz w:val="21"/>
          <w:szCs w:val="21"/>
        </w:rPr>
        <w:t>) do sistema nervoso autônomo a uma ameaça inesperada. Interpretá-la como consentimento ou ausência de oposição é um erro, é confundir resposta ao estresse com escolha livre.</w:t>
      </w:r>
    </w:p>
    <w:p w14:paraId="0C7809A4" w14:textId="77777777" w:rsidR="001C6E99" w:rsidRPr="001C6E99" w:rsidRDefault="001C6E99" w:rsidP="001C6E99">
      <w:pPr>
        <w:spacing w:after="120"/>
        <w:jc w:val="both"/>
        <w:rPr>
          <w:sz w:val="21"/>
          <w:szCs w:val="21"/>
        </w:rPr>
      </w:pPr>
      <w:r>
        <w:rPr>
          <w:b/>
          <w:bCs/>
          <w:sz w:val="21"/>
          <w:szCs w:val="21"/>
        </w:rPr>
        <w:t>O cálculo de custos e a racionalidade da não-denúncia.</w:t>
      </w:r>
      <w:r>
        <w:rPr>
          <w:sz w:val="21"/>
          <w:szCs w:val="21"/>
        </w:rPr>
        <w:t xml:space="preserve"> A vítima que decide não resistir abertamente ou não denunciar imediatamente pode estar fazendo um cálculo racional baseado em </w:t>
      </w:r>
      <w:r>
        <w:rPr>
          <w:sz w:val="21"/>
          <w:szCs w:val="21"/>
        </w:rPr>
        <w:lastRenderedPageBreak/>
        <w:t>percepção realista dos custos: perda de credibilidade profissional, retaliação pelo agressor, descrença pelos colegas, impacto na carreira. Pesquisa de Ilse Fitzgerald e colaboradores</w:t>
      </w:r>
      <w:r>
        <w:rPr>
          <w:rStyle w:val="Refdenotaderodap"/>
          <w:sz w:val="21"/>
          <w:szCs w:val="21"/>
        </w:rPr>
        <w:footnoteReference w:id="20"/>
      </w:r>
      <w:r>
        <w:rPr>
          <w:sz w:val="21"/>
          <w:szCs w:val="21"/>
        </w:rPr>
        <w:t xml:space="preserve"> demonstrou que menos de 10% das mulheres que experienciaram assédio sexual no trabalho o denunciaram formalmente, não porque o assédio não ocorreu ou não foi grave, mas porque as percepções dos custos da denúncia superavam a percepção dos benefícios.</w:t>
      </w:r>
    </w:p>
    <w:p w14:paraId="74169139" w14:textId="77777777" w:rsidR="001C6E99" w:rsidRPr="001C6E99" w:rsidRDefault="001C6E99" w:rsidP="001C6E99">
      <w:pPr>
        <w:spacing w:after="120"/>
        <w:jc w:val="both"/>
        <w:rPr>
          <w:sz w:val="21"/>
          <w:szCs w:val="21"/>
        </w:rPr>
      </w:pPr>
      <w:r>
        <w:rPr>
          <w:b/>
          <w:bCs/>
          <w:sz w:val="21"/>
          <w:szCs w:val="21"/>
        </w:rPr>
        <w:t>A demora na denúncia como fenômeno esperado.</w:t>
      </w:r>
      <w:r>
        <w:rPr>
          <w:sz w:val="21"/>
          <w:szCs w:val="21"/>
        </w:rPr>
        <w:t xml:space="preserve"> A demora entre os episódios de assédio e a formalização da denúncia, que pode ser de meses ou anos, é frequentemente usada como argumento para questionar a credibilidade da vítima. A pesquisa clínica inverte esse argumento: a demora é o padrão esperado. As vítimas de assédio sexual tipicamente passam por uma sequência de fases antes de denunciar: minimização do ocorrido, tentativa de lidar com a situação por meios informais, escalada do comportamento do agressor que torna a estratégia informal insuficiente, e só então formalização da denúncia. A vítima que denuncia de forma imediata e sem vacilação é a exceção, não a norma.</w:t>
      </w:r>
    </w:p>
    <w:p w14:paraId="20CE1DD6" w14:textId="77777777" w:rsidR="001C6E99" w:rsidRPr="001C6E99" w:rsidRDefault="001C6E99" w:rsidP="001C6E99">
      <w:pPr>
        <w:spacing w:after="120"/>
        <w:jc w:val="both"/>
        <w:rPr>
          <w:sz w:val="21"/>
          <w:szCs w:val="21"/>
        </w:rPr>
      </w:pPr>
      <w:r>
        <w:rPr>
          <w:sz w:val="21"/>
          <w:szCs w:val="21"/>
        </w:rPr>
        <w:t xml:space="preserve">O Protocolo para Julgamento com Perspectiva de Gênero do CNJ (2021) orienta expressamente que </w:t>
      </w:r>
      <w:r>
        <w:rPr>
          <w:i/>
          <w:iCs/>
          <w:sz w:val="21"/>
          <w:szCs w:val="21"/>
        </w:rPr>
        <w:t>"o julgador deve estar atento para não exigir da vítima comportamentos típicos do mito da 'vítima ideal'"</w:t>
      </w:r>
      <w:r>
        <w:rPr>
          <w:sz w:val="21"/>
          <w:szCs w:val="21"/>
        </w:rPr>
        <w:t>, listando exemplos de condutas que não devem ser exigidas como condição de credibilidade: resistência física imediata, denúncia sem demora, ausência de comportamentos ambíguos, manutenção de relação normal com o agressor após o episódio. O Protocolo reconhece que todas essas condutas, que poderiam parecer inconsistentes com a experiência de vitimização, são, na verdade, reações frequentes e compreensíveis.</w:t>
      </w:r>
    </w:p>
    <w:p w14:paraId="1E5B6466" w14:textId="77777777" w:rsidR="00072DA2" w:rsidRDefault="00072DA2" w:rsidP="00072DA2">
      <w:pPr>
        <w:pStyle w:val="Ttulo2"/>
        <w:keepNext/>
      </w:pPr>
      <w:bookmarkStart w:id="37" w:name="_Toc238022032"/>
      <w:r>
        <w:t>4.8 O dano à dignidade como elemento central: a pesquisa sobre impacto</w:t>
      </w:r>
      <w:bookmarkEnd w:id="37"/>
    </w:p>
    <w:p w14:paraId="332765BC" w14:textId="77777777" w:rsidR="00D91804" w:rsidRPr="00D91804" w:rsidRDefault="00072DA2" w:rsidP="00D91804">
      <w:pPr>
        <w:spacing w:after="120"/>
        <w:jc w:val="both"/>
        <w:rPr>
          <w:sz w:val="21"/>
          <w:szCs w:val="21"/>
        </w:rPr>
      </w:pPr>
      <w:r>
        <w:rPr>
          <w:sz w:val="21"/>
          <w:szCs w:val="21"/>
        </w:rPr>
        <w:t>O A pesquisa clínica sobre os efeitos do assédio sexual no ambiente de trabalho não é mera curiosidade acadêmica para fins do processo administrativo disciplinar. Ela é, antes de tudo, a justificativa empírica de uma escolha normativa que o Parecer JM-03 e a NT nº 3285/2023 fizeram de forma deliberada: a de que o dano experimentado pela vítima, não a intenção declarada do agressor, é o elemento central do enquadramento disciplinar. Compreender o que essa pesquisa demonstra sobre o impacto é, portanto, compreender por que a apuração deve atribuir peso maior e definitivo a esse impacto na construção do conjunto probatório e na fundamentação do enquadramento.</w:t>
      </w:r>
    </w:p>
    <w:p w14:paraId="0976BE7C" w14:textId="77777777" w:rsidR="00D91804" w:rsidRPr="00D91804" w:rsidRDefault="00D91804" w:rsidP="00D91804">
      <w:pPr>
        <w:spacing w:after="120"/>
        <w:jc w:val="both"/>
        <w:rPr>
          <w:sz w:val="21"/>
          <w:szCs w:val="21"/>
        </w:rPr>
      </w:pPr>
      <w:r>
        <w:rPr>
          <w:b/>
          <w:bCs/>
          <w:sz w:val="21"/>
          <w:szCs w:val="21"/>
        </w:rPr>
        <w:t>O que a pesquisa estabelece sobre o impacto.</w:t>
      </w:r>
    </w:p>
    <w:p w14:paraId="2B763EB7" w14:textId="77777777" w:rsidR="00D91804" w:rsidRPr="00D91804" w:rsidRDefault="00D91804" w:rsidP="00D91804">
      <w:pPr>
        <w:spacing w:after="120"/>
        <w:jc w:val="both"/>
        <w:rPr>
          <w:sz w:val="21"/>
          <w:szCs w:val="21"/>
        </w:rPr>
      </w:pPr>
      <w:r>
        <w:rPr>
          <w:sz w:val="21"/>
          <w:szCs w:val="21"/>
        </w:rPr>
        <w:t>As taxas de Transtorno de Estresse Pós-Traumático (TEPT) entre vítimas de assédio sexual no trabalho oscilam, nas amostras estudadas, entre 20% e 57%, faixa comparável à encontrada em populações expostas a combate militar e a desastres naturais. A depressão maior aparece com taxas duas a três vezes superiores às registradas em populações sem histórico de assédio. O comprometimento da autoestima e da identidade profissional é documentado de forma consistente: a vítima passa a duvidar de sua competência, a questionar se as oportunidades que recebeu foram mérito ou instrumento do assédio, a sentir vergonha de aspectos da carreira que antes valorizava.</w:t>
      </w:r>
    </w:p>
    <w:p w14:paraId="7250B7A3" w14:textId="77777777" w:rsidR="00D91804" w:rsidRPr="00D91804" w:rsidRDefault="00D91804" w:rsidP="00D91804">
      <w:pPr>
        <w:spacing w:after="120"/>
        <w:jc w:val="both"/>
        <w:rPr>
          <w:sz w:val="21"/>
          <w:szCs w:val="21"/>
        </w:rPr>
      </w:pPr>
      <w:r>
        <w:rPr>
          <w:sz w:val="21"/>
          <w:szCs w:val="21"/>
        </w:rPr>
        <w:t xml:space="preserve">O impacto ocupacional é igualmente preciso. Barbara </w:t>
      </w:r>
      <w:proofErr w:type="spellStart"/>
      <w:r>
        <w:rPr>
          <w:sz w:val="21"/>
          <w:szCs w:val="21"/>
        </w:rPr>
        <w:t>Gutek</w:t>
      </w:r>
      <w:proofErr w:type="spellEnd"/>
      <w:r>
        <w:rPr>
          <w:sz w:val="21"/>
          <w:szCs w:val="21"/>
        </w:rPr>
        <w:t xml:space="preserve"> e Mary </w:t>
      </w:r>
      <w:proofErr w:type="spellStart"/>
      <w:r>
        <w:rPr>
          <w:sz w:val="21"/>
          <w:szCs w:val="21"/>
        </w:rPr>
        <w:t>Koss</w:t>
      </w:r>
      <w:proofErr w:type="spellEnd"/>
      <w:r>
        <w:rPr>
          <w:sz w:val="21"/>
          <w:szCs w:val="21"/>
        </w:rPr>
        <w:t xml:space="preserve"> registraram que 75% das vítimas desenvolveram formas de evitação do trabalho, absentes mais frequentes, evitando o agressor, pedindo transferência, recusando projetos que envolvessem contato com ele, ou abandonando o emprego inteiramente (</w:t>
      </w:r>
      <w:proofErr w:type="spellStart"/>
      <w:r>
        <w:rPr>
          <w:sz w:val="21"/>
          <w:szCs w:val="21"/>
        </w:rPr>
        <w:t>Journal</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Vocational</w:t>
      </w:r>
      <w:proofErr w:type="spellEnd"/>
      <w:r>
        <w:rPr>
          <w:sz w:val="21"/>
          <w:szCs w:val="21"/>
        </w:rPr>
        <w:t xml:space="preserve"> </w:t>
      </w:r>
      <w:proofErr w:type="spellStart"/>
      <w:r>
        <w:rPr>
          <w:sz w:val="21"/>
          <w:szCs w:val="21"/>
        </w:rPr>
        <w:t>Behavior</w:t>
      </w:r>
      <w:proofErr w:type="spellEnd"/>
      <w:r>
        <w:rPr>
          <w:sz w:val="21"/>
          <w:szCs w:val="21"/>
        </w:rPr>
        <w:t xml:space="preserve">, 1993). Louise Fitzgerald e colaboradores documentaram que menos de 10% das mulheres que experienciaram assédio sexual no trabalho o </w:t>
      </w:r>
      <w:r>
        <w:rPr>
          <w:sz w:val="21"/>
          <w:szCs w:val="21"/>
        </w:rPr>
        <w:lastRenderedPageBreak/>
        <w:t>denunciaram formalmente, não porque o assédio não ocorreu ou não foi grave, mas porque a percepção dos custos da denúncia superava a percepção dos benefícios (</w:t>
      </w:r>
      <w:proofErr w:type="spellStart"/>
      <w:r>
        <w:rPr>
          <w:sz w:val="21"/>
          <w:szCs w:val="21"/>
        </w:rPr>
        <w:t>Journal</w:t>
      </w:r>
      <w:proofErr w:type="spellEnd"/>
      <w:r>
        <w:rPr>
          <w:sz w:val="21"/>
          <w:szCs w:val="21"/>
        </w:rPr>
        <w:t xml:space="preserve"> </w:t>
      </w:r>
      <w:proofErr w:type="spellStart"/>
      <w:r>
        <w:rPr>
          <w:sz w:val="21"/>
          <w:szCs w:val="21"/>
        </w:rPr>
        <w:t>of</w:t>
      </w:r>
      <w:proofErr w:type="spellEnd"/>
      <w:r>
        <w:rPr>
          <w:sz w:val="21"/>
          <w:szCs w:val="21"/>
        </w:rPr>
        <w:t xml:space="preserve"> Applied </w:t>
      </w:r>
      <w:proofErr w:type="spellStart"/>
      <w:r>
        <w:rPr>
          <w:sz w:val="21"/>
          <w:szCs w:val="21"/>
        </w:rPr>
        <w:t>Psychology</w:t>
      </w:r>
      <w:proofErr w:type="spellEnd"/>
      <w:r>
        <w:rPr>
          <w:sz w:val="21"/>
          <w:szCs w:val="21"/>
        </w:rPr>
        <w:t>, 1997). O dano precede a denúncia, existe independentemente dela e frequentemente a torna ainda mais difícil.</w:t>
      </w:r>
    </w:p>
    <w:p w14:paraId="1DA1DB28" w14:textId="77777777" w:rsidR="00D91804" w:rsidRPr="00D91804" w:rsidRDefault="00D91804" w:rsidP="00D91804">
      <w:pPr>
        <w:spacing w:after="120"/>
        <w:jc w:val="both"/>
        <w:rPr>
          <w:sz w:val="21"/>
          <w:szCs w:val="21"/>
        </w:rPr>
      </w:pPr>
      <w:proofErr w:type="spellStart"/>
      <w:r>
        <w:rPr>
          <w:sz w:val="21"/>
          <w:szCs w:val="21"/>
        </w:rPr>
        <w:t>Kimberlé</w:t>
      </w:r>
      <w:proofErr w:type="spellEnd"/>
      <w:r>
        <w:rPr>
          <w:sz w:val="21"/>
          <w:szCs w:val="21"/>
        </w:rPr>
        <w:t xml:space="preserve"> </w:t>
      </w:r>
      <w:proofErr w:type="spellStart"/>
      <w:r>
        <w:rPr>
          <w:sz w:val="21"/>
          <w:szCs w:val="21"/>
        </w:rPr>
        <w:t>Crenshaw</w:t>
      </w:r>
      <w:proofErr w:type="spellEnd"/>
      <w:r>
        <w:rPr>
          <w:sz w:val="21"/>
          <w:szCs w:val="21"/>
        </w:rPr>
        <w:t xml:space="preserve"> acrescenta uma dimensão que a pesquisa mais clássica subestimou: mulheres pertencentes simultaneamente a grupos vulneráveis, raça, gênero, deficiência, orientação sexual, não experimentam simplesmente a soma dos danos que cada vulnerabilidade produziria em separado. A interseccionalidade produz formas qualitativamente distintas de assédio, com padrões de vitimização específicos que análises unidimensionais não capturam (Stanford Law Review, 1991). A servidora negra, a servidora com deficiência, a servidora trans, cada uma está em posição de vulnerabilidade que não se esgota no gênero e que o operador da apuração precisa reconhecer para avaliar adequadamente tanto a probabilidade da conduta quanto o peso do impacto relatado.</w:t>
      </w:r>
    </w:p>
    <w:p w14:paraId="65615995" w14:textId="77777777" w:rsidR="00D91804" w:rsidRPr="00D91804" w:rsidRDefault="00D91804" w:rsidP="00D91804">
      <w:pPr>
        <w:spacing w:after="120"/>
        <w:jc w:val="both"/>
        <w:rPr>
          <w:sz w:val="21"/>
          <w:szCs w:val="21"/>
        </w:rPr>
      </w:pPr>
      <w:r>
        <w:rPr>
          <w:b/>
          <w:bCs/>
          <w:sz w:val="21"/>
          <w:szCs w:val="21"/>
        </w:rPr>
        <w:t>A consequência normativa: por que a apuração deve dar peso maior e definitivo ao impacto da vítima?</w:t>
      </w:r>
    </w:p>
    <w:p w14:paraId="62B690FA" w14:textId="77777777" w:rsidR="00D91804" w:rsidRPr="00D91804" w:rsidRDefault="00D91804" w:rsidP="00D91804">
      <w:pPr>
        <w:spacing w:after="120"/>
        <w:jc w:val="both"/>
        <w:rPr>
          <w:sz w:val="21"/>
          <w:szCs w:val="21"/>
        </w:rPr>
      </w:pPr>
      <w:r>
        <w:rPr>
          <w:sz w:val="21"/>
          <w:szCs w:val="21"/>
        </w:rPr>
        <w:t>Se a pesquisa demonstra que o dano é real, mensurável, documentável e independente da intenção do agressor, segue-se uma consequência normativa direta: a apuração que concentra seus esforços probatórios na intenção do agressor, perguntando se ele "pretendia ofender", se havia "malícia" na conduta, se o agressor "sabia" do impacto, está olhando para o elemento errado. Está, na prática, usando como filtro de credibilidade precisamente o argumento que a pesquisa mais consistentemente refuta.</w:t>
      </w:r>
    </w:p>
    <w:p w14:paraId="10E4BD96" w14:textId="77777777" w:rsidR="00D91804" w:rsidRPr="00D91804" w:rsidRDefault="00D91804" w:rsidP="00D91804">
      <w:pPr>
        <w:spacing w:after="120"/>
        <w:jc w:val="both"/>
        <w:rPr>
          <w:sz w:val="21"/>
          <w:szCs w:val="21"/>
        </w:rPr>
      </w:pPr>
      <w:r>
        <w:rPr>
          <w:sz w:val="21"/>
          <w:szCs w:val="21"/>
        </w:rPr>
        <w:t>O processo administrativo disciplinar tem padrão probatório próprio, a preponderância de evidências, não a certeza além da dúvida razoável do processo penal. Esse padrão mais acessível existe, em parte, precisamente para que o Estado possa responder a ilícitos que raramente produzem prova direta e inequívoca. A instrução que ignora o impacto da vítima e exige prova da intenção do agressor inverte essa lógica: aplica padrão mais restritivo do que o exigível ao elemento errado.</w:t>
      </w:r>
    </w:p>
    <w:p w14:paraId="3249D326" w14:textId="77777777" w:rsidR="00D91804" w:rsidRPr="00D91804" w:rsidRDefault="00D91804" w:rsidP="00D91804">
      <w:pPr>
        <w:spacing w:after="120"/>
        <w:jc w:val="both"/>
        <w:rPr>
          <w:sz w:val="21"/>
          <w:szCs w:val="21"/>
        </w:rPr>
      </w:pPr>
      <w:r>
        <w:rPr>
          <w:sz w:val="21"/>
          <w:szCs w:val="21"/>
        </w:rPr>
        <w:t>O que a apuração deve investigar ativamente, colher com cuidado e ponderar com peso decisivo são os elementos que demonstram o dano à vítima:</w:t>
      </w:r>
    </w:p>
    <w:p w14:paraId="5536205C" w14:textId="77777777" w:rsidR="00D91804" w:rsidRPr="00D91804" w:rsidRDefault="00D91804" w:rsidP="00D91804">
      <w:pPr>
        <w:spacing w:after="120"/>
        <w:jc w:val="both"/>
        <w:rPr>
          <w:sz w:val="21"/>
          <w:szCs w:val="21"/>
        </w:rPr>
      </w:pPr>
      <w:r>
        <w:rPr>
          <w:b/>
          <w:bCs/>
          <w:sz w:val="21"/>
          <w:szCs w:val="21"/>
        </w:rPr>
        <w:t>O laudo psicológico ou psiquiátrico</w:t>
      </w:r>
      <w:r>
        <w:rPr>
          <w:sz w:val="21"/>
          <w:szCs w:val="21"/>
        </w:rPr>
        <w:t xml:space="preserve"> produzido por profissional habilitado que atendeu a vítima após os episódios relatados. Esse laudo não apenas documenta o dano, ele conecta causalmente os episódios à sintomatologia encontrada, tornando a relação entre conduta e impacto tangível e verificável. Quando o laudo está nos autos, ele não pode ser tratado como mero dado adicional: é prova do elemento central do tipo.</w:t>
      </w:r>
    </w:p>
    <w:p w14:paraId="1884552C" w14:textId="77777777" w:rsidR="00D91804" w:rsidRPr="00D91804" w:rsidRDefault="00D91804" w:rsidP="00D91804">
      <w:pPr>
        <w:spacing w:after="120"/>
        <w:jc w:val="both"/>
        <w:rPr>
          <w:sz w:val="21"/>
          <w:szCs w:val="21"/>
        </w:rPr>
      </w:pPr>
      <w:r>
        <w:rPr>
          <w:b/>
          <w:bCs/>
          <w:sz w:val="21"/>
          <w:szCs w:val="21"/>
        </w:rPr>
        <w:t>O histórico funcional da vítima</w:t>
      </w:r>
      <w:r>
        <w:rPr>
          <w:sz w:val="21"/>
          <w:szCs w:val="21"/>
        </w:rPr>
        <w:t xml:space="preserve"> antes e depois dos episódios relatados. Avaliações que deterioram, absenteísmo que aumenta, pedidos de transferência que surgem, participação em projetos que diminui, o histórico funcional documenta o impacto sobre a carreira de forma objetiva, independentemente de qualquer declaração da vítima. Esse histórico costuma estar disponível nos sistemas da própria instituição e precisa ser colhido de ofício pela instrução, não aguardado passivamente.</w:t>
      </w:r>
    </w:p>
    <w:p w14:paraId="27C4341B" w14:textId="77777777" w:rsidR="00D91804" w:rsidRPr="00D91804" w:rsidRDefault="00D91804" w:rsidP="00D91804">
      <w:pPr>
        <w:spacing w:after="120"/>
        <w:jc w:val="both"/>
        <w:rPr>
          <w:sz w:val="21"/>
          <w:szCs w:val="21"/>
        </w:rPr>
      </w:pPr>
      <w:r>
        <w:rPr>
          <w:b/>
          <w:bCs/>
          <w:sz w:val="21"/>
          <w:szCs w:val="21"/>
        </w:rPr>
        <w:t>O relato contemporâneo a terceiros.</w:t>
      </w:r>
      <w:r>
        <w:rPr>
          <w:sz w:val="21"/>
          <w:szCs w:val="21"/>
        </w:rPr>
        <w:t xml:space="preserve"> A vítima que, logo após os episódios, relata a um colega, a um familiar ou a uma ouvidoria o que ocorreu, ainda que informalmente, ainda que sem as palavras técnicas certas, está produzindo prova contemporânea que tem peso probatório superior ao testemunho retrospectivo produzido meses depois. A instrução que colhe sistematicamente os relatos </w:t>
      </w:r>
      <w:r>
        <w:rPr>
          <w:sz w:val="21"/>
          <w:szCs w:val="21"/>
        </w:rPr>
        <w:lastRenderedPageBreak/>
        <w:t>de quem recebeu esse tipo de comunicação da vítima aproveita evidência que frequentemente é decisiva.</w:t>
      </w:r>
    </w:p>
    <w:p w14:paraId="2D0FAF59" w14:textId="77777777" w:rsidR="00D91804" w:rsidRPr="00D91804" w:rsidRDefault="00D91804" w:rsidP="00D91804">
      <w:pPr>
        <w:spacing w:after="120"/>
        <w:jc w:val="both"/>
        <w:rPr>
          <w:sz w:val="21"/>
          <w:szCs w:val="21"/>
        </w:rPr>
      </w:pPr>
      <w:r>
        <w:rPr>
          <w:b/>
          <w:bCs/>
          <w:sz w:val="21"/>
          <w:szCs w:val="21"/>
        </w:rPr>
        <w:t>O padrão de comportamento da vítima após os episódios.</w:t>
      </w:r>
      <w:r>
        <w:rPr>
          <w:sz w:val="21"/>
          <w:szCs w:val="21"/>
        </w:rPr>
        <w:t xml:space="preserve"> A vítima que passa a evitar sistematicamente o agressor, que muda rotas, que modifica horários, que pede reuniões por escrito para ter registro, que inclui terceiros em interações que antes seriam bilaterais, está demonstrando, por comportamento objetivo e verificável, que os episódios produziram efeito real sobre sua percepção de segurança no ambiente de trabalho. Esse padrão comportamental é elemento de corroboração do relato e indicador independente do impacto.</w:t>
      </w:r>
    </w:p>
    <w:p w14:paraId="4DC6C45F" w14:textId="77777777" w:rsidR="00D91804" w:rsidRPr="00D91804" w:rsidRDefault="00D91804" w:rsidP="00D91804">
      <w:pPr>
        <w:spacing w:after="120"/>
        <w:jc w:val="both"/>
        <w:rPr>
          <w:sz w:val="21"/>
          <w:szCs w:val="21"/>
        </w:rPr>
      </w:pPr>
      <w:r>
        <w:rPr>
          <w:b/>
          <w:bCs/>
          <w:sz w:val="21"/>
          <w:szCs w:val="21"/>
        </w:rPr>
        <w:t>A razão pela qual esse peso deve ser definitivo, não apenas relevante.</w:t>
      </w:r>
    </w:p>
    <w:p w14:paraId="5D683E96" w14:textId="77777777" w:rsidR="00D91804" w:rsidRPr="00D91804" w:rsidRDefault="00D91804" w:rsidP="00D91804">
      <w:pPr>
        <w:spacing w:after="120"/>
        <w:jc w:val="both"/>
        <w:rPr>
          <w:sz w:val="21"/>
          <w:szCs w:val="21"/>
        </w:rPr>
      </w:pPr>
      <w:r>
        <w:rPr>
          <w:sz w:val="21"/>
          <w:szCs w:val="21"/>
        </w:rPr>
        <w:t>O sistema disciplinar que trata o impacto sobre a vítima como elemento relevante, mas não decisivo, que admite que seja "considerado" sem que sua presença seja suficiente para superar a negativa do agressor, não está seguindo o que o Parecer JM-03 e a NT nº 3285/2023 determinam. Esses documentos adotaram o critério do efeito precisamente para que a negativa de intenção do agressor não seja suficiente para afastar o enquadramento quando o efeito está demonstrado. O impacto demonstrado sobre a vítima, em conjunto com a evidência da conduta de conotação sexual, é suficiente para o enquadramento, independentemente do que o agressor afirme sobre o que pretendia.</w:t>
      </w:r>
    </w:p>
    <w:p w14:paraId="0335E4AD" w14:textId="77777777" w:rsidR="00D91804" w:rsidRPr="00D91804" w:rsidRDefault="00D91804" w:rsidP="00D91804">
      <w:pPr>
        <w:spacing w:after="120"/>
        <w:jc w:val="both"/>
        <w:rPr>
          <w:sz w:val="21"/>
          <w:szCs w:val="21"/>
        </w:rPr>
      </w:pPr>
      <w:r>
        <w:rPr>
          <w:sz w:val="21"/>
          <w:szCs w:val="21"/>
        </w:rPr>
        <w:t>Dar peso definitivo ao impacto documentado não significa decidir com base apenas no relato da vítima. Significa que, quando o relato da vítima é corroborado por qualquer combinação dos elementos descritos acima, laudo, histórico funcional, relato contemporâneo, padrão comportamental, a instrução dispõe de base probatória suficiente para o enquadramento, e a negativa de intenção do agressor não pode, por si só, afastá-la. O agressor que afirma "não pretendia ofender" apresenta defesa legítima que a instrução deve registrar e sopesar, mas que, na ausência de prova positiva de que o impacto não ocorreu ou de que a conotação sexual não estava presente, não prevalece sobre o conjunto probatório construído em torno do dano.</w:t>
      </w:r>
    </w:p>
    <w:p w14:paraId="45926EB4" w14:textId="77777777" w:rsidR="00DF5B96" w:rsidRPr="00DF5B96" w:rsidRDefault="00D91804" w:rsidP="00D91804">
      <w:pPr>
        <w:spacing w:after="120"/>
        <w:jc w:val="both"/>
        <w:rPr>
          <w:sz w:val="21"/>
          <w:szCs w:val="21"/>
        </w:rPr>
      </w:pPr>
      <w:r>
        <w:rPr>
          <w:sz w:val="21"/>
          <w:szCs w:val="21"/>
        </w:rPr>
        <w:t>Essa é a consequência prática que a pesquisa clínica impõe ao sistema disciplinar: não apenas a irrelevância declarada da intenção do agressor, mas a construção ativa, sistemática e deliberada de um conjunto probatório centrado no impacto sobre a vítima, que é, afinal, o que o ilícito disciplinar existe para proteger.</w:t>
      </w:r>
    </w:p>
    <w:p w14:paraId="1DADCF87" w14:textId="77777777" w:rsidR="001525B0" w:rsidRDefault="001525B0" w:rsidP="001525B0">
      <w:pPr>
        <w:pStyle w:val="Ttulo2"/>
        <w:keepNext/>
      </w:pPr>
      <w:bookmarkStart w:id="38" w:name="_Toc238022033"/>
      <w:r>
        <w:t>4.9 A aferição do conteúdo sexual: o padrão da vítima razoável</w:t>
      </w:r>
      <w:bookmarkEnd w:id="38"/>
    </w:p>
    <w:p w14:paraId="2FFF3A3F" w14:textId="77777777" w:rsidR="00FC19F7" w:rsidRPr="00FC19F7" w:rsidRDefault="00FC19F7" w:rsidP="00FC19F7">
      <w:pPr>
        <w:spacing w:after="120"/>
        <w:jc w:val="both"/>
        <w:rPr>
          <w:sz w:val="21"/>
          <w:szCs w:val="21"/>
        </w:rPr>
      </w:pPr>
      <w:r>
        <w:rPr>
          <w:sz w:val="21"/>
          <w:szCs w:val="21"/>
        </w:rPr>
        <w:t>Para avaliar objetivamente se uma conduta tem conotação sexual e se é apta a criar ambiente hostil, a doutrina norte-americana sobre assédio sexual construiu ao longo de décadas o chamado padrão da pessoa razoável (</w:t>
      </w:r>
      <w:proofErr w:type="spellStart"/>
      <w:r>
        <w:rPr>
          <w:i/>
          <w:iCs/>
          <w:sz w:val="21"/>
          <w:szCs w:val="21"/>
        </w:rPr>
        <w:t>reasonable</w:t>
      </w:r>
      <w:proofErr w:type="spellEnd"/>
      <w:r>
        <w:rPr>
          <w:i/>
          <w:iCs/>
          <w:sz w:val="21"/>
          <w:szCs w:val="21"/>
        </w:rPr>
        <w:t xml:space="preserve"> </w:t>
      </w:r>
      <w:proofErr w:type="spellStart"/>
      <w:r>
        <w:rPr>
          <w:i/>
          <w:iCs/>
          <w:sz w:val="21"/>
          <w:szCs w:val="21"/>
        </w:rPr>
        <w:t>person</w:t>
      </w:r>
      <w:proofErr w:type="spellEnd"/>
      <w:r>
        <w:rPr>
          <w:i/>
          <w:iCs/>
          <w:sz w:val="21"/>
          <w:szCs w:val="21"/>
        </w:rPr>
        <w:t xml:space="preserve"> standard</w:t>
      </w:r>
      <w:r>
        <w:rPr>
          <w:sz w:val="21"/>
          <w:szCs w:val="21"/>
        </w:rPr>
        <w:t>), e depois, em reconhecimento dos limites de um padrão neutro de gênero, o padrão da mulher razoável (</w:t>
      </w:r>
      <w:proofErr w:type="spellStart"/>
      <w:r>
        <w:rPr>
          <w:i/>
          <w:iCs/>
          <w:sz w:val="21"/>
          <w:szCs w:val="21"/>
        </w:rPr>
        <w:t>reasonable</w:t>
      </w:r>
      <w:proofErr w:type="spellEnd"/>
      <w:r>
        <w:rPr>
          <w:i/>
          <w:iCs/>
          <w:sz w:val="21"/>
          <w:szCs w:val="21"/>
        </w:rPr>
        <w:t xml:space="preserve"> </w:t>
      </w:r>
      <w:proofErr w:type="spellStart"/>
      <w:r>
        <w:rPr>
          <w:i/>
          <w:iCs/>
          <w:sz w:val="21"/>
          <w:szCs w:val="21"/>
        </w:rPr>
        <w:t>woman</w:t>
      </w:r>
      <w:proofErr w:type="spellEnd"/>
      <w:r>
        <w:rPr>
          <w:i/>
          <w:iCs/>
          <w:sz w:val="21"/>
          <w:szCs w:val="21"/>
        </w:rPr>
        <w:t xml:space="preserve"> standard</w:t>
      </w:r>
      <w:r>
        <w:rPr>
          <w:sz w:val="21"/>
          <w:szCs w:val="21"/>
        </w:rPr>
        <w:t xml:space="preserve">), introduzido no caso </w:t>
      </w:r>
      <w:r>
        <w:rPr>
          <w:i/>
          <w:iCs/>
          <w:sz w:val="21"/>
          <w:szCs w:val="21"/>
        </w:rPr>
        <w:t>Ellison v. Brady</w:t>
      </w:r>
      <w:r>
        <w:rPr>
          <w:rStyle w:val="Refdenotaderodap"/>
          <w:i/>
          <w:iCs/>
          <w:sz w:val="21"/>
          <w:szCs w:val="21"/>
        </w:rPr>
        <w:footnoteReference w:id="21"/>
      </w:r>
      <w:r>
        <w:rPr>
          <w:sz w:val="21"/>
          <w:szCs w:val="21"/>
        </w:rPr>
        <w:t xml:space="preserve"> (9th Circuit, 1991).</w:t>
      </w:r>
    </w:p>
    <w:p w14:paraId="6D6A524F" w14:textId="77777777" w:rsidR="00FC19F7" w:rsidRPr="00FC19F7" w:rsidRDefault="00FC19F7" w:rsidP="00FC19F7">
      <w:pPr>
        <w:spacing w:after="120"/>
        <w:jc w:val="both"/>
        <w:rPr>
          <w:sz w:val="21"/>
          <w:szCs w:val="21"/>
        </w:rPr>
      </w:pPr>
      <w:r>
        <w:rPr>
          <w:sz w:val="21"/>
          <w:szCs w:val="21"/>
        </w:rPr>
        <w:t xml:space="preserve">A lógica dessa evolução é relevante para o operador brasileiro: um padrão verdadeiramente neutro de avaliação do que constitui assédio sexual precisa ser sensível às diferenças de experiência, de posição social e de vulnerabilidade que afetam a percepção do que é hostil ou ameaçador. O que um homem que nunca foi alvo de assédio sexual pode considerar "apenas uma piada" é, para uma mulher que cresceu num ambiente em que comentários sexualizados são parte da experiência cotidiana de vulnerabilização, uma reafirmação de que ela não é vista primariamente como profissional, mas como </w:t>
      </w:r>
      <w:r>
        <w:rPr>
          <w:sz w:val="21"/>
          <w:szCs w:val="21"/>
        </w:rPr>
        <w:lastRenderedPageBreak/>
        <w:t>objeto sexual. Essa diferença de percepção não reflete hipersensibilidade da vítima: reflete experiência vivida diferente.</w:t>
      </w:r>
    </w:p>
    <w:p w14:paraId="22E48F38" w14:textId="77777777" w:rsidR="00FC19F7" w:rsidRPr="00FC19F7" w:rsidRDefault="00FC19F7" w:rsidP="00FC19F7">
      <w:pPr>
        <w:spacing w:after="120"/>
        <w:jc w:val="both"/>
        <w:rPr>
          <w:sz w:val="21"/>
          <w:szCs w:val="21"/>
        </w:rPr>
      </w:pPr>
      <w:r>
        <w:rPr>
          <w:sz w:val="21"/>
          <w:szCs w:val="21"/>
        </w:rPr>
        <w:t xml:space="preserve">No contexto disciplinar brasileiro, o Protocolo para Julgamento com Perspectiva de Gênero do CNJ oferece a chave interpretativa equivalente: </w:t>
      </w:r>
      <w:r>
        <w:rPr>
          <w:i/>
          <w:iCs/>
          <w:sz w:val="21"/>
          <w:szCs w:val="21"/>
        </w:rPr>
        <w:t>"a análise do caso concreto deve considerar a posição de vulnerabilidade e as assimetrias de poder que configuram o contexto da relação entre as partes"</w:t>
      </w:r>
      <w:r>
        <w:rPr>
          <w:sz w:val="21"/>
          <w:szCs w:val="21"/>
        </w:rPr>
        <w:t xml:space="preserve">. O operador que aplica a ferramenta </w:t>
      </w:r>
      <w:proofErr w:type="spellStart"/>
      <w:r>
        <w:rPr>
          <w:sz w:val="21"/>
          <w:szCs w:val="21"/>
        </w:rPr>
        <w:t>Integritas</w:t>
      </w:r>
      <w:proofErr w:type="spellEnd"/>
      <w:r>
        <w:rPr>
          <w:sz w:val="21"/>
          <w:szCs w:val="21"/>
        </w:rPr>
        <w:t xml:space="preserve"> ao Eixo 3 deve ter essa lente ativa ao avaliar o conteúdo das condutas relatadas.</w:t>
      </w:r>
    </w:p>
    <w:p w14:paraId="35572E30" w14:textId="77777777" w:rsidR="009164D8" w:rsidRDefault="009164D8" w:rsidP="009164D8">
      <w:pPr>
        <w:pStyle w:val="Ttulo2"/>
        <w:keepNext/>
      </w:pPr>
      <w:bookmarkStart w:id="39" w:name="_Toc238022034"/>
      <w:r>
        <w:t>4.10 A perspectiva de gênero como instrumento analítico, não como preferência ideológica</w:t>
      </w:r>
      <w:bookmarkEnd w:id="39"/>
    </w:p>
    <w:p w14:paraId="6C93AEEB" w14:textId="77777777" w:rsidR="00667CB1" w:rsidRPr="00667CB1" w:rsidRDefault="00667CB1" w:rsidP="00667CB1">
      <w:pPr>
        <w:spacing w:after="120"/>
        <w:jc w:val="both"/>
        <w:rPr>
          <w:sz w:val="21"/>
          <w:szCs w:val="21"/>
        </w:rPr>
      </w:pPr>
      <w:r>
        <w:rPr>
          <w:sz w:val="21"/>
          <w:szCs w:val="21"/>
        </w:rPr>
        <w:t>A centralidade da perspectiva de gênero na análise do assédio sexual não é uma posição ideológica, é uma exigência metodológica. As condutas de conotação sexual ocorrem num contexto social, cultural e institucional marcado por assimetrias de gênero que afetam tanto a prática do assédio quanto o impacto que ele produz. Ignorar esse contexto não é neutralidade analítica: é uma forma de enviesar a análise em favor do agressor.</w:t>
      </w:r>
    </w:p>
    <w:p w14:paraId="78AA5226" w14:textId="77777777" w:rsidR="00667CB1" w:rsidRPr="00667CB1" w:rsidRDefault="00667CB1" w:rsidP="00667CB1">
      <w:pPr>
        <w:spacing w:after="120"/>
        <w:jc w:val="both"/>
        <w:rPr>
          <w:sz w:val="21"/>
          <w:szCs w:val="21"/>
        </w:rPr>
      </w:pPr>
      <w:r>
        <w:rPr>
          <w:sz w:val="21"/>
          <w:szCs w:val="21"/>
        </w:rPr>
        <w:t>O assédio sexual afeta desproporcionalmente mulheres. Dados do IBGE, da OIT e de pesquisas conduzidas no serviço público brasileiro consistentemente documentam que mulheres são as vítimas predominantes de assédio sexual no trabalho, não porque os homens sejam biologicamente propensos ao assédio, mas porque o assédio sexual é, em sua estrutura mais profunda, um mecanismo de exercício de poder sobre quem é percebido como vulnerável. Esse poder opera ao longo de linhas de gênero, de raça, de hierarquia e de orientação sexual, e quando essas dimensões se interseccionam, o risco de vitimização aumenta.</w:t>
      </w:r>
    </w:p>
    <w:p w14:paraId="391E617C" w14:textId="77777777" w:rsidR="00667CB1" w:rsidRPr="00667CB1" w:rsidRDefault="00667CB1" w:rsidP="00667CB1">
      <w:pPr>
        <w:spacing w:after="120"/>
        <w:jc w:val="both"/>
        <w:rPr>
          <w:sz w:val="21"/>
          <w:szCs w:val="21"/>
        </w:rPr>
      </w:pPr>
      <w:r>
        <w:rPr>
          <w:sz w:val="21"/>
          <w:szCs w:val="21"/>
        </w:rPr>
        <w:t xml:space="preserve">A </w:t>
      </w:r>
      <w:proofErr w:type="spellStart"/>
      <w:r>
        <w:rPr>
          <w:sz w:val="21"/>
          <w:szCs w:val="21"/>
        </w:rPr>
        <w:t>Kimberlé</w:t>
      </w:r>
      <w:proofErr w:type="spellEnd"/>
      <w:r>
        <w:rPr>
          <w:sz w:val="21"/>
          <w:szCs w:val="21"/>
        </w:rPr>
        <w:t xml:space="preserve"> </w:t>
      </w:r>
      <w:proofErr w:type="spellStart"/>
      <w:r>
        <w:rPr>
          <w:sz w:val="21"/>
          <w:szCs w:val="21"/>
        </w:rPr>
        <w:t>Crenshaw</w:t>
      </w:r>
      <w:proofErr w:type="spellEnd"/>
      <w:r>
        <w:rPr>
          <w:rStyle w:val="Refdenotaderodap"/>
          <w:sz w:val="21"/>
          <w:szCs w:val="21"/>
        </w:rPr>
        <w:footnoteReference w:id="22"/>
      </w:r>
      <w:r>
        <w:rPr>
          <w:sz w:val="21"/>
          <w:szCs w:val="21"/>
        </w:rPr>
        <w:t xml:space="preserve"> desenvolveu o conceito de interseccionalidade, originalmente no contexto do direito norte-americano antidiscriminatório, para descrever precisamente esse fenômeno: a experiência da mulher negra, por exemplo, não é simplesmente a soma da experiência de ser mulher com a experiência de ser negra; é uma experiência qualitativamente diferente, produzida pela interação dessas duas dimensões de identidade e vulnerabilidade. No contexto do assédio sexual no serviço público, a interseccionalidade significa que servidoras negras, servidoras com deficiência, servidoras em posições hierárquicas inferiores e servidoras pertencentes a grupos </w:t>
      </w:r>
      <w:proofErr w:type="spellStart"/>
      <w:r>
        <w:rPr>
          <w:sz w:val="21"/>
          <w:szCs w:val="21"/>
        </w:rPr>
        <w:t>minorizados</w:t>
      </w:r>
      <w:proofErr w:type="spellEnd"/>
      <w:r>
        <w:rPr>
          <w:sz w:val="21"/>
          <w:szCs w:val="21"/>
        </w:rPr>
        <w:t xml:space="preserve"> são expostas a formas de assédio que combinam elementos de gênero, raça, capacitismo e hierarquia, e que o enquadramento adequado dessa conduta exige reconhecer essa complexidade.</w:t>
      </w:r>
    </w:p>
    <w:p w14:paraId="5D8E9841" w14:textId="77777777" w:rsidR="003F3EB0" w:rsidRDefault="003F3EB0" w:rsidP="003F3EB0">
      <w:pPr>
        <w:pStyle w:val="Ttulo2"/>
        <w:keepNext/>
      </w:pPr>
      <w:bookmarkStart w:id="40" w:name="_Toc238022035"/>
      <w:r>
        <w:t xml:space="preserve">4.11 A linha divisória do </w:t>
      </w:r>
      <w:r>
        <w:rPr>
          <w:i/>
          <w:iCs/>
        </w:rPr>
        <w:t>quid pro quo</w:t>
      </w:r>
      <w:r>
        <w:t xml:space="preserve"> com favorecimento: consentimento ou coerção estrutural</w:t>
      </w:r>
      <w:bookmarkEnd w:id="40"/>
    </w:p>
    <w:p w14:paraId="4273D705" w14:textId="77777777" w:rsidR="00732A34" w:rsidRPr="00732A34" w:rsidRDefault="00732A34" w:rsidP="00732A34">
      <w:pPr>
        <w:spacing w:after="120"/>
        <w:jc w:val="both"/>
        <w:rPr>
          <w:sz w:val="21"/>
          <w:szCs w:val="21"/>
        </w:rPr>
      </w:pPr>
      <w:r>
        <w:rPr>
          <w:sz w:val="21"/>
          <w:szCs w:val="21"/>
        </w:rPr>
        <w:t>A análise do assédio por chantagem com "favorecimento aceito", a situação em que a vítima cedeu à demanda sexual do superior hierárquico e recebeu o benefício prometido, é talvez a mais delicada de todo o Eixo 3. O operador precisa distinguir entre três cenários substancialmente diferentes:</w:t>
      </w:r>
    </w:p>
    <w:p w14:paraId="710CB9BF" w14:textId="77777777" w:rsidR="00732A34" w:rsidRPr="00732A34" w:rsidRDefault="00732A34" w:rsidP="00732A34">
      <w:pPr>
        <w:spacing w:after="120"/>
        <w:jc w:val="both"/>
        <w:rPr>
          <w:sz w:val="21"/>
          <w:szCs w:val="21"/>
        </w:rPr>
      </w:pPr>
      <w:r>
        <w:rPr>
          <w:b/>
          <w:bCs/>
          <w:sz w:val="21"/>
          <w:szCs w:val="21"/>
        </w:rPr>
        <w:t>Cenário 1: Consentimento genuíno.</w:t>
      </w:r>
      <w:r>
        <w:rPr>
          <w:sz w:val="21"/>
          <w:szCs w:val="21"/>
        </w:rPr>
        <w:t xml:space="preserve"> Em contextos sem assimetria de poder significativa, colega que convida outro para relacionamento, com acolhimento genuinamente livre do colega convidado, o consentimento pode ser válido. Mas esse cenário raramente ocorre em relações hierárquicas funcionais, e quando ocorre, a questão disciplinar se desloca do assédio para a eventual violação da moralidade administrativa (art. 116, IX) se a conduta tiver repercussão institucional.</w:t>
      </w:r>
    </w:p>
    <w:p w14:paraId="103ED9EA" w14:textId="77777777" w:rsidR="00732A34" w:rsidRPr="00732A34" w:rsidRDefault="00732A34" w:rsidP="00732A34">
      <w:pPr>
        <w:spacing w:after="120"/>
        <w:jc w:val="both"/>
        <w:rPr>
          <w:sz w:val="21"/>
          <w:szCs w:val="21"/>
        </w:rPr>
      </w:pPr>
      <w:r>
        <w:rPr>
          <w:b/>
          <w:bCs/>
          <w:sz w:val="21"/>
          <w:szCs w:val="21"/>
        </w:rPr>
        <w:lastRenderedPageBreak/>
        <w:t>Cenário 2: Coerção estrutural.</w:t>
      </w:r>
      <w:r>
        <w:rPr>
          <w:sz w:val="21"/>
          <w:szCs w:val="21"/>
        </w:rPr>
        <w:t xml:space="preserve"> Em relações de subordinação hierárquica, o consentimento é presumivelmente comprometido pela assimetria de poder, a vítima "cede" porque percebe que a recusa tem custos funcionais que não pode assumir. Não há consentimento genuíno; há aquiescência </w:t>
      </w:r>
      <w:proofErr w:type="spellStart"/>
      <w:r>
        <w:rPr>
          <w:sz w:val="21"/>
          <w:szCs w:val="21"/>
        </w:rPr>
        <w:t>coercionada</w:t>
      </w:r>
      <w:proofErr w:type="spellEnd"/>
      <w:r>
        <w:rPr>
          <w:sz w:val="21"/>
          <w:szCs w:val="21"/>
        </w:rPr>
        <w:t xml:space="preserve">. Esse cenário é o mais frequente nos casos de </w:t>
      </w:r>
      <w:r>
        <w:rPr>
          <w:i/>
          <w:iCs/>
          <w:sz w:val="21"/>
          <w:szCs w:val="21"/>
        </w:rPr>
        <w:t>quid pro quo</w:t>
      </w:r>
      <w:r>
        <w:rPr>
          <w:sz w:val="21"/>
          <w:szCs w:val="21"/>
        </w:rPr>
        <w:t>, e deve ser tratado como assédio sexual com as consequências de enquadramento correspondentes.</w:t>
      </w:r>
    </w:p>
    <w:p w14:paraId="563A8D7E" w14:textId="77777777" w:rsidR="00732A34" w:rsidRPr="00732A34" w:rsidRDefault="00732A34" w:rsidP="00732A34">
      <w:pPr>
        <w:spacing w:after="120"/>
        <w:jc w:val="both"/>
        <w:rPr>
          <w:sz w:val="21"/>
          <w:szCs w:val="21"/>
        </w:rPr>
      </w:pPr>
      <w:r>
        <w:rPr>
          <w:b/>
          <w:bCs/>
          <w:sz w:val="21"/>
          <w:szCs w:val="21"/>
        </w:rPr>
        <w:t>Cenário 3: Denúncia retroativa de situação anteriormente "aceita".</w:t>
      </w:r>
      <w:r>
        <w:rPr>
          <w:sz w:val="21"/>
          <w:szCs w:val="21"/>
        </w:rPr>
        <w:t xml:space="preserve"> A vítima que "aceitou" o </w:t>
      </w:r>
      <w:r>
        <w:rPr>
          <w:i/>
          <w:iCs/>
          <w:sz w:val="21"/>
          <w:szCs w:val="21"/>
        </w:rPr>
        <w:t>quid pro quo</w:t>
      </w:r>
      <w:r>
        <w:rPr>
          <w:sz w:val="21"/>
          <w:szCs w:val="21"/>
        </w:rPr>
        <w:t xml:space="preserve"> e só depois </w:t>
      </w:r>
      <w:proofErr w:type="spellStart"/>
      <w:r>
        <w:rPr>
          <w:sz w:val="21"/>
          <w:szCs w:val="21"/>
        </w:rPr>
        <w:t>denuncia</w:t>
      </w:r>
      <w:proofErr w:type="spellEnd"/>
      <w:r>
        <w:rPr>
          <w:sz w:val="21"/>
          <w:szCs w:val="21"/>
        </w:rPr>
        <w:t xml:space="preserve"> é o cenário que mais frequentemente ativa o argumento defensivo de consentimento. A resposta correta não é presumir consentimento: é examinar se, no contexto da relação hierárquica existente, a "aceitação" satisfazia os critérios de consentimento livre. Na grande maioria dos casos não satisfaz e a denúncia posterior não é contradição da experiência anterior, mas sinal de que a vítima acumulou, ao longo do tempo, recursos psicológicos e situacionais que lhe permitiram denunciar o que antes não conseguia</w:t>
      </w:r>
    </w:p>
    <w:p w14:paraId="1F53106A" w14:textId="77777777" w:rsidR="00B46B14" w:rsidRDefault="00B46B14" w:rsidP="00B46B14">
      <w:pPr>
        <w:pStyle w:val="Ttulo2"/>
        <w:keepNext/>
      </w:pPr>
      <w:bookmarkStart w:id="41" w:name="_Toc238022036"/>
      <w:r>
        <w:t>4.12 O enquadramento disciplinar: dispositivos e critérios de escalada</w:t>
      </w:r>
      <w:bookmarkEnd w:id="41"/>
    </w:p>
    <w:p w14:paraId="50A96CBA" w14:textId="77777777" w:rsidR="00074861" w:rsidRPr="00074861" w:rsidRDefault="00074861" w:rsidP="00074861">
      <w:pPr>
        <w:spacing w:after="120"/>
        <w:jc w:val="both"/>
        <w:rPr>
          <w:sz w:val="21"/>
          <w:szCs w:val="21"/>
        </w:rPr>
      </w:pPr>
      <w:r>
        <w:rPr>
          <w:sz w:val="21"/>
          <w:szCs w:val="21"/>
        </w:rPr>
        <w:t xml:space="preserve">A NT nº 3285/2023 organiza o enquadramento da conduta sexual em dois percursos — Rota A (com favorecimento) </w:t>
      </w:r>
      <w:proofErr w:type="gramStart"/>
      <w:r>
        <w:rPr>
          <w:sz w:val="21"/>
          <w:szCs w:val="21"/>
        </w:rPr>
        <w:t>e Rota</w:t>
      </w:r>
      <w:proofErr w:type="gramEnd"/>
      <w:r>
        <w:rPr>
          <w:sz w:val="21"/>
          <w:szCs w:val="21"/>
        </w:rPr>
        <w:t xml:space="preserve"> B (sem favorecimento) — que </w:t>
      </w:r>
      <w:r>
        <w:rPr>
          <w:b/>
          <w:bCs/>
          <w:sz w:val="21"/>
          <w:szCs w:val="21"/>
        </w:rPr>
        <w:t>não são simetricamente equivalentes</w:t>
      </w:r>
      <w:r>
        <w:rPr>
          <w:sz w:val="21"/>
          <w:szCs w:val="21"/>
        </w:rPr>
        <w:t xml:space="preserve"> quanto à margem de dosimetria.</w:t>
      </w:r>
    </w:p>
    <w:p w14:paraId="0EBCFA95" w14:textId="77777777" w:rsidR="00074861" w:rsidRPr="00074861" w:rsidRDefault="00074861" w:rsidP="00074861">
      <w:pPr>
        <w:spacing w:after="120"/>
        <w:jc w:val="both"/>
        <w:rPr>
          <w:sz w:val="21"/>
          <w:szCs w:val="21"/>
        </w:rPr>
      </w:pPr>
      <w:r>
        <w:rPr>
          <w:b/>
          <w:bCs/>
          <w:sz w:val="21"/>
          <w:szCs w:val="21"/>
        </w:rPr>
        <w:t>Rota A</w:t>
      </w:r>
      <w:r>
        <w:rPr>
          <w:sz w:val="21"/>
          <w:szCs w:val="21"/>
        </w:rPr>
        <w:t xml:space="preserve"> (assédio sexual </w:t>
      </w:r>
      <w:r>
        <w:rPr>
          <w:i/>
          <w:iCs/>
          <w:sz w:val="21"/>
          <w:szCs w:val="21"/>
        </w:rPr>
        <w:t>stricto sensu</w:t>
      </w:r>
      <w:r>
        <w:rPr>
          <w:sz w:val="21"/>
          <w:szCs w:val="21"/>
        </w:rPr>
        <w:t>, Parecer 0015/2023/AGU — sem discricionariedade de dosimetria uma vez configurada):</w:t>
      </w:r>
    </w:p>
    <w:p w14:paraId="02E5E5E6" w14:textId="77777777" w:rsidR="00074861" w:rsidRPr="00074861" w:rsidRDefault="00074861" w:rsidP="00074861">
      <w:pPr>
        <w:numPr>
          <w:ilvl w:val="0"/>
          <w:numId w:val="35"/>
        </w:numPr>
        <w:spacing w:after="120"/>
        <w:jc w:val="both"/>
        <w:rPr>
          <w:sz w:val="21"/>
          <w:szCs w:val="21"/>
        </w:rPr>
      </w:pPr>
      <w:r>
        <w:rPr>
          <w:sz w:val="21"/>
          <w:szCs w:val="21"/>
        </w:rPr>
        <w:t xml:space="preserve">Consentida, sem ofensa à moralidade administrativa: </w:t>
      </w:r>
      <w:r>
        <w:rPr>
          <w:b/>
          <w:bCs/>
          <w:sz w:val="21"/>
          <w:szCs w:val="21"/>
        </w:rPr>
        <w:t>sem ilícito disciplinar</w:t>
      </w:r>
      <w:r>
        <w:rPr>
          <w:sz w:val="21"/>
          <w:szCs w:val="21"/>
        </w:rPr>
        <w:t>.</w:t>
      </w:r>
    </w:p>
    <w:p w14:paraId="48B14BC5" w14:textId="77777777" w:rsidR="00074861" w:rsidRPr="00074861" w:rsidRDefault="00074861" w:rsidP="00074861">
      <w:pPr>
        <w:numPr>
          <w:ilvl w:val="0"/>
          <w:numId w:val="35"/>
        </w:numPr>
        <w:spacing w:after="120"/>
        <w:jc w:val="both"/>
        <w:rPr>
          <w:sz w:val="21"/>
          <w:szCs w:val="21"/>
        </w:rPr>
      </w:pPr>
      <w:r>
        <w:rPr>
          <w:sz w:val="21"/>
          <w:szCs w:val="21"/>
        </w:rPr>
        <w:t>Consentida, com ofensa à moralidade administrativa: art. 116, IX — advertência ou suspensão.</w:t>
      </w:r>
    </w:p>
    <w:p w14:paraId="54B4ACA5" w14:textId="77777777" w:rsidR="00074861" w:rsidRPr="00074861" w:rsidRDefault="00074861" w:rsidP="00074861">
      <w:pPr>
        <w:numPr>
          <w:ilvl w:val="0"/>
          <w:numId w:val="35"/>
        </w:numPr>
        <w:spacing w:after="120"/>
        <w:jc w:val="both"/>
        <w:rPr>
          <w:sz w:val="21"/>
          <w:szCs w:val="21"/>
        </w:rPr>
      </w:pPr>
      <w:r>
        <w:rPr>
          <w:sz w:val="21"/>
          <w:szCs w:val="21"/>
        </w:rPr>
        <w:t xml:space="preserve">Não consentida, com grave impacto à dignidade da vítima: art. 132, V — </w:t>
      </w:r>
      <w:r>
        <w:rPr>
          <w:b/>
          <w:bCs/>
          <w:sz w:val="21"/>
          <w:szCs w:val="21"/>
        </w:rPr>
        <w:t>demissão (ato vinculado)</w:t>
      </w:r>
      <w:r>
        <w:rPr>
          <w:sz w:val="21"/>
          <w:szCs w:val="21"/>
        </w:rPr>
        <w:t>.</w:t>
      </w:r>
    </w:p>
    <w:p w14:paraId="32500BE3" w14:textId="77777777" w:rsidR="00074861" w:rsidRPr="00074861" w:rsidRDefault="00074861" w:rsidP="00074861">
      <w:pPr>
        <w:numPr>
          <w:ilvl w:val="0"/>
          <w:numId w:val="35"/>
        </w:numPr>
        <w:spacing w:after="120"/>
        <w:jc w:val="both"/>
        <w:rPr>
          <w:sz w:val="21"/>
          <w:szCs w:val="21"/>
        </w:rPr>
      </w:pPr>
      <w:r>
        <w:rPr>
          <w:sz w:val="21"/>
          <w:szCs w:val="21"/>
        </w:rPr>
        <w:t xml:space="preserve">Não consentida, com uso do cargo como instrumento: art. 117, IX — </w:t>
      </w:r>
      <w:r>
        <w:rPr>
          <w:b/>
          <w:bCs/>
          <w:sz w:val="21"/>
          <w:szCs w:val="21"/>
        </w:rPr>
        <w:t>demissão (ato vinculado)</w:t>
      </w:r>
      <w:r>
        <w:rPr>
          <w:sz w:val="21"/>
          <w:szCs w:val="21"/>
        </w:rPr>
        <w:t>.</w:t>
      </w:r>
    </w:p>
    <w:p w14:paraId="43E4C40E" w14:textId="77777777" w:rsidR="00074861" w:rsidRPr="00074861" w:rsidRDefault="00074861" w:rsidP="00074861">
      <w:pPr>
        <w:numPr>
          <w:ilvl w:val="0"/>
          <w:numId w:val="35"/>
        </w:numPr>
        <w:spacing w:after="120"/>
        <w:jc w:val="both"/>
        <w:rPr>
          <w:sz w:val="21"/>
          <w:szCs w:val="21"/>
        </w:rPr>
      </w:pPr>
      <w:r>
        <w:rPr>
          <w:sz w:val="21"/>
          <w:szCs w:val="21"/>
        </w:rPr>
        <w:t>Não consentida, sem impacto grave documentado e sem uso do cargo: art. 116, II e IX — advertência ou suspensão.</w:t>
      </w:r>
    </w:p>
    <w:p w14:paraId="3A421697" w14:textId="77777777" w:rsidR="00074861" w:rsidRPr="00074861" w:rsidRDefault="00074861" w:rsidP="00074861">
      <w:pPr>
        <w:spacing w:after="120"/>
        <w:jc w:val="both"/>
        <w:rPr>
          <w:sz w:val="21"/>
          <w:szCs w:val="21"/>
        </w:rPr>
      </w:pPr>
      <w:r>
        <w:rPr>
          <w:b/>
          <w:bCs/>
          <w:sz w:val="21"/>
          <w:szCs w:val="21"/>
        </w:rPr>
        <w:t>Rota B</w:t>
      </w:r>
      <w:r>
        <w:rPr>
          <w:sz w:val="21"/>
          <w:szCs w:val="21"/>
        </w:rPr>
        <w:t xml:space="preserve"> (atos de conotação sexual ambiental —quatro qualificadores autônomos, verificados em sequência; cada um eleva a conduta a uma categoria de análise mais grave, mas apenas o terceiro é </w:t>
      </w:r>
      <w:proofErr w:type="spellStart"/>
      <w:r>
        <w:rPr>
          <w:sz w:val="21"/>
          <w:szCs w:val="21"/>
        </w:rPr>
        <w:t>gate</w:t>
      </w:r>
      <w:proofErr w:type="spellEnd"/>
      <w:r>
        <w:rPr>
          <w:sz w:val="21"/>
          <w:szCs w:val="21"/>
        </w:rPr>
        <w:t xml:space="preserve"> automático para demissão):</w:t>
      </w:r>
    </w:p>
    <w:p w14:paraId="14697FF7" w14:textId="77777777" w:rsidR="00D5395A" w:rsidRDefault="00D5093A" w:rsidP="00074861">
      <w:pPr>
        <w:numPr>
          <w:ilvl w:val="0"/>
          <w:numId w:val="36"/>
        </w:numPr>
        <w:spacing w:after="120"/>
        <w:jc w:val="both"/>
        <w:rPr>
          <w:sz w:val="21"/>
          <w:szCs w:val="21"/>
        </w:rPr>
      </w:pPr>
      <w:r>
        <w:rPr>
          <w:b/>
          <w:bCs/>
          <w:sz w:val="21"/>
          <w:szCs w:val="21"/>
        </w:rPr>
        <w:t>Correspondência objetiva a tipo penal do Título VI do CP</w:t>
      </w:r>
      <w:r>
        <w:rPr>
          <w:sz w:val="21"/>
          <w:szCs w:val="21"/>
        </w:rPr>
        <w:t xml:space="preserve"> (crimes contra a dignidade sexual — p. ex. art. 215-A, importunação sexual): art. 132, V — </w:t>
      </w:r>
      <w:r>
        <w:rPr>
          <w:b/>
          <w:bCs/>
          <w:sz w:val="21"/>
          <w:szCs w:val="21"/>
        </w:rPr>
        <w:t>demissão (ato vinculado)</w:t>
      </w:r>
      <w:r>
        <w:rPr>
          <w:sz w:val="21"/>
          <w:szCs w:val="21"/>
        </w:rPr>
        <w:t>, com comunicação obrigatória ao Ministério Público. Verificação anterior aos três qualificadores ambientais; a resposta negativa reconduz aos qualificadores, a afirmativa esgota a Rota B no patamar expulsivo (v. 4.14-A).</w:t>
      </w:r>
    </w:p>
    <w:p w14:paraId="2E5EE9CB" w14:textId="77777777" w:rsidR="00074861" w:rsidRPr="00074861" w:rsidRDefault="00074861" w:rsidP="00074861">
      <w:pPr>
        <w:numPr>
          <w:ilvl w:val="0"/>
          <w:numId w:val="36"/>
        </w:numPr>
        <w:spacing w:after="120"/>
        <w:jc w:val="both"/>
        <w:rPr>
          <w:sz w:val="21"/>
          <w:szCs w:val="21"/>
        </w:rPr>
      </w:pPr>
      <w:r>
        <w:rPr>
          <w:sz w:val="21"/>
          <w:szCs w:val="21"/>
        </w:rPr>
        <w:t xml:space="preserve">Escândalo institucional ostensivo </w:t>
      </w:r>
      <w:r>
        <w:rPr>
          <w:b/>
          <w:bCs/>
          <w:sz w:val="21"/>
          <w:szCs w:val="21"/>
        </w:rPr>
        <w:t>ou</w:t>
      </w:r>
      <w:r>
        <w:rPr>
          <w:sz w:val="21"/>
          <w:szCs w:val="21"/>
        </w:rPr>
        <w:t xml:space="preserve"> 2. grave impacto à dignidade da vítima → Resultado F: art. 132, V (demissão) </w:t>
      </w:r>
      <w:r>
        <w:rPr>
          <w:b/>
          <w:bCs/>
          <w:sz w:val="21"/>
          <w:szCs w:val="21"/>
        </w:rPr>
        <w:t>ou</w:t>
      </w:r>
      <w:r>
        <w:rPr>
          <w:sz w:val="21"/>
          <w:szCs w:val="21"/>
        </w:rPr>
        <w:t xml:space="preserve"> art. 116, IX (suspensão), </w:t>
      </w:r>
      <w:r>
        <w:rPr>
          <w:b/>
          <w:bCs/>
          <w:sz w:val="21"/>
          <w:szCs w:val="21"/>
        </w:rPr>
        <w:t>conforme a intensidade do qualificador verificado</w:t>
      </w:r>
      <w:r>
        <w:rPr>
          <w:sz w:val="21"/>
          <w:szCs w:val="21"/>
        </w:rPr>
        <w:t xml:space="preserve"> — dosimetria não eliminada.</w:t>
      </w:r>
    </w:p>
    <w:p w14:paraId="0A3BDA08" w14:textId="77777777" w:rsidR="00074861" w:rsidRDefault="00074861" w:rsidP="00074861">
      <w:pPr>
        <w:numPr>
          <w:ilvl w:val="0"/>
          <w:numId w:val="36"/>
        </w:numPr>
        <w:spacing w:after="120"/>
        <w:jc w:val="both"/>
        <w:rPr>
          <w:sz w:val="21"/>
          <w:szCs w:val="21"/>
        </w:rPr>
      </w:pPr>
      <w:r>
        <w:rPr>
          <w:sz w:val="21"/>
          <w:szCs w:val="21"/>
        </w:rPr>
        <w:t xml:space="preserve">Valimento do cargo (na ausência dos dois anteriores) → art. 117, IX — </w:t>
      </w:r>
      <w:r>
        <w:rPr>
          <w:b/>
          <w:bCs/>
          <w:sz w:val="21"/>
          <w:szCs w:val="21"/>
        </w:rPr>
        <w:t>demissão (ato vinculado)</w:t>
      </w:r>
      <w:r>
        <w:rPr>
          <w:sz w:val="21"/>
          <w:szCs w:val="21"/>
        </w:rPr>
        <w:t>, sem margem de dosimetria.</w:t>
      </w:r>
    </w:p>
    <w:p w14:paraId="35280ABF" w14:textId="77777777" w:rsidR="00A304DC" w:rsidRPr="00074861" w:rsidRDefault="00A304DC" w:rsidP="00074861">
      <w:pPr>
        <w:numPr>
          <w:ilvl w:val="0"/>
          <w:numId w:val="36"/>
        </w:numPr>
        <w:spacing w:after="120"/>
        <w:jc w:val="both"/>
        <w:rPr>
          <w:sz w:val="21"/>
          <w:szCs w:val="21"/>
        </w:rPr>
      </w:pPr>
      <w:r>
        <w:rPr>
          <w:sz w:val="21"/>
          <w:szCs w:val="21"/>
        </w:rPr>
        <w:lastRenderedPageBreak/>
        <w:t>Ausência dos três qualificadores: art. 116, II e XI — advertência ou suspensão.</w:t>
      </w:r>
    </w:p>
    <w:p w14:paraId="5C3110CF" w14:textId="77777777" w:rsidR="003F30C7" w:rsidRDefault="002C0BB6">
      <w:pPr>
        <w:spacing w:after="120"/>
        <w:jc w:val="both"/>
        <w:rPr>
          <w:sz w:val="21"/>
          <w:szCs w:val="21"/>
        </w:rPr>
      </w:pPr>
      <w:r>
        <w:rPr>
          <w:sz w:val="21"/>
          <w:szCs w:val="21"/>
        </w:rPr>
        <w:t>A lógica da escalada reflete a natureza do dano em cada patamar: o escândalo institucional (qualificador 1) produz dano coletivo ao ambiente; o grave impacto à vítima (qualificador 2) produz dano individual grave documentado; o valimento do cargo (qualificador 3) produz dano institucional ao adicionar o elemento do abuso de poder público. Cada um desses elementos, isoladamente, é suficiente para elevar o enquadramento ao patamar mais grave.</w:t>
      </w:r>
    </w:p>
    <w:p w14:paraId="615EC3B7" w14:textId="77777777" w:rsidR="006756F7" w:rsidRDefault="006756F7" w:rsidP="006756F7">
      <w:pPr>
        <w:pStyle w:val="Ttulo2"/>
        <w:keepNext/>
      </w:pPr>
      <w:bookmarkStart w:id="42" w:name="_Toc238022037"/>
      <w:r>
        <w:t>4.13 Um único ato pode ser suficiente: a desnecessidade de reiteração</w:t>
      </w:r>
      <w:bookmarkEnd w:id="42"/>
    </w:p>
    <w:p w14:paraId="0B87409D" w14:textId="77777777" w:rsidR="00DC6912" w:rsidRPr="00DC6912" w:rsidRDefault="00DC6912" w:rsidP="00DC6912">
      <w:pPr>
        <w:spacing w:after="120"/>
        <w:jc w:val="both"/>
        <w:rPr>
          <w:sz w:val="21"/>
          <w:szCs w:val="21"/>
        </w:rPr>
      </w:pPr>
      <w:r>
        <w:rPr>
          <w:sz w:val="21"/>
          <w:szCs w:val="21"/>
        </w:rPr>
        <w:t xml:space="preserve">A NT nº 3285/2023, seguindo a orientação da Convenção nº 190 da OIT e a posição do Guia Lilás, é explícita: </w:t>
      </w:r>
      <w:r>
        <w:rPr>
          <w:i/>
          <w:iCs/>
          <w:sz w:val="21"/>
          <w:szCs w:val="21"/>
        </w:rPr>
        <w:t>"Para tipificar o assédio sexual não é necessária a repetição ou sistematização da conduta, bastando um único ato de investida com teor sexual indesejado pela vítima."</w:t>
      </w:r>
    </w:p>
    <w:p w14:paraId="5EC6878C" w14:textId="77777777" w:rsidR="00DC6912" w:rsidRPr="00DC6912" w:rsidRDefault="00DC6912" w:rsidP="00DC6912">
      <w:pPr>
        <w:spacing w:after="120"/>
        <w:jc w:val="both"/>
        <w:rPr>
          <w:sz w:val="21"/>
          <w:szCs w:val="21"/>
        </w:rPr>
      </w:pPr>
      <w:r>
        <w:rPr>
          <w:sz w:val="21"/>
          <w:szCs w:val="21"/>
        </w:rPr>
        <w:t xml:space="preserve">Essa posição tem fundamento empírico claro. A pesquisa de </w:t>
      </w:r>
      <w:proofErr w:type="spellStart"/>
      <w:r>
        <w:rPr>
          <w:sz w:val="21"/>
          <w:szCs w:val="21"/>
        </w:rPr>
        <w:t>Koss</w:t>
      </w:r>
      <w:proofErr w:type="spellEnd"/>
      <w:r>
        <w:rPr>
          <w:sz w:val="21"/>
          <w:szCs w:val="21"/>
        </w:rPr>
        <w:t xml:space="preserve"> e Oros</w:t>
      </w:r>
      <w:r>
        <w:rPr>
          <w:rStyle w:val="Refdenotaderodap"/>
          <w:sz w:val="21"/>
          <w:szCs w:val="21"/>
        </w:rPr>
        <w:footnoteReference w:id="23"/>
      </w:r>
      <w:r>
        <w:rPr>
          <w:sz w:val="21"/>
          <w:szCs w:val="21"/>
        </w:rPr>
        <w:t xml:space="preserve"> (1982) demonstrou que episódios únicos de assédio sexual grave, particularmente quando envolvem contato físico ou exposição pública, podem produzir impacto psicológico imediato e duradouro equivalente ao produzido por padrões reiterados de menor intensidade. O mecanismo é o do trauma agudo: a violação abrupta da segurança e da integridade da vítima pode produzir alterações no funcionamento psicológico que persistem muito além do episódio único que as causou.</w:t>
      </w:r>
    </w:p>
    <w:p w14:paraId="014AEEC3" w14:textId="77777777" w:rsidR="00DC6912" w:rsidRPr="00DC6912" w:rsidRDefault="00DC6912" w:rsidP="00DC6912">
      <w:pPr>
        <w:spacing w:after="120"/>
        <w:jc w:val="both"/>
        <w:rPr>
          <w:sz w:val="21"/>
          <w:szCs w:val="21"/>
        </w:rPr>
      </w:pPr>
      <w:r>
        <w:rPr>
          <w:sz w:val="21"/>
          <w:szCs w:val="21"/>
        </w:rPr>
        <w:t>No enquadramento disciplinar, a desnecessidade de reiteração significa que o operador não pode arquivar a denúncia de um único episódio de assédio sexual, por mais "isolado" que pareça, sem antes verificar se os qualificadores de gravidade (escândalo, impacto grave à vítima, uso do cargo) estão presentes. Se estiverem, o enquadramento é tão sólido como num padrão reiterado. A reiteração agrava; não é condição.</w:t>
      </w:r>
    </w:p>
    <w:p w14:paraId="32B66DB5" w14:textId="77777777" w:rsidR="00E72426" w:rsidRDefault="00E72426" w:rsidP="00E72426">
      <w:pPr>
        <w:pStyle w:val="Ttulo2"/>
        <w:keepNext/>
      </w:pPr>
      <w:bookmarkStart w:id="43" w:name="_Toc238022038"/>
      <w:r>
        <w:t>4.14 A independência das instâncias e a prova no PAD</w:t>
      </w:r>
      <w:bookmarkEnd w:id="43"/>
    </w:p>
    <w:p w14:paraId="1B9B7B72" w14:textId="77777777" w:rsidR="00ED54B2" w:rsidRPr="00ED54B2" w:rsidRDefault="00ED54B2" w:rsidP="00ED54B2">
      <w:pPr>
        <w:spacing w:after="120"/>
        <w:jc w:val="both"/>
        <w:rPr>
          <w:sz w:val="21"/>
          <w:szCs w:val="21"/>
        </w:rPr>
      </w:pPr>
      <w:r>
        <w:rPr>
          <w:sz w:val="21"/>
          <w:szCs w:val="21"/>
        </w:rPr>
        <w:t xml:space="preserve">O assédio sexual é, no plano penal, tipificado no art. 216-A do Código Penal com pena de detenção de 1 a 2 anos. A responsabilidade disciplinar é, nos termos dos </w:t>
      </w:r>
      <w:proofErr w:type="spellStart"/>
      <w:r>
        <w:rPr>
          <w:sz w:val="21"/>
          <w:szCs w:val="21"/>
        </w:rPr>
        <w:t>arts</w:t>
      </w:r>
      <w:proofErr w:type="spellEnd"/>
      <w:r>
        <w:rPr>
          <w:sz w:val="21"/>
          <w:szCs w:val="21"/>
        </w:rPr>
        <w:t>. 125 e 126 da Lei nº 8.112, de 1990, inteiramente independente da responsabilidade penal: o PAD não precisa aguardar o desfecho do processo criminal, e a eventual absolvição criminal, salvo quando nega a existência do fato ou a autoria, não vincula a instância disciplinar.</w:t>
      </w:r>
    </w:p>
    <w:p w14:paraId="36DB765B" w14:textId="77777777" w:rsidR="00ED54B2" w:rsidRPr="00ED54B2" w:rsidRDefault="00ED54B2" w:rsidP="00ED54B2">
      <w:pPr>
        <w:spacing w:after="120"/>
        <w:jc w:val="both"/>
        <w:rPr>
          <w:sz w:val="21"/>
          <w:szCs w:val="21"/>
        </w:rPr>
      </w:pPr>
      <w:r>
        <w:rPr>
          <w:sz w:val="21"/>
          <w:szCs w:val="21"/>
        </w:rPr>
        <w:t>O padrão probatório do PAD é o da preponderância de evidências, convicção suficiente da autoridade julgadora baseada no conjunto do material probatório, não o da certeza além da dúvida razoável exigida no processo penal. Isso tem consequência prática direta: provas que seriam insuficientes para condenação criminal podem ser suficientes para o enquadramento disciplinar, especialmente quando o conjunto de prova indireta, relatos de testemunhas, padrão de comportamento do acusado, documentação de impacto sobre a vítima, cronologia dos fatos, forma um quadro coerente que aponta para a ocorrência da conduta.</w:t>
      </w:r>
    </w:p>
    <w:p w14:paraId="1C584A27" w14:textId="77777777" w:rsidR="006F3F21" w:rsidRDefault="00ED54B2" w:rsidP="00DC6912">
      <w:pPr>
        <w:spacing w:after="120"/>
        <w:jc w:val="both"/>
        <w:rPr>
          <w:sz w:val="21"/>
          <w:szCs w:val="21"/>
        </w:rPr>
      </w:pPr>
      <w:r>
        <w:rPr>
          <w:sz w:val="21"/>
          <w:szCs w:val="21"/>
        </w:rPr>
        <w:t xml:space="preserve">A prova testemunhal tem papel central nos casos de assédio sexual, onde frequentemente não há registro documental direto. A consistência interna do relato da vítima, a sua corroboração por testemunhos independentes e a ausência de motivação aparente para a denúncia falsa são critérios de </w:t>
      </w:r>
      <w:r>
        <w:rPr>
          <w:sz w:val="21"/>
          <w:szCs w:val="21"/>
        </w:rPr>
        <w:lastRenderedPageBreak/>
        <w:t xml:space="preserve">avaliação da credibilidade testemunhal que o Protocolo CNJ sistematiza e que o operador da ferramenta deve ter presentes ao avaliar o material probatório. </w:t>
      </w:r>
    </w:p>
    <w:p w14:paraId="02218819" w14:textId="77777777" w:rsidR="00DF1FB5" w:rsidRPr="00DF1FB5" w:rsidRDefault="00DF1FB5" w:rsidP="00DF1FB5">
      <w:pPr>
        <w:spacing w:after="120"/>
        <w:jc w:val="both"/>
        <w:rPr>
          <w:sz w:val="21"/>
          <w:szCs w:val="21"/>
        </w:rPr>
      </w:pPr>
      <w:r>
        <w:rPr>
          <w:sz w:val="21"/>
          <w:szCs w:val="21"/>
        </w:rPr>
        <w:t>Tenho tudo o que preciso: o cap. teórico (4.12–4.17, com a arquitetura das Rotas A/B e a independência de instâncias em 4.14) e o walkthrough do Eixo 3 (cap. 13, com o fluxo, os três qualificadores da Rota B, os resultados F/G/H e o checklist), além do cap. 21.7 (comunicação ao MP, que já lista art. 215-A/216-A). Segue o texto pronto para colar, nos dois registros do Manual, mais os pontos mecânicos.</w:t>
      </w:r>
    </w:p>
    <w:p w14:paraId="5B6ED6F6" w14:textId="77777777" w:rsidR="00DF1FB5" w:rsidRPr="00DF1FB5" w:rsidRDefault="00DF1FB5" w:rsidP="00DF1FB5">
      <w:pPr>
        <w:spacing w:after="120"/>
        <w:jc w:val="both"/>
        <w:rPr>
          <w:sz w:val="21"/>
          <w:szCs w:val="21"/>
        </w:rPr>
      </w:pPr>
      <w:r>
        <w:rPr>
          <w:sz w:val="21"/>
          <w:szCs w:val="21"/>
        </w:rPr>
        <w:t>Registro de partida: o novo nó sex-penal-</w:t>
      </w:r>
      <w:proofErr w:type="spellStart"/>
      <w:r>
        <w:rPr>
          <w:sz w:val="21"/>
          <w:szCs w:val="21"/>
        </w:rPr>
        <w:t>decorrencia</w:t>
      </w:r>
      <w:proofErr w:type="spellEnd"/>
      <w:r>
        <w:rPr>
          <w:sz w:val="21"/>
          <w:szCs w:val="21"/>
        </w:rPr>
        <w:t xml:space="preserve"> fecha exatamente a lacuna Rota B / importunação sexual que ficou documentada na calibração do caso real. Ele converte a "ponte penal" — antes tratada como tensão não reconciliada pela ferramenta — em </w:t>
      </w:r>
      <w:proofErr w:type="spellStart"/>
      <w:r>
        <w:rPr>
          <w:b/>
          <w:bCs/>
          <w:sz w:val="21"/>
          <w:szCs w:val="21"/>
        </w:rPr>
        <w:t>gate</w:t>
      </w:r>
      <w:proofErr w:type="spellEnd"/>
      <w:r>
        <w:rPr>
          <w:b/>
          <w:bCs/>
          <w:sz w:val="21"/>
          <w:szCs w:val="21"/>
        </w:rPr>
        <w:t xml:space="preserve"> objetivo na cabeça da Rota B</w:t>
      </w:r>
      <w:r>
        <w:rPr>
          <w:sz w:val="21"/>
          <w:szCs w:val="21"/>
        </w:rPr>
        <w:t>, anterior aos três qualificadores. Toda a redação abaixo ancora-se em direito positivo (Título VI do CP + Lei nº 8.112/90), não na Convenção nº 190, o que a mantém robusta independentemente do debate de ratificação.</w:t>
      </w:r>
    </w:p>
    <w:p w14:paraId="463977D5" w14:textId="77777777" w:rsidR="00DF1FB5" w:rsidRPr="00DF1FB5" w:rsidRDefault="00DF1FB5" w:rsidP="00DF1FB5">
      <w:pPr>
        <w:pStyle w:val="Ttulo2"/>
        <w:keepNext/>
      </w:pPr>
      <w:bookmarkStart w:id="44" w:name="_Toc238022039"/>
      <w:r>
        <w:t>4.14-A A decorrência penal como porta de entrada da Rota B: quando o ato de conotação sexual corresponde a crime contra a dignidade sexual</w:t>
      </w:r>
      <w:bookmarkEnd w:id="44"/>
    </w:p>
    <w:p w14:paraId="25B6F667" w14:textId="77777777" w:rsidR="00DF1FB5" w:rsidRPr="00DF1FB5" w:rsidRDefault="00DF1FB5" w:rsidP="00DF1FB5">
      <w:pPr>
        <w:spacing w:after="120"/>
        <w:jc w:val="both"/>
        <w:rPr>
          <w:sz w:val="21"/>
          <w:szCs w:val="21"/>
        </w:rPr>
      </w:pPr>
      <w:r>
        <w:rPr>
          <w:sz w:val="21"/>
          <w:szCs w:val="21"/>
        </w:rPr>
        <w:t xml:space="preserve">A independência das instâncias, exposta na seção anterior, tem uma consequência operacional que a ferramenta </w:t>
      </w:r>
      <w:proofErr w:type="spellStart"/>
      <w:r>
        <w:rPr>
          <w:sz w:val="21"/>
          <w:szCs w:val="21"/>
        </w:rPr>
        <w:t>Integritas</w:t>
      </w:r>
      <w:proofErr w:type="spellEnd"/>
      <w:r>
        <w:rPr>
          <w:sz w:val="21"/>
          <w:szCs w:val="21"/>
        </w:rPr>
        <w:t xml:space="preserve"> incorporou de forma expressa no fluxo do Eixo 3: nem todo ato de conotação sexual ambiental esgota-se no plano disciplinar. Uma parcela dessas condutas — em especial o contato físico libidinoso não consentido, a prática de ato libidinoso na presença da vítima e as investidas físicas de teor sexual — corresponde, em seus elementos objetivos, a tipo penal do Título VI do Código Penal (Dos crimes contra a dignidade sexual, </w:t>
      </w:r>
      <w:proofErr w:type="spellStart"/>
      <w:r>
        <w:rPr>
          <w:sz w:val="21"/>
          <w:szCs w:val="21"/>
        </w:rPr>
        <w:t>arts</w:t>
      </w:r>
      <w:proofErr w:type="spellEnd"/>
      <w:r>
        <w:rPr>
          <w:sz w:val="21"/>
          <w:szCs w:val="21"/>
        </w:rPr>
        <w:t>. 213 a 234-B). O caso mais recorrente na prática correcional é o da importunação sexual do art. 215-A, inserido pela Lei nº 14.132, de 31 de março de 2021, precisamente para tipificar a prática de ato libidinoso contra alguém, sem sua anuência, com o fim de satisfazer a própria lascívia ou a de terceiro; nos casos mais graves, os fatos podem corresponder ao estupro do art. 213 ou à violação sexual mediante fraude do art. 215.</w:t>
      </w:r>
    </w:p>
    <w:p w14:paraId="7717A6F4" w14:textId="77777777" w:rsidR="00DF1FB5" w:rsidRPr="00DF1FB5" w:rsidRDefault="00DF1FB5" w:rsidP="00DF1FB5">
      <w:pPr>
        <w:spacing w:after="120"/>
        <w:jc w:val="both"/>
        <w:rPr>
          <w:sz w:val="21"/>
          <w:szCs w:val="21"/>
        </w:rPr>
      </w:pPr>
      <w:r>
        <w:rPr>
          <w:sz w:val="21"/>
          <w:szCs w:val="21"/>
        </w:rPr>
        <w:t>Quando os fatos apurados correspondem, em seus elementos objetivos, a um tipo do Título VI, o enquadramento disciplinar não permanece na faixa dos atos de conotação sexual ambiental submetidos à escalada de qualificadores. A conduta que a lei penal reconhece como crime contra a dignidade sexual é, por definição, incompatível com o decoro da função pública e satisfaz o núcleo do art. 132, V, da Lei nº 8.112, de 1990 (incontinência pública e conduta escandalosa na repartição): o desvalor da conduta não decorre da sua publicidade nem da existência de laudo, mas da sua própria natureza. A NT nº 3285/2023, ao adotar o critério objetivo de aferição do conteúdo da conduta, fornece o fundamento normativo para essa passagem: se o conteúdo objetivo da conduta é o de um crime sexual, o patamar disciplinar correspondente é o expulsivo, sem que a ausência de escândalo ostensivo ou de laudo psicológico possa rebaixá-lo.</w:t>
      </w:r>
    </w:p>
    <w:p w14:paraId="616CE12A" w14:textId="77777777" w:rsidR="00DF1FB5" w:rsidRPr="00DF1FB5" w:rsidRDefault="00DF1FB5" w:rsidP="00DF1FB5">
      <w:pPr>
        <w:spacing w:after="120"/>
        <w:jc w:val="both"/>
        <w:rPr>
          <w:sz w:val="21"/>
          <w:szCs w:val="21"/>
        </w:rPr>
      </w:pPr>
      <w:r>
        <w:rPr>
          <w:sz w:val="21"/>
          <w:szCs w:val="21"/>
        </w:rPr>
        <w:t>Esse ponto exige uma precisão que o operador não pode perder de vista. O que o Eixo 3 verifica nesta bifurcação não é a responsabilidade penal do servidor — que é atribuição privativa do Ministério Público e do Poder Judiciário, e cuja apuração corre em instância autônoma e independente (</w:t>
      </w:r>
      <w:proofErr w:type="spellStart"/>
      <w:r>
        <w:rPr>
          <w:sz w:val="21"/>
          <w:szCs w:val="21"/>
        </w:rPr>
        <w:t>arts</w:t>
      </w:r>
      <w:proofErr w:type="spellEnd"/>
      <w:r>
        <w:rPr>
          <w:sz w:val="21"/>
          <w:szCs w:val="21"/>
        </w:rPr>
        <w:t xml:space="preserve">. 125 e 126 da Lei nº 8.112, de 1990). O que se verifica é a tipicidade objetiva: a correspondência entre os elementos materiais da conduta apurada e a descrição do tipo penal. A comissão não afirma que o servidor cometeu crime; afirma que a conduta apurada tem o conteúdo objetivo de um crime sexual, e extrai dessa constatação a consequência disciplinar cabível. Essa distinção é a mesma que estrutura todo o Eixo 3: assim como a intenção do agressor é irrelevante para a tipificação e relevante apenas </w:t>
      </w:r>
      <w:r>
        <w:rPr>
          <w:sz w:val="21"/>
          <w:szCs w:val="21"/>
        </w:rPr>
        <w:lastRenderedPageBreak/>
        <w:t>para a dosimetria, também a culpabilidade penal é irrelevante para o enquadramento disciplinar e pertence exclusivamente à esfera criminal. O critério disciplinar é objetivo em ambos os planos.</w:t>
      </w:r>
    </w:p>
    <w:p w14:paraId="2906F248" w14:textId="77777777" w:rsidR="00DF1FB5" w:rsidRPr="00DF1FB5" w:rsidRDefault="00DF1FB5" w:rsidP="00DF1FB5">
      <w:pPr>
        <w:spacing w:after="120"/>
        <w:jc w:val="both"/>
        <w:rPr>
          <w:sz w:val="21"/>
          <w:szCs w:val="21"/>
        </w:rPr>
      </w:pPr>
      <w:r>
        <w:rPr>
          <w:sz w:val="21"/>
          <w:szCs w:val="21"/>
        </w:rPr>
        <w:t>Duas consequências decorrem dessa constatação e são operacionalizadas automaticamente pela ferramenta. A primeira é o enquadramento no art. 132, V, com demissão como ato vinculado (Súmula nº 650/STJ, item 2.4 deste manual): verificada a correspondência objetiva ao tipo penal, a autoridade não dispõe de discricionariedade para aplicar pena diversa. A segunda é a comunicação ao Ministério Público. Como os crimes contra a dignidade sexual passaram a ser, por regra, de ação penal pública incondicionada após a Lei nº 13.718, de 24 de setembro de 2018, a constatação da correspondência objetiva ao tipo penal faz nascer para a Administração o dever de comunicar os fatos ao órgão de persecução, independentemente do desfecho do processo disciplinar. A ferramenta, ao alcançar este resultado, já apresenta no campo de análise complementar a recomendação de comunicação, em coerência com o disposto na seção 21.7 deste manual.</w:t>
      </w:r>
    </w:p>
    <w:p w14:paraId="0A898ED3" w14:textId="77777777" w:rsidR="009547E5" w:rsidRPr="009547E5" w:rsidRDefault="009547E5" w:rsidP="009547E5">
      <w:pPr>
        <w:spacing w:after="120"/>
        <w:jc w:val="both"/>
        <w:rPr>
          <w:sz w:val="21"/>
          <w:szCs w:val="21"/>
        </w:rPr>
      </w:pPr>
      <w:r>
        <w:rPr>
          <w:sz w:val="21"/>
          <w:szCs w:val="21"/>
        </w:rPr>
        <w:t xml:space="preserve">O posicionamento desta verificação na cabeça da Rota B é doutrinariamente justificado, mas o seu alcance precisa ser delimitado com o mesmo rigor com que se delimita qualquer </w:t>
      </w:r>
      <w:proofErr w:type="spellStart"/>
      <w:r>
        <w:rPr>
          <w:sz w:val="21"/>
          <w:szCs w:val="21"/>
        </w:rPr>
        <w:t>gate</w:t>
      </w:r>
      <w:proofErr w:type="spellEnd"/>
      <w:r>
        <w:rPr>
          <w:sz w:val="21"/>
          <w:szCs w:val="21"/>
        </w:rPr>
        <w:t xml:space="preserve"> vinculado. O </w:t>
      </w:r>
      <w:proofErr w:type="spellStart"/>
      <w:r>
        <w:rPr>
          <w:sz w:val="21"/>
          <w:szCs w:val="21"/>
        </w:rPr>
        <w:t>gate</w:t>
      </w:r>
      <w:proofErr w:type="spellEnd"/>
      <w:r>
        <w:rPr>
          <w:sz w:val="21"/>
          <w:szCs w:val="21"/>
        </w:rPr>
        <w:t xml:space="preserve"> não existe para criminalizar todo contato físico incômodo, e sim para impedir que uma conduta que é </w:t>
      </w:r>
      <w:r>
        <w:rPr>
          <w:i/>
          <w:iCs/>
          <w:sz w:val="21"/>
          <w:szCs w:val="21"/>
        </w:rPr>
        <w:t>inequivocamente</w:t>
      </w:r>
      <w:r>
        <w:rPr>
          <w:sz w:val="21"/>
          <w:szCs w:val="21"/>
        </w:rPr>
        <w:t xml:space="preserve"> um crime sexual seja rebaixada ao patamar da conduta imprópria por circunstâncias que nada dizem sobre a sua gravidade intrínseca — a ausência de testemunhas, a inexistência de laudo psicológico contemporâneo, a falta de uso instrumental do cargo. Um contato de conteúdo sexual manifesto — o apalpar de partes íntimas, o esfregar-se contra a vítima, o beijo forçado — não deixa de corresponder ao art. 215-A do Código Penal apenas porque ocorreu a sós ou porque a vítima não pôde produzir laudo. Essa era a fragilidade real da arquitetura anterior, exposta nos casos de contato físico libidinoso não consentido em que a única prova direta era o relato corroborado da vítima.</w:t>
      </w:r>
    </w:p>
    <w:p w14:paraId="5A38DFE2" w14:textId="77777777" w:rsidR="009547E5" w:rsidRPr="009547E5" w:rsidRDefault="009547E5" w:rsidP="009547E5">
      <w:pPr>
        <w:spacing w:after="120"/>
        <w:jc w:val="both"/>
        <w:rPr>
          <w:sz w:val="21"/>
          <w:szCs w:val="21"/>
        </w:rPr>
      </w:pPr>
      <w:r>
        <w:rPr>
          <w:sz w:val="21"/>
          <w:szCs w:val="21"/>
        </w:rPr>
        <w:t xml:space="preserve">O reverso dessa delimitação é igualmente importante e responde a um risco simétrico: o de que o </w:t>
      </w:r>
      <w:proofErr w:type="spellStart"/>
      <w:r>
        <w:rPr>
          <w:sz w:val="21"/>
          <w:szCs w:val="21"/>
        </w:rPr>
        <w:t>gate</w:t>
      </w:r>
      <w:proofErr w:type="spellEnd"/>
      <w:r>
        <w:rPr>
          <w:sz w:val="21"/>
          <w:szCs w:val="21"/>
        </w:rPr>
        <w:t xml:space="preserve"> passe a atrair condutas cuja natureza libidinosa é duvidosa ou de baixa reprovabilidade. O art. 215-A não tipifica qualquer contato físico indesejado; exige ato libidinoso — categoria qualificada, de conteúdo sexual reconhecível — praticado sem anuência e com o fim de satisfazer lascívia. Um abraço apertado ou demorado, a mão pousada no ombro, o puxão pela mão, </w:t>
      </w:r>
      <w:proofErr w:type="gramStart"/>
      <w:r>
        <w:rPr>
          <w:sz w:val="21"/>
          <w:szCs w:val="21"/>
        </w:rPr>
        <w:t>o contato prolongado de conotação ambígua não correspondem</w:t>
      </w:r>
      <w:proofErr w:type="gramEnd"/>
      <w:r>
        <w:rPr>
          <w:sz w:val="21"/>
          <w:szCs w:val="21"/>
        </w:rPr>
        <w:t xml:space="preserve">, por si sós, ao tipo penal, ainda que possam constranger a vítima e configurar ilícito disciplinar. Diante de dúvida sobre a natureza libidinosa da conduta, a resposta ao </w:t>
      </w:r>
      <w:proofErr w:type="spellStart"/>
      <w:r>
        <w:rPr>
          <w:sz w:val="21"/>
          <w:szCs w:val="21"/>
        </w:rPr>
        <w:t>gate</w:t>
      </w:r>
      <w:proofErr w:type="spellEnd"/>
      <w:r>
        <w:rPr>
          <w:sz w:val="21"/>
          <w:szCs w:val="21"/>
        </w:rPr>
        <w:t xml:space="preserve"> é negativa, e o percurso segue para os três qualificadores ambientais. Ali a conduta não é arquivada: é submetida à escalada de gravidade, e o qualificador de impacto grave, quando documentado, ainda pode conduzir ao art. 132, V — agora com a dosimetria e a fundamentação próprias da via ambiental. O </w:t>
      </w:r>
      <w:proofErr w:type="spellStart"/>
      <w:r>
        <w:rPr>
          <w:sz w:val="21"/>
          <w:szCs w:val="21"/>
        </w:rPr>
        <w:t>gate</w:t>
      </w:r>
      <w:proofErr w:type="spellEnd"/>
      <w:r>
        <w:rPr>
          <w:sz w:val="21"/>
          <w:szCs w:val="21"/>
        </w:rPr>
        <w:t xml:space="preserve"> penal é, portanto, um filtro de alta exigência, reservado à correspondência inequívoca; a via ambiental permanece o domicílio natural das condutas de gravidade intermediária ou de qualificação duvidosa.</w:t>
      </w:r>
    </w:p>
    <w:p w14:paraId="52F1D9E3" w14:textId="77777777" w:rsidR="009547E5" w:rsidRPr="009547E5" w:rsidRDefault="009547E5" w:rsidP="009547E5">
      <w:pPr>
        <w:spacing w:after="120"/>
        <w:jc w:val="both"/>
        <w:rPr>
          <w:sz w:val="21"/>
          <w:szCs w:val="21"/>
        </w:rPr>
      </w:pPr>
      <w:r>
        <w:rPr>
          <w:sz w:val="21"/>
          <w:szCs w:val="21"/>
        </w:rPr>
        <w:t xml:space="preserve">Convém, por fim, prevenir uma objeção aparente. O art. 215-A contém elemento subjetivo especial — o fim de satisfazer lascívia — e poderia parecer que a sua verificação reintroduz, pela porta dos fundos, a intenção como critério de tipificação, contrariando a premissa central deste capítulo. Não há contradição. A infração disciplinar do Eixo 3 continua a configurar-se objetivamente, pela conotação sexual da conduta e pelo impacto sobre a vítima, independentemente da intenção; o </w:t>
      </w:r>
      <w:proofErr w:type="spellStart"/>
      <w:r>
        <w:rPr>
          <w:sz w:val="21"/>
          <w:szCs w:val="21"/>
        </w:rPr>
        <w:t>gate</w:t>
      </w:r>
      <w:proofErr w:type="spellEnd"/>
      <w:r>
        <w:rPr>
          <w:sz w:val="21"/>
          <w:szCs w:val="21"/>
        </w:rPr>
        <w:t xml:space="preserve"> penal não acrescenta requisito subjetivo a essa configuração. O que o </w:t>
      </w:r>
      <w:proofErr w:type="spellStart"/>
      <w:r>
        <w:rPr>
          <w:sz w:val="21"/>
          <w:szCs w:val="21"/>
        </w:rPr>
        <w:t>gate</w:t>
      </w:r>
      <w:proofErr w:type="spellEnd"/>
      <w:r>
        <w:rPr>
          <w:sz w:val="21"/>
          <w:szCs w:val="21"/>
        </w:rPr>
        <w:t xml:space="preserve"> afere é questão distinta e adicional: se a conduta, na sua manifestação objetiva, corresponde inequivocamente a um crime sexual. E o elemento subjetivo do tipo, quando exigido, é lido a partir das circunstâncias objetivamente verificáveis nos autos — o próprio ato revela a sua natureza —, pelo mesmo método que a seção 4.15 </w:t>
      </w:r>
      <w:r>
        <w:rPr>
          <w:sz w:val="21"/>
          <w:szCs w:val="21"/>
        </w:rPr>
        <w:lastRenderedPageBreak/>
        <w:t>já emprega para aferir o dolo na dosimetria, jamais por confissão ou por presunção. A intenção, também aqui, não configura a infração: apenas integra, quando manifesta na própria conduta, o juízo objetivo sobre a correspondência ao tipo penal, cuja dúvida se resolve sempre em favor da via ambiental.</w:t>
      </w:r>
    </w:p>
    <w:p w14:paraId="2340ABD0" w14:textId="77777777" w:rsidR="00DF1FB5" w:rsidRPr="00DF1FB5" w:rsidRDefault="00DF1FB5" w:rsidP="00DF1FB5">
      <w:pPr>
        <w:spacing w:after="120"/>
        <w:jc w:val="both"/>
        <w:rPr>
          <w:sz w:val="21"/>
          <w:szCs w:val="21"/>
        </w:rPr>
      </w:pPr>
      <w:r>
        <w:rPr>
          <w:sz w:val="21"/>
          <w:szCs w:val="21"/>
        </w:rPr>
        <w:t xml:space="preserve">Registre-se, por fim, o limite do que este </w:t>
      </w:r>
      <w:proofErr w:type="spellStart"/>
      <w:r>
        <w:rPr>
          <w:sz w:val="21"/>
          <w:szCs w:val="21"/>
        </w:rPr>
        <w:t>gate</w:t>
      </w:r>
      <w:proofErr w:type="spellEnd"/>
      <w:r>
        <w:rPr>
          <w:sz w:val="21"/>
          <w:szCs w:val="21"/>
        </w:rPr>
        <w:t xml:space="preserve"> afirma. A resposta negativa a esta pergunta — a conduta não corresponde, em seus elementos objetivos, a tipo do Título VI — não encerra a análise nem afasta o ilícito disciplinar: apenas reconduz o percurso aos três qualificadores ambientais da Rota B, exatamente como antes. E a resposta afirmativa não antecipa nem condiciona o juízo penal, que permanece autônomo. O que o </w:t>
      </w:r>
      <w:proofErr w:type="spellStart"/>
      <w:r>
        <w:rPr>
          <w:sz w:val="21"/>
          <w:szCs w:val="21"/>
        </w:rPr>
        <w:t>gate</w:t>
      </w:r>
      <w:proofErr w:type="spellEnd"/>
      <w:r>
        <w:rPr>
          <w:sz w:val="21"/>
          <w:szCs w:val="21"/>
        </w:rPr>
        <w:t xml:space="preserve"> faz é assegurar que a conduta objetivamente correspondente a crime sexual seja enquadrada, no plano disciplinar, no patamar que a sua gravidade objetiva impõe, e que a instância penal seja regularmente provocada. Nada mais, e nada menos.</w:t>
      </w:r>
    </w:p>
    <w:p w14:paraId="030C15F2" w14:textId="77777777" w:rsidR="001C6610" w:rsidRDefault="001C6610" w:rsidP="001C6610">
      <w:pPr>
        <w:pStyle w:val="Ttulo2"/>
        <w:keepNext/>
      </w:pPr>
      <w:bookmarkStart w:id="45" w:name="_Toc238022040"/>
      <w:r>
        <w:t>4.15 O papel legítimo da intenção no assédio sexual: dosimetria, não tipificação</w:t>
      </w:r>
      <w:bookmarkEnd w:id="45"/>
    </w:p>
    <w:p w14:paraId="01B28E0E" w14:textId="77777777" w:rsidR="008A4D83" w:rsidRPr="008A4D83" w:rsidRDefault="008A4D83" w:rsidP="008A4D83">
      <w:pPr>
        <w:spacing w:after="120"/>
        <w:jc w:val="both"/>
        <w:rPr>
          <w:sz w:val="21"/>
          <w:szCs w:val="21"/>
        </w:rPr>
      </w:pPr>
      <w:r>
        <w:rPr>
          <w:sz w:val="21"/>
          <w:szCs w:val="21"/>
        </w:rPr>
        <w:t>A irrelevância da intenção do agressor para a configuração do ilícito disciplinar não equivale a dizer que o elemento subjetivo desaparece da análise. Ele permanece presente e cumpre papel específico, mas num momento posterior e delimitado da apuração, distinto da pergunta sobre a existência da infração. Compreender esse deslocamento é o que permite ao operador aplicar os normativos com rigor sem cair no equívoco simétrico oposto: o de concluir, por ausência de dolo demonstrado, que não houve infração alguma.</w:t>
      </w:r>
    </w:p>
    <w:p w14:paraId="3A0057DA" w14:textId="77777777" w:rsidR="008A4D83" w:rsidRPr="008A4D83" w:rsidRDefault="008A4D83" w:rsidP="008A4D83">
      <w:pPr>
        <w:spacing w:after="120"/>
        <w:jc w:val="both"/>
        <w:rPr>
          <w:sz w:val="21"/>
          <w:szCs w:val="21"/>
        </w:rPr>
      </w:pPr>
      <w:r>
        <w:rPr>
          <w:b/>
          <w:bCs/>
          <w:sz w:val="21"/>
          <w:szCs w:val="21"/>
        </w:rPr>
        <w:t>A intenção como critério de dosimetria</w:t>
      </w:r>
    </w:p>
    <w:p w14:paraId="3A37097A" w14:textId="77777777" w:rsidR="008A4D83" w:rsidRPr="008A4D83" w:rsidRDefault="008A4D83" w:rsidP="008A4D83">
      <w:pPr>
        <w:spacing w:after="120"/>
        <w:jc w:val="both"/>
        <w:rPr>
          <w:sz w:val="21"/>
          <w:szCs w:val="21"/>
        </w:rPr>
      </w:pPr>
      <w:r>
        <w:rPr>
          <w:sz w:val="21"/>
          <w:szCs w:val="21"/>
        </w:rPr>
        <w:t>O primeiro lugar em que a intenção é plenamente relevante é a dosimetria. O art. 128 da Lei nº 8.112, de 1990, determina que a autoridade julgadora, ao aplicar a penalidade, leve em consideração a natureza e a gravidade da infração, os danos que dela resultem para o serviço público, as circunstâncias agravantes ou atenuantes e os antecedentes funcionais. Nesse quadro de dosimetria, o elemento subjetivo, a presença ou ausência de dolo, a consciência do impacto da conduta, a atitude do servidor diante dos sinais de desconforto da vítima, é variável legítima e relevante.</w:t>
      </w:r>
    </w:p>
    <w:p w14:paraId="6C7363DC" w14:textId="77777777" w:rsidR="008A4D83" w:rsidRPr="008A4D83" w:rsidRDefault="008A4D83" w:rsidP="008A4D83">
      <w:pPr>
        <w:spacing w:after="120"/>
        <w:jc w:val="both"/>
        <w:rPr>
          <w:sz w:val="21"/>
          <w:szCs w:val="21"/>
        </w:rPr>
      </w:pPr>
      <w:r>
        <w:rPr>
          <w:sz w:val="21"/>
          <w:szCs w:val="21"/>
        </w:rPr>
        <w:t>A distinção prática entre conduta dolosa e conduta culposa no assédio sexual produz consequências reais. O servidor que deliberadamente escolheu o alvo, planejou a abordagem, formulou o comentário sexualizado com intenção precisa de produzir constrangimento ou de sinalizar interesse sexual não correspondido, e persistiu mesmo após sinais claros de desconforto da vítima, demonstra elemento subjetivo de dolo que agrava substancialmente a conduta. Esse agressor sabe o que está fazendo. Ele percebe o efeito que produz sobre a vítima e não interrompe, o que é, em si, indicativo de que o dano à vítima não constitui, para ele, razão suficiente para cessar a conduta.</w:t>
      </w:r>
    </w:p>
    <w:p w14:paraId="21CAE742" w14:textId="77777777" w:rsidR="008A4D83" w:rsidRPr="008A4D83" w:rsidRDefault="008A4D83" w:rsidP="008A4D83">
      <w:pPr>
        <w:spacing w:after="120"/>
        <w:jc w:val="both"/>
        <w:rPr>
          <w:sz w:val="21"/>
          <w:szCs w:val="21"/>
        </w:rPr>
      </w:pPr>
      <w:r>
        <w:rPr>
          <w:sz w:val="21"/>
          <w:szCs w:val="21"/>
        </w:rPr>
        <w:t>Esse perfil é qualitativamente distinto do servidor que, por insensibilidade cultural construída ao longo de décadas de socialização que naturalizou comentários sexualizados no ambiente de trabalho, praticou ato de conotação sexual sem consciência do impacto que produziria, e que, ao ser confrontado com o relato da vítima, demonstra genuína surpresa e interrompe a conduta. A infração existe nos dois casos: a conotação sexual objetiva estava presente; o impacto sobre a vítima foi real; o bem jurídico protegido foi violado. Mas a gravidade não é a mesma, e a penalidade que a dosimetria do art. 128 autoriza aplicar difere substancialmente entre os dois cenários.</w:t>
      </w:r>
    </w:p>
    <w:p w14:paraId="00169E08" w14:textId="77777777" w:rsidR="008A4D83" w:rsidRPr="008A4D83" w:rsidRDefault="008A4D83" w:rsidP="008A4D83">
      <w:pPr>
        <w:spacing w:after="120"/>
        <w:jc w:val="both"/>
        <w:rPr>
          <w:sz w:val="21"/>
          <w:szCs w:val="21"/>
        </w:rPr>
      </w:pPr>
      <w:r>
        <w:rPr>
          <w:sz w:val="21"/>
          <w:szCs w:val="21"/>
        </w:rPr>
        <w:t xml:space="preserve">O elemento subjetivo não é aferido por confissão, que raramente ocorre, mas por conjunto de circunstâncias objetivamente verificáveis nos autos. Os indicadores mais relevantes para essa aferição </w:t>
      </w:r>
      <w:r>
        <w:rPr>
          <w:sz w:val="21"/>
          <w:szCs w:val="21"/>
        </w:rPr>
        <w:lastRenderedPageBreak/>
        <w:t>são: a reação do agressor quando a vítima ou terceiro sinalizou desconforto com a conduta, persistência aponta para dolo, recuo imediato aponta para ausência de dolo ou para culpa; a seletividade da conduta, o agressor que replica o padrão com múltiplas vítimas demonstra escolha deliberada incompatível com a narrativa de desconhecimento dos limites; o contexto funcional, a conduta praticada no interior de relação hierárquica, com consciência da dependência funcional da vítima, adiciona elemento de instrumentalização que agrava o dolo; e o histórico funcional, registros anteriores de condutas similares, ainda que não formalmente apuradas, indicam padrão deliberado e não isolamento episódico.</w:t>
      </w:r>
    </w:p>
    <w:p w14:paraId="7EB93E38" w14:textId="77777777" w:rsidR="00A608E0" w:rsidRPr="00A608E0" w:rsidRDefault="00A608E0" w:rsidP="00A608E0">
      <w:pPr>
        <w:spacing w:after="120"/>
        <w:jc w:val="both"/>
        <w:rPr>
          <w:sz w:val="21"/>
          <w:szCs w:val="21"/>
        </w:rPr>
      </w:pPr>
      <w:r>
        <w:rPr>
          <w:sz w:val="21"/>
          <w:szCs w:val="21"/>
        </w:rPr>
        <w:t xml:space="preserve">Essa aferição tem consequência direta e operacionalmente relevante, mas seu alcance precisa ser delimitado com precisão. A calibração pelo elemento subjetivo opera dentro da faixa de discricionariedade da autoridade julgadora, isto é, nos enquadramentos do art. 116, onde a dosimetria entre advertência e suspensão é decidida pelos critérios do art. 128. Nessa faixa, a conduta dolosa, sem os qualificadores objetivos que ativam os </w:t>
      </w:r>
      <w:proofErr w:type="spellStart"/>
      <w:r>
        <w:rPr>
          <w:sz w:val="21"/>
          <w:szCs w:val="21"/>
        </w:rPr>
        <w:t>gates</w:t>
      </w:r>
      <w:proofErr w:type="spellEnd"/>
      <w:r>
        <w:rPr>
          <w:sz w:val="21"/>
          <w:szCs w:val="21"/>
        </w:rPr>
        <w:t xml:space="preserve"> demissórios, ainda assim orienta a autoridade para o patamar mais severo de penalidade não expulsiva disponível; a conduta culposa, sem seletividade de vítimas e com cessação imediata quando confrontada, autoriza penalidade mais branda dentro dessa mesma faixa.</w:t>
      </w:r>
    </w:p>
    <w:p w14:paraId="2394D5B8" w14:textId="77777777" w:rsidR="008A4D83" w:rsidRPr="008A4D83" w:rsidRDefault="00A608E0" w:rsidP="008A4D83">
      <w:pPr>
        <w:spacing w:after="120"/>
        <w:jc w:val="both"/>
        <w:rPr>
          <w:sz w:val="21"/>
          <w:szCs w:val="21"/>
        </w:rPr>
      </w:pPr>
      <w:r>
        <w:rPr>
          <w:sz w:val="21"/>
          <w:szCs w:val="21"/>
        </w:rPr>
        <w:t xml:space="preserve">Essa calibração não se aplica aos </w:t>
      </w:r>
      <w:proofErr w:type="spellStart"/>
      <w:r>
        <w:rPr>
          <w:sz w:val="21"/>
          <w:szCs w:val="21"/>
        </w:rPr>
        <w:t>gates</w:t>
      </w:r>
      <w:proofErr w:type="spellEnd"/>
      <w:r>
        <w:rPr>
          <w:sz w:val="21"/>
          <w:szCs w:val="21"/>
        </w:rPr>
        <w:t xml:space="preserve"> vinculados do Eixo 3 — impacto grave à vítima (art. 132, V) e uso do cargo ou ascendência funcional (art. 117, IX). Uma vez verificado o qualificador objetivo correspondente, a penalidade expulsiva é devida independentemente de dolo ou culpa, nos termos da Súmula nº 650/STJ (item 2.4 deste manual): a autoridade administrativa não dispõe de discricionariedade para aplicar pena diversa quando caracterizadas essas hipóteses. A presença de dolo, nesses casos, reforça a narrativa probatória do </w:t>
      </w:r>
      <w:proofErr w:type="spellStart"/>
      <w:r>
        <w:rPr>
          <w:sz w:val="21"/>
          <w:szCs w:val="21"/>
        </w:rPr>
        <w:t>gate</w:t>
      </w:r>
      <w:proofErr w:type="spellEnd"/>
      <w:r>
        <w:rPr>
          <w:sz w:val="21"/>
          <w:szCs w:val="21"/>
        </w:rPr>
        <w:t xml:space="preserve"> e pode ser registrada no relatório como elemento de convicção, mas não é condição para o enquadramento, e sua ausência não pode ser invocada para afastá-lo.</w:t>
      </w:r>
    </w:p>
    <w:p w14:paraId="1FD7C033" w14:textId="77777777" w:rsidR="008A4D83" w:rsidRPr="008A4D83" w:rsidRDefault="008A4D83" w:rsidP="008A4D83">
      <w:pPr>
        <w:spacing w:after="120"/>
        <w:jc w:val="both"/>
        <w:rPr>
          <w:sz w:val="21"/>
          <w:szCs w:val="21"/>
        </w:rPr>
      </w:pPr>
      <w:r>
        <w:rPr>
          <w:b/>
          <w:bCs/>
          <w:sz w:val="21"/>
          <w:szCs w:val="21"/>
        </w:rPr>
        <w:t>A fronteira entre conduta culposa e ausência de ilícito</w:t>
      </w:r>
    </w:p>
    <w:p w14:paraId="32F51B87" w14:textId="77777777" w:rsidR="008A4D83" w:rsidRPr="008A4D83" w:rsidRDefault="008A4D83" w:rsidP="008A4D83">
      <w:pPr>
        <w:spacing w:after="120"/>
        <w:jc w:val="both"/>
        <w:rPr>
          <w:sz w:val="21"/>
          <w:szCs w:val="21"/>
        </w:rPr>
      </w:pPr>
      <w:r>
        <w:rPr>
          <w:sz w:val="21"/>
          <w:szCs w:val="21"/>
        </w:rPr>
        <w:t>O segundo lugar em que a intenção é analiticamente relevante é mais sutil e exige cuidado redobrado: é a fronteira entre a conduta culposa que configura infração e a conduta objetivamente incômoda que não configura ilícito disciplinar.</w:t>
      </w:r>
    </w:p>
    <w:p w14:paraId="002DC9F6" w14:textId="77777777" w:rsidR="008A4D83" w:rsidRPr="008A4D83" w:rsidRDefault="008A4D83" w:rsidP="008A4D83">
      <w:pPr>
        <w:spacing w:after="120"/>
        <w:jc w:val="both"/>
        <w:rPr>
          <w:sz w:val="21"/>
          <w:szCs w:val="21"/>
        </w:rPr>
      </w:pPr>
      <w:r>
        <w:rPr>
          <w:sz w:val="21"/>
          <w:szCs w:val="21"/>
        </w:rPr>
        <w:t>Nem todo desconforto produzido por conduta de outro servidor constitui infração de conotação sexual. Há condutas que causam incômodo à vítima, e cujo incômodo é compreensível e legítimo, mas que, avaliadas objetivamente, não apresentam conotação sexual reconhecível por observador razoável informado sobre dinâmicas de gênero e não atingem bem jurídico protegido pelos normativos correcionais. O desconforto, nesses casos, é pessoal e contextual: decorre de características da relação entre as partes, de estilo comunicativo que a vítima considera inadequado, de diferença de percepções sobre o que é apropriado em determinado ambiente, mas não de elemento sexualizado objetivamente presente na conduta.</w:t>
      </w:r>
    </w:p>
    <w:p w14:paraId="77A99384" w14:textId="77777777" w:rsidR="008A4D83" w:rsidRPr="008A4D83" w:rsidRDefault="008A4D83" w:rsidP="008A4D83">
      <w:pPr>
        <w:spacing w:after="120"/>
        <w:jc w:val="both"/>
        <w:rPr>
          <w:sz w:val="21"/>
          <w:szCs w:val="21"/>
        </w:rPr>
      </w:pPr>
      <w:r>
        <w:rPr>
          <w:sz w:val="21"/>
          <w:szCs w:val="21"/>
        </w:rPr>
        <w:t xml:space="preserve">Nesses casos, a ausência de intenção do agressor pode ser indício, não prova, de que a conotação sexual objetiva também está ausente. Quando o servidor afirma que não pretendia qualquer conotação sexual e o relato da vítima descreve conduta que um observador razoável, informado e sensível às dinâmicas de poder de gênero, também não reconheceria como sexualizada, o operador deve reconduzir a análise para a verificação do elemento objetivo: a conotação sexual está realmente presente no conteúdo da conduta, independentemente de como o agressor a descreveu? O impacto sobre a vítima foi sobre bem </w:t>
      </w:r>
      <w:r>
        <w:rPr>
          <w:sz w:val="21"/>
          <w:szCs w:val="21"/>
        </w:rPr>
        <w:lastRenderedPageBreak/>
        <w:t>jurídico protegido, dignidade, liberdade sexual, integridade no ambiente de trabalho, ou sobre preferência pessoal relativa ao estilo de interação de um colega?</w:t>
      </w:r>
    </w:p>
    <w:p w14:paraId="3F8D3527" w14:textId="77777777" w:rsidR="008A4D83" w:rsidRPr="008A4D83" w:rsidRDefault="008A4D83" w:rsidP="008A4D83">
      <w:pPr>
        <w:spacing w:after="120"/>
        <w:jc w:val="both"/>
        <w:rPr>
          <w:sz w:val="21"/>
          <w:szCs w:val="21"/>
        </w:rPr>
      </w:pPr>
      <w:r>
        <w:rPr>
          <w:sz w:val="21"/>
          <w:szCs w:val="21"/>
        </w:rPr>
        <w:t>Essa distinção é delicada e exige do operador resistência a dois erros opostos. O primeiro, e mais frequente, é aceitar a negativa de intenção do agressor como fundamento suficiente para concluir que a conotação sexual objetiva também estava ausente, arquivando o caso sem verificação independente do conteúdo da conduta. O segundo é presumir que qualquer desconforto relatado pela vítima em relação a conduta de colega equivale a violação de bem jurídico disciplinarmente relevante. O critério correto está no meio e é objetivo: a conotação sexual afere-se pelo conteúdo da conduta, avaliada por observador razoável, e o ilícito configura-se quando esse conteúdo está presente e o impacto sobre a vítima é sobre bem jurídico protegido, não sobre preferência de estilo interpessoal.</w:t>
      </w:r>
    </w:p>
    <w:p w14:paraId="273CE752" w14:textId="77777777" w:rsidR="008A4D83" w:rsidRPr="008A4D83" w:rsidRDefault="008A4D83" w:rsidP="008A4D83">
      <w:pPr>
        <w:spacing w:after="120"/>
        <w:jc w:val="both"/>
        <w:rPr>
          <w:sz w:val="21"/>
          <w:szCs w:val="21"/>
        </w:rPr>
      </w:pPr>
      <w:r>
        <w:rPr>
          <w:b/>
          <w:bCs/>
          <w:sz w:val="21"/>
          <w:szCs w:val="21"/>
        </w:rPr>
        <w:t>A síntese que o sistema disciplinar exige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06322" w14:paraId="185CAB03" w14:textId="77777777" w:rsidTr="00C01C03">
        <w:tc>
          <w:tcPr>
            <w:tcW w:w="9070" w:type="dxa"/>
            <w:tcBorders>
              <w:left w:val="single" w:sz="24" w:space="0" w:color="C9A35C"/>
            </w:tcBorders>
            <w:shd w:val="clear" w:color="auto" w:fill="DCE6F4"/>
            <w:tcMar>
              <w:top w:w="120" w:type="dxa"/>
              <w:left w:w="200" w:type="dxa"/>
              <w:bottom w:w="120" w:type="dxa"/>
              <w:right w:w="160" w:type="dxa"/>
            </w:tcMar>
          </w:tcPr>
          <w:p w14:paraId="6682F992" w14:textId="77777777" w:rsidR="00D06322" w:rsidRPr="006A0188" w:rsidRDefault="00D06322" w:rsidP="00C01C03">
            <w:pPr>
              <w:spacing w:after="40"/>
            </w:pPr>
            <w:r>
              <w:rPr>
                <w:rFonts w:ascii="Barlow Condensed" w:eastAsia="Barlow Condensed" w:hAnsi="Barlow Condensed" w:cs="Barlow Condensed"/>
                <w:b/>
                <w:bCs/>
                <w:color w:val="C9A35C"/>
                <w:spacing w:val="20"/>
                <w:sz w:val="16"/>
                <w:szCs w:val="16"/>
              </w:rPr>
              <w:t>NOTA</w:t>
            </w:r>
          </w:p>
          <w:p w14:paraId="49AD4C80" w14:textId="77777777" w:rsidR="00D06322" w:rsidRPr="00E60987" w:rsidRDefault="00772F14" w:rsidP="00C01C03">
            <w:pPr>
              <w:spacing w:line="264" w:lineRule="auto"/>
              <w:jc w:val="both"/>
            </w:pPr>
            <w:r>
              <w:rPr>
                <w:sz w:val="21"/>
                <w:szCs w:val="21"/>
              </w:rPr>
              <w:t>Quem agiu com dolo responde pelo máximo que o tipo autoriza. Quem agiu por insensibilidade ou descuido responde pelo mínimo. Quem praticou conduta sem conotação sexual objetiva não responde, não pela ausência de intenção, mas pela ausência do próprio elemento constitutivo da infração. A intenção percorre esses três degraus de baixo para cima: não afasta o tipo, não o configura, apenas calibra a resposta.</w:t>
            </w:r>
          </w:p>
        </w:tc>
      </w:tr>
    </w:tbl>
    <w:p w14:paraId="361943C5" w14:textId="77777777" w:rsidR="00D06322" w:rsidRDefault="00D06322" w:rsidP="008A4D83">
      <w:pPr>
        <w:spacing w:after="120"/>
        <w:jc w:val="both"/>
        <w:rPr>
          <w:sz w:val="21"/>
          <w:szCs w:val="21"/>
        </w:rPr>
      </w:pPr>
    </w:p>
    <w:p w14:paraId="0249A075" w14:textId="77777777" w:rsidR="008A4D83" w:rsidRPr="008A4D83" w:rsidRDefault="008A4D83" w:rsidP="008A4D83">
      <w:pPr>
        <w:spacing w:after="120"/>
        <w:jc w:val="both"/>
        <w:rPr>
          <w:sz w:val="21"/>
          <w:szCs w:val="21"/>
        </w:rPr>
      </w:pPr>
      <w:r>
        <w:rPr>
          <w:sz w:val="21"/>
          <w:szCs w:val="21"/>
        </w:rPr>
        <w:t>Esse princípio não é simplificação retórica. É a consequência necessária da arquitetura normativa construída pelo Parecer JM-03 e pela NT nº 3285/2023, e da base empírica que demonstra que o dano psicológico à vítima é independente da motivação do agressor. A infração configura-se quando a conotação sexual objetiva da conduta está demonstrada e o impacto sobre bem jurídico protegido da vítima está documentado, independentemente do que o agressor afirme ter pretendido. A penalidade gradua-se conforme o elemento subjetivo identificado pelo conjunto de circunstâncias, a intensidade do impacto, o uso do cargo e os demais fatores do art. 128.</w:t>
      </w:r>
    </w:p>
    <w:p w14:paraId="5D9D4B58" w14:textId="77777777" w:rsidR="001C6610" w:rsidRDefault="008A4D83" w:rsidP="008A4D83">
      <w:pPr>
        <w:spacing w:after="120"/>
        <w:jc w:val="both"/>
      </w:pPr>
      <w:r>
        <w:rPr>
          <w:sz w:val="21"/>
          <w:szCs w:val="21"/>
        </w:rPr>
        <w:t>O operador que compreende esse deslocamento, intenção como critério de dosimetria, não de tipificação, está em condições de aplicar os normativos com precisão: sem arquivar infrações reais por ausência de dolo confessado, e sem equiparar penalmente condutas dolosas graves a condutas culposas de menor reprovabilidade. O sistema disciplinar exige as duas precisões, e confundir os dois planos prejudica simultaneamente a proteção da vítima e a proporcionalidade da resposta punitiva.</w:t>
      </w:r>
    </w:p>
    <w:p w14:paraId="76605A91" w14:textId="77777777" w:rsidR="00D61269" w:rsidRDefault="00D61269" w:rsidP="00D61269">
      <w:pPr>
        <w:pStyle w:val="Ttulo2"/>
        <w:keepNext/>
      </w:pPr>
      <w:bookmarkStart w:id="46" w:name="_Toc238022041"/>
      <w:r>
        <w:t>4.16 A denúncia instrumentalizada: insuficiência probatória, má-fé e o sequenciamento obrigatório</w:t>
      </w:r>
      <w:bookmarkEnd w:id="46"/>
    </w:p>
    <w:p w14:paraId="697F5739" w14:textId="77777777" w:rsidR="006732CA" w:rsidRPr="006732CA" w:rsidRDefault="006732CA" w:rsidP="006732CA">
      <w:pPr>
        <w:spacing w:after="120"/>
        <w:jc w:val="both"/>
        <w:rPr>
          <w:sz w:val="21"/>
          <w:szCs w:val="21"/>
        </w:rPr>
      </w:pPr>
      <w:r>
        <w:rPr>
          <w:sz w:val="21"/>
          <w:szCs w:val="21"/>
        </w:rPr>
        <w:t>O capítulo estabeleceu com consistência que a intenção do agressor é irrelevante para a configuração da infração e que a proteção à vítima não pode depender da comprovação de dolo. Essa premissa, necessária, fundamentada e vinculante, tem um contrapeso que o manual precisa nomear com igual clareza: o sistema de proteção à vítima tem limites, e esses limites não são fraquezas do sistema, são condições da sua legitimidade.</w:t>
      </w:r>
    </w:p>
    <w:p w14:paraId="55420AEF" w14:textId="77777777" w:rsidR="006732CA" w:rsidRPr="006732CA" w:rsidRDefault="006732CA" w:rsidP="006732CA">
      <w:pPr>
        <w:spacing w:after="120"/>
        <w:jc w:val="both"/>
        <w:rPr>
          <w:sz w:val="21"/>
          <w:szCs w:val="21"/>
        </w:rPr>
      </w:pPr>
      <w:r>
        <w:rPr>
          <w:sz w:val="21"/>
          <w:szCs w:val="21"/>
        </w:rPr>
        <w:t xml:space="preserve">O limite relevante para este capítulo é o da </w:t>
      </w:r>
      <w:r>
        <w:rPr>
          <w:b/>
          <w:bCs/>
          <w:sz w:val="21"/>
          <w:szCs w:val="21"/>
        </w:rPr>
        <w:t>denúncia instrumentalizada</w:t>
      </w:r>
      <w:r>
        <w:rPr>
          <w:sz w:val="21"/>
          <w:szCs w:val="21"/>
        </w:rPr>
        <w:t xml:space="preserve">: aquela apresentada não para relatar conduta de conotação sexual efetivamente ocorrida, mas para produzir efeito distinto da proteção de bem jurídico, prejudicar funcionalmente o denunciado, criar registro institucional </w:t>
      </w:r>
      <w:r>
        <w:rPr>
          <w:sz w:val="21"/>
          <w:szCs w:val="21"/>
        </w:rPr>
        <w:lastRenderedPageBreak/>
        <w:t>negativo para uso em disputa profissional, ou resolver, no canal correcional, conflito de natureza pessoal ou familiar que não tem origem em conduta disciplinarmente relevante.</w:t>
      </w:r>
    </w:p>
    <w:p w14:paraId="61AA5BDF" w14:textId="77777777" w:rsidR="006732CA" w:rsidRPr="006732CA" w:rsidRDefault="006732CA" w:rsidP="006732CA">
      <w:pPr>
        <w:spacing w:after="120"/>
        <w:jc w:val="both"/>
        <w:rPr>
          <w:sz w:val="21"/>
          <w:szCs w:val="21"/>
        </w:rPr>
      </w:pPr>
      <w:r>
        <w:rPr>
          <w:sz w:val="21"/>
          <w:szCs w:val="21"/>
        </w:rPr>
        <w:t>Esse fenômeno existe. Ignorá-lo não é proteger a vítima, é comprometer a credibilidade do sistema que a protege. O operador que não tem referência clara sobre como identificá-lo e como responder a ele corre o risco de, por excesso de cautela, arquivar tudo sem enfrentar a questão; ou, por simetria equivocada, instaurar processo contra a denunciante como resposta reflexiva ao arquivamento, que é exatamente o efeito inibitório sobre futuras denúncias que o sistema precisa evitar. Nenhuma das duas respostas é correta.</w:t>
      </w:r>
    </w:p>
    <w:p w14:paraId="5F936D2D" w14:textId="77777777" w:rsidR="006732CA" w:rsidRPr="006732CA" w:rsidRDefault="006732CA" w:rsidP="006732CA">
      <w:pPr>
        <w:spacing w:after="120"/>
        <w:jc w:val="both"/>
        <w:rPr>
          <w:sz w:val="21"/>
          <w:szCs w:val="21"/>
        </w:rPr>
      </w:pPr>
      <w:r>
        <w:rPr>
          <w:b/>
          <w:bCs/>
          <w:sz w:val="21"/>
          <w:szCs w:val="21"/>
        </w:rPr>
        <w:t>O ponto de partida obrigatório: denúncia não confirmada não é denúncia de má-fé</w:t>
      </w:r>
    </w:p>
    <w:p w14:paraId="35D03828" w14:textId="77777777" w:rsidR="006732CA" w:rsidRPr="006732CA" w:rsidRDefault="006732CA" w:rsidP="006732CA">
      <w:pPr>
        <w:spacing w:after="120"/>
        <w:jc w:val="both"/>
        <w:rPr>
          <w:sz w:val="21"/>
          <w:szCs w:val="21"/>
        </w:rPr>
      </w:pPr>
      <w:r>
        <w:rPr>
          <w:sz w:val="21"/>
          <w:szCs w:val="21"/>
        </w:rPr>
        <w:t>O primeiro e mais importante princípio operacional é também o mais frequentemente invertido na prática: a denúncia que a instrução não consegue confirmar não é, por isso, denúncia de má-fé. A infração pode ter ocorrido sem deixar registro objetivo verificável. A instrução pode ter sido insuficiente. A vítima pode ter relatado com imprecisão fatos que vivenciou com intensidade. A ausência de prova que confirme a conduta denunciada é, no patamar mínimo, insuficiência probatória, não evidência de instrumentalização.</w:t>
      </w:r>
    </w:p>
    <w:p w14:paraId="10072416" w14:textId="77777777" w:rsidR="006732CA" w:rsidRPr="006732CA" w:rsidRDefault="006732CA" w:rsidP="006732CA">
      <w:pPr>
        <w:spacing w:after="120"/>
        <w:jc w:val="both"/>
        <w:rPr>
          <w:sz w:val="21"/>
          <w:szCs w:val="21"/>
        </w:rPr>
      </w:pPr>
      <w:r>
        <w:rPr>
          <w:sz w:val="21"/>
          <w:szCs w:val="21"/>
        </w:rPr>
        <w:t>A distinção entre insuficiência probatória e instrumentalização é operacionalmente crítica e precisa ser mantida com rigor ao longo de toda a instrução. O arquivamento pela primeira não autoriza a instauração pela segunda. São conclusões de natureza distinta, baseadas em elementos distintos, que exigem demonstração própria e independente.</w:t>
      </w:r>
    </w:p>
    <w:p w14:paraId="7D001364" w14:textId="77777777" w:rsidR="006732CA" w:rsidRPr="006732CA" w:rsidRDefault="006732CA" w:rsidP="006732CA">
      <w:pPr>
        <w:spacing w:after="120"/>
        <w:jc w:val="both"/>
        <w:rPr>
          <w:sz w:val="21"/>
          <w:szCs w:val="21"/>
        </w:rPr>
      </w:pPr>
      <w:r>
        <w:rPr>
          <w:b/>
          <w:bCs/>
          <w:sz w:val="21"/>
          <w:szCs w:val="21"/>
        </w:rPr>
        <w:t>Os indicadores de instrumentalização que têm relevância analítica real</w:t>
      </w:r>
    </w:p>
    <w:p w14:paraId="06F4D466" w14:textId="77777777" w:rsidR="006732CA" w:rsidRPr="006732CA" w:rsidRDefault="006732CA" w:rsidP="006732CA">
      <w:pPr>
        <w:spacing w:after="120"/>
        <w:jc w:val="both"/>
        <w:rPr>
          <w:sz w:val="21"/>
          <w:szCs w:val="21"/>
        </w:rPr>
      </w:pPr>
      <w:r>
        <w:rPr>
          <w:sz w:val="21"/>
          <w:szCs w:val="21"/>
        </w:rPr>
        <w:t>Há elementos concretos e verificáveis nos autos que, quando convergem em número e consistência suficientes, indicam que a denúncia foi apresentada com finalidade diversa da proteção de bem jurídico. O operador deve identificá-los objetivamente, sem pressupor que existem, mas sem fechar os olhos quando estão presentes.</w:t>
      </w:r>
    </w:p>
    <w:p w14:paraId="79850446" w14:textId="77777777" w:rsidR="006732CA" w:rsidRPr="006732CA" w:rsidRDefault="006732CA" w:rsidP="006732CA">
      <w:pPr>
        <w:spacing w:after="120"/>
        <w:jc w:val="both"/>
        <w:rPr>
          <w:sz w:val="21"/>
          <w:szCs w:val="21"/>
        </w:rPr>
      </w:pPr>
      <w:r>
        <w:rPr>
          <w:sz w:val="21"/>
          <w:szCs w:val="21"/>
        </w:rPr>
        <w:t xml:space="preserve">O indicador de maior peso é a </w:t>
      </w:r>
      <w:r>
        <w:rPr>
          <w:b/>
          <w:bCs/>
          <w:sz w:val="21"/>
          <w:szCs w:val="21"/>
        </w:rPr>
        <w:t>presença de elemento falso introduzido pela própria denunciante como prova</w:t>
      </w:r>
      <w:r>
        <w:rPr>
          <w:sz w:val="21"/>
          <w:szCs w:val="21"/>
        </w:rPr>
        <w:t>. Não se trata de relato que não se confirmou, trata-se de elemento que a denunciante afirmou existir, que a instrução verificou ser inverídico, e que foi utilizado nos autos para sustentar a denúncia. Esse elemento não é ausência de prova: é presença de evidência contrária e sabidamente falsa produzida pela denunciante. Seu peso analítico é substancialmente diferente do da simples denúncia sem corroboração.</w:t>
      </w:r>
    </w:p>
    <w:p w14:paraId="7F01EC9C" w14:textId="77777777" w:rsidR="006732CA" w:rsidRPr="006732CA" w:rsidRDefault="006732CA" w:rsidP="006732CA">
      <w:pPr>
        <w:spacing w:after="120"/>
        <w:jc w:val="both"/>
        <w:rPr>
          <w:sz w:val="21"/>
          <w:szCs w:val="21"/>
        </w:rPr>
      </w:pPr>
      <w:r>
        <w:rPr>
          <w:sz w:val="21"/>
          <w:szCs w:val="21"/>
        </w:rPr>
        <w:t xml:space="preserve">O segundo indicador relevante é a </w:t>
      </w:r>
      <w:r>
        <w:rPr>
          <w:b/>
          <w:bCs/>
          <w:sz w:val="21"/>
          <w:szCs w:val="21"/>
        </w:rPr>
        <w:t>contradição material entre o relato e registros objetivos verificáveis</w:t>
      </w:r>
      <w:r>
        <w:rPr>
          <w:sz w:val="21"/>
          <w:szCs w:val="21"/>
        </w:rPr>
        <w:t>, datas, locais, registros de acesso, presença de terceiros que o contradizem de forma objetiva e não meramente testemunhal. Contradições internas do relato, embora relevantes para a avaliação de credibilidade, têm peso menor: vítimas reais frequentemente apresentam inconsistências em detalhes periféricos, especialmente quando o episódio foi traumático e o relato é colhido meses depois dos fatos.</w:t>
      </w:r>
    </w:p>
    <w:p w14:paraId="07DF0E31" w14:textId="77777777" w:rsidR="006732CA" w:rsidRPr="006732CA" w:rsidRDefault="006732CA" w:rsidP="006732CA">
      <w:pPr>
        <w:spacing w:after="120"/>
        <w:jc w:val="both"/>
        <w:rPr>
          <w:sz w:val="21"/>
          <w:szCs w:val="21"/>
        </w:rPr>
      </w:pPr>
      <w:r>
        <w:rPr>
          <w:sz w:val="21"/>
          <w:szCs w:val="21"/>
        </w:rPr>
        <w:t xml:space="preserve">O terceiro é a </w:t>
      </w:r>
      <w:r>
        <w:rPr>
          <w:b/>
          <w:bCs/>
          <w:sz w:val="21"/>
          <w:szCs w:val="21"/>
        </w:rPr>
        <w:t>motivação alternativa documentada</w:t>
      </w:r>
      <w:r>
        <w:rPr>
          <w:sz w:val="21"/>
          <w:szCs w:val="21"/>
        </w:rPr>
        <w:t xml:space="preserve">, conflito funcional identificável com o denunciado, processo disciplinar em curso contra a própria denunciante no período da denúncia, litígio pessoal público, ou contexto em que a denúncia coincide temporalmente com evento extrafuncional que a instrução consegue verificar objetivamente. Motivação alternativa plausível, por si só, não demonstra má-fé: vítimas reais também têm conflitos com seus agressores, frequentemente </w:t>
      </w:r>
      <w:r>
        <w:rPr>
          <w:sz w:val="21"/>
          <w:szCs w:val="21"/>
        </w:rPr>
        <w:lastRenderedPageBreak/>
        <w:t>porque o próprio assédio produziu a deterioração da relação. O que ela faz é integrar o conjunto de elementos que, combinados, podem fragilizar a base probatória do relato a ponto de impedir o enquadramento.</w:t>
      </w:r>
    </w:p>
    <w:p w14:paraId="13302879" w14:textId="77777777" w:rsidR="006732CA" w:rsidRPr="006732CA" w:rsidRDefault="006732CA" w:rsidP="006732CA">
      <w:pPr>
        <w:spacing w:after="120"/>
        <w:jc w:val="both"/>
        <w:rPr>
          <w:sz w:val="21"/>
          <w:szCs w:val="21"/>
        </w:rPr>
      </w:pPr>
      <w:r>
        <w:rPr>
          <w:sz w:val="21"/>
          <w:szCs w:val="21"/>
        </w:rPr>
        <w:t xml:space="preserve">O quarto, de menor peso </w:t>
      </w:r>
      <w:proofErr w:type="gramStart"/>
      <w:r>
        <w:rPr>
          <w:sz w:val="21"/>
          <w:szCs w:val="21"/>
        </w:rPr>
        <w:t>isolado</w:t>
      </w:r>
      <w:proofErr w:type="gramEnd"/>
      <w:r>
        <w:rPr>
          <w:sz w:val="21"/>
          <w:szCs w:val="21"/>
        </w:rPr>
        <w:t xml:space="preserve"> mas relevante em conjunto, é o </w:t>
      </w:r>
      <w:r>
        <w:rPr>
          <w:b/>
          <w:bCs/>
          <w:sz w:val="21"/>
          <w:szCs w:val="21"/>
        </w:rPr>
        <w:t>padrão de denúncias anteriores</w:t>
      </w:r>
      <w:r>
        <w:rPr>
          <w:sz w:val="21"/>
          <w:szCs w:val="21"/>
        </w:rPr>
        <w:t xml:space="preserve"> do mesmo servidor contra múltiplos colegas, todas arquivadas por ausência de elementos, especialmente quando coincidentes com momentos de conflito funcional identificável. Padrão não é prova, mas é circunstância que a instrução pode e deve registrar como contexto.</w:t>
      </w:r>
    </w:p>
    <w:p w14:paraId="398D660D" w14:textId="77777777" w:rsidR="006732CA" w:rsidRPr="006732CA" w:rsidRDefault="006732CA" w:rsidP="006732CA">
      <w:pPr>
        <w:spacing w:after="120"/>
        <w:jc w:val="both"/>
        <w:rPr>
          <w:sz w:val="21"/>
          <w:szCs w:val="21"/>
        </w:rPr>
      </w:pPr>
      <w:r>
        <w:rPr>
          <w:b/>
          <w:bCs/>
          <w:sz w:val="21"/>
          <w:szCs w:val="21"/>
        </w:rPr>
        <w:t>O sequenciamento obrigatório: três etapas que não podem ser invertidas</w:t>
      </w:r>
    </w:p>
    <w:p w14:paraId="0090CE21" w14:textId="77777777" w:rsidR="006732CA" w:rsidRPr="006732CA" w:rsidRDefault="006732CA" w:rsidP="006732CA">
      <w:pPr>
        <w:spacing w:after="120"/>
        <w:jc w:val="both"/>
        <w:rPr>
          <w:sz w:val="21"/>
          <w:szCs w:val="21"/>
        </w:rPr>
      </w:pPr>
      <w:r>
        <w:rPr>
          <w:sz w:val="21"/>
          <w:szCs w:val="21"/>
        </w:rPr>
        <w:t>Quando os indicadores convergem em consistência suficiente para que a autoridade competente identifique elementos concretos de instrumentalização, há uma sequência de providências que o sistema disciplinar exige e que não pode ser alterada.</w:t>
      </w:r>
    </w:p>
    <w:p w14:paraId="4E406D74" w14:textId="77777777" w:rsidR="006732CA" w:rsidRPr="006732CA" w:rsidRDefault="006732CA" w:rsidP="006732CA">
      <w:pPr>
        <w:spacing w:after="120"/>
        <w:jc w:val="both"/>
        <w:rPr>
          <w:sz w:val="21"/>
          <w:szCs w:val="21"/>
        </w:rPr>
      </w:pPr>
      <w:r>
        <w:rPr>
          <w:sz w:val="21"/>
          <w:szCs w:val="21"/>
        </w:rPr>
        <w:t xml:space="preserve">A </w:t>
      </w:r>
      <w:r>
        <w:rPr>
          <w:b/>
          <w:bCs/>
          <w:sz w:val="21"/>
          <w:szCs w:val="21"/>
        </w:rPr>
        <w:t>primeira etapa</w:t>
      </w:r>
      <w:r>
        <w:rPr>
          <w:sz w:val="21"/>
          <w:szCs w:val="21"/>
        </w:rPr>
        <w:t xml:space="preserve"> é o arquivamento fundamentado do processo original. A fundamentação centra-se nos elementos objetivos que impediram o enquadramento, ausência de conduta de conotação sexual demonstrável, existência de elemento introduzido como prova e verificado como inverídico, insuficiência probatória geral. O despacho de arquivamento não qualifica a conduta da denunciante nem antecipa conclusões sobre sua intenção. A denunciante não é investigada neste processo; a qualificação de sua conduta pertence ao processo seguinte, se instaurado.</w:t>
      </w:r>
    </w:p>
    <w:p w14:paraId="18B3CE17" w14:textId="77777777" w:rsidR="006732CA" w:rsidRPr="006732CA" w:rsidRDefault="006732CA" w:rsidP="006732CA">
      <w:pPr>
        <w:spacing w:after="120"/>
        <w:jc w:val="both"/>
        <w:rPr>
          <w:sz w:val="21"/>
          <w:szCs w:val="21"/>
        </w:rPr>
      </w:pPr>
      <w:r>
        <w:rPr>
          <w:sz w:val="21"/>
          <w:szCs w:val="21"/>
        </w:rPr>
        <w:t xml:space="preserve">A </w:t>
      </w:r>
      <w:r>
        <w:rPr>
          <w:b/>
          <w:bCs/>
          <w:sz w:val="21"/>
          <w:szCs w:val="21"/>
        </w:rPr>
        <w:t>segunda etapa</w:t>
      </w:r>
      <w:r>
        <w:rPr>
          <w:sz w:val="21"/>
          <w:szCs w:val="21"/>
        </w:rPr>
        <w:t>, se os elementos justificarem, é a instauração de processo autônomo tendo a servidora denunciante como investigada. O objeto é delimitado com precisão: não "a servidora mentiu sobre o assédio", formulação que antecipa a conclusão, mas "a servidora afirmou nos autos a existência de elemento probatório que a instrução verificou ser inverídico, e há elementos que indicam que a denúncia pode ter sido apresentada com finalidade diversa da proteção de bem jurídico funcional". A instauração autônoma garante à investigada ampla defesa e contraditório plenos, que não existiriam se a apuração fosse conduzida no mesmo processo em que ela figurou como denunciante.</w:t>
      </w:r>
    </w:p>
    <w:p w14:paraId="44F60A38" w14:textId="77777777" w:rsidR="006732CA" w:rsidRPr="006732CA" w:rsidRDefault="006732CA" w:rsidP="006732CA">
      <w:pPr>
        <w:spacing w:after="120"/>
        <w:jc w:val="both"/>
        <w:rPr>
          <w:sz w:val="21"/>
          <w:szCs w:val="21"/>
        </w:rPr>
      </w:pPr>
      <w:r>
        <w:rPr>
          <w:sz w:val="21"/>
          <w:szCs w:val="21"/>
        </w:rPr>
        <w:t xml:space="preserve">A </w:t>
      </w:r>
      <w:r>
        <w:rPr>
          <w:b/>
          <w:bCs/>
          <w:sz w:val="21"/>
          <w:szCs w:val="21"/>
        </w:rPr>
        <w:t>terceira etapa</w:t>
      </w:r>
      <w:r>
        <w:rPr>
          <w:sz w:val="21"/>
          <w:szCs w:val="21"/>
        </w:rPr>
        <w:t>, se a apuração autônoma confirmar o dolo de prejudicar o denunciado sem fundamento razoável nos fatos, é o enquadramento da servidora. O dispositivo aplicável é o art. 116, IX, conduta incompatível com a moralidade administrativa, para as hipóteses de menor gravidade. Quando há elementos de que a denúncia foi instrumentalizada com uso de prerrogativas funcionais, o enquadramento pode alcançar o art. 117, IX combinado com o art. 132, XIII.</w:t>
      </w:r>
    </w:p>
    <w:p w14:paraId="2DF2D339" w14:textId="77777777" w:rsidR="006732CA" w:rsidRPr="006732CA" w:rsidRDefault="006732CA" w:rsidP="006732CA">
      <w:pPr>
        <w:spacing w:after="120"/>
        <w:jc w:val="both"/>
        <w:rPr>
          <w:sz w:val="21"/>
          <w:szCs w:val="21"/>
        </w:rPr>
      </w:pPr>
      <w:r>
        <w:rPr>
          <w:b/>
          <w:bCs/>
          <w:sz w:val="21"/>
          <w:szCs w:val="21"/>
        </w:rPr>
        <w:t>O alerta sistêmico que a sequência inteira deve ter presente</w:t>
      </w:r>
    </w:p>
    <w:p w14:paraId="579DF31E" w14:textId="77777777" w:rsidR="006732CA" w:rsidRPr="006732CA" w:rsidRDefault="006732CA" w:rsidP="006732CA">
      <w:pPr>
        <w:spacing w:after="120"/>
        <w:jc w:val="both"/>
        <w:rPr>
          <w:sz w:val="21"/>
          <w:szCs w:val="21"/>
        </w:rPr>
      </w:pPr>
      <w:r>
        <w:rPr>
          <w:sz w:val="21"/>
          <w:szCs w:val="21"/>
        </w:rPr>
        <w:t xml:space="preserve">A instauração de processo contra servidora que apresentou denúncia de assédio sexual é, independentemente do seu resultado, um evento institucional de alto impacto sobre o canal de denúncias. Outros servidores que presenciaram ou vivenciaram condutas similares e que ainda não denunciaram observam o que acontece com quem </w:t>
      </w:r>
      <w:proofErr w:type="spellStart"/>
      <w:r>
        <w:rPr>
          <w:sz w:val="21"/>
          <w:szCs w:val="21"/>
        </w:rPr>
        <w:t>denuncia</w:t>
      </w:r>
      <w:proofErr w:type="spellEnd"/>
      <w:r>
        <w:rPr>
          <w:sz w:val="21"/>
          <w:szCs w:val="21"/>
        </w:rPr>
        <w:t>. Se a percepção que circula é a de que denunciar produz risco de processo disciplinar, o canal de denúncias perde eficácia sistemicamente, e as vítimas reais deixam de denunciar, não por falta de coragem, mas por cálculo racional de risco.</w:t>
      </w:r>
    </w:p>
    <w:p w14:paraId="6184B5B1" w14:textId="77777777" w:rsidR="006732CA" w:rsidRPr="006732CA" w:rsidRDefault="006732CA" w:rsidP="006732CA">
      <w:pPr>
        <w:spacing w:after="120"/>
        <w:jc w:val="both"/>
        <w:rPr>
          <w:sz w:val="21"/>
          <w:szCs w:val="21"/>
        </w:rPr>
      </w:pPr>
      <w:r>
        <w:rPr>
          <w:sz w:val="21"/>
          <w:szCs w:val="21"/>
        </w:rPr>
        <w:t xml:space="preserve">Por essa razão, a instauração autônoma contra a denunciante deve ser a exceção reservada para casos com elementos concretos e verificáveis de instrumentalização, especialmente a introdução de prova falsa nos autos, não a resposta padrão ao arquivamento por insuficiência probatória. A ausência de confirmação da denúncia não é, por si só, fundamento suficiente para instaurar processo contra a </w:t>
      </w:r>
      <w:r>
        <w:rPr>
          <w:sz w:val="21"/>
          <w:szCs w:val="21"/>
        </w:rPr>
        <w:lastRenderedPageBreak/>
        <w:t>denunciante. Nunca foi. E o operador que confunde os dois casos não está protegendo o servidor denunciado, está desincentivando futuras denúncias legítimas.</w:t>
      </w:r>
    </w:p>
    <w:p w14:paraId="3B3B2171" w14:textId="77777777" w:rsidR="00D61269" w:rsidRDefault="006732CA" w:rsidP="00F22D73">
      <w:pPr>
        <w:spacing w:after="120"/>
        <w:jc w:val="both"/>
      </w:pPr>
      <w:r>
        <w:rPr>
          <w:sz w:val="21"/>
          <w:szCs w:val="21"/>
        </w:rPr>
        <w:t>Denúncia não confirmada não é denúncia de má-fé. A diferença está na prova, não na conclusão.</w:t>
      </w:r>
    </w:p>
    <w:p w14:paraId="667EB33B" w14:textId="77777777" w:rsidR="006F3F21" w:rsidRDefault="006F3F21" w:rsidP="006F3F21">
      <w:pPr>
        <w:pStyle w:val="Ttulo2"/>
        <w:keepNext/>
      </w:pPr>
      <w:bookmarkStart w:id="47" w:name="_Toc238022042"/>
      <w:r>
        <w:t xml:space="preserve">4.17 Síntese operacional: o Eixo 3 da ferramenta </w:t>
      </w:r>
      <w:proofErr w:type="spellStart"/>
      <w:r>
        <w:t>Integritas</w:t>
      </w:r>
      <w:bookmarkEnd w:id="47"/>
      <w:proofErr w:type="spellEnd"/>
    </w:p>
    <w:p w14:paraId="25AECDB4" w14:textId="77777777" w:rsidR="00CF7FD5" w:rsidRPr="00CF7FD5" w:rsidRDefault="00426EAB" w:rsidP="00CF7FD5">
      <w:pPr>
        <w:spacing w:after="120"/>
        <w:jc w:val="both"/>
        <w:rPr>
          <w:sz w:val="21"/>
          <w:szCs w:val="21"/>
        </w:rPr>
      </w:pPr>
      <w:r>
        <w:rPr>
          <w:sz w:val="21"/>
          <w:szCs w:val="21"/>
        </w:rPr>
        <w:t>O Eixo 3 percorre onze bifurcações organizadas em dois percursos paralelos (Rota A e Rota B), partindo da identificação da conotação sexual e da finalidade de favorecimento; a Rota B abre-se com a verificação da decorrência penal, que antecede os três qualificadores ambientais.</w:t>
      </w:r>
    </w:p>
    <w:p w14:paraId="3E16421D" w14:textId="77777777" w:rsidR="00CF7FD5" w:rsidRPr="00CF7FD5" w:rsidRDefault="00CF7FD5" w:rsidP="00CF7FD5">
      <w:pPr>
        <w:spacing w:after="120"/>
        <w:jc w:val="both"/>
        <w:rPr>
          <w:sz w:val="21"/>
          <w:szCs w:val="21"/>
        </w:rPr>
      </w:pPr>
      <w:r>
        <w:rPr>
          <w:sz w:val="21"/>
          <w:szCs w:val="21"/>
        </w:rPr>
        <w:t>O operador que percorre o Eixo 3 deve ter presentes, antes de responder qualquer pergunta, as premissas estabelecidas neste capítulo:</w:t>
      </w:r>
    </w:p>
    <w:p w14:paraId="76F33690" w14:textId="77777777" w:rsidR="00CF7FD5" w:rsidRPr="00CF7FD5" w:rsidRDefault="00CF7FD5" w:rsidP="00CF7FD5">
      <w:pPr>
        <w:spacing w:after="120"/>
        <w:jc w:val="both"/>
        <w:rPr>
          <w:sz w:val="21"/>
          <w:szCs w:val="21"/>
        </w:rPr>
      </w:pPr>
      <w:r>
        <w:rPr>
          <w:sz w:val="21"/>
          <w:szCs w:val="21"/>
        </w:rPr>
        <w:t>A intenção do agressor é irrelevante. A pergunta não é "o servidor pretendia ofender?" mas "a conduta, objetivamente avaliada, tem conotação sexual reconhecível e foi indesejada pela vítima?"</w:t>
      </w:r>
    </w:p>
    <w:p w14:paraId="6B811EF5" w14:textId="77777777" w:rsidR="00CF7FD5" w:rsidRPr="00CF7FD5" w:rsidRDefault="00CF7FD5" w:rsidP="00CF7FD5">
      <w:pPr>
        <w:spacing w:after="120"/>
        <w:jc w:val="both"/>
        <w:rPr>
          <w:sz w:val="21"/>
          <w:szCs w:val="21"/>
        </w:rPr>
      </w:pPr>
      <w:r>
        <w:rPr>
          <w:sz w:val="21"/>
          <w:szCs w:val="21"/>
        </w:rPr>
        <w:t>O consentimento em contexto hierárquico é estruturalmente comprometido. A pergunta sobre consentimento deve ser respondida com "Sim" apenas quando há evidência concreta de adesão voluntária e livre, não quando há silêncio, passividade ou aquiescência calculada em face de assimetria de poder.</w:t>
      </w:r>
    </w:p>
    <w:p w14:paraId="538D8587" w14:textId="77777777" w:rsidR="00CF7FD5" w:rsidRPr="00CF7FD5" w:rsidRDefault="00CF7FD5" w:rsidP="00CF7FD5">
      <w:pPr>
        <w:spacing w:after="120"/>
        <w:jc w:val="both"/>
        <w:rPr>
          <w:sz w:val="21"/>
          <w:szCs w:val="21"/>
        </w:rPr>
      </w:pPr>
      <w:r>
        <w:rPr>
          <w:sz w:val="21"/>
          <w:szCs w:val="21"/>
        </w:rPr>
        <w:t>O dano à vítima é o centro do enquadramento. Os qualificadores de gravidade da Rota B, escândalo, impacto grave, uso do cargo, existem para calibrar o patamar do enquadramento com base no dano produzido, não para criar obstáculos ao enquadramento. A ausência de um qualificador não arquiva a análise: redireciona para o próximo.</w:t>
      </w:r>
    </w:p>
    <w:p w14:paraId="774874DD" w14:textId="77777777" w:rsidR="000121BB" w:rsidRDefault="00CF7FD5" w:rsidP="00CF7FD5">
      <w:pPr>
        <w:spacing w:after="120"/>
        <w:jc w:val="both"/>
        <w:rPr>
          <w:sz w:val="21"/>
          <w:szCs w:val="21"/>
        </w:rPr>
      </w:pPr>
      <w:r>
        <w:rPr>
          <w:sz w:val="21"/>
          <w:szCs w:val="21"/>
        </w:rPr>
        <w:t xml:space="preserve">A reiteração não é condição. Um único ato de conotação sexual indesejada, com qualquer dos qualificadores presentes, é suficiente para o enquadramento no patamar mais grave. </w:t>
      </w:r>
    </w:p>
    <w:p w14:paraId="31B846E9" w14:textId="77777777" w:rsidR="00CF7FD5" w:rsidRPr="00CF7FD5" w:rsidRDefault="000121BB" w:rsidP="00CF7FD5">
      <w:pPr>
        <w:spacing w:after="120"/>
        <w:jc w:val="both"/>
        <w:rPr>
          <w:sz w:val="21"/>
          <w:szCs w:val="21"/>
        </w:rPr>
      </w:pPr>
      <w:r>
        <w:rPr>
          <w:sz w:val="21"/>
          <w:szCs w:val="21"/>
        </w:rPr>
        <w:t>A correspondência objetiva a crime sexual é o primeiro filtro da Rota B, e é objetiva. A pergunta não é "o servidor cometeu crime?" — juízo que pertence à instância penal — mas "a conduta apurada corresponde, em seus elementos objetivos, a um tipo do Título VI do Código Penal?". Verificada essa correspondência, o enquadramento é o art. 132, V, com comunicação ao Ministério Público, sem que a ausência de escândalo ou de laudo possa rebaixá-lo.</w:t>
      </w:r>
    </w:p>
    <w:p w14:paraId="05851F9B" w14:textId="77777777" w:rsidR="00287D58" w:rsidRPr="00ED54B2" w:rsidRDefault="00CF7FD5" w:rsidP="00DC6912">
      <w:pPr>
        <w:spacing w:after="120"/>
        <w:jc w:val="both"/>
        <w:rPr>
          <w:sz w:val="21"/>
          <w:szCs w:val="21"/>
        </w:rPr>
      </w:pPr>
      <w:r>
        <w:rPr>
          <w:sz w:val="21"/>
          <w:szCs w:val="21"/>
        </w:rPr>
        <w:t>O operador que aplica essas premissas com atenção ao conjunto probatório disponível realizará uma análise que protege adequadamente a vítima, fundamenta solidamente o enquadramento e resiste ao escrutínio de eventual revisão pela autoridade superior.</w:t>
      </w:r>
      <w:r>
        <w:br w:type="page"/>
      </w:r>
    </w:p>
    <w:p w14:paraId="5F1A314F"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CAPÍTULO 5</w:t>
      </w:r>
    </w:p>
    <w:p w14:paraId="0AE27FCA" w14:textId="77777777" w:rsidR="00287D58" w:rsidRDefault="003B78AF">
      <w:pPr>
        <w:pStyle w:val="Ttulo1"/>
        <w:keepNext/>
        <w:pBdr>
          <w:bottom w:val="single" w:sz="12" w:space="6" w:color="C9A35C"/>
        </w:pBdr>
        <w:spacing w:line="400" w:lineRule="exact"/>
      </w:pPr>
      <w:bookmarkStart w:id="48" w:name="_Toc238022043"/>
      <w:r>
        <w:t>5. ASSÉDIO MORAL NO SERVIÇO PÚBLICO FEDERAL: VIOLÊNCIA SISTÊMICA, SILÊNCIO LEGISLATIVO E O ENQUADRAMENTO PELA NT Nº 93/2024</w:t>
      </w:r>
      <w:bookmarkEnd w:id="48"/>
    </w:p>
    <w:p w14:paraId="2E4D24ED" w14:textId="77777777" w:rsidR="00287D58" w:rsidRDefault="003B78AF">
      <w:pPr>
        <w:pStyle w:val="Ttulo2"/>
        <w:keepNext/>
      </w:pPr>
      <w:bookmarkStart w:id="49" w:name="_Toc238022044"/>
      <w:r>
        <w:t>5.1 A nomeação que tornou o invisível visível</w:t>
      </w:r>
      <w:bookmarkEnd w:id="49"/>
    </w:p>
    <w:p w14:paraId="608E68F2" w14:textId="77777777" w:rsidR="00ED5BD0" w:rsidRPr="00ED5BD0" w:rsidRDefault="00ED5BD0" w:rsidP="00ED5BD0">
      <w:pPr>
        <w:spacing w:after="120"/>
        <w:jc w:val="both"/>
        <w:rPr>
          <w:sz w:val="21"/>
          <w:szCs w:val="21"/>
        </w:rPr>
      </w:pPr>
      <w:r>
        <w:rPr>
          <w:sz w:val="21"/>
          <w:szCs w:val="21"/>
        </w:rPr>
        <w:t xml:space="preserve">Há fenômenos sociais que existem muito antes de receberem nome. O assédio moral existia nas organizações de trabalho antes de 1998, documentado em relatos clínicos, descrito em queixas trabalhistas, percebido por quem o sofria sem que houvesse linguagem adequada para nomeá-lo. A nomeação veio com Marie-France Hirigoyen, psiquiatra e psicanalista francesa, cuja obra </w:t>
      </w:r>
      <w:r>
        <w:rPr>
          <w:i/>
          <w:iCs/>
          <w:sz w:val="21"/>
          <w:szCs w:val="21"/>
        </w:rPr>
        <w:t>Assédio Moral: a violência perversa no cotidiano</w:t>
      </w:r>
      <w:r>
        <w:rPr>
          <w:sz w:val="21"/>
          <w:szCs w:val="21"/>
        </w:rPr>
        <w:t xml:space="preserve"> (</w:t>
      </w:r>
      <w:proofErr w:type="spellStart"/>
      <w:r>
        <w:rPr>
          <w:i/>
          <w:iCs/>
          <w:sz w:val="21"/>
          <w:szCs w:val="21"/>
        </w:rPr>
        <w:t>Harcèlement</w:t>
      </w:r>
      <w:proofErr w:type="spellEnd"/>
      <w:r>
        <w:rPr>
          <w:i/>
          <w:iCs/>
          <w:sz w:val="21"/>
          <w:szCs w:val="21"/>
        </w:rPr>
        <w:t xml:space="preserve"> Moral: </w:t>
      </w:r>
      <w:proofErr w:type="spellStart"/>
      <w:r>
        <w:rPr>
          <w:i/>
          <w:iCs/>
          <w:sz w:val="21"/>
          <w:szCs w:val="21"/>
        </w:rPr>
        <w:t>la</w:t>
      </w:r>
      <w:proofErr w:type="spellEnd"/>
      <w:r>
        <w:rPr>
          <w:i/>
          <w:iCs/>
          <w:sz w:val="21"/>
          <w:szCs w:val="21"/>
        </w:rPr>
        <w:t xml:space="preserve"> </w:t>
      </w:r>
      <w:proofErr w:type="spellStart"/>
      <w:r>
        <w:rPr>
          <w:i/>
          <w:iCs/>
          <w:sz w:val="21"/>
          <w:szCs w:val="21"/>
        </w:rPr>
        <w:t>violence</w:t>
      </w:r>
      <w:proofErr w:type="spellEnd"/>
      <w:r>
        <w:rPr>
          <w:i/>
          <w:iCs/>
          <w:sz w:val="21"/>
          <w:szCs w:val="21"/>
        </w:rPr>
        <w:t xml:space="preserve"> </w:t>
      </w:r>
      <w:proofErr w:type="spellStart"/>
      <w:r>
        <w:rPr>
          <w:i/>
          <w:iCs/>
          <w:sz w:val="21"/>
          <w:szCs w:val="21"/>
        </w:rPr>
        <w:t>perverse</w:t>
      </w:r>
      <w:proofErr w:type="spellEnd"/>
      <w:r>
        <w:rPr>
          <w:i/>
          <w:iCs/>
          <w:sz w:val="21"/>
          <w:szCs w:val="21"/>
        </w:rPr>
        <w:t xml:space="preserve"> </w:t>
      </w:r>
      <w:proofErr w:type="spellStart"/>
      <w:r>
        <w:rPr>
          <w:i/>
          <w:iCs/>
          <w:sz w:val="21"/>
          <w:szCs w:val="21"/>
        </w:rPr>
        <w:t>au</w:t>
      </w:r>
      <w:proofErr w:type="spellEnd"/>
      <w:r>
        <w:rPr>
          <w:i/>
          <w:iCs/>
          <w:sz w:val="21"/>
          <w:szCs w:val="21"/>
        </w:rPr>
        <w:t xml:space="preserve"> </w:t>
      </w:r>
      <w:proofErr w:type="spellStart"/>
      <w:r>
        <w:rPr>
          <w:i/>
          <w:iCs/>
          <w:sz w:val="21"/>
          <w:szCs w:val="21"/>
        </w:rPr>
        <w:t>quotidien</w:t>
      </w:r>
      <w:proofErr w:type="spellEnd"/>
      <w:r>
        <w:rPr>
          <w:sz w:val="21"/>
          <w:szCs w:val="21"/>
        </w:rPr>
        <w:t xml:space="preserve">, Paris: </w:t>
      </w:r>
      <w:proofErr w:type="spellStart"/>
      <w:r>
        <w:rPr>
          <w:sz w:val="21"/>
          <w:szCs w:val="21"/>
        </w:rPr>
        <w:t>Syros</w:t>
      </w:r>
      <w:proofErr w:type="spellEnd"/>
      <w:r>
        <w:rPr>
          <w:sz w:val="21"/>
          <w:szCs w:val="21"/>
        </w:rPr>
        <w:t>, 1998) produziu o que raramente uma obra acadêmica produz: mudou a forma como uma sociedade compreende uma experiência que já tinha, e com isso transformou o que era sofrimento individual sem nome em problema coletivo com categoria jurídica.</w:t>
      </w:r>
    </w:p>
    <w:p w14:paraId="525CE561" w14:textId="77777777" w:rsidR="00ED5BD0" w:rsidRPr="00ED5BD0" w:rsidRDefault="00ED5BD0" w:rsidP="00ED5BD0">
      <w:pPr>
        <w:spacing w:after="120"/>
        <w:jc w:val="both"/>
        <w:rPr>
          <w:sz w:val="21"/>
          <w:szCs w:val="21"/>
        </w:rPr>
      </w:pPr>
      <w:r>
        <w:rPr>
          <w:sz w:val="21"/>
          <w:szCs w:val="21"/>
        </w:rPr>
        <w:t xml:space="preserve">A definição de Hirigoyen tornou-se a referência fundante de toda a elaboração doutrinária e normativa subsequente: </w:t>
      </w:r>
      <w:r>
        <w:rPr>
          <w:i/>
          <w:iCs/>
          <w:sz w:val="21"/>
          <w:szCs w:val="21"/>
        </w:rPr>
        <w:t>"qualquer conduta abusiva, gesto, palavra, comportamento, atitude, que atente, por sua repetição ou sistematização, contra a dignidade ou integridade psíquica ou física de uma pessoa, ameaçando seu emprego ou degradando o clima de trabalho"</w:t>
      </w:r>
      <w:r>
        <w:rPr>
          <w:rStyle w:val="Refdenotaderodap"/>
          <w:i/>
          <w:iCs/>
          <w:sz w:val="21"/>
          <w:szCs w:val="21"/>
        </w:rPr>
        <w:footnoteReference w:id="24"/>
      </w:r>
      <w:r>
        <w:rPr>
          <w:sz w:val="21"/>
          <w:szCs w:val="21"/>
        </w:rPr>
        <w:t>. Três elementos dessa definição merecem imediata atenção: a amplitude dos meios, qualquer conduta abusiva, não apenas palavras ou atos físicos; o elemento temporal, a repetição ou sistematização; e a dupla dimensão do dano, à pessoa e ao clima de trabalho.</w:t>
      </w:r>
    </w:p>
    <w:p w14:paraId="50D88F6E" w14:textId="77777777" w:rsidR="00ED5BD0" w:rsidRPr="00ED5BD0" w:rsidRDefault="00ED5BD0" w:rsidP="00ED5BD0">
      <w:pPr>
        <w:spacing w:after="120"/>
        <w:jc w:val="both"/>
        <w:rPr>
          <w:sz w:val="21"/>
          <w:szCs w:val="21"/>
        </w:rPr>
      </w:pPr>
      <w:r>
        <w:rPr>
          <w:sz w:val="21"/>
          <w:szCs w:val="21"/>
        </w:rPr>
        <w:t xml:space="preserve">Heinz </w:t>
      </w:r>
      <w:proofErr w:type="spellStart"/>
      <w:r>
        <w:rPr>
          <w:sz w:val="21"/>
          <w:szCs w:val="21"/>
        </w:rPr>
        <w:t>Leymann</w:t>
      </w:r>
      <w:proofErr w:type="spellEnd"/>
      <w:r>
        <w:rPr>
          <w:sz w:val="21"/>
          <w:szCs w:val="21"/>
        </w:rPr>
        <w:t xml:space="preserve">, psicólogo sueco que desenvolveu o conceito de </w:t>
      </w:r>
      <w:proofErr w:type="spellStart"/>
      <w:r>
        <w:rPr>
          <w:i/>
          <w:iCs/>
          <w:sz w:val="21"/>
          <w:szCs w:val="21"/>
        </w:rPr>
        <w:t>mobbing</w:t>
      </w:r>
      <w:proofErr w:type="spellEnd"/>
      <w:r>
        <w:rPr>
          <w:sz w:val="21"/>
          <w:szCs w:val="21"/>
        </w:rPr>
        <w:t xml:space="preserve"> no ambiente de trabalho nos anos 1980 e cuja pesquisa precede e fundamenta o trabalho de Hirigoyen, documentou o fenômeno com método epidemiológico rigoroso. Em estudo com trabalhadores suecos, </w:t>
      </w:r>
      <w:proofErr w:type="spellStart"/>
      <w:r>
        <w:rPr>
          <w:sz w:val="21"/>
          <w:szCs w:val="21"/>
        </w:rPr>
        <w:t>Leymann</w:t>
      </w:r>
      <w:proofErr w:type="spellEnd"/>
      <w:r>
        <w:rPr>
          <w:sz w:val="21"/>
          <w:szCs w:val="21"/>
        </w:rPr>
        <w:t xml:space="preserve"> identificou que entre 3% e 4% da força de trabalho ativa experimentava o que ele chamou de </w:t>
      </w:r>
      <w:proofErr w:type="spellStart"/>
      <w:r>
        <w:rPr>
          <w:i/>
          <w:iCs/>
          <w:sz w:val="21"/>
          <w:szCs w:val="21"/>
        </w:rPr>
        <w:t>mobbing</w:t>
      </w:r>
      <w:proofErr w:type="spellEnd"/>
      <w:r>
        <w:rPr>
          <w:i/>
          <w:iCs/>
          <w:sz w:val="21"/>
          <w:szCs w:val="21"/>
        </w:rPr>
        <w:t>,</w:t>
      </w:r>
      <w:r>
        <w:rPr>
          <w:sz w:val="21"/>
          <w:szCs w:val="21"/>
        </w:rPr>
        <w:t xml:space="preserve"> padrão de comportamentos hostis reiterados que, ao longo do tempo, produzem dano psicológico grave e, frequentemente, impossibilitam a continuidade do vínculo de trabalho</w:t>
      </w:r>
      <w:r>
        <w:rPr>
          <w:rStyle w:val="Refdenotaderodap"/>
          <w:sz w:val="21"/>
          <w:szCs w:val="21"/>
        </w:rPr>
        <w:footnoteReference w:id="25"/>
      </w:r>
      <w:r>
        <w:rPr>
          <w:sz w:val="21"/>
          <w:szCs w:val="21"/>
        </w:rPr>
        <w:t>. A extrapolação desses percentuais para o serviço público federal brasileiro sugere que o assédio moral é fenômeno de frequência significativa, muito mais comum do que o número de denúncias formalizadas poderia indicar.</w:t>
      </w:r>
    </w:p>
    <w:p w14:paraId="1F035CF5" w14:textId="77777777" w:rsidR="00ED5BD0" w:rsidRPr="00ED5BD0" w:rsidRDefault="00ED5BD0" w:rsidP="00ED5BD0">
      <w:pPr>
        <w:spacing w:after="120"/>
        <w:jc w:val="both"/>
        <w:rPr>
          <w:sz w:val="21"/>
          <w:szCs w:val="21"/>
        </w:rPr>
      </w:pPr>
      <w:r>
        <w:rPr>
          <w:sz w:val="21"/>
          <w:szCs w:val="21"/>
        </w:rPr>
        <w:t xml:space="preserve">No Brasil, Márcia Novaes Guedes introduziu e desenvolveu a categoria em obra que permanece referência central: </w:t>
      </w:r>
      <w:r>
        <w:rPr>
          <w:i/>
          <w:iCs/>
          <w:sz w:val="21"/>
          <w:szCs w:val="21"/>
        </w:rPr>
        <w:t xml:space="preserve">"o terror psicológico no trabalho é uma forma sofisticada de violência, que se manifesta através de condutas abusivas repetidas, capazes de causar </w:t>
      </w:r>
      <w:proofErr w:type="spellStart"/>
      <w:r>
        <w:rPr>
          <w:i/>
          <w:iCs/>
          <w:sz w:val="21"/>
          <w:szCs w:val="21"/>
        </w:rPr>
        <w:t>dano</w:t>
      </w:r>
      <w:proofErr w:type="spellEnd"/>
      <w:r>
        <w:rPr>
          <w:i/>
          <w:iCs/>
          <w:sz w:val="21"/>
          <w:szCs w:val="21"/>
        </w:rPr>
        <w:t xml:space="preserve"> à saúde física e mental do trabalhador, lesando sua dignidade como pessoa"</w:t>
      </w:r>
      <w:r>
        <w:rPr>
          <w:rStyle w:val="Refdenotaderodap"/>
          <w:i/>
          <w:iCs/>
          <w:sz w:val="21"/>
          <w:szCs w:val="21"/>
        </w:rPr>
        <w:footnoteReference w:id="26"/>
      </w:r>
      <w:r>
        <w:rPr>
          <w:sz w:val="21"/>
          <w:szCs w:val="21"/>
        </w:rPr>
        <w:t>. A qualificação "sofisticada" é precisa: o assédio moral opera frequentemente de forma que cada episódio isolado parece menor do que é, e a perversidade do fenômeno está exatamente na sua sistematicidade, na acumulação de danos individualmente ambíguos que, considerados em conjunto, revelam padrão incontestável de violência.</w:t>
      </w:r>
    </w:p>
    <w:p w14:paraId="5F11EF5B" w14:textId="77777777" w:rsidR="00ED5BD0" w:rsidRPr="00987854" w:rsidRDefault="00ED5BD0" w:rsidP="00987854">
      <w:pPr>
        <w:pStyle w:val="Ttulo2"/>
        <w:keepNext/>
      </w:pPr>
      <w:bookmarkStart w:id="50" w:name="_Toc238022045"/>
      <w:r>
        <w:lastRenderedPageBreak/>
        <w:t>5.2 O enquadramento disciplinar: um sistema que tipifica sem nomear</w:t>
      </w:r>
      <w:bookmarkEnd w:id="50"/>
    </w:p>
    <w:p w14:paraId="4E18536B" w14:textId="77777777" w:rsidR="00ED5BD0" w:rsidRPr="00ED5BD0" w:rsidRDefault="00ED5BD0" w:rsidP="00ED5BD0">
      <w:pPr>
        <w:spacing w:after="120"/>
        <w:jc w:val="both"/>
        <w:rPr>
          <w:sz w:val="21"/>
          <w:szCs w:val="21"/>
        </w:rPr>
      </w:pPr>
      <w:r>
        <w:rPr>
          <w:sz w:val="21"/>
          <w:szCs w:val="21"/>
        </w:rPr>
        <w:t>A Lei nº 8.112, de 1990 não contém as palavras "assédio moral". Assim como a ameaça e a discriminação, o assédio moral é fenômeno que o legislador de 1990 não previu expressamente, não porque fosse inexistente no serviço público federal, mas porque a categoria jurídica não estava ainda disponível quando o estatuto foi editado. A primeira lei estadual brasileira sobre assédio moral data de 2002 (Lei nº 13.288 do Estado de São Paulo); no plano federal, a proteção disciplinar foi construída por via interpretativa, sobre os tipos abertos existentes.</w:t>
      </w:r>
    </w:p>
    <w:p w14:paraId="16451627" w14:textId="77777777" w:rsidR="00ED5BD0" w:rsidRPr="00987854" w:rsidRDefault="00ED5BD0" w:rsidP="00ED5BD0">
      <w:pPr>
        <w:spacing w:after="120"/>
        <w:jc w:val="both"/>
        <w:rPr>
          <w:sz w:val="21"/>
          <w:szCs w:val="21"/>
        </w:rPr>
      </w:pPr>
      <w:r>
        <w:rPr>
          <w:sz w:val="21"/>
          <w:szCs w:val="21"/>
        </w:rPr>
        <w:t>A NT nº 93/2024/CGUNE/DICOR/CRG (Processo nº 00190.100264/2024-58, aprovada em 26/02/2024) sistematizou esse enquadramento, estabelecendo quais dispositivos da Lei nº 8.112, de 1990 alcançam as condutas de assédio moral, em que condições e com quais penalidades. A Nota Técnica ampara-se expressamente na Convenção nº 190 da OIT (Eliminação da Violência e do Assédio no Mundo do Trabalho, 2019), ainda não ratificada pelo Brasil, aqui invocada como referência principiológica e vetor hermenêutico.</w:t>
      </w:r>
    </w:p>
    <w:p w14:paraId="736F8751" w14:textId="77777777" w:rsidR="00ED5BD0" w:rsidRPr="00ED5BD0" w:rsidRDefault="00ED5BD0" w:rsidP="00ED5BD0">
      <w:pPr>
        <w:spacing w:after="120"/>
        <w:jc w:val="both"/>
        <w:rPr>
          <w:sz w:val="21"/>
          <w:szCs w:val="21"/>
        </w:rPr>
      </w:pPr>
      <w:r>
        <w:rPr>
          <w:sz w:val="21"/>
          <w:szCs w:val="21"/>
        </w:rPr>
        <w:t xml:space="preserve">A Convenção nº 190 da OIT adota conceito deliberadamente mais amplo do que o de Hirigoyen: define violência e assédio como </w:t>
      </w:r>
      <w:r>
        <w:rPr>
          <w:i/>
          <w:iCs/>
          <w:sz w:val="21"/>
          <w:szCs w:val="21"/>
        </w:rPr>
        <w:t>"comportamentos e práticas inaceitáveis, ou a ameaça de tais comportamentos e práticas, de ocorrência única ou repetida, que visem, causem ou sejam suscetíveis de causar dano físico, psicológico, sexual ou econômico"</w:t>
      </w:r>
      <w:r>
        <w:rPr>
          <w:sz w:val="21"/>
          <w:szCs w:val="21"/>
        </w:rPr>
        <w:t>. A amplitude é proposital em dois aspectos: a inclusão do dano único, que afasta a reiteração como elemento constitutivo absoluto, e a adoção do critério de aptidão para causar dano, que não exige a prova do dano consumado como condição do enquadramento. Esses dois elementos, incorporados ao sistema disciplinar brasileiro via NT nº 93/2024, têm consequências práticas que este capítulo analisa em detalhe.</w:t>
      </w:r>
    </w:p>
    <w:p w14:paraId="18A734A0" w14:textId="77777777" w:rsidR="00ED5BD0" w:rsidRPr="001378EF" w:rsidRDefault="00ED5BD0" w:rsidP="001378EF">
      <w:pPr>
        <w:pStyle w:val="Ttulo2"/>
        <w:keepNext/>
      </w:pPr>
      <w:bookmarkStart w:id="51" w:name="_Toc238022046"/>
      <w:r>
        <w:t>5.3 Os elementos constitutivos do assédio moral disciplinar</w:t>
      </w:r>
      <w:bookmarkEnd w:id="51"/>
    </w:p>
    <w:p w14:paraId="619A9DE3" w14:textId="77777777" w:rsidR="00ED5BD0" w:rsidRPr="00ED5BD0" w:rsidRDefault="00ED5BD0" w:rsidP="00ED5BD0">
      <w:pPr>
        <w:spacing w:after="120"/>
        <w:jc w:val="both"/>
        <w:rPr>
          <w:sz w:val="21"/>
          <w:szCs w:val="21"/>
        </w:rPr>
      </w:pPr>
      <w:r>
        <w:rPr>
          <w:sz w:val="21"/>
          <w:szCs w:val="21"/>
        </w:rPr>
        <w:t>A NT nº 93/2024 identifica três elementos que, considerados cumulativamente, definem o assédio moral para fins de enquadramento disciplinar:</w:t>
      </w:r>
    </w:p>
    <w:p w14:paraId="03A7FD69" w14:textId="77777777" w:rsidR="00ED5BD0" w:rsidRPr="00ED5BD0" w:rsidRDefault="00ED5BD0" w:rsidP="00ED5BD0">
      <w:pPr>
        <w:spacing w:after="120"/>
        <w:jc w:val="both"/>
        <w:rPr>
          <w:sz w:val="21"/>
          <w:szCs w:val="21"/>
        </w:rPr>
      </w:pPr>
      <w:r>
        <w:rPr>
          <w:b/>
          <w:bCs/>
          <w:sz w:val="21"/>
          <w:szCs w:val="21"/>
        </w:rPr>
        <w:t>Ação ou conjunto de ações comissivas.</w:t>
      </w:r>
      <w:r>
        <w:rPr>
          <w:sz w:val="21"/>
          <w:szCs w:val="21"/>
        </w:rPr>
        <w:t xml:space="preserve"> O assédio moral manifesta-se por condutas ativas, não pela omissão pura, embora a omissão deliberada como instrumento de isolamento (o superior que sistematicamente deixa de responder comunicações do subordinado, excluindo-o das informações necessárias ao trabalho) possa integrar o padrão de condutas ativas mais amplo. A NT nº 93/2024 é explícita: </w:t>
      </w:r>
      <w:r>
        <w:rPr>
          <w:i/>
          <w:iCs/>
          <w:sz w:val="21"/>
          <w:szCs w:val="21"/>
        </w:rPr>
        <w:t>"normalmente reiteradas, mas condutas isoladas muito ofensivas, humilhantes ou degradantes também podem ser classificadas como assédio moral"</w:t>
      </w:r>
      <w:r>
        <w:rPr>
          <w:sz w:val="21"/>
          <w:szCs w:val="21"/>
        </w:rPr>
        <w:t>.</w:t>
      </w:r>
    </w:p>
    <w:p w14:paraId="5EB166DB" w14:textId="77777777" w:rsidR="00ED5BD0" w:rsidRPr="00ED5BD0" w:rsidRDefault="00ED5BD0" w:rsidP="00ED5BD0">
      <w:pPr>
        <w:spacing w:after="120"/>
        <w:jc w:val="both"/>
        <w:rPr>
          <w:sz w:val="21"/>
          <w:szCs w:val="21"/>
        </w:rPr>
      </w:pPr>
      <w:r>
        <w:rPr>
          <w:b/>
          <w:bCs/>
          <w:sz w:val="21"/>
          <w:szCs w:val="21"/>
        </w:rPr>
        <w:t>Ofensa à dignidade.</w:t>
      </w:r>
      <w:r>
        <w:rPr>
          <w:sz w:val="21"/>
          <w:szCs w:val="21"/>
        </w:rPr>
        <w:t xml:space="preserve"> O bem jurídico central protegido é a dignidade da pessoa do servidor, sua integridade psíquica e física, sua identidade profissional, sua honra funcional. O assédio moral atinge a pessoa no que ela tem de mais relevante para a vida profissional: a autoestima como trabalhadora, a percepção de sua competência e valor, a segurança na relação com o ambiente de trabalho. A NT nº 93/2024 não exige prova de dano psicológico consumado como condição do enquadramento: a aptidão da conduta para ofender a dignidade, avaliada objetivamente, é suficiente.</w:t>
      </w:r>
    </w:p>
    <w:p w14:paraId="56C3C4DC" w14:textId="77777777" w:rsidR="00ED5BD0" w:rsidRPr="00ED5BD0" w:rsidRDefault="00ED5BD0" w:rsidP="00ED5BD0">
      <w:pPr>
        <w:spacing w:after="120"/>
        <w:jc w:val="both"/>
        <w:rPr>
          <w:sz w:val="21"/>
          <w:szCs w:val="21"/>
        </w:rPr>
      </w:pPr>
      <w:r>
        <w:rPr>
          <w:b/>
          <w:bCs/>
          <w:sz w:val="21"/>
          <w:szCs w:val="21"/>
        </w:rPr>
        <w:t>Degradação do ambiente ou das relações de trabalho.</w:t>
      </w:r>
      <w:r>
        <w:rPr>
          <w:sz w:val="21"/>
          <w:szCs w:val="21"/>
        </w:rPr>
        <w:t xml:space="preserve"> O assédio moral não é fenômeno puramente interpessoal: ele deteriora o ambiente coletivo. Colegas que testemunham o assédio sistematicamente praticado ficam desconfortáveis, inseguros sobre como reagir, e frequentemente adotam condutas de evitação, o que isola ainda mais a vítima e compromete a colaboração dentro da equipe. A degradação do ambiente de trabalho como elemento constitutivo reflete o reconhecimento de que o assédio moral </w:t>
      </w:r>
      <w:r>
        <w:rPr>
          <w:sz w:val="21"/>
          <w:szCs w:val="21"/>
        </w:rPr>
        <w:lastRenderedPageBreak/>
        <w:t>tem vítima primária, o servidor diretamente assediado, e vítimas secundárias, a equipe que convive com o ambiente de violência.</w:t>
      </w:r>
    </w:p>
    <w:p w14:paraId="2F641BF1" w14:textId="77777777" w:rsidR="00ED5BD0" w:rsidRPr="00ED5BD0" w:rsidRDefault="00ED5BD0" w:rsidP="00ED5BD0">
      <w:pPr>
        <w:spacing w:after="120"/>
        <w:jc w:val="both"/>
        <w:rPr>
          <w:sz w:val="21"/>
          <w:szCs w:val="21"/>
        </w:rPr>
      </w:pPr>
      <w:r>
        <w:rPr>
          <w:b/>
          <w:bCs/>
          <w:sz w:val="21"/>
          <w:szCs w:val="21"/>
        </w:rPr>
        <w:t>O elemento subjetivo e seu papel.</w:t>
      </w:r>
      <w:r>
        <w:rPr>
          <w:sz w:val="21"/>
          <w:szCs w:val="21"/>
        </w:rPr>
        <w:t xml:space="preserve"> A NT nº 93/2024 afirma que, para a caracterização do assédio moral, o elemento subjetivo, a intenção do assediador, não é necessário: basta demonstrar que a conduta, objetivamente avaliada, produziu o efeito de ofensa à dignidade e de degradação do ambiente. Contudo, o elemento subjetivo </w:t>
      </w:r>
      <w:r>
        <w:rPr>
          <w:i/>
          <w:iCs/>
          <w:sz w:val="21"/>
          <w:szCs w:val="21"/>
        </w:rPr>
        <w:t>"assume papel determinante na apuração da gravidade da conduta"</w:t>
      </w:r>
      <w:r>
        <w:rPr>
          <w:sz w:val="21"/>
          <w:szCs w:val="21"/>
        </w:rPr>
        <w:t>: assédio doloso, com propósito deliberado de humilhar, isolar ou destruir a vítima, é substancialmente mais grave do que o decorrente de incompetência gerencial ou de displicência sem dolo. Essa distinção reflete-se na dosimetria e, conforme as circunstâncias, no enquadramento: dolo → art. 117, IX; culpa → art. 116, IX.</w:t>
      </w:r>
    </w:p>
    <w:p w14:paraId="2E90B53C" w14:textId="77777777" w:rsidR="00ED5BD0" w:rsidRPr="0015792A" w:rsidRDefault="00ED5BD0" w:rsidP="0015792A">
      <w:pPr>
        <w:pStyle w:val="Ttulo2"/>
        <w:keepNext/>
      </w:pPr>
      <w:bookmarkStart w:id="52" w:name="_Toc238022047"/>
      <w:r>
        <w:t>5.4 A habitualidade e suas nuances: o padrão reiterado como elemento definidor</w:t>
      </w:r>
      <w:bookmarkEnd w:id="52"/>
    </w:p>
    <w:p w14:paraId="0085799F" w14:textId="77777777" w:rsidR="00ED5BD0" w:rsidRPr="00ED5BD0" w:rsidRDefault="00ED5BD0" w:rsidP="00ED5BD0">
      <w:pPr>
        <w:spacing w:after="120"/>
        <w:jc w:val="both"/>
        <w:rPr>
          <w:sz w:val="21"/>
          <w:szCs w:val="21"/>
        </w:rPr>
      </w:pPr>
      <w:r>
        <w:rPr>
          <w:sz w:val="21"/>
          <w:szCs w:val="21"/>
        </w:rPr>
        <w:t xml:space="preserve">A habitualidade, a reiteração das condutas ao longo do tempo, é o traço mais característico do assédio moral e o que o distingue das demais categorias de ilícito disciplinar. Hirigoyen destaca que </w:t>
      </w:r>
      <w:r>
        <w:rPr>
          <w:i/>
          <w:iCs/>
          <w:sz w:val="21"/>
          <w:szCs w:val="21"/>
        </w:rPr>
        <w:t>"é a repetição dos atos que constitui o assédio moral: cada ato considerado isoladamente pode parecer anódino; é o conjunto que se torna devastador"</w:t>
      </w:r>
      <w:r>
        <w:rPr>
          <w:sz w:val="21"/>
          <w:szCs w:val="21"/>
        </w:rPr>
        <w:t xml:space="preserve"> (Assédio Moral, cit., p. 66). Essa observação é de importância prática decisiva para o operador: a análise do assédio moral não pode ser feita episódio por episódio, como se cada conduta individual precisasse, isoladamente, satisfazer os elementos de um tipo disciplinar autônomo. É o padrão que precisa ser analisado, a sistematicidade que emerge do conjunto.</w:t>
      </w:r>
    </w:p>
    <w:p w14:paraId="1B976C6E" w14:textId="77777777" w:rsidR="00ED5BD0" w:rsidRPr="00ED5BD0" w:rsidRDefault="00ED5BD0" w:rsidP="00ED5BD0">
      <w:pPr>
        <w:spacing w:after="120"/>
        <w:jc w:val="both"/>
        <w:rPr>
          <w:sz w:val="21"/>
          <w:szCs w:val="21"/>
        </w:rPr>
      </w:pPr>
      <w:proofErr w:type="spellStart"/>
      <w:r>
        <w:rPr>
          <w:sz w:val="21"/>
          <w:szCs w:val="21"/>
        </w:rPr>
        <w:t>Leymann</w:t>
      </w:r>
      <w:proofErr w:type="spellEnd"/>
      <w:r>
        <w:rPr>
          <w:sz w:val="21"/>
          <w:szCs w:val="21"/>
        </w:rPr>
        <w:t xml:space="preserve"> identificou, em sua pesquisa, que as condutas que compõem o padrão de assédio moral são individualmente comuns e frequentemente ambíguas: o superior que raramente responde e-mails de determinado subordinado pode simplesmente estar sobrecarregado; o colega que frequentemente omite determinado servidor das conversas de grupo pode simplesmente ser distraído; a chefia que sistematicamente atribui as tarefas mais tediosas a determinado servidor pode ter razões legítimas de distribuição de trabalho. É a combinação de múltiplas condutas dirigidas sistematicamente ao mesmo servidor, ao longo de período suficientemente longo, que transforma o conjunto em assédio moral, mesmo que cada conduta individual tenha aparência de neutralidade.</w:t>
      </w:r>
    </w:p>
    <w:p w14:paraId="1B277D20" w14:textId="77777777" w:rsidR="00ED5BD0" w:rsidRPr="00ED5BD0" w:rsidRDefault="00ED5BD0" w:rsidP="00ED5BD0">
      <w:pPr>
        <w:spacing w:after="120"/>
        <w:jc w:val="both"/>
        <w:rPr>
          <w:sz w:val="21"/>
          <w:szCs w:val="21"/>
        </w:rPr>
      </w:pPr>
      <w:r>
        <w:rPr>
          <w:sz w:val="21"/>
          <w:szCs w:val="21"/>
        </w:rPr>
        <w:t>A NT nº 93/2024 não fixa número mínimo de episódios nem período mínimo de duração para a configuração da habitualidade. O critério é qualitativo: há padrão consistente de comportamento hostil ou degradante dirigido ao mesmo servidor? A frequência, a duração e a sistematicidade são os parâmetros de avaliação, sem que qualquer deles, isoladamente, seja condição necessária ou suficiente.</w:t>
      </w:r>
    </w:p>
    <w:p w14:paraId="54F7E657" w14:textId="77777777" w:rsidR="00ED5BD0" w:rsidRPr="00ED5BD0" w:rsidRDefault="00ED5BD0" w:rsidP="00ED5BD0">
      <w:pPr>
        <w:spacing w:after="120"/>
        <w:jc w:val="both"/>
        <w:rPr>
          <w:sz w:val="21"/>
          <w:szCs w:val="21"/>
        </w:rPr>
      </w:pPr>
      <w:r>
        <w:rPr>
          <w:b/>
          <w:bCs/>
          <w:sz w:val="21"/>
          <w:szCs w:val="21"/>
        </w:rPr>
        <w:t>A resistência à cessação como indicador de padrão.</w:t>
      </w:r>
      <w:r>
        <w:rPr>
          <w:sz w:val="21"/>
          <w:szCs w:val="21"/>
        </w:rPr>
        <w:t xml:space="preserve"> </w:t>
      </w:r>
      <w:proofErr w:type="spellStart"/>
      <w:r>
        <w:rPr>
          <w:sz w:val="21"/>
          <w:szCs w:val="21"/>
        </w:rPr>
        <w:t>Leymann</w:t>
      </w:r>
      <w:proofErr w:type="spellEnd"/>
      <w:r>
        <w:rPr>
          <w:sz w:val="21"/>
          <w:szCs w:val="21"/>
        </w:rPr>
        <w:t xml:space="preserve"> identificou um critério operacionalmente útil para distinguir o conflito pontual do assédio moral sistemático: a resposta do comportamento do assediador às intervenções e resistências da vítima. Conflito pontual tende a se resolver, a agressão cessa quando a vítima reage, quando um mediador intervém, quando as circunstâncias mudam. O assédio moral, por sua estrutura sistemática e frequentemente pela motivação que o orienta, persiste e frequentemente se intensifica quando a vítima resiste ou </w:t>
      </w:r>
      <w:proofErr w:type="spellStart"/>
      <w:r>
        <w:rPr>
          <w:sz w:val="21"/>
          <w:szCs w:val="21"/>
        </w:rPr>
        <w:t>denuncia</w:t>
      </w:r>
      <w:proofErr w:type="spellEnd"/>
      <w:r>
        <w:rPr>
          <w:sz w:val="21"/>
          <w:szCs w:val="21"/>
        </w:rPr>
        <w:t xml:space="preserve">. Esse padrão de escalada, que </w:t>
      </w:r>
      <w:proofErr w:type="spellStart"/>
      <w:r>
        <w:rPr>
          <w:sz w:val="21"/>
          <w:szCs w:val="21"/>
        </w:rPr>
        <w:t>Leymann</w:t>
      </w:r>
      <w:proofErr w:type="spellEnd"/>
      <w:r>
        <w:rPr>
          <w:sz w:val="21"/>
          <w:szCs w:val="21"/>
        </w:rPr>
        <w:t xml:space="preserve"> documentou consistentemente nas amostras que estudou, é indicador relevante de que a conduta não é episódio </w:t>
      </w:r>
      <w:proofErr w:type="gramStart"/>
      <w:r>
        <w:rPr>
          <w:sz w:val="21"/>
          <w:szCs w:val="21"/>
        </w:rPr>
        <w:t>isolado</w:t>
      </w:r>
      <w:proofErr w:type="gramEnd"/>
      <w:r>
        <w:rPr>
          <w:sz w:val="21"/>
          <w:szCs w:val="21"/>
        </w:rPr>
        <w:t xml:space="preserve"> mas parte de padrão deliberado.</w:t>
      </w:r>
    </w:p>
    <w:p w14:paraId="454C7228" w14:textId="77777777" w:rsidR="00ED5BD0" w:rsidRPr="009F7F16" w:rsidRDefault="00ED5BD0" w:rsidP="009F7F16">
      <w:pPr>
        <w:pStyle w:val="Ttulo2"/>
        <w:keepNext/>
      </w:pPr>
      <w:bookmarkStart w:id="53" w:name="_Toc238022048"/>
      <w:r>
        <w:lastRenderedPageBreak/>
        <w:t>5.5 A exceção do ato único gravíssimo: quando a reiteração não é condição</w:t>
      </w:r>
      <w:bookmarkEnd w:id="53"/>
    </w:p>
    <w:p w14:paraId="20C442E6" w14:textId="77777777" w:rsidR="00ED5BD0" w:rsidRPr="00ED5BD0" w:rsidRDefault="00ED5BD0" w:rsidP="00ED5BD0">
      <w:pPr>
        <w:spacing w:after="120"/>
        <w:jc w:val="both"/>
        <w:rPr>
          <w:sz w:val="21"/>
          <w:szCs w:val="21"/>
        </w:rPr>
      </w:pPr>
      <w:r>
        <w:rPr>
          <w:sz w:val="21"/>
          <w:szCs w:val="21"/>
        </w:rPr>
        <w:t>A Convenção nº 190 da OIT e a NT nº 93/2024, ao incluírem a possibilidade de enquadramento de condutas de "ocorrência única", criaram uma exceção ao paradigma da habitualidade que o operador precisa compreender com precisão, tanto para não a aplicar onde não cabe quanto para não deixar de aplicá-la onde é necessária.</w:t>
      </w:r>
    </w:p>
    <w:p w14:paraId="24472748" w14:textId="77777777" w:rsidR="00ED5BD0" w:rsidRPr="00ED5BD0" w:rsidRDefault="00ED5BD0" w:rsidP="00ED5BD0">
      <w:pPr>
        <w:spacing w:after="120"/>
        <w:jc w:val="both"/>
        <w:rPr>
          <w:sz w:val="21"/>
          <w:szCs w:val="21"/>
        </w:rPr>
      </w:pPr>
      <w:r>
        <w:rPr>
          <w:sz w:val="21"/>
          <w:szCs w:val="21"/>
        </w:rPr>
        <w:t>O ato único grave, humilhação pública de extrema intensidade, exposição vexatória em reunião com múltiplos presentes, comunicado oficial que expõe limitações do servidor de forma deliberadamente degradante diante de toda a equipe, pode causar dano imediato e duradouro que funciona de forma análoga ao dano cumulativo do padrão reiterado. O mecanismo é diferente, é o trauma agudo, não o esgotamento progressivo, mas o resultado pode ser equivalente: comprometimento da capacidade de trabalho, da autoestima profissional e da segurança no ambiente funcional.</w:t>
      </w:r>
    </w:p>
    <w:p w14:paraId="58BAB1B2" w14:textId="77777777" w:rsidR="00ED5BD0" w:rsidRPr="009F7F16" w:rsidRDefault="00ED5BD0" w:rsidP="00ED5BD0">
      <w:pPr>
        <w:spacing w:after="120"/>
        <w:jc w:val="both"/>
        <w:rPr>
          <w:sz w:val="21"/>
          <w:szCs w:val="21"/>
        </w:rPr>
      </w:pPr>
      <w:r>
        <w:rPr>
          <w:sz w:val="21"/>
          <w:szCs w:val="21"/>
        </w:rPr>
        <w:t xml:space="preserve">A ferramenta </w:t>
      </w:r>
      <w:proofErr w:type="spellStart"/>
      <w:r>
        <w:rPr>
          <w:sz w:val="21"/>
          <w:szCs w:val="21"/>
        </w:rPr>
        <w:t>Integritas</w:t>
      </w:r>
      <w:proofErr w:type="spellEnd"/>
      <w:r>
        <w:rPr>
          <w:sz w:val="21"/>
          <w:szCs w:val="21"/>
        </w:rPr>
        <w:t xml:space="preserve"> introduziu para o ato isolado grave uma bifurcação que a versão anterior não contemplava: a pergunta sobre uso instrumental do cargo. Um único episódio de extrema gravidade praticado com recurso às prerrogativas do cargo, com o peso e a autoridade da função pública amplificando o impacto do ato, pode configurar assédio moral ainda sem reiteração, porque o poder funcional transforma o episódio único em algo que tem dimensão institucional equivalente a um padrão.</w:t>
      </w:r>
    </w:p>
    <w:p w14:paraId="0D3FF0E1" w14:textId="77777777" w:rsidR="00ED5BD0" w:rsidRPr="009F7F16" w:rsidRDefault="00ED5BD0" w:rsidP="00ED5BD0">
      <w:pPr>
        <w:spacing w:after="120"/>
        <w:jc w:val="both"/>
        <w:rPr>
          <w:sz w:val="21"/>
          <w:szCs w:val="21"/>
        </w:rPr>
      </w:pPr>
      <w:r>
        <w:rPr>
          <w:sz w:val="21"/>
          <w:szCs w:val="21"/>
        </w:rPr>
        <w:t>Quando confirmado o uso do cargo no ato isolado grave, a ferramenta encaminha à análise do elemento subjetivo: dolo → art. 117, IX (valimento do cargo) → demissão; culpa → art. 116, IX (falha gerencial) → advertência ou suspensão; ausência de elemento subjetivo identificável → sem ilícito disciplinar neste eixo. Essa estrutura reflete a posição da NT nº 93/2024 de que o elemento subjetivo, embora não necessário para a caracterização, é determinante para a gravidade e o enquadramento.</w:t>
      </w:r>
    </w:p>
    <w:p w14:paraId="69089AD6" w14:textId="77777777" w:rsidR="00ED5BD0" w:rsidRPr="009F7F16" w:rsidRDefault="00ED5BD0" w:rsidP="00ED5BD0">
      <w:pPr>
        <w:spacing w:after="120"/>
        <w:jc w:val="both"/>
        <w:rPr>
          <w:sz w:val="21"/>
          <w:szCs w:val="21"/>
        </w:rPr>
      </w:pPr>
      <w:r>
        <w:rPr>
          <w:sz w:val="21"/>
          <w:szCs w:val="21"/>
        </w:rPr>
        <w:t>A exceção do ato único deve ser aplicada com cautela: ela não transforma toda conduta grave e isolada em assédio moral. O que a enquadra nessa categoria é a combinação de extrema gravidade individual com aptidão para produzir o tipo de dano que o assédio moral reiterado causaria, e, quando presente, o uso instrumental do cargo que amplifica esse impacto. Condutas graves, mas sem essa dimensão sistêmica, devem ser analisadas nos eixos específicos correspondentes: agressão física (Eixo 1), ameaça (Eixo 2), violência verbal (Eixo 7).</w:t>
      </w:r>
    </w:p>
    <w:p w14:paraId="0A28FF4D" w14:textId="77777777" w:rsidR="00ED5BD0" w:rsidRPr="009F7F16" w:rsidRDefault="00ED5BD0" w:rsidP="009F7F16">
      <w:pPr>
        <w:pStyle w:val="Ttulo2"/>
        <w:keepNext/>
      </w:pPr>
      <w:bookmarkStart w:id="54" w:name="_Toc238022049"/>
      <w:r>
        <w:t>5.6 As três modalidades: descendente, horizontal e ascendente</w:t>
      </w:r>
      <w:bookmarkEnd w:id="54"/>
    </w:p>
    <w:p w14:paraId="61D6F49A" w14:textId="77777777" w:rsidR="00ED5BD0" w:rsidRPr="00ED5BD0" w:rsidRDefault="00ED5BD0" w:rsidP="00ED5BD0">
      <w:pPr>
        <w:spacing w:after="120"/>
        <w:jc w:val="both"/>
        <w:rPr>
          <w:sz w:val="21"/>
          <w:szCs w:val="21"/>
        </w:rPr>
      </w:pPr>
      <w:r>
        <w:rPr>
          <w:sz w:val="21"/>
          <w:szCs w:val="21"/>
        </w:rPr>
        <w:t>A doutrina e a NT nº 93/2024 reconhecem três modalidades de assédio moral, definidas pela direção da relação hierárquica entre assediador e vítima. Cada modalidade tem características próprias que afetam tanto o enquadramento quanto a prova.</w:t>
      </w:r>
    </w:p>
    <w:p w14:paraId="0E72AAAA" w14:textId="77777777" w:rsidR="00ED5BD0" w:rsidRPr="00ED5BD0" w:rsidRDefault="00ED5BD0" w:rsidP="00ED5BD0">
      <w:pPr>
        <w:spacing w:after="120"/>
        <w:jc w:val="both"/>
        <w:rPr>
          <w:sz w:val="21"/>
          <w:szCs w:val="21"/>
        </w:rPr>
      </w:pPr>
      <w:r>
        <w:rPr>
          <w:b/>
          <w:bCs/>
          <w:sz w:val="21"/>
          <w:szCs w:val="21"/>
        </w:rPr>
        <w:t>Assédio moral vertical descendente</w:t>
      </w:r>
      <w:r>
        <w:rPr>
          <w:sz w:val="21"/>
          <w:szCs w:val="21"/>
        </w:rPr>
        <w:t xml:space="preserve">, do superior ao subordinado, é a modalidade mais frequente, mais estudada e mais facilmente reconhecida como assédio moral. O poder hierárquico do assediador sobre a vítima opera como amplificador: a vítima não pode simplesmente ignorar ou resistir abertamente ao assédio do seu superior sem enfrentar consequências funcionais potencialmente graves. Como observa Hirigoyen, </w:t>
      </w:r>
      <w:r>
        <w:rPr>
          <w:i/>
          <w:iCs/>
          <w:sz w:val="21"/>
          <w:szCs w:val="21"/>
        </w:rPr>
        <w:t>"a relação de poder que já existe dentro da empresa torna ainda mais difícil para a vítima se defender"</w:t>
      </w:r>
      <w:r>
        <w:rPr>
          <w:sz w:val="21"/>
          <w:szCs w:val="21"/>
        </w:rPr>
        <w:t xml:space="preserve"> (Assédio Moral, cit., p. 79). O assédio descendente frequentemente usa os instrumentos da gestão como mecanismo de pressão: avaliações negativas sem fundamento, distribuição de tarefas impossíveis, exclusão de reuniões relevantes, cobranças públicas e vexatórias, </w:t>
      </w:r>
      <w:r>
        <w:rPr>
          <w:sz w:val="21"/>
          <w:szCs w:val="21"/>
        </w:rPr>
        <w:lastRenderedPageBreak/>
        <w:t>todos atos que, em si, podem ser exercícios legítimos do poder diretivo, mas que, dirigidos sistematicamente ao mesmo servidor com o propósito de humilhar ou excluir, configuram assédio.</w:t>
      </w:r>
    </w:p>
    <w:p w14:paraId="6009F2C1" w14:textId="77777777" w:rsidR="00ED5BD0" w:rsidRPr="00ED5BD0" w:rsidRDefault="00ED5BD0" w:rsidP="00ED5BD0">
      <w:pPr>
        <w:spacing w:after="120"/>
        <w:jc w:val="both"/>
        <w:rPr>
          <w:sz w:val="21"/>
          <w:szCs w:val="21"/>
        </w:rPr>
      </w:pPr>
      <w:r>
        <w:rPr>
          <w:b/>
          <w:bCs/>
          <w:sz w:val="21"/>
          <w:szCs w:val="21"/>
        </w:rPr>
        <w:t>Assédio moral horizontal</w:t>
      </w:r>
      <w:r>
        <w:rPr>
          <w:sz w:val="21"/>
          <w:szCs w:val="21"/>
        </w:rPr>
        <w:t xml:space="preserve">, entre servidores de mesmo nível hierárquico, sem relação formal de subordinação, ocorre tipicamente quando um grupo escolhe determinado servidor como bode expiatório e lhe dirige sistematicamente condutas hostis: boicote às suas iniciativas, exclusão das interações sociais da equipe, desqualificação pública de sua competência, compartilhamento de informações negativas sobre ele com colegas e superiores. O assédio horizontal pode ter motivações discriminatórias, a escolha da vítima motivada por sua raça, gênero, orientação sexual ou deficiência, o que configura o assédio moral discriminatório analisado na seção 5.10 e que a ferramenta </w:t>
      </w:r>
      <w:proofErr w:type="spellStart"/>
      <w:r>
        <w:rPr>
          <w:sz w:val="21"/>
          <w:szCs w:val="21"/>
        </w:rPr>
        <w:t>Integritas</w:t>
      </w:r>
      <w:proofErr w:type="spellEnd"/>
      <w:r>
        <w:rPr>
          <w:sz w:val="21"/>
          <w:szCs w:val="21"/>
        </w:rPr>
        <w:t xml:space="preserve"> verifica explicitamente nas modalidades horizontal e ascendente.</w:t>
      </w:r>
    </w:p>
    <w:p w14:paraId="78B2BC63" w14:textId="77777777" w:rsidR="00ED5BD0" w:rsidRPr="00ED5BD0" w:rsidRDefault="00ED5BD0" w:rsidP="00ED5BD0">
      <w:pPr>
        <w:spacing w:after="120"/>
        <w:jc w:val="both"/>
        <w:rPr>
          <w:sz w:val="21"/>
          <w:szCs w:val="21"/>
        </w:rPr>
      </w:pPr>
      <w:r>
        <w:rPr>
          <w:b/>
          <w:bCs/>
          <w:sz w:val="21"/>
          <w:szCs w:val="21"/>
        </w:rPr>
        <w:t>Assédio moral vertical ascendente</w:t>
      </w:r>
      <w:r>
        <w:rPr>
          <w:sz w:val="21"/>
          <w:szCs w:val="21"/>
        </w:rPr>
        <w:t>, do subordinado (ou grupo) ao superior, é a modalidade menos frequente e menos estudada, mas cuja frequência cresce em contextos de transição hierárquica: novos gestores que chegam para implementar mudanças rejeitadas pela equipe, gestores cujos valores ou estilo diferem acentuadamente da cultura prévia do grupo. O assédio ascendente manifesta-se como boicote coletivo às decisões do gestor, desqualificação sistemática de sua autoridade perante superiores hierárquicos, recusa coletiva de cumprimento de ordens sem fundamentação, compartilhamento de informações negativas sobre o gestor que comprometem sua imagem institucional.</w:t>
      </w:r>
    </w:p>
    <w:p w14:paraId="7BF21FD7" w14:textId="77777777" w:rsidR="00ED5BD0" w:rsidRPr="00ED5BD0" w:rsidRDefault="00ED5BD0" w:rsidP="00ED5BD0">
      <w:pPr>
        <w:spacing w:after="120"/>
        <w:jc w:val="both"/>
        <w:rPr>
          <w:sz w:val="21"/>
          <w:szCs w:val="21"/>
        </w:rPr>
      </w:pPr>
      <w:r>
        <w:rPr>
          <w:sz w:val="21"/>
          <w:szCs w:val="21"/>
        </w:rPr>
        <w:t xml:space="preserve">A distinção entre as três modalidades tem consequência para o enquadramento disciplinar: o assédio descendente com uso do cargo enquadra-se diretamente no art. 117, IX (valimento do cargo), com demissão; o assédio horizontal e o ascendente, que por definição não envolvem uso de cargo sobre a vítima, têm enquadramento inicial no art. 132, V (conduta escandalosa, quando grave) ou no art. 116, IX e XI (quando moderado), com a verificação adicional da motivação discriminatória que a ferramenta </w:t>
      </w:r>
      <w:proofErr w:type="spellStart"/>
      <w:r>
        <w:rPr>
          <w:sz w:val="21"/>
          <w:szCs w:val="21"/>
        </w:rPr>
        <w:t>Integritas</w:t>
      </w:r>
      <w:proofErr w:type="spellEnd"/>
      <w:r>
        <w:rPr>
          <w:sz w:val="21"/>
          <w:szCs w:val="21"/>
        </w:rPr>
        <w:t xml:space="preserve"> incorporou.</w:t>
      </w:r>
    </w:p>
    <w:p w14:paraId="12BC814E" w14:textId="77777777" w:rsidR="00ED5BD0" w:rsidRPr="00E94FDD" w:rsidRDefault="00ED5BD0" w:rsidP="00E94FDD">
      <w:pPr>
        <w:pStyle w:val="Ttulo2"/>
        <w:keepNext/>
      </w:pPr>
      <w:bookmarkStart w:id="55" w:name="_Toc238022050"/>
      <w:r>
        <w:t>5.7 O dano psicológico documentado: o que a pesquisa clínica estabelece</w:t>
      </w:r>
      <w:bookmarkEnd w:id="55"/>
    </w:p>
    <w:p w14:paraId="64B94D19" w14:textId="77777777" w:rsidR="00ED5BD0" w:rsidRPr="00ED5BD0" w:rsidRDefault="00ED5BD0" w:rsidP="00ED5BD0">
      <w:pPr>
        <w:spacing w:after="120"/>
        <w:jc w:val="both"/>
        <w:rPr>
          <w:sz w:val="21"/>
          <w:szCs w:val="21"/>
        </w:rPr>
      </w:pPr>
      <w:r>
        <w:rPr>
          <w:sz w:val="21"/>
          <w:szCs w:val="21"/>
        </w:rPr>
        <w:t>A pesquisa clínica sobre assédio moral documenta, com metodologia rigorosa e replicada em múltiplos contextos culturais, um conjunto consistente de impactos sobre a saúde física e psicológica das vítimas que fundamenta a gravidade do enquadramento disciplinar.</w:t>
      </w:r>
    </w:p>
    <w:p w14:paraId="33CFA807" w14:textId="77777777" w:rsidR="00ED5BD0" w:rsidRPr="00ED5BD0" w:rsidRDefault="00ED5BD0" w:rsidP="00ED5BD0">
      <w:pPr>
        <w:spacing w:after="120"/>
        <w:jc w:val="both"/>
        <w:rPr>
          <w:sz w:val="21"/>
          <w:szCs w:val="21"/>
        </w:rPr>
      </w:pPr>
      <w:proofErr w:type="spellStart"/>
      <w:r>
        <w:rPr>
          <w:sz w:val="21"/>
          <w:szCs w:val="21"/>
        </w:rPr>
        <w:t>Leymann</w:t>
      </w:r>
      <w:proofErr w:type="spellEnd"/>
      <w:r>
        <w:rPr>
          <w:sz w:val="21"/>
          <w:szCs w:val="21"/>
        </w:rPr>
        <w:t xml:space="preserve"> foi o primeiro a documentar sistematicamente a progressão do dano psicológico em vítimas de </w:t>
      </w:r>
      <w:proofErr w:type="spellStart"/>
      <w:r>
        <w:rPr>
          <w:i/>
          <w:iCs/>
          <w:sz w:val="21"/>
          <w:szCs w:val="21"/>
        </w:rPr>
        <w:t>mobbing</w:t>
      </w:r>
      <w:proofErr w:type="spellEnd"/>
      <w:r>
        <w:rPr>
          <w:sz w:val="21"/>
          <w:szCs w:val="21"/>
        </w:rPr>
        <w:t xml:space="preserve">. Em pesquisa longitudinal, identificou quatro fases características: (1) a fase de confusão, em que a vítima não compreende o que está acontecendo e frequentemente culpa a si própria; (2) a fase de estigmatização, em que o assédio a isola progressivamente e compromete sua reputação na organização; (3) a fase de intervenção da Administração, que frequentemente, nas organizações estudadas por </w:t>
      </w:r>
      <w:proofErr w:type="spellStart"/>
      <w:r>
        <w:rPr>
          <w:sz w:val="21"/>
          <w:szCs w:val="21"/>
        </w:rPr>
        <w:t>Leymann</w:t>
      </w:r>
      <w:proofErr w:type="spellEnd"/>
      <w:r>
        <w:rPr>
          <w:sz w:val="21"/>
          <w:szCs w:val="21"/>
        </w:rPr>
        <w:t>, resultava em punição da vítima, que era percebida como o problema, em vez do assediador; e (4) a fase de exclusão, em que a vítima abandona a organização, frequentemente com diagnóstico de doença ocupacional</w:t>
      </w:r>
      <w:r>
        <w:rPr>
          <w:rStyle w:val="Refdenotaderodap"/>
          <w:sz w:val="21"/>
          <w:szCs w:val="21"/>
        </w:rPr>
        <w:footnoteReference w:id="27"/>
      </w:r>
      <w:r>
        <w:rPr>
          <w:sz w:val="21"/>
          <w:szCs w:val="21"/>
        </w:rPr>
        <w:t>.</w:t>
      </w:r>
    </w:p>
    <w:p w14:paraId="406DD641" w14:textId="77777777" w:rsidR="00ED5BD0" w:rsidRPr="00ED5BD0" w:rsidRDefault="00ED5BD0" w:rsidP="00ED5BD0">
      <w:pPr>
        <w:spacing w:after="120"/>
        <w:jc w:val="both"/>
        <w:rPr>
          <w:sz w:val="21"/>
          <w:szCs w:val="21"/>
        </w:rPr>
      </w:pPr>
      <w:r>
        <w:rPr>
          <w:sz w:val="21"/>
          <w:szCs w:val="21"/>
        </w:rPr>
        <w:t xml:space="preserve">Christina </w:t>
      </w:r>
      <w:proofErr w:type="spellStart"/>
      <w:r>
        <w:rPr>
          <w:sz w:val="21"/>
          <w:szCs w:val="21"/>
        </w:rPr>
        <w:t>Maslach</w:t>
      </w:r>
      <w:proofErr w:type="spellEnd"/>
      <w:r>
        <w:rPr>
          <w:sz w:val="21"/>
          <w:szCs w:val="21"/>
        </w:rPr>
        <w:t xml:space="preserve">, criadora do instrumento de medição de </w:t>
      </w:r>
      <w:r>
        <w:rPr>
          <w:i/>
          <w:iCs/>
          <w:sz w:val="21"/>
          <w:szCs w:val="21"/>
        </w:rPr>
        <w:t>burnout</w:t>
      </w:r>
      <w:r>
        <w:rPr>
          <w:sz w:val="21"/>
          <w:szCs w:val="21"/>
        </w:rPr>
        <w:t xml:space="preserve"> mais utilizado globalmente (</w:t>
      </w:r>
      <w:proofErr w:type="spellStart"/>
      <w:r>
        <w:rPr>
          <w:sz w:val="21"/>
          <w:szCs w:val="21"/>
        </w:rPr>
        <w:t>Maslach</w:t>
      </w:r>
      <w:proofErr w:type="spellEnd"/>
      <w:r>
        <w:rPr>
          <w:sz w:val="21"/>
          <w:szCs w:val="21"/>
        </w:rPr>
        <w:t xml:space="preserve"> Burnout </w:t>
      </w:r>
      <w:proofErr w:type="spellStart"/>
      <w:r>
        <w:rPr>
          <w:sz w:val="21"/>
          <w:szCs w:val="21"/>
        </w:rPr>
        <w:t>Inventory</w:t>
      </w:r>
      <w:proofErr w:type="spellEnd"/>
      <w:r>
        <w:rPr>
          <w:sz w:val="21"/>
          <w:szCs w:val="21"/>
        </w:rPr>
        <w:t>), documentou que o assédio moral é um dos fatores de risco mais fortes para o desenvolvimento da Síndrome de Esgotamento Profissional (</w:t>
      </w:r>
      <w:r>
        <w:rPr>
          <w:i/>
          <w:iCs/>
          <w:sz w:val="21"/>
          <w:szCs w:val="21"/>
        </w:rPr>
        <w:t>burnout</w:t>
      </w:r>
      <w:r>
        <w:rPr>
          <w:sz w:val="21"/>
          <w:szCs w:val="21"/>
        </w:rPr>
        <w:t xml:space="preserve">), reconhecida pela OMS como fenômeno ocupacional (CID-11, código QD85): </w:t>
      </w:r>
      <w:r>
        <w:rPr>
          <w:i/>
          <w:iCs/>
          <w:sz w:val="21"/>
          <w:szCs w:val="21"/>
        </w:rPr>
        <w:t xml:space="preserve">"trabalhar em ambiente de violência interpessoal </w:t>
      </w:r>
      <w:r>
        <w:rPr>
          <w:i/>
          <w:iCs/>
          <w:sz w:val="21"/>
          <w:szCs w:val="21"/>
        </w:rPr>
        <w:lastRenderedPageBreak/>
        <w:t>crônica é o preditor mais robusto do esgotamento profissional que identificamos em nossos estudos"</w:t>
      </w:r>
      <w:r>
        <w:rPr>
          <w:rStyle w:val="Refdenotaderodap"/>
          <w:i/>
          <w:iCs/>
          <w:sz w:val="21"/>
          <w:szCs w:val="21"/>
        </w:rPr>
        <w:footnoteReference w:id="28"/>
      </w:r>
      <w:r>
        <w:rPr>
          <w:sz w:val="21"/>
          <w:szCs w:val="21"/>
        </w:rPr>
        <w:t xml:space="preserve">. A vítima de assédio moral desenvolve </w:t>
      </w:r>
      <w:r>
        <w:rPr>
          <w:i/>
          <w:iCs/>
          <w:sz w:val="21"/>
          <w:szCs w:val="21"/>
        </w:rPr>
        <w:t>burnout</w:t>
      </w:r>
      <w:r>
        <w:rPr>
          <w:sz w:val="21"/>
          <w:szCs w:val="21"/>
        </w:rPr>
        <w:t xml:space="preserve"> pelo mecanismo de hiperativação permanente do sistema de resposta ao estresse, o mesmo mecanismo que van der </w:t>
      </w:r>
      <w:proofErr w:type="spellStart"/>
      <w:r>
        <w:rPr>
          <w:sz w:val="21"/>
          <w:szCs w:val="21"/>
        </w:rPr>
        <w:t>Kolk</w:t>
      </w:r>
      <w:proofErr w:type="spellEnd"/>
      <w:r>
        <w:rPr>
          <w:sz w:val="21"/>
          <w:szCs w:val="21"/>
        </w:rPr>
        <w:t xml:space="preserve"> documentou para o trauma</w:t>
      </w:r>
      <w:r>
        <w:rPr>
          <w:rStyle w:val="Refdenotaderodap"/>
          <w:sz w:val="21"/>
          <w:szCs w:val="21"/>
        </w:rPr>
        <w:footnoteReference w:id="29"/>
      </w:r>
      <w:r>
        <w:rPr>
          <w:sz w:val="21"/>
          <w:szCs w:val="21"/>
        </w:rPr>
        <w:t xml:space="preserve"> (</w:t>
      </w:r>
      <w:r>
        <w:rPr>
          <w:i/>
          <w:iCs/>
          <w:sz w:val="21"/>
          <w:szCs w:val="21"/>
        </w:rPr>
        <w:t xml:space="preserve">The Body </w:t>
      </w:r>
      <w:proofErr w:type="spellStart"/>
      <w:r>
        <w:rPr>
          <w:i/>
          <w:iCs/>
          <w:sz w:val="21"/>
          <w:szCs w:val="21"/>
        </w:rPr>
        <w:t>Keeps</w:t>
      </w:r>
      <w:proofErr w:type="spellEnd"/>
      <w:r>
        <w:rPr>
          <w:i/>
          <w:iCs/>
          <w:sz w:val="21"/>
          <w:szCs w:val="21"/>
        </w:rPr>
        <w:t xml:space="preserve"> </w:t>
      </w:r>
      <w:proofErr w:type="spellStart"/>
      <w:r>
        <w:rPr>
          <w:i/>
          <w:iCs/>
          <w:sz w:val="21"/>
          <w:szCs w:val="21"/>
        </w:rPr>
        <w:t>the</w:t>
      </w:r>
      <w:proofErr w:type="spellEnd"/>
      <w:r>
        <w:rPr>
          <w:i/>
          <w:iCs/>
          <w:sz w:val="21"/>
          <w:szCs w:val="21"/>
        </w:rPr>
        <w:t xml:space="preserve"> Score</w:t>
      </w:r>
      <w:r>
        <w:rPr>
          <w:sz w:val="21"/>
          <w:szCs w:val="21"/>
        </w:rPr>
        <w:t>, cit.).</w:t>
      </w:r>
    </w:p>
    <w:p w14:paraId="50C160EA" w14:textId="77777777" w:rsidR="00ED5BD0" w:rsidRPr="00ED5BD0" w:rsidRDefault="00ED5BD0" w:rsidP="00ED5BD0">
      <w:pPr>
        <w:spacing w:after="120"/>
        <w:jc w:val="both"/>
        <w:rPr>
          <w:sz w:val="21"/>
          <w:szCs w:val="21"/>
        </w:rPr>
      </w:pPr>
      <w:proofErr w:type="spellStart"/>
      <w:r>
        <w:rPr>
          <w:sz w:val="21"/>
          <w:szCs w:val="21"/>
        </w:rPr>
        <w:t>Dieter</w:t>
      </w:r>
      <w:proofErr w:type="spellEnd"/>
      <w:r>
        <w:rPr>
          <w:sz w:val="21"/>
          <w:szCs w:val="21"/>
        </w:rPr>
        <w:t xml:space="preserve"> </w:t>
      </w:r>
      <w:proofErr w:type="spellStart"/>
      <w:r>
        <w:rPr>
          <w:sz w:val="21"/>
          <w:szCs w:val="21"/>
        </w:rPr>
        <w:t>Zapf</w:t>
      </w:r>
      <w:proofErr w:type="spellEnd"/>
      <w:r>
        <w:rPr>
          <w:sz w:val="21"/>
          <w:szCs w:val="21"/>
        </w:rPr>
        <w:t xml:space="preserve"> e colaboradores documentaram, em meta-análise de 86 estudos sobre os efeitos do assédio moral no trabalho, que as vítimas apresentam: taxas de Transtorno de Estresse Pós-Traumático entre 30% e 49%; taxas de depressão maior duas a três vezes superiores às encontradas em populações sem histórico de assédio; comprometimento significativo da qualidade de sono; e, em 26% dos casos estudados, afastamento definitivo do mercado de trabalho</w:t>
      </w:r>
      <w:r>
        <w:rPr>
          <w:rStyle w:val="Refdenotaderodap"/>
          <w:sz w:val="21"/>
          <w:szCs w:val="21"/>
        </w:rPr>
        <w:footnoteReference w:id="30"/>
      </w:r>
      <w:r>
        <w:rPr>
          <w:sz w:val="21"/>
          <w:szCs w:val="21"/>
        </w:rPr>
        <w:t>.</w:t>
      </w:r>
    </w:p>
    <w:p w14:paraId="25AFE107" w14:textId="77777777" w:rsidR="00ED5BD0" w:rsidRPr="00ED5BD0" w:rsidRDefault="00ED5BD0" w:rsidP="00ED5BD0">
      <w:pPr>
        <w:spacing w:after="120"/>
        <w:jc w:val="both"/>
        <w:rPr>
          <w:sz w:val="21"/>
          <w:szCs w:val="21"/>
        </w:rPr>
      </w:pPr>
      <w:r>
        <w:rPr>
          <w:sz w:val="21"/>
          <w:szCs w:val="21"/>
        </w:rPr>
        <w:t xml:space="preserve">Márcia Novaes Guedes introduziu no debate brasileiro o conceito de dano existencial, a categoria que melhor captura a dimensão mais profunda do dano causado pelo assédio moral: a violação do projeto de vida da vítima. </w:t>
      </w:r>
      <w:r>
        <w:rPr>
          <w:i/>
          <w:iCs/>
          <w:sz w:val="21"/>
          <w:szCs w:val="21"/>
        </w:rPr>
        <w:t>"O assédio moral não destrói apenas a saúde da vítima: destrói sua identidade profissional, suas perspectivas de carreira, seus relacionamentos no ambiente de trabalho e, frequentemente, seus projetos de vida fora do trabalho que dependiam da estabilidade e da dignidade do vínculo funcional"</w:t>
      </w:r>
      <w:r>
        <w:rPr>
          <w:sz w:val="21"/>
          <w:szCs w:val="21"/>
        </w:rPr>
        <w:t xml:space="preserve"> (Terror Psicológico no Trabalho, cit., p. 98). O dano existencial é, por natureza, irreparável em sua integralidade: a carreira interrompida, os anos perdidos em estado de sofrimento e esgotamento, a confiança nas relações institucionais destruída, nenhuma indenização e nenhuma penalidade disciplinar ao assediador restituem plenamente o que foi tirado.</w:t>
      </w:r>
    </w:p>
    <w:p w14:paraId="67589239" w14:textId="77777777" w:rsidR="00ED5BD0" w:rsidRPr="00A6751E" w:rsidRDefault="00ED5BD0" w:rsidP="00A6751E">
      <w:pPr>
        <w:pStyle w:val="Ttulo2"/>
        <w:keepNext/>
      </w:pPr>
      <w:bookmarkStart w:id="56" w:name="_Toc238022051"/>
      <w:r>
        <w:t>5.8 A fronteira mais exigente: gestão legítima versus assédio moral</w:t>
      </w:r>
      <w:bookmarkEnd w:id="56"/>
    </w:p>
    <w:p w14:paraId="4BEE75E3" w14:textId="77777777" w:rsidR="00ED5BD0" w:rsidRPr="00ED5BD0" w:rsidRDefault="00ED5BD0" w:rsidP="00ED5BD0">
      <w:pPr>
        <w:spacing w:after="120"/>
        <w:jc w:val="both"/>
        <w:rPr>
          <w:sz w:val="21"/>
          <w:szCs w:val="21"/>
        </w:rPr>
      </w:pPr>
      <w:r>
        <w:rPr>
          <w:sz w:val="21"/>
          <w:szCs w:val="21"/>
        </w:rPr>
        <w:t xml:space="preserve">Nenhum outro ponto do enquadramento do assédio moral é tão delicado, tão contestado e tão importante para a correta aplicação da ferramenta </w:t>
      </w:r>
      <w:proofErr w:type="spellStart"/>
      <w:r>
        <w:rPr>
          <w:sz w:val="21"/>
          <w:szCs w:val="21"/>
        </w:rPr>
        <w:t>Integritas</w:t>
      </w:r>
      <w:proofErr w:type="spellEnd"/>
      <w:r>
        <w:rPr>
          <w:sz w:val="21"/>
          <w:szCs w:val="21"/>
        </w:rPr>
        <w:t xml:space="preserve"> quanto a distinção entre o exercício legítimo, ainda que rigoroso, do poder de gestão e a conduta assediadora. Essa distinção é o que a ferramenta captura com a pergunta sobre "organização do trabalho" e com a análise do elemento subjetivo, e é o ponto em que o argumento defensivo mais frequente se concentra: "estava apenas gerindo".</w:t>
      </w:r>
    </w:p>
    <w:p w14:paraId="162D75DC" w14:textId="77777777" w:rsidR="00ED5BD0" w:rsidRPr="00ED5BD0" w:rsidRDefault="00ED5BD0" w:rsidP="00ED5BD0">
      <w:pPr>
        <w:spacing w:after="120"/>
        <w:jc w:val="both"/>
        <w:rPr>
          <w:sz w:val="21"/>
          <w:szCs w:val="21"/>
        </w:rPr>
      </w:pPr>
      <w:r>
        <w:rPr>
          <w:b/>
          <w:bCs/>
          <w:sz w:val="21"/>
          <w:szCs w:val="21"/>
        </w:rPr>
        <w:t>O que não é assédio moral, a gestão legítima ainda que rigorosa.</w:t>
      </w:r>
      <w:r>
        <w:rPr>
          <w:sz w:val="21"/>
          <w:szCs w:val="21"/>
        </w:rPr>
        <w:t xml:space="preserve"> O superior hierárquico tem o dever, não apenas o direito, de gerir o trabalho, definir metas, cobrar resultados, atribuir tarefas, avaliar desempenho e tomar decisões que podem ser impopulares. Nenhuma dessas prerrogativas, exercida de forma objetiva, fundamentada e proporcional, constitui assédio moral, ainda que cause desconforto, frustração ou mesmo sofrimento ao servidor. A avaliação de desempenho negativa fundamentada em fatos objetivos não é assédio; a cobrança de metas legítimas, por mais intensa que seja, não é assédio; a redistribuição de tarefas por necessidade demonstrável do serviço não é assédio; a aplicação de penalidade disciplinar motivada em infração real não é assédio.</w:t>
      </w:r>
    </w:p>
    <w:p w14:paraId="690F3E14" w14:textId="77777777" w:rsidR="00ED5BD0" w:rsidRPr="00ED5BD0" w:rsidRDefault="00ED5BD0" w:rsidP="00ED5BD0">
      <w:pPr>
        <w:spacing w:after="120"/>
        <w:jc w:val="both"/>
        <w:rPr>
          <w:sz w:val="21"/>
          <w:szCs w:val="21"/>
        </w:rPr>
      </w:pPr>
      <w:r>
        <w:rPr>
          <w:sz w:val="21"/>
          <w:szCs w:val="21"/>
        </w:rPr>
        <w:t xml:space="preserve">Hirigoyen usa a expressão </w:t>
      </w:r>
      <w:r>
        <w:rPr>
          <w:i/>
          <w:iCs/>
          <w:sz w:val="21"/>
          <w:szCs w:val="21"/>
        </w:rPr>
        <w:t>"violência reconhecida"</w:t>
      </w:r>
      <w:r>
        <w:rPr>
          <w:sz w:val="21"/>
          <w:szCs w:val="21"/>
        </w:rPr>
        <w:t xml:space="preserve"> para descrever a fronteira: </w:t>
      </w:r>
      <w:r>
        <w:rPr>
          <w:i/>
          <w:iCs/>
          <w:sz w:val="21"/>
          <w:szCs w:val="21"/>
        </w:rPr>
        <w:t>"a violência hierárquica '</w:t>
      </w:r>
      <w:proofErr w:type="spellStart"/>
      <w:r>
        <w:rPr>
          <w:i/>
          <w:iCs/>
          <w:sz w:val="21"/>
          <w:szCs w:val="21"/>
        </w:rPr>
        <w:t>normal</w:t>
      </w:r>
      <w:proofErr w:type="spellEnd"/>
      <w:r>
        <w:rPr>
          <w:i/>
          <w:iCs/>
          <w:sz w:val="21"/>
          <w:szCs w:val="21"/>
        </w:rPr>
        <w:t>' é reconhecida como tal por todos os atores, ela é visível, justificada por parâmetros objetivos e não visa destruir o indivíduo. O assédio, ao contrário, nega-se a si próprio e nega a violência que pratica"</w:t>
      </w:r>
      <w:r>
        <w:rPr>
          <w:sz w:val="21"/>
          <w:szCs w:val="21"/>
        </w:rPr>
        <w:t xml:space="preserve"> (Assédio Moral, cit., p. 84). A negação é o traço definidor: o assediador frequentemente apresenta cada episódio como exercício legítimo de gestão, e, isoladamente, cada episódio pode ter aparência de </w:t>
      </w:r>
      <w:r>
        <w:rPr>
          <w:sz w:val="21"/>
          <w:szCs w:val="21"/>
        </w:rPr>
        <w:lastRenderedPageBreak/>
        <w:t>legitimidade. É o conjunto, a sistematicidade, a direção constante ao mesmo servidor, a desproporção entre o pretexto invocado e a conduta adotada, que revela o assédio sob a aparência de gestão.</w:t>
      </w:r>
    </w:p>
    <w:p w14:paraId="08CD7836" w14:textId="77777777" w:rsidR="00ED5BD0" w:rsidRPr="00ED5BD0" w:rsidRDefault="00ED5BD0" w:rsidP="00ED5BD0">
      <w:pPr>
        <w:spacing w:after="120"/>
        <w:jc w:val="both"/>
        <w:rPr>
          <w:sz w:val="21"/>
          <w:szCs w:val="21"/>
        </w:rPr>
      </w:pPr>
      <w:r>
        <w:rPr>
          <w:b/>
          <w:bCs/>
          <w:sz w:val="21"/>
          <w:szCs w:val="21"/>
        </w:rPr>
        <w:t>O teste da finalidade.</w:t>
      </w:r>
      <w:r>
        <w:rPr>
          <w:sz w:val="21"/>
          <w:szCs w:val="21"/>
        </w:rPr>
        <w:t xml:space="preserve"> A distinção mais útil que a doutrina oferece é o que pode ser chamado de teste da finalidade: na gestão legítima, ainda que rigorosa, o objetivo é o resultado do serviço, a meta, o desempenho, a qualidade do trabalho entregue. No assédio moral, o objetivo, ainda que nunca declarado explicitamente, é o servidor em si: humilhá-lo, isolá-lo, forçar seu pedido de transferência ou exoneração, puni-lo por algum motivo que não tem relação com o desempenho funcional. A pergunta que o operador deve se fazer não é "a chefia cobrou muito?" mas "para qual finalidade a cobrança foi dirigida?"</w:t>
      </w:r>
    </w:p>
    <w:p w14:paraId="4D895528" w14:textId="77777777" w:rsidR="00ED5BD0" w:rsidRPr="00ED5BD0" w:rsidRDefault="00ED5BD0" w:rsidP="00ED5BD0">
      <w:pPr>
        <w:spacing w:after="120"/>
        <w:jc w:val="both"/>
        <w:rPr>
          <w:sz w:val="21"/>
          <w:szCs w:val="21"/>
        </w:rPr>
      </w:pPr>
      <w:r>
        <w:rPr>
          <w:b/>
          <w:bCs/>
          <w:sz w:val="21"/>
          <w:szCs w:val="21"/>
        </w:rPr>
        <w:t>Os indicadores práticos de transposição da fronteira.</w:t>
      </w:r>
      <w:r>
        <w:rPr>
          <w:sz w:val="21"/>
          <w:szCs w:val="21"/>
        </w:rPr>
        <w:t xml:space="preserve"> A doutrina e a pesquisa empírica identificam os seguintes indicadores que, considerados em conjunto, apontam para a transposição da fronteira entre gestão e assédio:</w:t>
      </w:r>
    </w:p>
    <w:p w14:paraId="2894B972" w14:textId="77777777" w:rsidR="00ED5BD0" w:rsidRPr="00ED5BD0" w:rsidRDefault="00ED5BD0">
      <w:pPr>
        <w:numPr>
          <w:ilvl w:val="0"/>
          <w:numId w:val="14"/>
        </w:numPr>
        <w:spacing w:after="120"/>
        <w:jc w:val="both"/>
        <w:rPr>
          <w:sz w:val="21"/>
          <w:szCs w:val="21"/>
        </w:rPr>
      </w:pPr>
      <w:r>
        <w:rPr>
          <w:b/>
          <w:bCs/>
          <w:sz w:val="21"/>
          <w:szCs w:val="21"/>
        </w:rPr>
        <w:t>personalização</w:t>
      </w:r>
      <w:r>
        <w:rPr>
          <w:sz w:val="21"/>
          <w:szCs w:val="21"/>
        </w:rPr>
        <w:t>: a conduta é dirigida sistematicamente a um servidor específico enquanto outros em situação análoga recebem tratamento diferente e melhor;</w:t>
      </w:r>
    </w:p>
    <w:p w14:paraId="6C9B230D" w14:textId="77777777" w:rsidR="00ED5BD0" w:rsidRPr="00ED5BD0" w:rsidRDefault="00ED5BD0">
      <w:pPr>
        <w:numPr>
          <w:ilvl w:val="0"/>
          <w:numId w:val="14"/>
        </w:numPr>
        <w:spacing w:after="120"/>
        <w:jc w:val="both"/>
        <w:rPr>
          <w:sz w:val="21"/>
          <w:szCs w:val="21"/>
        </w:rPr>
      </w:pPr>
      <w:r>
        <w:rPr>
          <w:b/>
          <w:bCs/>
          <w:sz w:val="21"/>
          <w:szCs w:val="21"/>
        </w:rPr>
        <w:t>cobranças impossíveis</w:t>
      </w:r>
      <w:r>
        <w:rPr>
          <w:sz w:val="21"/>
          <w:szCs w:val="21"/>
        </w:rPr>
        <w:t>: a distribuição de tarefas é estruturada de forma que o fracasso é inevitável, tarefas com prazo impossível, sem recursos necessários, com parâmetros que mudam ao longo do processo;</w:t>
      </w:r>
    </w:p>
    <w:p w14:paraId="169CA55B" w14:textId="77777777" w:rsidR="00ED5BD0" w:rsidRPr="00ED5BD0" w:rsidRDefault="00ED5BD0">
      <w:pPr>
        <w:numPr>
          <w:ilvl w:val="0"/>
          <w:numId w:val="14"/>
        </w:numPr>
        <w:spacing w:after="120"/>
        <w:jc w:val="both"/>
        <w:rPr>
          <w:sz w:val="21"/>
          <w:szCs w:val="21"/>
        </w:rPr>
      </w:pPr>
      <w:r>
        <w:rPr>
          <w:b/>
          <w:bCs/>
          <w:sz w:val="21"/>
          <w:szCs w:val="21"/>
        </w:rPr>
        <w:t>críticas públicas e humilhantes</w:t>
      </w:r>
      <w:r>
        <w:rPr>
          <w:sz w:val="21"/>
          <w:szCs w:val="21"/>
        </w:rPr>
        <w:t>: o feedback negativo é feito de forma vexatória, diante de colegas, em tom que vai além da crítica ao trabalho para atingir a pessoa;</w:t>
      </w:r>
    </w:p>
    <w:p w14:paraId="128062D0" w14:textId="77777777" w:rsidR="00ED5BD0" w:rsidRPr="00ED5BD0" w:rsidRDefault="00ED5BD0">
      <w:pPr>
        <w:numPr>
          <w:ilvl w:val="0"/>
          <w:numId w:val="14"/>
        </w:numPr>
        <w:spacing w:after="120"/>
        <w:jc w:val="both"/>
        <w:rPr>
          <w:sz w:val="21"/>
          <w:szCs w:val="21"/>
        </w:rPr>
      </w:pPr>
      <w:r>
        <w:rPr>
          <w:b/>
          <w:bCs/>
          <w:sz w:val="21"/>
          <w:szCs w:val="21"/>
        </w:rPr>
        <w:t>arbitrariedade nos instrumentos de gestão</w:t>
      </w:r>
      <w:r>
        <w:rPr>
          <w:sz w:val="21"/>
          <w:szCs w:val="21"/>
        </w:rPr>
        <w:t>: avaliações que flutuam sem correlação com desempenho objetivo; progressões negadas sem fundamentação; designações e remoções sem justificativa funcional;</w:t>
      </w:r>
    </w:p>
    <w:p w14:paraId="625B755D" w14:textId="77777777" w:rsidR="00ED5BD0" w:rsidRPr="00ED5BD0" w:rsidRDefault="00ED5BD0">
      <w:pPr>
        <w:numPr>
          <w:ilvl w:val="0"/>
          <w:numId w:val="14"/>
        </w:numPr>
        <w:spacing w:after="120"/>
        <w:jc w:val="both"/>
        <w:rPr>
          <w:sz w:val="21"/>
          <w:szCs w:val="21"/>
        </w:rPr>
      </w:pPr>
      <w:r>
        <w:rPr>
          <w:b/>
          <w:bCs/>
          <w:sz w:val="21"/>
          <w:szCs w:val="21"/>
        </w:rPr>
        <w:t>isolamento sistemático</w:t>
      </w:r>
      <w:r>
        <w:rPr>
          <w:sz w:val="21"/>
          <w:szCs w:val="21"/>
        </w:rPr>
        <w:t>: exclusão de reuniões relevantes, de comunicações importantes, de projetos estratégicos, sem razão objetiva que a justifique;</w:t>
      </w:r>
    </w:p>
    <w:p w14:paraId="69B26CA4" w14:textId="77777777" w:rsidR="00ED5BD0" w:rsidRPr="00ED5BD0" w:rsidRDefault="00ED5BD0">
      <w:pPr>
        <w:numPr>
          <w:ilvl w:val="0"/>
          <w:numId w:val="14"/>
        </w:numPr>
        <w:spacing w:after="120"/>
        <w:jc w:val="both"/>
        <w:rPr>
          <w:sz w:val="21"/>
          <w:szCs w:val="21"/>
        </w:rPr>
      </w:pPr>
      <w:r>
        <w:rPr>
          <w:b/>
          <w:bCs/>
          <w:sz w:val="21"/>
          <w:szCs w:val="21"/>
        </w:rPr>
        <w:t>vigilância excessiva</w:t>
      </w:r>
      <w:r>
        <w:rPr>
          <w:sz w:val="21"/>
          <w:szCs w:val="21"/>
        </w:rPr>
        <w:t>: monitoramento desproporcional das atividades do servidor específico, com nível de controle que não é aplicado a outros em situação análoga.</w:t>
      </w:r>
    </w:p>
    <w:p w14:paraId="7CFEB314" w14:textId="77777777" w:rsidR="00ED5BD0" w:rsidRDefault="00ED5BD0" w:rsidP="00ED5BD0">
      <w:pPr>
        <w:spacing w:after="120"/>
        <w:jc w:val="both"/>
        <w:rPr>
          <w:sz w:val="21"/>
          <w:szCs w:val="21"/>
        </w:rPr>
      </w:pPr>
      <w:r>
        <w:rPr>
          <w:sz w:val="21"/>
          <w:szCs w:val="21"/>
        </w:rPr>
        <w:t>A presença de vários desses indicadores simultaneamente, ao longo de período suficiente, constitui indício robusto de assédio moral, mesmo que a chefia apresente cada um deles, isoladamente, como exercício legítimo de gestão.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A9306E" w14:paraId="0C2A6CB9" w14:textId="77777777" w:rsidTr="000D5BD8">
        <w:tc>
          <w:tcPr>
            <w:tcW w:w="9070" w:type="dxa"/>
            <w:tcBorders>
              <w:left w:val="single" w:sz="24" w:space="0" w:color="C9A35C"/>
            </w:tcBorders>
            <w:shd w:val="clear" w:color="auto" w:fill="DCE6F4"/>
            <w:tcMar>
              <w:top w:w="120" w:type="dxa"/>
              <w:left w:w="200" w:type="dxa"/>
              <w:bottom w:w="120" w:type="dxa"/>
              <w:right w:w="160" w:type="dxa"/>
            </w:tcMar>
          </w:tcPr>
          <w:p w14:paraId="52290EDC" w14:textId="77777777" w:rsidR="00A9306E" w:rsidRDefault="00A9306E" w:rsidP="000D5BD8">
            <w:pPr>
              <w:spacing w:after="40"/>
            </w:pPr>
            <w:r>
              <w:rPr>
                <w:rFonts w:ascii="Barlow Condensed" w:eastAsia="Barlow Condensed" w:hAnsi="Barlow Condensed" w:cs="Barlow Condensed"/>
                <w:b/>
                <w:bCs/>
                <w:color w:val="C9A35C"/>
                <w:spacing w:val="20"/>
                <w:sz w:val="16"/>
                <w:szCs w:val="16"/>
              </w:rPr>
              <w:t>NOTA</w:t>
            </w:r>
          </w:p>
          <w:p w14:paraId="0C2BECDC" w14:textId="77777777" w:rsidR="00A9306E" w:rsidRDefault="00A9306E" w:rsidP="000D5BD8">
            <w:pPr>
              <w:spacing w:line="264" w:lineRule="auto"/>
              <w:jc w:val="both"/>
            </w:pPr>
            <w:r>
              <w:rPr>
                <w:b/>
                <w:bCs/>
                <w:sz w:val="21"/>
                <w:szCs w:val="21"/>
              </w:rPr>
              <w:t xml:space="preserve">O teste da finalidade. </w:t>
            </w:r>
            <w:r>
              <w:rPr>
                <w:sz w:val="21"/>
                <w:szCs w:val="21"/>
              </w:rPr>
              <w:t xml:space="preserve">A diferença não está no instrumento (avaliação negativa, cobranças, sanções </w:t>
            </w:r>
            <w:proofErr w:type="spellStart"/>
            <w:proofErr w:type="gramStart"/>
            <w:r>
              <w:rPr>
                <w:sz w:val="21"/>
                <w:szCs w:val="21"/>
              </w:rPr>
              <w:t>etc</w:t>
            </w:r>
            <w:proofErr w:type="spellEnd"/>
            <w:r>
              <w:rPr>
                <w:sz w:val="21"/>
                <w:szCs w:val="21"/>
              </w:rPr>
              <w:t>)mas</w:t>
            </w:r>
            <w:proofErr w:type="gramEnd"/>
            <w:r>
              <w:rPr>
                <w:sz w:val="21"/>
                <w:szCs w:val="21"/>
              </w:rPr>
              <w:t xml:space="preserve"> na finalidade para a qual esse instrumento é empregado. No exercício do poder diretivo, o objetivo é a melhoria ou eficiência do trabalho. No assédio moral, o objetivo é a destruição da pessoa.</w:t>
            </w:r>
          </w:p>
        </w:tc>
      </w:tr>
    </w:tbl>
    <w:p w14:paraId="52999C8B" w14:textId="77777777" w:rsidR="00ED5BD0" w:rsidRPr="000C26CC" w:rsidRDefault="00ED5BD0" w:rsidP="000C26CC">
      <w:pPr>
        <w:pStyle w:val="Ttulo2"/>
        <w:keepNext/>
      </w:pPr>
      <w:bookmarkStart w:id="57" w:name="_Toc238022052"/>
      <w:r>
        <w:t>5.9 O elemento subjetivo: dolo, culpa e gestão culposa</w:t>
      </w:r>
      <w:bookmarkEnd w:id="57"/>
    </w:p>
    <w:p w14:paraId="6A176832" w14:textId="77777777" w:rsidR="00ED5BD0" w:rsidRPr="000C26CC" w:rsidRDefault="00ED5BD0" w:rsidP="00ED5BD0">
      <w:pPr>
        <w:spacing w:after="120"/>
        <w:jc w:val="both"/>
        <w:rPr>
          <w:sz w:val="21"/>
          <w:szCs w:val="21"/>
        </w:rPr>
      </w:pPr>
      <w:r>
        <w:rPr>
          <w:sz w:val="21"/>
          <w:szCs w:val="21"/>
        </w:rPr>
        <w:t>A NT nº 93/2024 é precisa sobre o papel do elemento subjetivo no assédio moral. Para a caracterização da infração, o dolo não é necessário: basta demonstrar que a conduta, objetivamente avaliada, produziu o efeito de ofensa à dignidade e de degradação do ambiente. Para a gravidade e o enquadramento, o elemento subjetivo é determinante.</w:t>
      </w:r>
    </w:p>
    <w:p w14:paraId="1F052EFE" w14:textId="77777777" w:rsidR="00ED5BD0" w:rsidRPr="00ED5BD0" w:rsidRDefault="00ED5BD0" w:rsidP="00ED5BD0">
      <w:pPr>
        <w:spacing w:after="120"/>
        <w:jc w:val="both"/>
        <w:rPr>
          <w:sz w:val="21"/>
          <w:szCs w:val="21"/>
        </w:rPr>
      </w:pPr>
      <w:r>
        <w:rPr>
          <w:b/>
          <w:bCs/>
          <w:sz w:val="21"/>
          <w:szCs w:val="21"/>
        </w:rPr>
        <w:lastRenderedPageBreak/>
        <w:t>Assédio moral doloso</w:t>
      </w:r>
      <w:r>
        <w:rPr>
          <w:sz w:val="21"/>
          <w:szCs w:val="21"/>
        </w:rPr>
        <w:t>. O assédio praticado com propósito deliberado de humilhar, isolar, prejudicar ou destruir a vítima, o assediador sabe o que está fazendo, pretende o resultado que produz e persiste na conduta mesmo quando os efeitos sobre a vítima são perceptíveis. Esse é o caso paradigmático que a doutrina e a pesquisa mais estudaram: o assediador perverso de Hirigoyen, que usa a manipulação e a violência psicológica como instrumentos de poder ou de eliminação de quem percebe como ameaça. O assédio doloso, quando praticado com uso do cargo, enquadra-se no art. 117, IX, com demissão obrigatória (Súmula 650/STJ).</w:t>
      </w:r>
    </w:p>
    <w:p w14:paraId="24E87E2C" w14:textId="77777777" w:rsidR="00ED5BD0" w:rsidRPr="00ED5BD0" w:rsidRDefault="00ED5BD0" w:rsidP="00ED5BD0">
      <w:pPr>
        <w:spacing w:after="120"/>
        <w:jc w:val="both"/>
        <w:rPr>
          <w:sz w:val="21"/>
          <w:szCs w:val="21"/>
        </w:rPr>
      </w:pPr>
      <w:r>
        <w:rPr>
          <w:b/>
          <w:bCs/>
          <w:sz w:val="21"/>
          <w:szCs w:val="21"/>
        </w:rPr>
        <w:t>Assédio moral culposo, a gestão culposa.</w:t>
      </w:r>
      <w:r>
        <w:rPr>
          <w:sz w:val="21"/>
          <w:szCs w:val="21"/>
        </w:rPr>
        <w:t xml:space="preserve"> O assédio culposo é, na prática, frequentemente mais difícil de identificar do que o doloso, e é também objeto de maior controvérsia. Ocorre quando o gestor, sem intenção de humilhar ou destruir, adota padrão de conduta que objetivamente produz esse efeito, por incompetência gerencial, por displicência, por impermeabilidade às reações dos subordinados, por adoção irrefletida de estilo de gestão abusivo que naturalizou ao longo da carreira. O gestor culposo frequentemente afirma, com aparente sinceridade, que "não pretendia ofender", e frequentemente é verdadeiro. Mas a ausência de dolo não afasta a responsabilidade disciplinar: a NT nº 93/2024 prevê para a gestão culposa o enquadramento no art. 116, IX (violação do dever de manter conduta compatível com a moralidade administrativa), com penalidade de advertência ou suspensão conforme a dosimetria.</w:t>
      </w:r>
    </w:p>
    <w:p w14:paraId="063D24CC" w14:textId="77777777" w:rsidR="00ED5BD0" w:rsidRPr="00ED5BD0" w:rsidRDefault="00ED5BD0" w:rsidP="00ED5BD0">
      <w:pPr>
        <w:spacing w:after="120"/>
        <w:jc w:val="both"/>
        <w:rPr>
          <w:sz w:val="21"/>
          <w:szCs w:val="21"/>
        </w:rPr>
      </w:pPr>
      <w:r>
        <w:rPr>
          <w:sz w:val="21"/>
          <w:szCs w:val="21"/>
        </w:rPr>
        <w:t>A distinção entre dolo e culpa no assédio moral tem consequência direta para o operador: quando o elemento subjetivo é dolo, o enquadramento é no art. 117, IX e a penalidade é a demissão; quando é culpa, o enquadramento é no art. 116, IX e a penalidade é determinada pela dosimetria. A ausência de elemento subjetivo identificável, quando não há nem dolo nem culpa, mas a conduta aparentemente hostil pode ser explicada por razões legítimas de gestão, conduz ao resultado de ausência de ilícito disciplinar neste eixo.</w:t>
      </w:r>
    </w:p>
    <w:p w14:paraId="72B94C2C" w14:textId="77777777" w:rsidR="00ED5BD0" w:rsidRPr="00ED5BD0" w:rsidRDefault="00ED5BD0" w:rsidP="00ED5BD0">
      <w:pPr>
        <w:spacing w:after="120"/>
        <w:jc w:val="both"/>
        <w:rPr>
          <w:sz w:val="21"/>
          <w:szCs w:val="21"/>
        </w:rPr>
      </w:pPr>
      <w:r>
        <w:rPr>
          <w:b/>
          <w:bCs/>
          <w:sz w:val="21"/>
          <w:szCs w:val="21"/>
        </w:rPr>
        <w:t>A prova do elemento subjetivo.</w:t>
      </w:r>
      <w:r>
        <w:rPr>
          <w:sz w:val="21"/>
          <w:szCs w:val="21"/>
        </w:rPr>
        <w:t xml:space="preserve"> A distinção entre dolo e culpa no assédio moral raramente se resolve por confissão. Ela é aferida, na prática, por um conjunto de circunstâncias: a resposta do assediador às reclamações e sinais de sofrimento da vítima (o assediador doloso tende a intensificar; o culposo tende a recuar quando confrontado); a consistência do padrão ao longo do tempo e em relação a diferentes vítimas (padrão consistente com múltiplas vítimas aponta para dolo; episódio com vítima específica em contexto de conflito aponta mais para culpa); e a existência de motivação identificável que explique a escolha da vítima (discriminação, retaliação, eliminação de concorrente funcional, normalmente, são motivações que apontam para dolo).</w:t>
      </w:r>
    </w:p>
    <w:p w14:paraId="49AC1850" w14:textId="77777777" w:rsidR="00ED5BD0" w:rsidRPr="00E4440B" w:rsidRDefault="00ED5BD0" w:rsidP="00E4440B">
      <w:pPr>
        <w:pStyle w:val="Ttulo2"/>
        <w:keepNext/>
      </w:pPr>
      <w:bookmarkStart w:id="58" w:name="_Toc238022053"/>
      <w:r>
        <w:t>5.10 Assédio moral discriminatório: a qualificação que eleva o enquadramento</w:t>
      </w:r>
      <w:bookmarkEnd w:id="58"/>
    </w:p>
    <w:p w14:paraId="6A2D974B" w14:textId="77777777" w:rsidR="00ED5BD0" w:rsidRPr="00ED5BD0" w:rsidRDefault="00ED5BD0" w:rsidP="00ED5BD0">
      <w:pPr>
        <w:spacing w:after="120"/>
        <w:jc w:val="both"/>
        <w:rPr>
          <w:sz w:val="21"/>
          <w:szCs w:val="21"/>
        </w:rPr>
      </w:pPr>
      <w:r>
        <w:rPr>
          <w:sz w:val="21"/>
          <w:szCs w:val="21"/>
        </w:rPr>
        <w:t>Quando o assédio moral é motivado por característica pessoal protegida da vítima, raça, gênero, orientação sexual, deficiência, religião ou origem, configura-se o assédio moral discriminatório: modalidade qualificada que exige análise cumulativa com o Eixo 4 (Discriminação) e que tem gravidade superior ao assédio moral sem motivação discriminatória identificável.</w:t>
      </w:r>
    </w:p>
    <w:p w14:paraId="7211F71A" w14:textId="77777777" w:rsidR="00ED5BD0" w:rsidRPr="00ED5BD0" w:rsidRDefault="00ED5BD0" w:rsidP="00ED5BD0">
      <w:pPr>
        <w:spacing w:after="120"/>
        <w:jc w:val="both"/>
        <w:rPr>
          <w:sz w:val="21"/>
          <w:szCs w:val="21"/>
        </w:rPr>
      </w:pPr>
      <w:r>
        <w:rPr>
          <w:sz w:val="21"/>
          <w:szCs w:val="21"/>
        </w:rPr>
        <w:t xml:space="preserve">A ferramenta </w:t>
      </w:r>
      <w:proofErr w:type="spellStart"/>
      <w:r>
        <w:rPr>
          <w:sz w:val="21"/>
          <w:szCs w:val="21"/>
        </w:rPr>
        <w:t>Integritas</w:t>
      </w:r>
      <w:proofErr w:type="spellEnd"/>
      <w:r>
        <w:rPr>
          <w:sz w:val="21"/>
          <w:szCs w:val="21"/>
        </w:rPr>
        <w:t xml:space="preserve"> incorporou nas modalidades horizontal e ascendente a pergunta: </w:t>
      </w:r>
      <w:r>
        <w:rPr>
          <w:i/>
          <w:iCs/>
          <w:sz w:val="21"/>
          <w:szCs w:val="21"/>
        </w:rPr>
        <w:t>"A escolha da vítima está associada a característica pessoal protegida?"</w:t>
      </w:r>
      <w:r>
        <w:rPr>
          <w:sz w:val="21"/>
          <w:szCs w:val="21"/>
        </w:rPr>
        <w:t xml:space="preserve"> Essa bifurcação reflete o reconhecimento de que o assédio discriminatório é fenômeno distinto do assédio moral neutro: o assediador não apenas quer humilhar ou excluir, quer humilhar ou excluir porque a vítima pertence a determinado grupo. Essa motivação adicional tem três consequências:</w:t>
      </w:r>
    </w:p>
    <w:p w14:paraId="36419F00" w14:textId="77777777" w:rsidR="00ED5BD0" w:rsidRPr="00ED5BD0" w:rsidRDefault="00ED5BD0" w:rsidP="00ED5BD0">
      <w:pPr>
        <w:spacing w:after="120"/>
        <w:jc w:val="both"/>
        <w:rPr>
          <w:sz w:val="21"/>
          <w:szCs w:val="21"/>
        </w:rPr>
      </w:pPr>
      <w:r>
        <w:rPr>
          <w:b/>
          <w:bCs/>
          <w:sz w:val="21"/>
          <w:szCs w:val="21"/>
        </w:rPr>
        <w:lastRenderedPageBreak/>
        <w:t>Primeira:</w:t>
      </w:r>
      <w:r>
        <w:rPr>
          <w:sz w:val="21"/>
          <w:szCs w:val="21"/>
        </w:rPr>
        <w:t xml:space="preserve"> qualifica a gravidade da conduta, porque o assédio discriminatório não atinge apenas a vítima individual, atinge simbolicamente todos os membros do grupo que ela representa no ambiente de trabalho, criando efeito de intimidação coletiva que vai muito além do dano bilateral.</w:t>
      </w:r>
    </w:p>
    <w:p w14:paraId="0E7D94E6" w14:textId="77777777" w:rsidR="00ED5BD0" w:rsidRPr="00ED5BD0" w:rsidRDefault="00ED5BD0" w:rsidP="00ED5BD0">
      <w:pPr>
        <w:spacing w:after="120"/>
        <w:jc w:val="both"/>
        <w:rPr>
          <w:sz w:val="21"/>
          <w:szCs w:val="21"/>
        </w:rPr>
      </w:pPr>
      <w:r>
        <w:rPr>
          <w:b/>
          <w:bCs/>
          <w:sz w:val="21"/>
          <w:szCs w:val="21"/>
        </w:rPr>
        <w:t>Segunda:</w:t>
      </w:r>
      <w:r>
        <w:rPr>
          <w:sz w:val="21"/>
          <w:szCs w:val="21"/>
        </w:rPr>
        <w:t xml:space="preserve"> exige cumulatividade de enquadramentos, o assédio moral discriminatório é simultaneamente infração de assédio moral (com os enquadramentos da NT nº 93/2024) e infração de discriminação (com os enquadramentos analisados no Capítulo 6). A autoridade julgadora deve fundamentar ambas as dimensões, pois cada uma protege bem jurídico parcialmente distinto.</w:t>
      </w:r>
    </w:p>
    <w:p w14:paraId="02C6037D" w14:textId="77777777" w:rsidR="00ED5BD0" w:rsidRPr="00ED5BD0" w:rsidRDefault="00ED5BD0" w:rsidP="00ED5BD0">
      <w:pPr>
        <w:spacing w:after="120"/>
        <w:jc w:val="both"/>
        <w:rPr>
          <w:sz w:val="21"/>
          <w:szCs w:val="21"/>
        </w:rPr>
      </w:pPr>
      <w:r>
        <w:rPr>
          <w:b/>
          <w:bCs/>
          <w:sz w:val="21"/>
          <w:szCs w:val="21"/>
        </w:rPr>
        <w:t>Terceira:</w:t>
      </w:r>
      <w:r>
        <w:rPr>
          <w:sz w:val="21"/>
          <w:szCs w:val="21"/>
        </w:rPr>
        <w:t xml:space="preserve"> pode acionar a proteção específica da Lei nº 7.716/1989 (Lei do Racismo) quando a motivação discriminatória é racial ou étnica, ou a proteção derivada da ADO 26/STF quando é por orientação sexual ou identidade de gênero, com a possibilidade de comunicação ao Ministério Público para apuração criminal paralela.</w:t>
      </w:r>
    </w:p>
    <w:p w14:paraId="01809447" w14:textId="77777777" w:rsidR="00ED5BD0" w:rsidRPr="00ED5BD0" w:rsidRDefault="00ED5BD0" w:rsidP="00ED5BD0">
      <w:pPr>
        <w:spacing w:after="120"/>
        <w:jc w:val="both"/>
        <w:rPr>
          <w:sz w:val="21"/>
          <w:szCs w:val="21"/>
        </w:rPr>
      </w:pPr>
      <w:proofErr w:type="spellStart"/>
      <w:r>
        <w:rPr>
          <w:sz w:val="21"/>
          <w:szCs w:val="21"/>
        </w:rPr>
        <w:t>Kimberlé</w:t>
      </w:r>
      <w:proofErr w:type="spellEnd"/>
      <w:r>
        <w:rPr>
          <w:sz w:val="21"/>
          <w:szCs w:val="21"/>
        </w:rPr>
        <w:t xml:space="preserve"> </w:t>
      </w:r>
      <w:proofErr w:type="spellStart"/>
      <w:r>
        <w:rPr>
          <w:sz w:val="21"/>
          <w:szCs w:val="21"/>
        </w:rPr>
        <w:t>Crenshaw</w:t>
      </w:r>
      <w:proofErr w:type="spellEnd"/>
      <w:r>
        <w:rPr>
          <w:sz w:val="21"/>
          <w:szCs w:val="21"/>
        </w:rPr>
        <w:t>, ao desenvolver a teoria da interseccionalidade (Stanford Law Review, 1991), demonstrou que vítimas que pertencem simultaneamente a múltiplos grupos vulneráveis, mulher negra, servidor com deficiência e orientação sexual minoritária, experimentam formas de assédio discriminatório que não são apenas a soma das formas que cada identidade individualmente produziria. São experiências qualitativamente distintas, produzidas pela interação entre múltiplas dimensões de vulnerabilização. O operador da ferramenta deve estar atento a essa dimensão interseccional ao identificar a motivação discriminatória no assédio moral.</w:t>
      </w:r>
    </w:p>
    <w:p w14:paraId="3CC50E4F" w14:textId="77777777" w:rsidR="00ED5BD0" w:rsidRPr="0087558E" w:rsidRDefault="00ED5BD0" w:rsidP="0087558E">
      <w:pPr>
        <w:pStyle w:val="Ttulo2"/>
        <w:keepNext/>
      </w:pPr>
      <w:bookmarkStart w:id="59" w:name="_Toc238022054"/>
      <w:r>
        <w:t>5.11 O assédio moral e a organização: efeitos sistêmicos além da vítima individual</w:t>
      </w:r>
      <w:bookmarkEnd w:id="59"/>
    </w:p>
    <w:p w14:paraId="6EC2C51B" w14:textId="77777777" w:rsidR="00ED5BD0" w:rsidRPr="00ED5BD0" w:rsidRDefault="00ED5BD0" w:rsidP="00ED5BD0">
      <w:pPr>
        <w:spacing w:after="120"/>
        <w:jc w:val="both"/>
        <w:rPr>
          <w:sz w:val="21"/>
          <w:szCs w:val="21"/>
        </w:rPr>
      </w:pPr>
      <w:r>
        <w:rPr>
          <w:sz w:val="21"/>
          <w:szCs w:val="21"/>
        </w:rPr>
        <w:t>Um dos aspectos menos discutidos no enquadramento disciplinar do assédio moral é o dano que ele causa à organização como um todo, para além do dano individual à vítima. Compreender essa dimensão sistêmica é relevante para fundamentar a gravidade do enquadramento e para motivar a urgência da apuração.</w:t>
      </w:r>
    </w:p>
    <w:p w14:paraId="411096CB" w14:textId="77777777" w:rsidR="00ED5BD0" w:rsidRPr="0087558E" w:rsidRDefault="00ED5BD0" w:rsidP="00ED5BD0">
      <w:pPr>
        <w:spacing w:after="120"/>
        <w:jc w:val="both"/>
        <w:rPr>
          <w:sz w:val="21"/>
          <w:szCs w:val="21"/>
        </w:rPr>
      </w:pPr>
      <w:proofErr w:type="spellStart"/>
      <w:r>
        <w:rPr>
          <w:sz w:val="21"/>
          <w:szCs w:val="21"/>
        </w:rPr>
        <w:t>Leymann</w:t>
      </w:r>
      <w:proofErr w:type="spellEnd"/>
      <w:r>
        <w:rPr>
          <w:sz w:val="21"/>
          <w:szCs w:val="21"/>
        </w:rPr>
        <w:t xml:space="preserve"> documentou que organizações em que o </w:t>
      </w:r>
      <w:proofErr w:type="spellStart"/>
      <w:r>
        <w:rPr>
          <w:i/>
          <w:iCs/>
          <w:sz w:val="21"/>
          <w:szCs w:val="21"/>
        </w:rPr>
        <w:t>mobbing</w:t>
      </w:r>
      <w:proofErr w:type="spellEnd"/>
      <w:r>
        <w:rPr>
          <w:sz w:val="21"/>
          <w:szCs w:val="21"/>
        </w:rPr>
        <w:t xml:space="preserve"> é tolerado ou praticado com o conhecimento da chefia experimentam: aumento significativo do absenteísmo na equipe afetada; deterioração da qualidade do trabalho entregue; aumento da rotatividade (turnover), especialmente de servidores mais competentes, que têm maior mobilidade e menor disposição de permanecer em ambientes tóxicos; e comprometimento da capacidade de inovação, porque a inovação exige confiança e segurança psicológica que o ambiente de assédio destrói</w:t>
      </w:r>
      <w:r>
        <w:rPr>
          <w:rStyle w:val="Refdenotaderodap"/>
          <w:sz w:val="21"/>
          <w:szCs w:val="21"/>
        </w:rPr>
        <w:footnoteReference w:id="31"/>
      </w:r>
      <w:r>
        <w:rPr>
          <w:sz w:val="21"/>
          <w:szCs w:val="21"/>
        </w:rPr>
        <w:t>.</w:t>
      </w:r>
    </w:p>
    <w:p w14:paraId="3475B87F" w14:textId="77777777" w:rsidR="00ED5BD0" w:rsidRPr="00ED5BD0" w:rsidRDefault="00ED5BD0" w:rsidP="00ED5BD0">
      <w:pPr>
        <w:spacing w:after="120"/>
        <w:jc w:val="both"/>
        <w:rPr>
          <w:sz w:val="21"/>
          <w:szCs w:val="21"/>
        </w:rPr>
      </w:pPr>
      <w:r>
        <w:rPr>
          <w:sz w:val="21"/>
          <w:szCs w:val="21"/>
        </w:rPr>
        <w:t xml:space="preserve">Amy </w:t>
      </w:r>
      <w:proofErr w:type="spellStart"/>
      <w:r>
        <w:rPr>
          <w:sz w:val="21"/>
          <w:szCs w:val="21"/>
        </w:rPr>
        <w:t>Edmondson</w:t>
      </w:r>
      <w:proofErr w:type="spellEnd"/>
      <w:r>
        <w:rPr>
          <w:sz w:val="21"/>
          <w:szCs w:val="21"/>
        </w:rPr>
        <w:t xml:space="preserve">, da Harvard Business </w:t>
      </w:r>
      <w:proofErr w:type="spellStart"/>
      <w:r>
        <w:rPr>
          <w:sz w:val="21"/>
          <w:szCs w:val="21"/>
        </w:rPr>
        <w:t>School</w:t>
      </w:r>
      <w:proofErr w:type="spellEnd"/>
      <w:r>
        <w:rPr>
          <w:sz w:val="21"/>
          <w:szCs w:val="21"/>
        </w:rPr>
        <w:t>, desenvolveu o conceito de segurança psicológica (</w:t>
      </w:r>
      <w:proofErr w:type="spellStart"/>
      <w:r>
        <w:rPr>
          <w:i/>
          <w:iCs/>
          <w:sz w:val="21"/>
          <w:szCs w:val="21"/>
        </w:rPr>
        <w:t>psychological</w:t>
      </w:r>
      <w:proofErr w:type="spellEnd"/>
      <w:r>
        <w:rPr>
          <w:i/>
          <w:iCs/>
          <w:sz w:val="21"/>
          <w:szCs w:val="21"/>
        </w:rPr>
        <w:t xml:space="preserve"> </w:t>
      </w:r>
      <w:proofErr w:type="spellStart"/>
      <w:r>
        <w:rPr>
          <w:i/>
          <w:iCs/>
          <w:sz w:val="21"/>
          <w:szCs w:val="21"/>
        </w:rPr>
        <w:t>safety</w:t>
      </w:r>
      <w:proofErr w:type="spellEnd"/>
      <w:r>
        <w:rPr>
          <w:sz w:val="21"/>
          <w:szCs w:val="21"/>
        </w:rPr>
        <w:t>) como condição necessária para o aprendizado organizacional e a inovação</w:t>
      </w:r>
      <w:r>
        <w:rPr>
          <w:rStyle w:val="Refdenotaderodap"/>
          <w:sz w:val="21"/>
          <w:szCs w:val="21"/>
        </w:rPr>
        <w:footnoteReference w:id="32"/>
      </w:r>
      <w:r>
        <w:rPr>
          <w:sz w:val="21"/>
          <w:szCs w:val="21"/>
        </w:rPr>
        <w:t>. O assédio moral é, por definição, destruidor da segurança psicológica: ele instala no ambiente de trabalho o medo (de falar, de discordar, de apresentar ideias, de admitir erros), que impossibilita o tipo de comunicação aberta necessária para o funcionamento eficaz de uma organização complexa como a Receita Federal do Brasil. A consequência prática é que os custos do assédio moral para a instituição, em perda de eficiência, de inovação e de capital humano, são muito maiores do que os custos visíveis do afastamento médico da vítima e da apuração disciplinar do assediador.</w:t>
      </w:r>
    </w:p>
    <w:p w14:paraId="2333B64E" w14:textId="77777777" w:rsidR="00ED5BD0" w:rsidRPr="008C0CBF" w:rsidRDefault="00ED5BD0" w:rsidP="008C0CBF">
      <w:pPr>
        <w:pStyle w:val="Ttulo2"/>
        <w:keepNext/>
      </w:pPr>
      <w:bookmarkStart w:id="60" w:name="_Toc238022055"/>
      <w:r>
        <w:lastRenderedPageBreak/>
        <w:t>5.12 O enquadramento disciplinar: dispositivos, escala e dosimetria</w:t>
      </w:r>
      <w:bookmarkEnd w:id="60"/>
    </w:p>
    <w:p w14:paraId="11E5A3D5" w14:textId="77777777" w:rsidR="00ED5BD0" w:rsidRPr="00ED5BD0" w:rsidRDefault="00ED5BD0" w:rsidP="00ED5BD0">
      <w:pPr>
        <w:spacing w:after="120"/>
        <w:jc w:val="both"/>
        <w:rPr>
          <w:sz w:val="21"/>
          <w:szCs w:val="21"/>
        </w:rPr>
      </w:pPr>
      <w:r>
        <w:rPr>
          <w:sz w:val="21"/>
          <w:szCs w:val="21"/>
        </w:rPr>
        <w:t>A NT nº 93/2024 enquadra o assédio moral em dois patamares determinados pela presença ou ausência do elemento "uso do cargo", com gradações internas em cada patamar determinadas pelo elemento subjetivo e pela gravidade da ofensa.</w:t>
      </w:r>
    </w:p>
    <w:p w14:paraId="31CADF86" w14:textId="77777777" w:rsidR="00ED5BD0" w:rsidRPr="00ED5BD0" w:rsidRDefault="00ED5BD0" w:rsidP="00ED5BD0">
      <w:pPr>
        <w:spacing w:after="120"/>
        <w:jc w:val="both"/>
        <w:rPr>
          <w:sz w:val="21"/>
          <w:szCs w:val="21"/>
        </w:rPr>
      </w:pPr>
      <w:r>
        <w:rPr>
          <w:b/>
          <w:bCs/>
          <w:sz w:val="21"/>
          <w:szCs w:val="21"/>
        </w:rPr>
        <w:t>Com uso instrumental da posição hierárquica, art. 117, IX.</w:t>
      </w:r>
      <w:r>
        <w:rPr>
          <w:sz w:val="21"/>
          <w:szCs w:val="21"/>
        </w:rPr>
        <w:t xml:space="preserve"> Quando o assédio é praticado com uso ativo das prerrogativas funcionais do cargo como instrumento de humilhação, isolamento ou coação (poder de avaliação, de atribuição de tarefas, de controle de progressões, de organização do trabalho), o enquadramento é o art. 117, IX (valimento do cargo para fins ilícitos em detrimento da dignidade da função pública), com demissão obrigatória por força do art. 132, XIII (Súmula 650/STJ). O elemento subjetivo deve ser dolo: o art. 117, IX exige que o servidor tenha se valido do cargo conscientemente, o que equivale ao dolo.</w:t>
      </w:r>
    </w:p>
    <w:p w14:paraId="4EEDD38C" w14:textId="77777777" w:rsidR="00ED5BD0" w:rsidRPr="00ED5BD0" w:rsidRDefault="00ED5BD0" w:rsidP="00ED5BD0">
      <w:pPr>
        <w:spacing w:after="120"/>
        <w:jc w:val="both"/>
        <w:rPr>
          <w:sz w:val="21"/>
          <w:szCs w:val="21"/>
        </w:rPr>
      </w:pPr>
      <w:r>
        <w:rPr>
          <w:b/>
          <w:bCs/>
          <w:sz w:val="21"/>
          <w:szCs w:val="21"/>
        </w:rPr>
        <w:t>Sem uso instrumental do cargo, art. 132, V ou art. 116.</w:t>
      </w:r>
      <w:r>
        <w:rPr>
          <w:sz w:val="21"/>
          <w:szCs w:val="21"/>
        </w:rPr>
        <w:t xml:space="preserve"> Nas hipóteses de assédio horizontal, ascendente, ou descendente sem uso ativo das prerrogativas funcionais:</w:t>
      </w:r>
    </w:p>
    <w:p w14:paraId="14D980B9" w14:textId="77777777" w:rsidR="00ED5BD0" w:rsidRPr="00ED5BD0" w:rsidRDefault="00ED5BD0">
      <w:pPr>
        <w:numPr>
          <w:ilvl w:val="0"/>
          <w:numId w:val="15"/>
        </w:numPr>
        <w:spacing w:after="120"/>
        <w:jc w:val="both"/>
        <w:rPr>
          <w:sz w:val="21"/>
          <w:szCs w:val="21"/>
        </w:rPr>
      </w:pPr>
      <w:r>
        <w:rPr>
          <w:sz w:val="21"/>
          <w:szCs w:val="21"/>
        </w:rPr>
        <w:t>quando a conduta atinge o limiar da "conduta escandalosa", pela sua intensidade, publicidade ou impacto coletivo, o enquadramento é o art. 132, V, com demissão;</w:t>
      </w:r>
    </w:p>
    <w:p w14:paraId="772BEB08" w14:textId="77777777" w:rsidR="00ED5BD0" w:rsidRPr="00ED5BD0" w:rsidRDefault="00ED5BD0">
      <w:pPr>
        <w:numPr>
          <w:ilvl w:val="0"/>
          <w:numId w:val="15"/>
        </w:numPr>
        <w:spacing w:after="120"/>
        <w:jc w:val="both"/>
        <w:rPr>
          <w:sz w:val="21"/>
          <w:szCs w:val="21"/>
        </w:rPr>
      </w:pPr>
      <w:r>
        <w:rPr>
          <w:sz w:val="21"/>
          <w:szCs w:val="21"/>
        </w:rPr>
        <w:t>quando a conduta configura violação grave do dever de moralidade sem atingir o limiar do escandaloso, o enquadramento é o art. 116, IX, com penalidade de advertência ou suspensão conforme a dosimetria do art. 128;</w:t>
      </w:r>
    </w:p>
    <w:p w14:paraId="6AE48A17" w14:textId="77777777" w:rsidR="00ED5BD0" w:rsidRPr="00ED5BD0" w:rsidRDefault="00ED5BD0">
      <w:pPr>
        <w:numPr>
          <w:ilvl w:val="0"/>
          <w:numId w:val="15"/>
        </w:numPr>
        <w:spacing w:after="120"/>
        <w:jc w:val="both"/>
        <w:rPr>
          <w:sz w:val="21"/>
          <w:szCs w:val="21"/>
        </w:rPr>
      </w:pPr>
      <w:r>
        <w:rPr>
          <w:sz w:val="21"/>
          <w:szCs w:val="21"/>
        </w:rPr>
        <w:t>quando a conduta decorre de falha gerencial culposa, gestão deficiente que produziu assédio sem propósito deliberado, o enquadramento também é o art. 116, IX, com penalidade de advertência ou suspensão.</w:t>
      </w:r>
    </w:p>
    <w:p w14:paraId="5C927BAE" w14:textId="77777777" w:rsidR="00ED5BD0" w:rsidRPr="00ED5BD0" w:rsidRDefault="00ED5BD0" w:rsidP="00ED5BD0">
      <w:pPr>
        <w:spacing w:after="120"/>
        <w:jc w:val="both"/>
        <w:rPr>
          <w:sz w:val="21"/>
          <w:szCs w:val="21"/>
        </w:rPr>
      </w:pPr>
      <w:r>
        <w:rPr>
          <w:sz w:val="21"/>
          <w:szCs w:val="21"/>
        </w:rPr>
        <w:t>A dosimetria nas hipóteses de advertência e suspensão considera, nos termos do art. 128: a natureza e a gravidade da infração; a duração e a frequência do padrão de conduta; o dano produzido à vítima e ao ambiente de trabalho; as circunstâncias agravantes, como a presença de motivação discriminatória, a pluralidade de vítimas ou a reiteração após advertência prévia, e atenuantes; e os antecedentes funcionais do servidor.</w:t>
      </w:r>
    </w:p>
    <w:p w14:paraId="7A9FAEA1" w14:textId="77777777" w:rsidR="00ED5BD0" w:rsidRPr="00D4086D" w:rsidRDefault="00ED5BD0" w:rsidP="00D4086D">
      <w:pPr>
        <w:pStyle w:val="Ttulo2"/>
        <w:keepNext/>
      </w:pPr>
      <w:bookmarkStart w:id="61" w:name="_Toc238022056"/>
      <w:r>
        <w:t>5.13 A prova do assédio moral no PAD: desafios e instrumentos</w:t>
      </w:r>
      <w:bookmarkEnd w:id="61"/>
    </w:p>
    <w:p w14:paraId="5AFB5052" w14:textId="77777777" w:rsidR="00ED5BD0" w:rsidRPr="00ED5BD0" w:rsidRDefault="00ED5BD0" w:rsidP="00ED5BD0">
      <w:pPr>
        <w:spacing w:after="120"/>
        <w:jc w:val="both"/>
        <w:rPr>
          <w:sz w:val="21"/>
          <w:szCs w:val="21"/>
        </w:rPr>
      </w:pPr>
      <w:r>
        <w:rPr>
          <w:sz w:val="21"/>
          <w:szCs w:val="21"/>
        </w:rPr>
        <w:t>A prova do assédio moral é, estruturalmente, um dos maiores desafios da instrução disciplinar. O fenômeno opera frequentemente de forma que cada episódio individual é plausível como ato de gestão; as condutas mais graves tendem a ocorrer em privado, sem testemunhas; a vítima frequentemente não documenta em tempo real porque não percebe imediatamente o padrão; e o assediador pode ser funcional e socialmente competente, mantendo imagem positiva perante superiores e outros colegas que não são alvo do assédio.</w:t>
      </w:r>
    </w:p>
    <w:p w14:paraId="7645411D" w14:textId="77777777" w:rsidR="00ED5BD0" w:rsidRPr="00ED5BD0" w:rsidRDefault="00ED5BD0" w:rsidP="00ED5BD0">
      <w:pPr>
        <w:spacing w:after="120"/>
        <w:jc w:val="both"/>
        <w:rPr>
          <w:sz w:val="21"/>
          <w:szCs w:val="21"/>
        </w:rPr>
      </w:pPr>
      <w:r>
        <w:rPr>
          <w:b/>
          <w:bCs/>
          <w:sz w:val="21"/>
          <w:szCs w:val="21"/>
        </w:rPr>
        <w:t>O depoimento da vítima e sua credibilidade.</w:t>
      </w:r>
      <w:r>
        <w:rPr>
          <w:sz w:val="21"/>
          <w:szCs w:val="21"/>
        </w:rPr>
        <w:t xml:space="preserve"> O depoimento da vítima é o ponto de partida obrigatório da instrução probatória. A avaliação de sua credibilidade deve considerar: a consistência interna do relato ao longo de todas as oitivas; o nível de detalhamento, relatos genéricos sobre "ambiente ruim" têm menos valor do que relatos específicos com datas, contextos e conteúdos identificáveis; a plausibilidade no contexto funcional (o relato faz sentido dado o que se sabe sobre a organização, a equipe e as relações de trabalho?) e a ausência de motivação aparente para denúncia falsa.</w:t>
      </w:r>
    </w:p>
    <w:p w14:paraId="59DFE1E1" w14:textId="77777777" w:rsidR="00ED5BD0" w:rsidRPr="00ED5BD0" w:rsidRDefault="00ED5BD0" w:rsidP="00ED5BD0">
      <w:pPr>
        <w:spacing w:after="120"/>
        <w:jc w:val="both"/>
        <w:rPr>
          <w:sz w:val="21"/>
          <w:szCs w:val="21"/>
        </w:rPr>
      </w:pPr>
      <w:r>
        <w:rPr>
          <w:b/>
          <w:bCs/>
          <w:sz w:val="21"/>
          <w:szCs w:val="21"/>
        </w:rPr>
        <w:lastRenderedPageBreak/>
        <w:t>A prova documental.</w:t>
      </w:r>
      <w:r>
        <w:rPr>
          <w:sz w:val="21"/>
          <w:szCs w:val="21"/>
        </w:rPr>
        <w:t xml:space="preserve"> E-mails, mensagens em sistemas corporativos, comunicados oficiais, portarias de remoção, histórico de avaliações de desempenho, registros de afastamento médico, todos são documentos que podem corroborar o relato da vítima. O padrão temporal dessas evidências é especialmente relevante: a deterioração súbita e documentada das avaliações de um servidor que tinha histórico positivo, sem mudança objetiva no desempenho, é evidência de assédio mais robusta do que qualquer declaração testemunhal.</w:t>
      </w:r>
    </w:p>
    <w:p w14:paraId="7CE967C0" w14:textId="77777777" w:rsidR="00ED5BD0" w:rsidRPr="00ED5BD0" w:rsidRDefault="00ED5BD0" w:rsidP="00ED5BD0">
      <w:pPr>
        <w:spacing w:after="120"/>
        <w:jc w:val="both"/>
        <w:rPr>
          <w:sz w:val="21"/>
          <w:szCs w:val="21"/>
        </w:rPr>
      </w:pPr>
      <w:r>
        <w:rPr>
          <w:b/>
          <w:bCs/>
          <w:sz w:val="21"/>
          <w:szCs w:val="21"/>
        </w:rPr>
        <w:t>A prova pericial.</w:t>
      </w:r>
      <w:r>
        <w:rPr>
          <w:sz w:val="21"/>
          <w:szCs w:val="21"/>
        </w:rPr>
        <w:t xml:space="preserve"> O laudo psicológico ou psiquiátrico que documenta o impacto clínico do assédio sobre a vítima tem dupla relevância: prova o dano, elemento que a NT nº 93/2024 não exige como condição de caracterização, mas que é relevante para a dosimetria, e corrobora a experiência da vítima por fonte independente. A correlação entre o diagnóstico e o período em que o assédio teria ocorrido, documentada no laudo, é elemento probatório de peso.</w:t>
      </w:r>
    </w:p>
    <w:p w14:paraId="213E29FC" w14:textId="77777777" w:rsidR="00ED5BD0" w:rsidRPr="00ED5BD0" w:rsidRDefault="00ED5BD0" w:rsidP="00ED5BD0">
      <w:pPr>
        <w:spacing w:after="120"/>
        <w:jc w:val="both"/>
        <w:rPr>
          <w:sz w:val="21"/>
          <w:szCs w:val="21"/>
        </w:rPr>
      </w:pPr>
      <w:r>
        <w:rPr>
          <w:b/>
          <w:bCs/>
          <w:sz w:val="21"/>
          <w:szCs w:val="21"/>
        </w:rPr>
        <w:t>O testemunho de outros servidores.</w:t>
      </w:r>
      <w:r>
        <w:rPr>
          <w:sz w:val="21"/>
          <w:szCs w:val="21"/>
        </w:rPr>
        <w:t xml:space="preserve"> Colegas que testemunharam episódios, que receberam da vítima relatos contemporâneos ao fato, ou que foram eles próprios alvo do mesmo assediador são fontes probatórias relevantes. O operador deve ouvir todos os servidores identificados como possíveis testemunhas, inclusive aqueles que o assediador possa apresentar como testemunhas de defesa, pois o relato cruzado de múltiplas perspectivas frequentemente revela o padrão que nenhuma perspectiva isolada tornaria visível.</w:t>
      </w:r>
    </w:p>
    <w:p w14:paraId="68DD7E7D" w14:textId="77777777" w:rsidR="00ED5BD0" w:rsidRPr="00ED5BD0" w:rsidRDefault="00ED5BD0" w:rsidP="00ED5BD0">
      <w:pPr>
        <w:spacing w:after="120"/>
        <w:jc w:val="both"/>
        <w:rPr>
          <w:sz w:val="21"/>
          <w:szCs w:val="21"/>
        </w:rPr>
      </w:pPr>
      <w:r>
        <w:rPr>
          <w:b/>
          <w:bCs/>
          <w:sz w:val="21"/>
          <w:szCs w:val="21"/>
        </w:rPr>
        <w:t>O padrão de comportamento do assediador com outras vítimas.</w:t>
      </w:r>
      <w:r>
        <w:rPr>
          <w:sz w:val="21"/>
          <w:szCs w:val="21"/>
        </w:rPr>
        <w:t xml:space="preserve"> A demonstração de que o mesmo assediador praticou condutas análogas contra outros servidores em situações funcionalmente similares é evidência de padrão que aponta para propósito deliberado em vez de episódio isolado. Essa prova é especialmente relevante para a distinção entre dolo e culpa, e para a dosimetria que considera a reincidência como agravante.</w:t>
      </w:r>
    </w:p>
    <w:p w14:paraId="144A685D" w14:textId="77777777" w:rsidR="00ED5BD0" w:rsidRPr="003D0187" w:rsidRDefault="00ED5BD0" w:rsidP="003D0187">
      <w:pPr>
        <w:pStyle w:val="Ttulo2"/>
        <w:keepNext/>
      </w:pPr>
      <w:bookmarkStart w:id="62" w:name="_Toc238022057"/>
      <w:r>
        <w:t>5.14 A comunicação de casos com repercussão penal</w:t>
      </w:r>
      <w:bookmarkEnd w:id="62"/>
    </w:p>
    <w:p w14:paraId="0592814B" w14:textId="77777777" w:rsidR="00ED5BD0" w:rsidRPr="00ED5BD0" w:rsidRDefault="00ED5BD0" w:rsidP="00ED5BD0">
      <w:pPr>
        <w:spacing w:after="120"/>
        <w:jc w:val="both"/>
        <w:rPr>
          <w:sz w:val="21"/>
          <w:szCs w:val="21"/>
        </w:rPr>
      </w:pPr>
      <w:r>
        <w:rPr>
          <w:sz w:val="21"/>
          <w:szCs w:val="21"/>
        </w:rPr>
        <w:t>O assédio moral grave, dependendo das formas específicas que assume, pode configurar crimes no plano penal, especialmente quando envolve: ameaças (art. 147 do CP), assédio sexual (art. 216-A do CP), perseguição (art. 147-A do CP, inserido pela Lei nº 14.132/2021), constrangimento ilegal (art. 146 do CP), ou lesão corporal quando o assédio intenso e prolongado produz dano físico documentável (art. 129 do CP em sua modalidade culposa). A independência das instâncias (</w:t>
      </w:r>
      <w:proofErr w:type="spellStart"/>
      <w:r>
        <w:rPr>
          <w:sz w:val="21"/>
          <w:szCs w:val="21"/>
        </w:rPr>
        <w:t>arts</w:t>
      </w:r>
      <w:proofErr w:type="spellEnd"/>
      <w:r>
        <w:rPr>
          <w:sz w:val="21"/>
          <w:szCs w:val="21"/>
        </w:rPr>
        <w:t>. 125 e 126 da Lei nº 8.112, de 1990) aplica-se plenamente: o PAD tramita de forma independente do eventual processo penal.</w:t>
      </w:r>
    </w:p>
    <w:p w14:paraId="6076D4FD" w14:textId="77777777" w:rsidR="00ED5BD0" w:rsidRPr="00ED5BD0" w:rsidRDefault="00ED5BD0" w:rsidP="00ED5BD0">
      <w:pPr>
        <w:spacing w:after="120"/>
        <w:jc w:val="both"/>
        <w:rPr>
          <w:sz w:val="21"/>
          <w:szCs w:val="21"/>
        </w:rPr>
      </w:pPr>
      <w:r>
        <w:rPr>
          <w:sz w:val="21"/>
          <w:szCs w:val="21"/>
        </w:rPr>
        <w:t xml:space="preserve">Quando o enquadramento da conduta apurada sugere possível tipificação criminal, a autoridade competente deve considerar a comunicação ao Ministério Público. O </w:t>
      </w:r>
      <w:r>
        <w:rPr>
          <w:b/>
          <w:bCs/>
          <w:sz w:val="21"/>
          <w:szCs w:val="21"/>
        </w:rPr>
        <w:t>art. 116, VI</w:t>
      </w:r>
      <w:r>
        <w:rPr>
          <w:sz w:val="21"/>
          <w:szCs w:val="21"/>
        </w:rPr>
        <w:t xml:space="preserve">, da Lei nº 8.112, de 1990 inclui entre os deveres do servidor o de </w:t>
      </w:r>
      <w:r>
        <w:rPr>
          <w:i/>
          <w:iCs/>
          <w:sz w:val="21"/>
          <w:szCs w:val="21"/>
        </w:rPr>
        <w:t>"levar ao conhecimento da autoridade superior as irregularidades de que tiver ciência em razão do cargo"</w:t>
      </w:r>
      <w:r>
        <w:rPr>
          <w:sz w:val="21"/>
          <w:szCs w:val="21"/>
        </w:rPr>
        <w:t xml:space="preserve"> e a autoridade correcional que identifica conduta com possível dimensão criminal tem dever análogo de levar ao conhecimento das autoridades competentes.</w:t>
      </w:r>
    </w:p>
    <w:p w14:paraId="49D5D756" w14:textId="77777777" w:rsidR="00ED5BD0" w:rsidRPr="003D0187" w:rsidRDefault="00ED5BD0" w:rsidP="003D0187">
      <w:pPr>
        <w:pStyle w:val="Ttulo2"/>
        <w:keepNext/>
      </w:pPr>
      <w:bookmarkStart w:id="63" w:name="_Toc238022058"/>
      <w:r>
        <w:t xml:space="preserve">5.15 Síntese operacional: o Eixo 5 da ferramenta </w:t>
      </w:r>
      <w:proofErr w:type="spellStart"/>
      <w:r>
        <w:t>Integritas</w:t>
      </w:r>
      <w:bookmarkEnd w:id="63"/>
      <w:proofErr w:type="spellEnd"/>
    </w:p>
    <w:p w14:paraId="2BB2C786" w14:textId="77777777" w:rsidR="00ED5BD0" w:rsidRPr="00ED5BD0" w:rsidRDefault="00ED5BD0" w:rsidP="00ED5BD0">
      <w:pPr>
        <w:spacing w:after="120"/>
        <w:jc w:val="both"/>
        <w:rPr>
          <w:sz w:val="21"/>
          <w:szCs w:val="21"/>
        </w:rPr>
      </w:pPr>
      <w:r>
        <w:rPr>
          <w:sz w:val="21"/>
          <w:szCs w:val="21"/>
        </w:rPr>
        <w:t xml:space="preserve">O Eixo 5 é o mais complexo da ferramenta </w:t>
      </w:r>
      <w:proofErr w:type="spellStart"/>
      <w:r>
        <w:rPr>
          <w:sz w:val="21"/>
          <w:szCs w:val="21"/>
        </w:rPr>
        <w:t>Integritas</w:t>
      </w:r>
      <w:proofErr w:type="spellEnd"/>
      <w:r>
        <w:rPr>
          <w:sz w:val="21"/>
          <w:szCs w:val="21"/>
        </w:rPr>
        <w:t>, com dez perguntas e múltiplas bifurcações internas. A complexidade reflete a natureza do fenômeno: o assédio moral é o ilícito disciplinar que mais desafia a distinção com condutas legítimas, que mais depende de análise de padrão e contexto, e que mais frequentemente apresenta fronteiras porosas com outros eixos.</w:t>
      </w:r>
    </w:p>
    <w:p w14:paraId="049D2BE3" w14:textId="77777777" w:rsidR="00ED5BD0" w:rsidRPr="00ED5BD0" w:rsidRDefault="00ED5BD0" w:rsidP="00ED5BD0">
      <w:pPr>
        <w:spacing w:after="120"/>
        <w:jc w:val="both"/>
        <w:rPr>
          <w:sz w:val="21"/>
          <w:szCs w:val="21"/>
        </w:rPr>
      </w:pPr>
      <w:r>
        <w:rPr>
          <w:sz w:val="21"/>
          <w:szCs w:val="21"/>
        </w:rPr>
        <w:lastRenderedPageBreak/>
        <w:t>O fluxo do Eixo 5 percorre, em sequência, as bifurcações que estruturam a análise deste capítulo:</w:t>
      </w:r>
    </w:p>
    <w:p w14:paraId="1CA94C87" w14:textId="77777777" w:rsidR="00ED5BD0" w:rsidRPr="00ED5BD0" w:rsidRDefault="00ED5BD0" w:rsidP="00ED5BD0">
      <w:pPr>
        <w:spacing w:after="120"/>
        <w:jc w:val="both"/>
        <w:rPr>
          <w:sz w:val="21"/>
          <w:szCs w:val="21"/>
        </w:rPr>
      </w:pPr>
      <w:r>
        <w:rPr>
          <w:b/>
          <w:bCs/>
          <w:sz w:val="21"/>
          <w:szCs w:val="21"/>
        </w:rPr>
        <w:t>(P1) Ato isolado ou reiterado?</w:t>
      </w:r>
      <w:r>
        <w:rPr>
          <w:sz w:val="21"/>
          <w:szCs w:val="21"/>
        </w:rPr>
        <w:t xml:space="preserve"> A distinção temporal que separa o ato único, eventualmente grave o suficiente para enquadramento por si, do padrão reiterado que é o elemento definidor clássico do assédio moral.</w:t>
      </w:r>
    </w:p>
    <w:p w14:paraId="25E99F33" w14:textId="77777777" w:rsidR="00ED5BD0" w:rsidRPr="00ED5BD0" w:rsidRDefault="00ED5BD0" w:rsidP="00ED5BD0">
      <w:pPr>
        <w:spacing w:after="120"/>
        <w:jc w:val="both"/>
        <w:rPr>
          <w:sz w:val="21"/>
          <w:szCs w:val="21"/>
        </w:rPr>
      </w:pPr>
      <w:r>
        <w:rPr>
          <w:b/>
          <w:bCs/>
          <w:sz w:val="21"/>
          <w:szCs w:val="21"/>
        </w:rPr>
        <w:t>(P2, para ato isolado) Dano ou repercussão grave?</w:t>
      </w:r>
      <w:r>
        <w:rPr>
          <w:sz w:val="21"/>
          <w:szCs w:val="21"/>
        </w:rPr>
        <w:t xml:space="preserve"> O ato único sem gravidade suficiente para produzir dano comparável ao padrão reiterado não configura assédio moral, pode configurar outros ilícitos (violência verbal, ameaça), mas não assédio moral.</w:t>
      </w:r>
    </w:p>
    <w:p w14:paraId="0E8D3E4C" w14:textId="77777777" w:rsidR="00ED5BD0" w:rsidRPr="00ED5BD0" w:rsidRDefault="00ED5BD0" w:rsidP="00ED5BD0">
      <w:pPr>
        <w:spacing w:after="120"/>
        <w:jc w:val="both"/>
        <w:rPr>
          <w:sz w:val="21"/>
          <w:szCs w:val="21"/>
        </w:rPr>
      </w:pPr>
      <w:r>
        <w:rPr>
          <w:b/>
          <w:bCs/>
          <w:sz w:val="21"/>
          <w:szCs w:val="21"/>
        </w:rPr>
        <w:t>(P3, para ato isolado grave) Uso instrumental do cargo?</w:t>
      </w:r>
      <w:r>
        <w:rPr>
          <w:sz w:val="21"/>
          <w:szCs w:val="21"/>
        </w:rPr>
        <w:t xml:space="preserve"> A bifurcação que verifica se o episódio único grave foi amplificado pelo uso das prerrogativas funcionais e que, em caso afirmativo, encaminha para a análise do elemento subjetivo.</w:t>
      </w:r>
    </w:p>
    <w:p w14:paraId="5B9BAA1F" w14:textId="77777777" w:rsidR="00ED5BD0" w:rsidRPr="00ED5BD0" w:rsidRDefault="00ED5BD0" w:rsidP="00ED5BD0">
      <w:pPr>
        <w:spacing w:after="120"/>
        <w:jc w:val="both"/>
        <w:rPr>
          <w:sz w:val="21"/>
          <w:szCs w:val="21"/>
        </w:rPr>
      </w:pPr>
      <w:r>
        <w:rPr>
          <w:b/>
          <w:bCs/>
          <w:sz w:val="21"/>
          <w:szCs w:val="21"/>
        </w:rPr>
        <w:t>(P4) Elemento subjetivo?</w:t>
      </w:r>
      <w:r>
        <w:rPr>
          <w:sz w:val="21"/>
          <w:szCs w:val="21"/>
        </w:rPr>
        <w:t xml:space="preserve"> A bifurcação que determina o patamar de enquadramento: dolo → art. 117, IX; culpa → art. 116, IX; ausente → sem ilícito.</w:t>
      </w:r>
    </w:p>
    <w:p w14:paraId="7DDA5028" w14:textId="77777777" w:rsidR="00ED5BD0" w:rsidRPr="00ED5BD0" w:rsidRDefault="00ED5BD0" w:rsidP="00ED5BD0">
      <w:pPr>
        <w:spacing w:after="120"/>
        <w:jc w:val="both"/>
        <w:rPr>
          <w:sz w:val="21"/>
          <w:szCs w:val="21"/>
        </w:rPr>
      </w:pPr>
      <w:r>
        <w:rPr>
          <w:b/>
          <w:bCs/>
          <w:sz w:val="21"/>
          <w:szCs w:val="21"/>
        </w:rPr>
        <w:t>(P5, para reiterado) Motivação discriminatória?</w:t>
      </w:r>
      <w:r>
        <w:rPr>
          <w:sz w:val="21"/>
          <w:szCs w:val="21"/>
        </w:rPr>
        <w:t xml:space="preserve"> A verificação, reposicionada para o início do ramo reiterado e aplicável às três direções do assédio (vertical, horizontal e ascendente), que identifica o assédio moral discriminatório e aciona o alerta de cumulatividade com o Eixo 4, antes mesmo de se apurar a direção hierárquica.</w:t>
      </w:r>
    </w:p>
    <w:p w14:paraId="3B421A20" w14:textId="77777777" w:rsidR="00ED5BD0" w:rsidRPr="00ED5BD0" w:rsidRDefault="00ED5BD0" w:rsidP="00ED5BD0">
      <w:pPr>
        <w:spacing w:after="120"/>
        <w:jc w:val="both"/>
        <w:rPr>
          <w:sz w:val="21"/>
          <w:szCs w:val="21"/>
        </w:rPr>
      </w:pPr>
      <w:r>
        <w:rPr>
          <w:b/>
          <w:bCs/>
          <w:sz w:val="21"/>
          <w:szCs w:val="21"/>
        </w:rPr>
        <w:t>(P6) Direção hierárquica?</w:t>
      </w:r>
      <w:r>
        <w:rPr>
          <w:sz w:val="21"/>
          <w:szCs w:val="21"/>
        </w:rPr>
        <w:t xml:space="preserve"> A identificação da modalidade (descendente, horizontal ou ascendente) que determina a disponibilidade do enquadramento no art. 117, IX (exclusivo do descendente com cargo); nas modalidades horizontal e ascendente, o percurso segue diretamente para o resultado de grave ofensa à moralidade (P3-B), pois a motivação discriminatória já foi verificada em P5.</w:t>
      </w:r>
    </w:p>
    <w:p w14:paraId="71F10062" w14:textId="77777777" w:rsidR="00ED5BD0" w:rsidRPr="00ED5BD0" w:rsidRDefault="00ED5BD0" w:rsidP="00ED5BD0">
      <w:pPr>
        <w:spacing w:after="120"/>
        <w:jc w:val="both"/>
        <w:rPr>
          <w:sz w:val="21"/>
          <w:szCs w:val="21"/>
        </w:rPr>
      </w:pPr>
      <w:r>
        <w:rPr>
          <w:b/>
          <w:bCs/>
          <w:sz w:val="21"/>
          <w:szCs w:val="21"/>
        </w:rPr>
        <w:t>(P7 a P9) Uso do cargo, organização do trabalho e teste de isonomia?</w:t>
      </w:r>
      <w:r>
        <w:rPr>
          <w:sz w:val="21"/>
          <w:szCs w:val="21"/>
        </w:rPr>
        <w:t xml:space="preserve"> A sequência que implementa o teste da finalidade: se há uso do cargo (P7), se a conduta reiterada com uso do cargo relaciona-se à organização do trabalho (P8) e, em caso positivo, se a medida gerencial invocada possui justificativa objetiva e isonômica (P9). A ausência de conexão com o trabalho confirma o valimento do cargo para fins de perseguição pessoal.</w:t>
      </w:r>
    </w:p>
    <w:p w14:paraId="45A8A9BC" w14:textId="77777777" w:rsidR="00ED5BD0" w:rsidRPr="00ED5BD0" w:rsidRDefault="00ED5BD0" w:rsidP="00ED5BD0">
      <w:pPr>
        <w:spacing w:after="120"/>
        <w:jc w:val="both"/>
        <w:rPr>
          <w:sz w:val="21"/>
          <w:szCs w:val="21"/>
        </w:rPr>
      </w:pPr>
      <w:r>
        <w:rPr>
          <w:sz w:val="21"/>
          <w:szCs w:val="21"/>
        </w:rPr>
        <w:t xml:space="preserve">O operador que percorre o Eixo 5 com atenção ao teste da finalidade (seção 5.8), aos indicadores de transposição da fronteira com a gestão legítima (seção 5.8), à distinção entre dolo e culpa (seção 5.9), e à possibilidade de motivação discriminatória (seção 5.10) </w:t>
      </w:r>
      <w:proofErr w:type="gramStart"/>
      <w:r>
        <w:rPr>
          <w:sz w:val="21"/>
          <w:szCs w:val="21"/>
        </w:rPr>
        <w:t>estará realizando</w:t>
      </w:r>
      <w:proofErr w:type="gramEnd"/>
      <w:r>
        <w:rPr>
          <w:sz w:val="21"/>
          <w:szCs w:val="21"/>
        </w:rPr>
        <w:t xml:space="preserve"> análise que a NT nº 93/2024 tornou possível e que a ferramenta </w:t>
      </w:r>
      <w:proofErr w:type="spellStart"/>
      <w:r>
        <w:rPr>
          <w:sz w:val="21"/>
          <w:szCs w:val="21"/>
        </w:rPr>
        <w:t>Integritas</w:t>
      </w:r>
      <w:proofErr w:type="spellEnd"/>
      <w:r>
        <w:rPr>
          <w:sz w:val="21"/>
          <w:szCs w:val="21"/>
        </w:rPr>
        <w:t xml:space="preserve"> traduz em fluxo estruturado. A complexidade do Eixo 5 é proporcional à complexidade do fenômeno que ele analisa e o rigor com que o operador percorre cada bifurcação é o que transforma a ferramenta de instrumento de triagem em instrumento de análise disciplinar genuinamente fundamentada.</w:t>
      </w:r>
    </w:p>
    <w:p w14:paraId="72846E21" w14:textId="77777777" w:rsidR="00287D58" w:rsidRDefault="003B78AF">
      <w:pPr>
        <w:spacing w:after="120"/>
        <w:jc w:val="both"/>
      </w:pPr>
      <w:r>
        <w:rPr>
          <w:sz w:val="21"/>
          <w:szCs w:val="21"/>
        </w:rPr>
        <w:t>dano existencial: "o assédio moral não destrói apenas a saúde da vítima: destrói sua identidade profissional, suas perspectivas de carreira, seus relacionamentos no ambiente de trabalho" (Terror Psicológico no Trabalho, p. 98).</w:t>
      </w:r>
    </w:p>
    <w:p w14:paraId="5D81EA36" w14:textId="77777777" w:rsidR="00287D58" w:rsidRDefault="00287D58">
      <w:pPr>
        <w:spacing w:after="120"/>
        <w:jc w:val="both"/>
      </w:pPr>
    </w:p>
    <w:p w14:paraId="5C030E21" w14:textId="77777777" w:rsidR="00287D58" w:rsidRDefault="003B78AF">
      <w:r>
        <w:br w:type="page"/>
      </w:r>
    </w:p>
    <w:p w14:paraId="7C41F322"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CAPÍTULO 6</w:t>
      </w:r>
    </w:p>
    <w:p w14:paraId="091955D1" w14:textId="77777777" w:rsidR="00287D58" w:rsidRDefault="003B78AF">
      <w:pPr>
        <w:pStyle w:val="Ttulo1"/>
        <w:keepNext/>
        <w:pBdr>
          <w:bottom w:val="single" w:sz="12" w:space="6" w:color="C9A35C"/>
        </w:pBdr>
        <w:spacing w:line="400" w:lineRule="exact"/>
      </w:pPr>
      <w:bookmarkStart w:id="64" w:name="_Toc238022059"/>
      <w:r>
        <w:t>6. DISCRIMINAÇÃO NO SERVIÇO PÚBLICO FEDERAL: IGUALDADE COMO MANDATO CONSTITUCIONAL, EFEITO COMO CRITÉRIO E O ENQUADRAMENTO PELA NT Nº 93/2024</w:t>
      </w:r>
      <w:bookmarkEnd w:id="64"/>
    </w:p>
    <w:p w14:paraId="2BFDED26" w14:textId="77777777" w:rsidR="00287D58" w:rsidRDefault="003B78AF">
      <w:pPr>
        <w:pStyle w:val="Ttulo2"/>
        <w:keepNext/>
      </w:pPr>
      <w:bookmarkStart w:id="65" w:name="_Toc238022060"/>
      <w:r>
        <w:t>6.1 A questão que o capítulo precisa enfrentar</w:t>
      </w:r>
      <w:bookmarkEnd w:id="65"/>
    </w:p>
    <w:p w14:paraId="477F8373" w14:textId="77777777" w:rsidR="00CF2F96" w:rsidRPr="00CF2F96" w:rsidRDefault="00CF2F96" w:rsidP="00CF2F96">
      <w:pPr>
        <w:spacing w:after="120"/>
        <w:jc w:val="both"/>
        <w:rPr>
          <w:sz w:val="21"/>
          <w:szCs w:val="21"/>
        </w:rPr>
      </w:pPr>
      <w:r>
        <w:rPr>
          <w:sz w:val="21"/>
          <w:szCs w:val="21"/>
        </w:rPr>
        <w:t xml:space="preserve">A discriminação é o ilícito disciplinar que mais claramente revela a tensão entre o que a Constituição Federal de 1988 promete e o que as organizações públicas frequentemente entregam. A Constituição fundou a República sobre a dignidade da pessoa humana (art. 1º, III), elevou a promoção do bem de todos "sem preconceitos de origem, raça, sexo, cor, idade e quaisquer outras formas de discriminação" à condição de objetivo fundamental (art. 3º, IV), e estabeleceu mandados expressos de criminalização da discriminação e do racismo (art. 5º, XLI e XLII). O serviço público federal, por força do princípio constitucional da impessoalidade (art. 37, </w:t>
      </w:r>
      <w:r>
        <w:rPr>
          <w:i/>
          <w:iCs/>
          <w:sz w:val="21"/>
          <w:szCs w:val="21"/>
        </w:rPr>
        <w:t>caput</w:t>
      </w:r>
      <w:r>
        <w:rPr>
          <w:sz w:val="21"/>
          <w:szCs w:val="21"/>
        </w:rPr>
        <w:t>), está especificamente vinculado à neutralidade, a Administração age em nome do Estado, não das preferências pessoais de quem a integra.</w:t>
      </w:r>
    </w:p>
    <w:p w14:paraId="01E2B8E9" w14:textId="77777777" w:rsidR="00CF2F96" w:rsidRPr="00CF2F96" w:rsidRDefault="00CF2F96" w:rsidP="00CF2F96">
      <w:pPr>
        <w:spacing w:after="120"/>
        <w:jc w:val="both"/>
        <w:rPr>
          <w:sz w:val="21"/>
          <w:szCs w:val="21"/>
        </w:rPr>
      </w:pPr>
      <w:r>
        <w:rPr>
          <w:sz w:val="21"/>
          <w:szCs w:val="21"/>
        </w:rPr>
        <w:t>E, no entanto, a discriminação existe no serviço público federal, com frequência documentada, com mecanismos bem descritos pela pesquisa empírica, com efeitos sobre as carreiras, a saúde e a dignidade das vítimas que a pesquisa clínica e as ciências sociais registram com consistência. O servidor que é sistematicamente preterido em progressões por razão de sua raça, a servidora cujas competências são rotineiramente subestimadas por razão de seu gênero, o servidor cuja orientação sexual se torna pretexto para isolamento funcional, todos experimentam, no interior de uma instituição que existe para servir ao interesse coletivo, a negação individualizada de igualdade que a Constituição proibiu.</w:t>
      </w:r>
    </w:p>
    <w:p w14:paraId="71DC65DC" w14:textId="77777777" w:rsidR="00287D58" w:rsidRPr="00CF2F96" w:rsidRDefault="00CF2F96">
      <w:pPr>
        <w:spacing w:after="120"/>
        <w:jc w:val="both"/>
        <w:rPr>
          <w:sz w:val="21"/>
          <w:szCs w:val="21"/>
        </w:rPr>
      </w:pPr>
      <w:r>
        <w:rPr>
          <w:sz w:val="21"/>
          <w:szCs w:val="21"/>
        </w:rPr>
        <w:t xml:space="preserve">A NT nº 93/2024/CGUNE/DICOR/CRG sistematizou o enquadramento disciplinar da discriminação no serviço público federal. A ferramenta </w:t>
      </w:r>
      <w:proofErr w:type="spellStart"/>
      <w:r>
        <w:rPr>
          <w:sz w:val="21"/>
          <w:szCs w:val="21"/>
        </w:rPr>
        <w:t>Integritas</w:t>
      </w:r>
      <w:proofErr w:type="spellEnd"/>
      <w:r>
        <w:rPr>
          <w:sz w:val="21"/>
          <w:szCs w:val="21"/>
        </w:rPr>
        <w:t xml:space="preserve"> incorporou, com base nessa Nota Técnica e na interpretação sistêmica que a complementa, o Eixo 4, que pela primeira vez oferece ao operador correcional um fluxo estruturado para identificar, qualificar e enquadrar a conduta discriminatória com a precisão que o bem jurídico protegido exige. Este capítulo explica os fundamentos desse fluxo.</w:t>
      </w:r>
    </w:p>
    <w:p w14:paraId="2F3C9100" w14:textId="77777777" w:rsidR="00287D58" w:rsidRDefault="003B78AF">
      <w:pPr>
        <w:pStyle w:val="Ttulo2"/>
        <w:keepNext/>
      </w:pPr>
      <w:bookmarkStart w:id="66" w:name="_Toc238022061"/>
      <w:r>
        <w:t>6.2 O duplo mandato constitucional: igualdade formal e substancial</w:t>
      </w:r>
      <w:bookmarkEnd w:id="66"/>
    </w:p>
    <w:p w14:paraId="419382F1" w14:textId="77777777" w:rsidR="000223B9" w:rsidRPr="000223B9" w:rsidRDefault="003B78AF" w:rsidP="000223B9">
      <w:pPr>
        <w:spacing w:after="120"/>
        <w:jc w:val="both"/>
        <w:rPr>
          <w:sz w:val="21"/>
          <w:szCs w:val="21"/>
        </w:rPr>
      </w:pPr>
      <w:r>
        <w:rPr>
          <w:sz w:val="21"/>
          <w:szCs w:val="21"/>
        </w:rPr>
        <w:t>No A Constituição Federal de 1988 institui o princípio da não discriminação em dois planos que se complementam e que não podem ser lidos em isolamento um do outro.</w:t>
      </w:r>
    </w:p>
    <w:p w14:paraId="53133E80" w14:textId="77777777" w:rsidR="000223B9" w:rsidRPr="00416CB4" w:rsidRDefault="000223B9" w:rsidP="000223B9">
      <w:pPr>
        <w:spacing w:after="120"/>
        <w:jc w:val="both"/>
        <w:rPr>
          <w:sz w:val="21"/>
          <w:szCs w:val="21"/>
        </w:rPr>
      </w:pPr>
      <w:r>
        <w:rPr>
          <w:sz w:val="21"/>
          <w:szCs w:val="21"/>
        </w:rPr>
        <w:t xml:space="preserve">No plano formal, o art. 5º, </w:t>
      </w:r>
      <w:r>
        <w:rPr>
          <w:i/>
          <w:iCs/>
          <w:sz w:val="21"/>
          <w:szCs w:val="21"/>
        </w:rPr>
        <w:t>caput</w:t>
      </w:r>
      <w:r>
        <w:rPr>
          <w:sz w:val="21"/>
          <w:szCs w:val="21"/>
        </w:rPr>
        <w:t xml:space="preserve">, declara que "todos são iguais perante a lei, sem distinção de qualquer natureza". A igualdade formal proíbe que a lei, e o ato administrativo, distinga as pessoas com base em atributos pessoais irrelevantes para o tratamento jurídico em questão. No ambiente institucional, ela se traduz no princípio da impessoalidade (CF, art. 37, </w:t>
      </w:r>
      <w:r>
        <w:rPr>
          <w:i/>
          <w:iCs/>
          <w:sz w:val="21"/>
          <w:szCs w:val="21"/>
        </w:rPr>
        <w:t>caput</w:t>
      </w:r>
      <w:r>
        <w:rPr>
          <w:sz w:val="21"/>
          <w:szCs w:val="21"/>
        </w:rPr>
        <w:t xml:space="preserve">): os atos da Administração Pública devem ser orientados pelo interesse do serviço, não pelas características pessoais (raça, sexo, religião, orientação sexual, deficiência etc.) de quem os </w:t>
      </w:r>
      <w:proofErr w:type="gramStart"/>
      <w:r>
        <w:rPr>
          <w:sz w:val="21"/>
          <w:szCs w:val="21"/>
        </w:rPr>
        <w:t>pratica</w:t>
      </w:r>
      <w:proofErr w:type="gramEnd"/>
      <w:r>
        <w:rPr>
          <w:sz w:val="21"/>
          <w:szCs w:val="21"/>
        </w:rPr>
        <w:t xml:space="preserve"> ou de quem os recebe.</w:t>
      </w:r>
    </w:p>
    <w:p w14:paraId="2451A45F" w14:textId="77777777" w:rsidR="000223B9" w:rsidRPr="000223B9" w:rsidRDefault="000223B9" w:rsidP="000223B9">
      <w:pPr>
        <w:spacing w:after="120"/>
        <w:jc w:val="both"/>
        <w:rPr>
          <w:sz w:val="21"/>
          <w:szCs w:val="21"/>
        </w:rPr>
      </w:pPr>
      <w:r>
        <w:rPr>
          <w:sz w:val="21"/>
          <w:szCs w:val="21"/>
        </w:rPr>
        <w:t xml:space="preserve">No plano substancial, o art. 3º, IV, estipula como objetivo fundamental da República "promover o bem de todos, sem preconceitos de origem, raça, sexo, cor, idade e quaisquer outras formas de discriminação". O deslocamento semântico é significativo: não se trata apenas de proibir o tratamento </w:t>
      </w:r>
      <w:r>
        <w:rPr>
          <w:sz w:val="21"/>
          <w:szCs w:val="21"/>
        </w:rPr>
        <w:lastRenderedPageBreak/>
        <w:t>diferenciado injustificado, mas de promover ativamente a igualdade de oportunidades e de tratamento para grupos historicamente discriminados. A igualdade substancial reconhece que a aplicação cega de regras formalmente neutras pode perpetuar, e até aprofundar, desigualdades estruturais preexistentes.</w:t>
      </w:r>
    </w:p>
    <w:p w14:paraId="6B1B8B41" w14:textId="77777777" w:rsidR="000223B9" w:rsidRPr="000223B9" w:rsidRDefault="000223B9" w:rsidP="000223B9">
      <w:pPr>
        <w:spacing w:after="120"/>
        <w:jc w:val="both"/>
        <w:rPr>
          <w:sz w:val="21"/>
          <w:szCs w:val="21"/>
        </w:rPr>
      </w:pPr>
      <w:r>
        <w:rPr>
          <w:sz w:val="21"/>
          <w:szCs w:val="21"/>
        </w:rPr>
        <w:t xml:space="preserve">Flávia Piovesan articula essa tensão com precisão: </w:t>
      </w:r>
      <w:r>
        <w:rPr>
          <w:i/>
          <w:iCs/>
          <w:sz w:val="21"/>
          <w:szCs w:val="21"/>
        </w:rPr>
        <w:t>"não basta tratar o indivíduo de forma genérica, geral e abstrata. Temos aqui a especificação do sujeito de direito, que reclama considerar as particularidades e especificidades de determinados grupos sociais vulneráveis. Daí a necessidade de uma igualdade que reconheça as diferenças e de uma diferença que não produza, alimente ou reproduza as desigualdades"</w:t>
      </w:r>
      <w:r>
        <w:rPr>
          <w:rStyle w:val="Refdenotaderodap"/>
          <w:i/>
          <w:iCs/>
          <w:sz w:val="21"/>
          <w:szCs w:val="21"/>
        </w:rPr>
        <w:footnoteReference w:id="33"/>
      </w:r>
      <w:r>
        <w:rPr>
          <w:sz w:val="21"/>
          <w:szCs w:val="21"/>
        </w:rPr>
        <w:t>. Essa tensão produtiva entre igualdade formal e substancial é o pano de fundo sobre o qual todo o direito antidiscriminatório opera, e determina, no plano disciplinar, que o operador não pode se limitar a verificar se a regra foi formalmente igual para todos: precisa verificar se o efeito concreto da conduta foi discriminatório.</w:t>
      </w:r>
    </w:p>
    <w:p w14:paraId="1ABA260A" w14:textId="77777777" w:rsidR="000223B9" w:rsidRPr="00952DE7" w:rsidRDefault="000223B9" w:rsidP="000223B9">
      <w:pPr>
        <w:spacing w:after="120"/>
        <w:jc w:val="both"/>
        <w:rPr>
          <w:sz w:val="21"/>
          <w:szCs w:val="21"/>
        </w:rPr>
      </w:pPr>
      <w:r>
        <w:rPr>
          <w:sz w:val="21"/>
          <w:szCs w:val="21"/>
        </w:rPr>
        <w:t>O art. 5º, XLI e XLII, da Constituição Federal acrescenta ao mandato normativo uma dimensão punitiva expressa: mandados de criminalização que determinam que a lei punirá toda discriminação atentatória dos direitos e liberdades fundamentais (inciso XLI) e que a prática do racismo constituirá crime inafiançável e imprescritível (inciso XLII). Esses mandados vinculam o legislador e orientam a interpretação de todo o sistema normativo antidiscriminatório, incluindo, com particular relevância para o objeto desta ferramenta, o regime disciplinar dos servidores públicos federais.</w:t>
      </w:r>
    </w:p>
    <w:p w14:paraId="725216FC" w14:textId="77777777" w:rsidR="00287D58" w:rsidRDefault="003B78AF">
      <w:pPr>
        <w:pStyle w:val="Ttulo2"/>
        <w:keepNext/>
      </w:pPr>
      <w:bookmarkStart w:id="67" w:name="_Toc238022062"/>
      <w:r>
        <w:t>6.3 O conceito jurídico de discriminação: a Convenção nº 111 da OIT e o critério decisivo do efeito</w:t>
      </w:r>
      <w:bookmarkEnd w:id="67"/>
    </w:p>
    <w:p w14:paraId="5248BB14" w14:textId="77777777" w:rsidR="00952DE7" w:rsidRPr="00952DE7" w:rsidRDefault="003B78AF" w:rsidP="00952DE7">
      <w:pPr>
        <w:spacing w:after="120"/>
        <w:jc w:val="both"/>
        <w:rPr>
          <w:sz w:val="21"/>
          <w:szCs w:val="21"/>
        </w:rPr>
      </w:pPr>
      <w:r>
        <w:rPr>
          <w:sz w:val="21"/>
          <w:szCs w:val="21"/>
        </w:rPr>
        <w:t>A Na construção do conceito jurídico de discriminação aplicável ao serviço público federal, o ponto de partida normativo mais preciso não está na Lei nº 8.112, de 1990, que não tipifica a discriminação de forma autônoma, mas na Convenção nº 111 da Organização Internacional do Trabalho (Convenção sobre Discriminação em Matéria de Emprego e Profissão, 1958), ratificada pelo Brasil em 26 de novembro de 1965 e promulgada pelo Decreto nº 62.150, de 19 de janeiro de 1968.</w:t>
      </w:r>
    </w:p>
    <w:p w14:paraId="4B3DE015" w14:textId="77777777" w:rsidR="00952DE7" w:rsidRPr="00952DE7" w:rsidRDefault="00952DE7" w:rsidP="00952DE7">
      <w:pPr>
        <w:spacing w:after="120"/>
        <w:jc w:val="both"/>
        <w:rPr>
          <w:sz w:val="21"/>
          <w:szCs w:val="21"/>
        </w:rPr>
      </w:pPr>
      <w:r>
        <w:rPr>
          <w:sz w:val="21"/>
          <w:szCs w:val="21"/>
        </w:rPr>
        <w:t>O art. 1º da Convenção nº 111 define discriminação como:</w:t>
      </w:r>
    </w:p>
    <w:p w14:paraId="1FCA5C19" w14:textId="77777777" w:rsidR="00952DE7" w:rsidRPr="00952DE7" w:rsidRDefault="00952DE7" w:rsidP="00952DE7">
      <w:pPr>
        <w:spacing w:after="120"/>
        <w:jc w:val="both"/>
        <w:rPr>
          <w:sz w:val="21"/>
          <w:szCs w:val="21"/>
        </w:rPr>
      </w:pPr>
      <w:r>
        <w:rPr>
          <w:i/>
          <w:iCs/>
          <w:sz w:val="21"/>
          <w:szCs w:val="21"/>
        </w:rPr>
        <w:t>"(a) toda distinção, exclusão ou preferência fundada na raça, cor, sexo, religião, opinião política, ascendência nacional ou origem social, que tenha por efeito destruir ou alterar a igualdade de oportunidade ou de tratamento em matéria de emprego ou profissão; (b) qualquer outra distinção, exclusão ou preferência que tenha por efeito destruir ou alterar a igualdade de oportunidades ou tratamento em matéria de emprego ou profissão que poderá ser especificada pelo Estado-membro."</w:t>
      </w:r>
    </w:p>
    <w:p w14:paraId="313BF616" w14:textId="77777777" w:rsidR="00952DE7" w:rsidRPr="00952DE7" w:rsidRDefault="00952DE7" w:rsidP="00952DE7">
      <w:pPr>
        <w:spacing w:after="120"/>
        <w:jc w:val="both"/>
        <w:rPr>
          <w:sz w:val="21"/>
          <w:szCs w:val="21"/>
        </w:rPr>
      </w:pPr>
      <w:r>
        <w:rPr>
          <w:sz w:val="21"/>
          <w:szCs w:val="21"/>
        </w:rPr>
        <w:t>Dois elementos dessa definição são de importância capital para o enquadramento disciplinar:</w:t>
      </w:r>
    </w:p>
    <w:p w14:paraId="645C7D03" w14:textId="77777777" w:rsidR="00952DE7" w:rsidRPr="00952DE7" w:rsidRDefault="00952DE7" w:rsidP="00952DE7">
      <w:pPr>
        <w:spacing w:after="120"/>
        <w:jc w:val="both"/>
        <w:rPr>
          <w:sz w:val="21"/>
          <w:szCs w:val="21"/>
        </w:rPr>
      </w:pPr>
      <w:r>
        <w:rPr>
          <w:b/>
          <w:bCs/>
          <w:sz w:val="21"/>
          <w:szCs w:val="21"/>
        </w:rPr>
        <w:t>O critério do efeito, não da intenção.</w:t>
      </w:r>
      <w:r>
        <w:rPr>
          <w:sz w:val="21"/>
          <w:szCs w:val="21"/>
        </w:rPr>
        <w:t xml:space="preserve"> A Convenção nº 111 não exige que o autor da conduta discriminatória tenha agido com intenção de discriminar. O que a norma exige é que a conduta, seja ela uma distinção ativa, uma exclusão ou mesmo uma preferência, tenha por efeito destruir ou alterar a igualdade de oportunidades. Esse critério objetivo, centrado no resultado sobre a vítima e não na motivação do agressor, tem consequência direta para o enquadramento disciplinar: o argumento "não pretendia discriminar" é tão irrelevante aqui quanto o argumento "não pretendia ofender" no assédio sexual. O que importa é o efeito produzido sobre a igualdade de oportunidades da vítima, não o propósito declarado de quem o produziu.</w:t>
      </w:r>
    </w:p>
    <w:p w14:paraId="4B34BFD2" w14:textId="77777777" w:rsidR="00952DE7" w:rsidRPr="00952DE7" w:rsidRDefault="00952DE7" w:rsidP="00952DE7">
      <w:pPr>
        <w:spacing w:after="120"/>
        <w:jc w:val="both"/>
        <w:rPr>
          <w:sz w:val="21"/>
          <w:szCs w:val="21"/>
        </w:rPr>
      </w:pPr>
      <w:r>
        <w:rPr>
          <w:b/>
          <w:bCs/>
          <w:sz w:val="21"/>
          <w:szCs w:val="21"/>
        </w:rPr>
        <w:lastRenderedPageBreak/>
        <w:t>A abertura do rol de características protegidas.</w:t>
      </w:r>
      <w:r>
        <w:rPr>
          <w:sz w:val="21"/>
          <w:szCs w:val="21"/>
        </w:rPr>
        <w:t xml:space="preserve"> O inciso (b) do art. 1º autoriza os estados-membros a especificarem outras características além das enumeradas no inciso (a). O ordenamento brasileiro aproveitou amplamente essa abertura, e a própria Constituição, ao mencionar "quaisquer outras formas de discriminação" no art. 3º, IV, incorporou ao sistema antidiscriminatório um rol aberto que a jurisprudência e a legislação vêm progressivamente preenchendo.</w:t>
      </w:r>
    </w:p>
    <w:p w14:paraId="41AFAC10" w14:textId="77777777" w:rsidR="00287D58" w:rsidRPr="00952DE7" w:rsidRDefault="00952DE7">
      <w:pPr>
        <w:spacing w:after="120"/>
        <w:jc w:val="both"/>
        <w:rPr>
          <w:sz w:val="21"/>
          <w:szCs w:val="21"/>
        </w:rPr>
      </w:pPr>
      <w:r>
        <w:rPr>
          <w:sz w:val="21"/>
          <w:szCs w:val="21"/>
        </w:rPr>
        <w:t xml:space="preserve">A NT nº 93/2024 adota, coerentemente com a Convenção nº 111 e com o mandato constitucional, o critério do efeito como eixo do enquadramento disciplinar da discriminação. O operador da ferramenta </w:t>
      </w:r>
      <w:proofErr w:type="spellStart"/>
      <w:r>
        <w:rPr>
          <w:sz w:val="21"/>
          <w:szCs w:val="21"/>
        </w:rPr>
        <w:t>Integritas</w:t>
      </w:r>
      <w:proofErr w:type="spellEnd"/>
      <w:r>
        <w:rPr>
          <w:sz w:val="21"/>
          <w:szCs w:val="21"/>
        </w:rPr>
        <w:t xml:space="preserve"> não pergunta se o servidor pretendia discriminar: pergunta se a conduta, pelo seu conteúdo e pelo seu efeito sobre a vítima, produziu ou foi apta a produzir destruição ou alteração da igualdade de oportunidades.</w:t>
      </w:r>
    </w:p>
    <w:p w14:paraId="0B68B450" w14:textId="77777777" w:rsidR="00287D58" w:rsidRDefault="003B78AF">
      <w:pPr>
        <w:pStyle w:val="Ttulo2"/>
        <w:keepNext/>
      </w:pPr>
      <w:bookmarkStart w:id="68" w:name="_Toc238022063"/>
      <w:r>
        <w:t>6.4 Discriminação direta e discriminação indireta: a teoria do efeito disparatado</w:t>
      </w:r>
      <w:bookmarkEnd w:id="68"/>
    </w:p>
    <w:p w14:paraId="4ADA1403" w14:textId="77777777" w:rsidR="009F1A77" w:rsidRPr="009F1A77" w:rsidRDefault="003B78AF" w:rsidP="009F1A77">
      <w:pPr>
        <w:spacing w:after="120"/>
        <w:jc w:val="both"/>
        <w:rPr>
          <w:sz w:val="21"/>
          <w:szCs w:val="21"/>
        </w:rPr>
      </w:pPr>
      <w:r>
        <w:rPr>
          <w:sz w:val="21"/>
          <w:szCs w:val="21"/>
        </w:rPr>
        <w:t>Discriminação direta A doutrina antidiscriminatória consolidada, incorporada ao direito brasileiro por via dos tratados internacionais e da jurisprudência constitucional, distingue duas modalidades de discriminação que exigem análises e padrões de prova distintos.</w:t>
      </w:r>
    </w:p>
    <w:p w14:paraId="2B3EA4B6" w14:textId="77777777" w:rsidR="009F1A77" w:rsidRPr="009F1A77" w:rsidRDefault="009F1A77" w:rsidP="009F1A77">
      <w:pPr>
        <w:spacing w:after="120"/>
        <w:jc w:val="both"/>
        <w:rPr>
          <w:sz w:val="21"/>
          <w:szCs w:val="21"/>
        </w:rPr>
      </w:pPr>
      <w:r>
        <w:rPr>
          <w:b/>
          <w:bCs/>
          <w:sz w:val="21"/>
          <w:szCs w:val="21"/>
        </w:rPr>
        <w:t>Discriminação direta</w:t>
      </w:r>
      <w:r>
        <w:rPr>
          <w:sz w:val="21"/>
          <w:szCs w:val="21"/>
        </w:rPr>
        <w:t xml:space="preserve"> é o tratamento desfavorável explícito e consciente de uma pessoa em razão de uma característica protegida: recusar promoção a um servidor em razão de sua raça; excluir uma servidora grávida de atividades relevantes em razão da gravidez; praticar assédio sistemático contra servidor em razão de sua orientação sexual. A discriminação direta é relativamente mais fácil de identificar porque a conexão entre a característica protegida e o tratamento desfavorável é imediata, embora raramente esteja documentada de forma explícita, pois o discriminador raramente nomeia o fundamento real de sua conduta.</w:t>
      </w:r>
    </w:p>
    <w:p w14:paraId="1D41A9FE" w14:textId="77777777" w:rsidR="009F1A77" w:rsidRPr="009F1A77" w:rsidRDefault="009F1A77" w:rsidP="009F1A77">
      <w:pPr>
        <w:spacing w:after="120"/>
        <w:jc w:val="both"/>
        <w:rPr>
          <w:sz w:val="21"/>
          <w:szCs w:val="21"/>
        </w:rPr>
      </w:pPr>
      <w:r>
        <w:rPr>
          <w:b/>
          <w:bCs/>
          <w:sz w:val="21"/>
          <w:szCs w:val="21"/>
        </w:rPr>
        <w:t>Discriminação indireta</w:t>
      </w:r>
      <w:r>
        <w:rPr>
          <w:sz w:val="21"/>
          <w:szCs w:val="21"/>
        </w:rPr>
        <w:t>, também chamada de discriminação por efeito disparatado (</w:t>
      </w:r>
      <w:r>
        <w:rPr>
          <w:i/>
          <w:iCs/>
          <w:sz w:val="21"/>
          <w:szCs w:val="21"/>
        </w:rPr>
        <w:t xml:space="preserve">disparate </w:t>
      </w:r>
      <w:proofErr w:type="spellStart"/>
      <w:r>
        <w:rPr>
          <w:i/>
          <w:iCs/>
          <w:sz w:val="21"/>
          <w:szCs w:val="21"/>
        </w:rPr>
        <w:t>impact</w:t>
      </w:r>
      <w:proofErr w:type="spellEnd"/>
      <w:r>
        <w:rPr>
          <w:sz w:val="21"/>
          <w:szCs w:val="21"/>
        </w:rPr>
        <w:t>) é a modalidade mais sutil, mais frequente na prática institucional contemporânea e mais desafiante do ponto de vista probatório. Ocorre quando uma política, critério, regra ou prática que, na sua formulação é aparentemente neutra (não faz referência a qualquer característica protegida) produz, na sua aplicação, efeitos desproporcionalmente prejudiciais para membros de determinado grupo protegido, sem que haja justificativa objetiva, razoável e proporcional para essa disparidade.</w:t>
      </w:r>
    </w:p>
    <w:p w14:paraId="7B2340DF" w14:textId="77777777" w:rsidR="009F1A77" w:rsidRPr="009F1A77" w:rsidRDefault="009F1A77" w:rsidP="009F1A77">
      <w:pPr>
        <w:spacing w:after="120"/>
        <w:jc w:val="both"/>
        <w:rPr>
          <w:sz w:val="21"/>
          <w:szCs w:val="21"/>
        </w:rPr>
      </w:pPr>
      <w:r>
        <w:rPr>
          <w:sz w:val="21"/>
          <w:szCs w:val="21"/>
        </w:rPr>
        <w:t xml:space="preserve">O Decreto nº 10.932/2022, que promulgou a Convenção Interamericana contra o Racismo, fornece a definição mais precisa disponível no ordenamento brasileiro: </w:t>
      </w:r>
      <w:r>
        <w:rPr>
          <w:i/>
          <w:iCs/>
          <w:sz w:val="21"/>
          <w:szCs w:val="21"/>
        </w:rPr>
        <w:t>"discriminação racial indireta é aquela que ocorre, em qualquer esfera da vida pública ou privada, quando um dispositivo, prática ou critério aparentemente neutro tem a capacidade de acarretar uma desvantagem particular para pessoas pertencentes a um grupo específico"</w:t>
      </w:r>
      <w:r>
        <w:rPr>
          <w:sz w:val="21"/>
          <w:szCs w:val="21"/>
        </w:rPr>
        <w:t>. A mesma lógica aplica-se a todas as demais características protegidas: o critério é o efeito disparatado, a produção de desvantagem desproporcional sobre o grupo, não a intenção discriminatória.</w:t>
      </w:r>
    </w:p>
    <w:p w14:paraId="127CB5C8" w14:textId="77777777" w:rsidR="009F1A77" w:rsidRPr="009F1A77" w:rsidRDefault="009F1A77" w:rsidP="009F1A77">
      <w:pPr>
        <w:spacing w:after="120"/>
        <w:jc w:val="both"/>
        <w:rPr>
          <w:sz w:val="21"/>
          <w:szCs w:val="21"/>
        </w:rPr>
      </w:pPr>
      <w:r>
        <w:rPr>
          <w:sz w:val="21"/>
          <w:szCs w:val="21"/>
        </w:rPr>
        <w:t xml:space="preserve">Andrea M. Limongi </w:t>
      </w:r>
      <w:proofErr w:type="spellStart"/>
      <w:r>
        <w:rPr>
          <w:sz w:val="21"/>
          <w:szCs w:val="21"/>
        </w:rPr>
        <w:t>Pasold</w:t>
      </w:r>
      <w:proofErr w:type="spellEnd"/>
      <w:r>
        <w:rPr>
          <w:sz w:val="21"/>
          <w:szCs w:val="21"/>
        </w:rPr>
        <w:t xml:space="preserve"> analisou com precisão a importação da teoria do efeito disparatado ao direito brasileiro: </w:t>
      </w:r>
      <w:r>
        <w:rPr>
          <w:i/>
          <w:iCs/>
          <w:sz w:val="21"/>
          <w:szCs w:val="21"/>
        </w:rPr>
        <w:t>"a prática ou política neutra na aparência que gera impacto diferenciado sobre determinado grupo protegido revela-se discriminatória por seus efeitos, independentemente de qualquer intenção discriminatória de quem a formulou ou aplicou. O teste não é subjetivo, não pergunta o que o agente pensava, mas objetivo: o efeito produzido sobre o grupo protegido é desproporcionalmente desfavorável?"</w:t>
      </w:r>
      <w:r>
        <w:rPr>
          <w:sz w:val="21"/>
          <w:szCs w:val="21"/>
        </w:rPr>
        <w:t xml:space="preserve"> (Revista da Escola Judicial do TRT4, Porto Alegre, v. 1, n. 2, p. 91-117, 2019).</w:t>
      </w:r>
    </w:p>
    <w:p w14:paraId="55567C6B" w14:textId="77777777" w:rsidR="009F1A77" w:rsidRPr="009F1A77" w:rsidRDefault="009F1A77" w:rsidP="009F1A77">
      <w:pPr>
        <w:spacing w:after="120"/>
        <w:jc w:val="both"/>
        <w:rPr>
          <w:sz w:val="21"/>
          <w:szCs w:val="21"/>
        </w:rPr>
      </w:pPr>
      <w:r>
        <w:rPr>
          <w:sz w:val="21"/>
          <w:szCs w:val="21"/>
        </w:rPr>
        <w:t>Exemplos de discriminação indireta no serviço público federal:</w:t>
      </w:r>
    </w:p>
    <w:p w14:paraId="71EFE8A3" w14:textId="77777777" w:rsidR="009F1A77" w:rsidRPr="009F1A77" w:rsidRDefault="009F1A77">
      <w:pPr>
        <w:numPr>
          <w:ilvl w:val="0"/>
          <w:numId w:val="16"/>
        </w:numPr>
        <w:spacing w:after="120"/>
        <w:jc w:val="both"/>
        <w:rPr>
          <w:sz w:val="21"/>
          <w:szCs w:val="21"/>
        </w:rPr>
      </w:pPr>
      <w:r>
        <w:rPr>
          <w:sz w:val="21"/>
          <w:szCs w:val="21"/>
        </w:rPr>
        <w:lastRenderedPageBreak/>
        <w:t>a exigência informal de disponibilidade para reuniões frequentes em horários noturnos que sistematicamente exclui servidoras com responsabilidades de cuidado de filhos pequenos;</w:t>
      </w:r>
    </w:p>
    <w:p w14:paraId="1BBCB844" w14:textId="77777777" w:rsidR="009F1A77" w:rsidRPr="009F1A77" w:rsidRDefault="009F1A77">
      <w:pPr>
        <w:numPr>
          <w:ilvl w:val="0"/>
          <w:numId w:val="16"/>
        </w:numPr>
        <w:spacing w:after="120"/>
        <w:jc w:val="both"/>
        <w:rPr>
          <w:sz w:val="21"/>
          <w:szCs w:val="21"/>
        </w:rPr>
      </w:pPr>
      <w:r>
        <w:rPr>
          <w:sz w:val="21"/>
          <w:szCs w:val="21"/>
        </w:rPr>
        <w:t>a aplicação de critérios de avaliação de desempenho que, na prática, penalizam estilos de comunicação associados a grupos étnicos ou culturais específicos;</w:t>
      </w:r>
    </w:p>
    <w:p w14:paraId="31F5D6B4" w14:textId="77777777" w:rsidR="009F1A77" w:rsidRPr="009F1A77" w:rsidRDefault="009F1A77">
      <w:pPr>
        <w:numPr>
          <w:ilvl w:val="0"/>
          <w:numId w:val="16"/>
        </w:numPr>
        <w:spacing w:after="120"/>
        <w:jc w:val="both"/>
        <w:rPr>
          <w:sz w:val="21"/>
          <w:szCs w:val="21"/>
        </w:rPr>
      </w:pPr>
      <w:r>
        <w:rPr>
          <w:sz w:val="21"/>
          <w:szCs w:val="21"/>
        </w:rPr>
        <w:t>a exigência informal de determinados padrões de aparência ou comportamento que, sendo neutros na forma, excluem sistematicamente determinados grupos identitários;</w:t>
      </w:r>
    </w:p>
    <w:p w14:paraId="3F3A949A" w14:textId="77777777" w:rsidR="009F1A77" w:rsidRPr="009F1A77" w:rsidRDefault="009F1A77">
      <w:pPr>
        <w:numPr>
          <w:ilvl w:val="0"/>
          <w:numId w:val="16"/>
        </w:numPr>
        <w:spacing w:after="120"/>
        <w:jc w:val="both"/>
        <w:rPr>
          <w:sz w:val="21"/>
          <w:szCs w:val="21"/>
        </w:rPr>
      </w:pPr>
      <w:r>
        <w:rPr>
          <w:sz w:val="21"/>
          <w:szCs w:val="21"/>
        </w:rPr>
        <w:t>a atribuição preferencial de tarefas de menor prestígio a servidores de determinado grupo racial ou de gênero, sem base em competências objetivamente aferidas.</w:t>
      </w:r>
    </w:p>
    <w:p w14:paraId="4563B049" w14:textId="77777777" w:rsidR="00287D58" w:rsidRPr="009F1A77" w:rsidRDefault="009F1A77">
      <w:pPr>
        <w:spacing w:after="120"/>
        <w:jc w:val="both"/>
        <w:rPr>
          <w:sz w:val="21"/>
          <w:szCs w:val="21"/>
        </w:rPr>
      </w:pPr>
      <w:r>
        <w:rPr>
          <w:sz w:val="21"/>
          <w:szCs w:val="21"/>
        </w:rPr>
        <w:t>A identificação da discriminação indireta exige análise comparativa: é necessário demonstrar que o critério ou prática produz efeito desproporcionalmente desfavorável sobre um grupo protegido em relação aos demais servidores em situação análoga. Essa análise raramente está disponível em um único caso isolado, ela emerge de padrões documentados ao longo do tempo ou de comparações entre grupos dentro da mesma unidade organizacional.</w:t>
      </w:r>
    </w:p>
    <w:p w14:paraId="1C6EC048" w14:textId="77777777" w:rsidR="00287D58" w:rsidRDefault="003B78AF">
      <w:pPr>
        <w:pStyle w:val="Ttulo2"/>
        <w:keepNext/>
      </w:pPr>
      <w:bookmarkStart w:id="69" w:name="_Toc238022064"/>
      <w:r>
        <w:t>6.5 As características protegidas no ordenamento brasileiro</w:t>
      </w:r>
      <w:bookmarkEnd w:id="69"/>
    </w:p>
    <w:p w14:paraId="5FD342E0" w14:textId="77777777" w:rsidR="00EA3C77" w:rsidRPr="00EA3C77" w:rsidRDefault="00EA3C77" w:rsidP="00EA3C77">
      <w:pPr>
        <w:spacing w:after="120"/>
        <w:jc w:val="both"/>
        <w:rPr>
          <w:sz w:val="21"/>
          <w:szCs w:val="21"/>
        </w:rPr>
      </w:pPr>
      <w:r>
        <w:rPr>
          <w:sz w:val="21"/>
          <w:szCs w:val="21"/>
        </w:rPr>
        <w:t>O conjunto de características cuja utilização como base de tratamento diferenciado injustificado configura discriminação é, no ordenamento brasileiro, aberto e em expansão permanente. As principais fontes normativas são:</w:t>
      </w:r>
    </w:p>
    <w:p w14:paraId="46B97878" w14:textId="77777777" w:rsidR="00EA3C77" w:rsidRPr="00EA3C77" w:rsidRDefault="00EA3C77" w:rsidP="00EA3C77">
      <w:pPr>
        <w:spacing w:after="120"/>
        <w:jc w:val="both"/>
        <w:rPr>
          <w:sz w:val="21"/>
          <w:szCs w:val="21"/>
        </w:rPr>
      </w:pPr>
      <w:r>
        <w:rPr>
          <w:b/>
          <w:bCs/>
          <w:sz w:val="21"/>
          <w:szCs w:val="21"/>
        </w:rPr>
        <w:t>Constituição Federal:</w:t>
      </w:r>
      <w:r>
        <w:rPr>
          <w:sz w:val="21"/>
          <w:szCs w:val="21"/>
        </w:rPr>
        <w:t xml:space="preserve"> raça, cor, sexo, origem, opinião política, crença religiosa e quaisquer outras formas de discriminação (</w:t>
      </w:r>
      <w:proofErr w:type="spellStart"/>
      <w:r>
        <w:rPr>
          <w:sz w:val="21"/>
          <w:szCs w:val="21"/>
        </w:rPr>
        <w:t>arts</w:t>
      </w:r>
      <w:proofErr w:type="spellEnd"/>
      <w:r>
        <w:rPr>
          <w:sz w:val="21"/>
          <w:szCs w:val="21"/>
        </w:rPr>
        <w:t xml:space="preserve">. 3º, IV e 5º, </w:t>
      </w:r>
      <w:r>
        <w:rPr>
          <w:i/>
          <w:iCs/>
          <w:sz w:val="21"/>
          <w:szCs w:val="21"/>
        </w:rPr>
        <w:t>caput</w:t>
      </w:r>
      <w:r>
        <w:rPr>
          <w:sz w:val="21"/>
          <w:szCs w:val="21"/>
        </w:rPr>
        <w:t>, XLI e XLII). A cláusula de abertura "quaisquer outras formas" é interpretada como habilitando o sistema jurídico a proteger características não expressamente mencionadas, desde que a diferenciação com base nelas viole a dignidade humana e a igualdade de oportunidades.</w:t>
      </w:r>
    </w:p>
    <w:p w14:paraId="544F7F6A" w14:textId="77777777" w:rsidR="00EA3C77" w:rsidRPr="00EA3C77" w:rsidRDefault="00EA3C77" w:rsidP="00EA3C77">
      <w:pPr>
        <w:spacing w:after="120"/>
        <w:jc w:val="both"/>
        <w:rPr>
          <w:sz w:val="21"/>
          <w:szCs w:val="21"/>
        </w:rPr>
      </w:pPr>
      <w:r>
        <w:rPr>
          <w:b/>
          <w:bCs/>
          <w:sz w:val="21"/>
          <w:szCs w:val="21"/>
        </w:rPr>
        <w:t>Legislação federal:</w:t>
      </w:r>
      <w:r>
        <w:rPr>
          <w:sz w:val="21"/>
          <w:szCs w:val="21"/>
        </w:rPr>
        <w:t xml:space="preserve"> a Lei nº 7.716/1989 (Lei do Racismo) criminaliza condutas de discriminação e preconceito por raça, cor, etnia, religião e procedência nacional, incluindo em seu art. 3º o impedimento ou obstáculo ao acesso de alguém a cargo da Administração direta ou indireta, dispositivo com aplicação direta ao serviço público federal. A Lei nº 9.029/1995 proíbe práticas discriminatórias nas relações de emprego por motivo de sexo, origem, raça, cor, estado civil, situação familiar, deficiência, reabilitação profissional e idade. A Lei nº 7.853/1989 e a Lei Brasileira de Inclusão (Lei nº 13.146/2015) protegem especificamente as pessoas com deficiência.</w:t>
      </w:r>
    </w:p>
    <w:p w14:paraId="08D7EDF6" w14:textId="77777777" w:rsidR="00EA3C77" w:rsidRPr="00EA3C77" w:rsidRDefault="00EA3C77" w:rsidP="00EA3C77">
      <w:pPr>
        <w:spacing w:after="120"/>
        <w:jc w:val="both"/>
        <w:rPr>
          <w:sz w:val="21"/>
          <w:szCs w:val="21"/>
        </w:rPr>
      </w:pPr>
      <w:r>
        <w:rPr>
          <w:b/>
          <w:bCs/>
          <w:sz w:val="21"/>
          <w:szCs w:val="21"/>
        </w:rPr>
        <w:t>Orientação sexual e identidade de gênero:</w:t>
      </w:r>
      <w:r>
        <w:rPr>
          <w:sz w:val="21"/>
          <w:szCs w:val="21"/>
        </w:rPr>
        <w:t xml:space="preserve"> o STF, no julgamento da ADO 26 e do MI 4.733 (Pleno, 13/06/2019, Rel. Min. Celso de Mello), fixou a tese de que as condutas homofóbicas e transfóbicas "traduzem expressões de racismo, compreendido este em sua dimensão social", enquadrando-as na proteção da Lei nº 7.716/1989. A decisão tem efeito vinculante e erga omnes, o que significa que toda a Administração Pública Federal está obrigada a tratar a discriminação por orientação sexual e identidade de gênero com o mesmo rigor com que trata a discriminação racial.</w:t>
      </w:r>
    </w:p>
    <w:p w14:paraId="5ED0B1C9" w14:textId="77777777" w:rsidR="00EA3C77" w:rsidRPr="00EA3C77" w:rsidRDefault="00EA3C77" w:rsidP="00EA3C77">
      <w:pPr>
        <w:spacing w:after="120"/>
        <w:jc w:val="both"/>
        <w:rPr>
          <w:sz w:val="21"/>
          <w:szCs w:val="21"/>
        </w:rPr>
      </w:pPr>
      <w:r>
        <w:rPr>
          <w:b/>
          <w:bCs/>
          <w:sz w:val="21"/>
          <w:szCs w:val="21"/>
        </w:rPr>
        <w:t>A cláusula aberta e sua relevância disciplinar.</w:t>
      </w:r>
      <w:r>
        <w:rPr>
          <w:sz w:val="21"/>
          <w:szCs w:val="21"/>
        </w:rPr>
        <w:t xml:space="preserve"> O operador da ferramenta </w:t>
      </w:r>
      <w:proofErr w:type="spellStart"/>
      <w:r>
        <w:rPr>
          <w:sz w:val="21"/>
          <w:szCs w:val="21"/>
        </w:rPr>
        <w:t>Integritas</w:t>
      </w:r>
      <w:proofErr w:type="spellEnd"/>
      <w:r>
        <w:rPr>
          <w:sz w:val="21"/>
          <w:szCs w:val="21"/>
        </w:rPr>
        <w:t xml:space="preserve"> não deve restringir a análise às características expressamente mencionadas em lei. A cláusula constitucional de abertura e o critério do efeito da Convenção nº 111 da OIT permitem identificar como discriminatório qualquer tratamento desfavorável que, baseado em atributo pessoal do servidor, viole a igualdade de </w:t>
      </w:r>
      <w:r>
        <w:rPr>
          <w:sz w:val="21"/>
          <w:szCs w:val="21"/>
        </w:rPr>
        <w:lastRenderedPageBreak/>
        <w:t>oportunidades no ambiente de trabalho, mesmo que esse atributo não esteja listado expressamente em nenhuma norma específica.</w:t>
      </w:r>
    </w:p>
    <w:p w14:paraId="07414770" w14:textId="77777777" w:rsidR="00287D58" w:rsidRDefault="003B78AF">
      <w:pPr>
        <w:pStyle w:val="Ttulo2"/>
        <w:keepNext/>
      </w:pPr>
      <w:bookmarkStart w:id="70" w:name="_Toc238022065"/>
      <w:r>
        <w:t>6.6 A discriminação no serviço público federal: por que é mais grave do que na relação privada</w:t>
      </w:r>
      <w:bookmarkEnd w:id="70"/>
    </w:p>
    <w:p w14:paraId="6E5E37E0" w14:textId="77777777" w:rsidR="00880C29" w:rsidRPr="00880C29" w:rsidRDefault="00880C29" w:rsidP="00880C29">
      <w:pPr>
        <w:spacing w:after="120"/>
        <w:jc w:val="both"/>
        <w:rPr>
          <w:sz w:val="21"/>
          <w:szCs w:val="21"/>
        </w:rPr>
      </w:pPr>
      <w:r>
        <w:rPr>
          <w:sz w:val="21"/>
          <w:szCs w:val="21"/>
        </w:rPr>
        <w:t>A discriminação no serviço público federal tem natureza agravada em relação à discriminação nas relações privadas de trabalho, por três razões estruturais que se reforçam mutuamente e que o operador deve ter presentes ao avaliar a gravidade da conduta.</w:t>
      </w:r>
    </w:p>
    <w:p w14:paraId="2F928250" w14:textId="77777777" w:rsidR="00880C29" w:rsidRPr="00880C29" w:rsidRDefault="00880C29" w:rsidP="00880C29">
      <w:pPr>
        <w:spacing w:after="120"/>
        <w:jc w:val="both"/>
        <w:rPr>
          <w:sz w:val="21"/>
          <w:szCs w:val="21"/>
        </w:rPr>
      </w:pPr>
      <w:r>
        <w:rPr>
          <w:b/>
          <w:bCs/>
          <w:sz w:val="21"/>
          <w:szCs w:val="21"/>
        </w:rPr>
        <w:t>A traição ao mandato constitucional de impessoalidade.</w:t>
      </w:r>
      <w:r>
        <w:rPr>
          <w:sz w:val="21"/>
          <w:szCs w:val="21"/>
        </w:rPr>
        <w:t xml:space="preserve"> O servidor público exerce função em nome do Estado. O princípio da impessoalidade (CF, art. 37, </w:t>
      </w:r>
      <w:r>
        <w:rPr>
          <w:i/>
          <w:iCs/>
          <w:sz w:val="21"/>
          <w:szCs w:val="21"/>
        </w:rPr>
        <w:t>caput</w:t>
      </w:r>
      <w:r>
        <w:rPr>
          <w:sz w:val="21"/>
          <w:szCs w:val="21"/>
        </w:rPr>
        <w:t>) não é apenas um princípio de isonomia no trato com os administrados: é também um princípio de neutralidade nas relações internas da Administração. O servidor que discrimina um colega com base em sua raça, gênero, deficiência ou orientação sexual não viola apenas a dignidade individual da vítima: viola o mandato institucional que lhe foi conferido. Ele usa uma posição criada para servir ao interesse coletivo como instrumento de exclusão pessoal motivada por preconceito, corrompendo simultaneamente a relação com a vítima e o sentido da função que exerce.</w:t>
      </w:r>
    </w:p>
    <w:p w14:paraId="229E0D4F" w14:textId="77777777" w:rsidR="00880C29" w:rsidRPr="00880C29" w:rsidRDefault="00880C29" w:rsidP="00880C29">
      <w:pPr>
        <w:spacing w:after="120"/>
        <w:jc w:val="both"/>
        <w:rPr>
          <w:sz w:val="21"/>
          <w:szCs w:val="21"/>
        </w:rPr>
      </w:pPr>
      <w:r>
        <w:rPr>
          <w:b/>
          <w:bCs/>
          <w:sz w:val="21"/>
          <w:szCs w:val="21"/>
        </w:rPr>
        <w:t>A posição especial de sujeição e seu efeito amplificador.</w:t>
      </w:r>
      <w:r>
        <w:rPr>
          <w:sz w:val="21"/>
          <w:szCs w:val="21"/>
        </w:rPr>
        <w:t xml:space="preserve"> A relação hierárquica funcional cria assimetria de poder que amplifica o impacto de qualquer conduta abusiva. A vítima de discriminação no serviço público não pode simplesmente mudar de emprego, evitar o agressor ou sair do ambiente com a facilidade que as relações privadas frequentemente permitem: está vinculada àquela relação funcional por força de lei, de estabilidade e de dependência econômica. O dano produzido pela discriminação, nesse contexto, é mais duradouro, mais profundo e mais dificilmente reparável do que em contextos privados de maior mobilidade.</w:t>
      </w:r>
    </w:p>
    <w:p w14:paraId="247145CD" w14:textId="77777777" w:rsidR="00287D58" w:rsidRPr="00880C29" w:rsidRDefault="00880C29">
      <w:pPr>
        <w:spacing w:after="120"/>
        <w:jc w:val="both"/>
        <w:rPr>
          <w:sz w:val="21"/>
          <w:szCs w:val="21"/>
        </w:rPr>
      </w:pPr>
      <w:r>
        <w:rPr>
          <w:b/>
          <w:bCs/>
          <w:sz w:val="21"/>
          <w:szCs w:val="21"/>
        </w:rPr>
        <w:t>O efeito sistêmico sobre a organização.</w:t>
      </w:r>
      <w:r>
        <w:rPr>
          <w:sz w:val="21"/>
          <w:szCs w:val="21"/>
        </w:rPr>
        <w:t xml:space="preserve"> Uma repartição pública em que a discriminação é tolerada ou praticada deteriora de forma sistêmica sua capacidade de cumprir a função pública. Edna </w:t>
      </w:r>
      <w:proofErr w:type="spellStart"/>
      <w:r>
        <w:rPr>
          <w:sz w:val="21"/>
          <w:szCs w:val="21"/>
        </w:rPr>
        <w:t>Bonacich</w:t>
      </w:r>
      <w:proofErr w:type="spellEnd"/>
      <w:r>
        <w:rPr>
          <w:sz w:val="21"/>
          <w:szCs w:val="21"/>
        </w:rPr>
        <w:t xml:space="preserve"> e Lucie Cheng, ao analisar os efeitos da discriminação étnica em organizações de trabalho, documentaram que grupos discriminados desenvolvem estratégias de autopreservação, ocultamento de características identitárias, redução de participação ativa, evitação de visibilidade, que consomem energia cognitiva e emocional que deveria estar disponível para o trabalho</w:t>
      </w:r>
      <w:r>
        <w:rPr>
          <w:rStyle w:val="Refdenotaderodap"/>
          <w:sz w:val="21"/>
          <w:szCs w:val="21"/>
        </w:rPr>
        <w:footnoteReference w:id="34"/>
      </w:r>
      <w:r>
        <w:rPr>
          <w:sz w:val="21"/>
          <w:szCs w:val="21"/>
        </w:rPr>
        <w:t>. O custo da discriminação, no serviço público, não é apenas suportado pela vítima: é suportado pela organização e pelo cidadão que dela depende.</w:t>
      </w:r>
    </w:p>
    <w:p w14:paraId="288F827F" w14:textId="77777777" w:rsidR="00287D58" w:rsidRDefault="003B78AF">
      <w:pPr>
        <w:pStyle w:val="Ttulo2"/>
        <w:keepNext/>
      </w:pPr>
      <w:bookmarkStart w:id="71" w:name="_Toc238022066"/>
      <w:r>
        <w:t>6.7 O que a pesquisa documenta sobre o impacto da discriminação no trabalho</w:t>
      </w:r>
      <w:bookmarkEnd w:id="71"/>
    </w:p>
    <w:p w14:paraId="248DFE62" w14:textId="77777777" w:rsidR="00DD1477" w:rsidRPr="00DD1477" w:rsidRDefault="00DD1477" w:rsidP="00DD1477">
      <w:pPr>
        <w:spacing w:after="120"/>
        <w:jc w:val="both"/>
        <w:rPr>
          <w:sz w:val="21"/>
          <w:szCs w:val="21"/>
        </w:rPr>
      </w:pPr>
      <w:r>
        <w:rPr>
          <w:sz w:val="21"/>
          <w:szCs w:val="21"/>
        </w:rPr>
        <w:t xml:space="preserve">Naomi </w:t>
      </w:r>
      <w:proofErr w:type="spellStart"/>
      <w:r>
        <w:rPr>
          <w:sz w:val="21"/>
          <w:szCs w:val="21"/>
        </w:rPr>
        <w:t>Ellemers</w:t>
      </w:r>
      <w:proofErr w:type="spellEnd"/>
      <w:r>
        <w:rPr>
          <w:sz w:val="21"/>
          <w:szCs w:val="21"/>
        </w:rPr>
        <w:t xml:space="preserve"> e colaboradoras, em pesquisa realizada com amostras de trabalhadores em múltiplos países, demonstraram que a experiência de discriminação no trabalho está associada a: elevação significativa dos níveis de estresse ocupacional; maior frequência de diagnósticos de depressão e ansiedade; comprometimento da autoestima profissional e da identidade de carreira; e intenção de abandono do emprego, com todas as consequências de turnover que isso implica para a organização</w:t>
      </w:r>
      <w:r>
        <w:rPr>
          <w:rStyle w:val="Refdenotaderodap"/>
          <w:sz w:val="21"/>
          <w:szCs w:val="21"/>
        </w:rPr>
        <w:footnoteReference w:id="35"/>
      </w:r>
      <w:r>
        <w:rPr>
          <w:sz w:val="21"/>
          <w:szCs w:val="21"/>
        </w:rPr>
        <w:t>.</w:t>
      </w:r>
    </w:p>
    <w:p w14:paraId="7664AA93" w14:textId="77777777" w:rsidR="00DD1477" w:rsidRPr="00DD1477" w:rsidRDefault="00DD1477" w:rsidP="00DD1477">
      <w:pPr>
        <w:spacing w:after="120"/>
        <w:jc w:val="both"/>
        <w:rPr>
          <w:sz w:val="21"/>
          <w:szCs w:val="21"/>
        </w:rPr>
      </w:pPr>
      <w:r>
        <w:rPr>
          <w:sz w:val="21"/>
          <w:szCs w:val="21"/>
        </w:rPr>
        <w:t>Claude Steele desenvolveu o conceito de ameaça do estereótipo (</w:t>
      </w:r>
      <w:proofErr w:type="spellStart"/>
      <w:r>
        <w:rPr>
          <w:i/>
          <w:iCs/>
          <w:sz w:val="21"/>
          <w:szCs w:val="21"/>
        </w:rPr>
        <w:t>stereotype</w:t>
      </w:r>
      <w:proofErr w:type="spellEnd"/>
      <w:r>
        <w:rPr>
          <w:i/>
          <w:iCs/>
          <w:sz w:val="21"/>
          <w:szCs w:val="21"/>
        </w:rPr>
        <w:t xml:space="preserve"> </w:t>
      </w:r>
      <w:proofErr w:type="spellStart"/>
      <w:r>
        <w:rPr>
          <w:i/>
          <w:iCs/>
          <w:sz w:val="21"/>
          <w:szCs w:val="21"/>
        </w:rPr>
        <w:t>threat</w:t>
      </w:r>
      <w:proofErr w:type="spellEnd"/>
      <w:r>
        <w:rPr>
          <w:sz w:val="21"/>
          <w:szCs w:val="21"/>
        </w:rPr>
        <w:t xml:space="preserve">): a consciência de que se pertence a um grupo alvo de estereótipos negativos, e de que o próprio desempenho pode </w:t>
      </w:r>
      <w:r>
        <w:rPr>
          <w:sz w:val="21"/>
          <w:szCs w:val="21"/>
        </w:rPr>
        <w:lastRenderedPageBreak/>
        <w:t>confirmar ou refutar esses estereótipos, compromete o desempenho cognitivo de forma mensurável</w:t>
      </w:r>
      <w:r>
        <w:rPr>
          <w:rStyle w:val="Refdenotaderodap"/>
          <w:sz w:val="21"/>
          <w:szCs w:val="21"/>
        </w:rPr>
        <w:footnoteReference w:id="36"/>
      </w:r>
      <w:r>
        <w:rPr>
          <w:sz w:val="21"/>
          <w:szCs w:val="21"/>
        </w:rPr>
        <w:t>. No serviço público, a ameaça do estereótipo pode afetar o desempenho de servidores pertencentes a grupos discriminados em avaliações formais, em reuniões e em situações de visibilidade institucional, produzindo o ciclo vicioso em que a discriminação confirma os preconceitos que a motivaram, porque o desempenho comprometido pela discriminação é depois usado para justificar o tratamento discriminatório.</w:t>
      </w:r>
    </w:p>
    <w:p w14:paraId="0EF0B35B" w14:textId="77777777" w:rsidR="00DD1477" w:rsidRPr="00DD1477" w:rsidRDefault="00DD1477" w:rsidP="00DD1477">
      <w:pPr>
        <w:spacing w:after="120"/>
        <w:jc w:val="both"/>
        <w:rPr>
          <w:sz w:val="21"/>
          <w:szCs w:val="21"/>
        </w:rPr>
      </w:pPr>
      <w:r>
        <w:rPr>
          <w:sz w:val="21"/>
          <w:szCs w:val="21"/>
        </w:rPr>
        <w:t xml:space="preserve">Yolanda Flores </w:t>
      </w:r>
      <w:proofErr w:type="spellStart"/>
      <w:r>
        <w:rPr>
          <w:sz w:val="21"/>
          <w:szCs w:val="21"/>
        </w:rPr>
        <w:t>Niemann</w:t>
      </w:r>
      <w:proofErr w:type="spellEnd"/>
      <w:r>
        <w:rPr>
          <w:sz w:val="21"/>
          <w:szCs w:val="21"/>
        </w:rPr>
        <w:t xml:space="preserve"> documentou, em pesquisa longitudinal com professores universitários pertencentes a grupos minoritários nos EUA, que a exposição prolongada a microagressões, formas sutis de discriminação indireta, produz acumulação de dano psicológico que ela chamou de </w:t>
      </w:r>
      <w:r>
        <w:rPr>
          <w:i/>
          <w:iCs/>
          <w:sz w:val="21"/>
          <w:szCs w:val="21"/>
        </w:rPr>
        <w:t>"</w:t>
      </w:r>
      <w:proofErr w:type="spellStart"/>
      <w:r>
        <w:rPr>
          <w:i/>
          <w:iCs/>
          <w:sz w:val="21"/>
          <w:szCs w:val="21"/>
        </w:rPr>
        <w:t>cumulative</w:t>
      </w:r>
      <w:proofErr w:type="spellEnd"/>
      <w:r>
        <w:rPr>
          <w:i/>
          <w:iCs/>
          <w:sz w:val="21"/>
          <w:szCs w:val="21"/>
        </w:rPr>
        <w:t xml:space="preserve"> </w:t>
      </w:r>
      <w:proofErr w:type="spellStart"/>
      <w:r>
        <w:rPr>
          <w:i/>
          <w:iCs/>
          <w:sz w:val="21"/>
          <w:szCs w:val="21"/>
        </w:rPr>
        <w:t>stressor</w:t>
      </w:r>
      <w:proofErr w:type="spellEnd"/>
      <w:r>
        <w:rPr>
          <w:i/>
          <w:iCs/>
          <w:sz w:val="21"/>
          <w:szCs w:val="21"/>
        </w:rPr>
        <w:t xml:space="preserve"> </w:t>
      </w:r>
      <w:proofErr w:type="spellStart"/>
      <w:r>
        <w:rPr>
          <w:i/>
          <w:iCs/>
          <w:sz w:val="21"/>
          <w:szCs w:val="21"/>
        </w:rPr>
        <w:t>burden</w:t>
      </w:r>
      <w:proofErr w:type="spellEnd"/>
      <w:r>
        <w:rPr>
          <w:i/>
          <w:iCs/>
          <w:sz w:val="21"/>
          <w:szCs w:val="21"/>
        </w:rPr>
        <w:t>"</w:t>
      </w:r>
      <w:r>
        <w:rPr>
          <w:sz w:val="21"/>
          <w:szCs w:val="21"/>
        </w:rPr>
        <w:t>: o peso cumulativo de episódios individualmente menores que, somados ao longo do tempo, produz o mesmo nível de comprometimento psicológico que episódios únicos de discriminação flagrante</w:t>
      </w:r>
      <w:r>
        <w:rPr>
          <w:rStyle w:val="Refdenotaderodap"/>
          <w:sz w:val="21"/>
          <w:szCs w:val="21"/>
        </w:rPr>
        <w:footnoteReference w:id="37"/>
      </w:r>
      <w:r>
        <w:rPr>
          <w:sz w:val="21"/>
          <w:szCs w:val="21"/>
        </w:rPr>
        <w:t xml:space="preserve">. Esse achado é relevante para o enquadramento disciplinar: não é apenas a discriminação grave e isolada que causa </w:t>
      </w:r>
      <w:proofErr w:type="spellStart"/>
      <w:r>
        <w:rPr>
          <w:sz w:val="21"/>
          <w:szCs w:val="21"/>
        </w:rPr>
        <w:t>dano</w:t>
      </w:r>
      <w:proofErr w:type="spellEnd"/>
      <w:r>
        <w:rPr>
          <w:sz w:val="21"/>
          <w:szCs w:val="21"/>
        </w:rPr>
        <w:t xml:space="preserve"> suficiente para justificar enquadramento; é também o padrão reiterado de condutas de menor intensidade individual que, acumuladas, produzem impacto sistêmico sobre a vítima.</w:t>
      </w:r>
    </w:p>
    <w:p w14:paraId="431D578A" w14:textId="77777777" w:rsidR="00287D58" w:rsidRDefault="003B78AF">
      <w:pPr>
        <w:pStyle w:val="Ttulo2"/>
        <w:keepNext/>
      </w:pPr>
      <w:bookmarkStart w:id="72" w:name="_Toc238022067"/>
      <w:r>
        <w:t>6.8 O assédio discriminatório: quando discriminação e assédio moral se sobrepõem</w:t>
      </w:r>
      <w:bookmarkEnd w:id="72"/>
    </w:p>
    <w:p w14:paraId="57B42CC9" w14:textId="77777777" w:rsidR="00427539" w:rsidRPr="00427539" w:rsidRDefault="00427539" w:rsidP="00427539">
      <w:pPr>
        <w:spacing w:after="120"/>
        <w:jc w:val="both"/>
        <w:rPr>
          <w:sz w:val="21"/>
          <w:szCs w:val="21"/>
        </w:rPr>
      </w:pPr>
      <w:r>
        <w:rPr>
          <w:sz w:val="21"/>
          <w:szCs w:val="21"/>
        </w:rPr>
        <w:t>Uma das configurações mais graves de discriminação em ambiente laboral é o assédio moral discriminatório: a conduta em que o padrão sistemático de humilhações, exclusões e pressões que caracteriza o assédio moral tem, como motor e como seletor da vítima, uma característica protegida. O assediador não escolhe aleatoriamente o alvo de sua conduta: escolhe-o em razão de sua raça, de seu gênero, de sua deficiência ou de sua orientação sexual, porque essa característica o torna, para o assediador, um alvo aceitável ou um símbolo que ele pretende eliminar do ambiente.</w:t>
      </w:r>
    </w:p>
    <w:p w14:paraId="36270B30" w14:textId="77777777" w:rsidR="00427539" w:rsidRPr="00427539" w:rsidRDefault="00427539" w:rsidP="00427539">
      <w:pPr>
        <w:spacing w:after="120"/>
        <w:jc w:val="both"/>
        <w:rPr>
          <w:sz w:val="21"/>
          <w:szCs w:val="21"/>
        </w:rPr>
      </w:pPr>
      <w:r>
        <w:rPr>
          <w:sz w:val="21"/>
          <w:szCs w:val="21"/>
        </w:rPr>
        <w:t>A NT nº 93/2024 reconhece expressamente o assédio discriminatório como categoria específica que merece tratamento qualificado em relação ao assédio moral sem motivação discriminatória. O fundamento é duplo: o assédio discriminatório viola simultaneamente dois bens jurídicos distintos, a integridade psíquica e o ambiente de trabalho (bem jurídico do assédio moral) e a igualdade de oportunidades (bem jurídico da discriminação); e ele produz um efeito que vai além do dano individual, atingindo todos os membros do grupo representado pela vítima no ambiente de trabalho.</w:t>
      </w:r>
    </w:p>
    <w:p w14:paraId="12E5070F" w14:textId="77777777" w:rsidR="00427539" w:rsidRPr="00427539" w:rsidRDefault="00427539" w:rsidP="00427539">
      <w:pPr>
        <w:spacing w:after="120"/>
        <w:jc w:val="both"/>
        <w:rPr>
          <w:sz w:val="21"/>
          <w:szCs w:val="21"/>
        </w:rPr>
      </w:pPr>
      <w:proofErr w:type="spellStart"/>
      <w:r>
        <w:rPr>
          <w:sz w:val="21"/>
          <w:szCs w:val="21"/>
        </w:rPr>
        <w:t>Kimberlé</w:t>
      </w:r>
      <w:proofErr w:type="spellEnd"/>
      <w:r>
        <w:rPr>
          <w:sz w:val="21"/>
          <w:szCs w:val="21"/>
        </w:rPr>
        <w:t xml:space="preserve"> </w:t>
      </w:r>
      <w:proofErr w:type="spellStart"/>
      <w:r>
        <w:rPr>
          <w:sz w:val="21"/>
          <w:szCs w:val="21"/>
        </w:rPr>
        <w:t>Crenshaw</w:t>
      </w:r>
      <w:proofErr w:type="spellEnd"/>
      <w:r>
        <w:rPr>
          <w:sz w:val="21"/>
          <w:szCs w:val="21"/>
        </w:rPr>
        <w:t xml:space="preserve"> desenvolveu o conceito de interseccionalidade que ilumina a dimensão adicional do assédio discriminatório: quando a vítima pertence simultaneamente a múltiplos grupos vulneráveis (mulher negra, servidor com deficiência e orientação sexual minoritária, servidora imigrante) a discriminação que ela experimenta não é simplesmente a soma das discriminações que cada identidade produziria em separado. É uma experiência qualitativamente diferente, produzida pela interação entre múltiplas formas de vulnerabilização</w:t>
      </w:r>
      <w:r>
        <w:rPr>
          <w:rStyle w:val="Refdenotaderodap"/>
          <w:sz w:val="21"/>
          <w:szCs w:val="21"/>
        </w:rPr>
        <w:footnoteReference w:id="38"/>
      </w:r>
      <w:r>
        <w:rPr>
          <w:sz w:val="21"/>
          <w:szCs w:val="21"/>
        </w:rPr>
        <w:t>. O operador que analisa assédio discriminatório deve estar atento a essa dimensão interseccional, que pode revelar formas de discriminação que análises unidimensionais não capturam.</w:t>
      </w:r>
    </w:p>
    <w:p w14:paraId="774C7D06" w14:textId="77777777" w:rsidR="00427539" w:rsidRPr="00427539" w:rsidRDefault="00427539" w:rsidP="00427539">
      <w:pPr>
        <w:spacing w:after="120"/>
        <w:jc w:val="both"/>
        <w:rPr>
          <w:sz w:val="21"/>
          <w:szCs w:val="21"/>
        </w:rPr>
      </w:pPr>
      <w:r>
        <w:rPr>
          <w:sz w:val="21"/>
          <w:szCs w:val="21"/>
        </w:rPr>
        <w:t xml:space="preserve">A sobreposição entre assédio moral e discriminação tem duas consequências jurídicas que o Eixo 4 da ferramenta </w:t>
      </w:r>
      <w:proofErr w:type="spellStart"/>
      <w:r>
        <w:rPr>
          <w:sz w:val="21"/>
          <w:szCs w:val="21"/>
        </w:rPr>
        <w:t>Integritas</w:t>
      </w:r>
      <w:proofErr w:type="spellEnd"/>
      <w:r>
        <w:rPr>
          <w:sz w:val="21"/>
          <w:szCs w:val="21"/>
        </w:rPr>
        <w:t xml:space="preserve"> reflete:</w:t>
      </w:r>
    </w:p>
    <w:p w14:paraId="4C654052" w14:textId="77777777" w:rsidR="00427539" w:rsidRPr="00427539" w:rsidRDefault="00427539" w:rsidP="00427539">
      <w:pPr>
        <w:spacing w:after="120"/>
        <w:jc w:val="both"/>
        <w:rPr>
          <w:sz w:val="21"/>
          <w:szCs w:val="21"/>
        </w:rPr>
      </w:pPr>
      <w:r>
        <w:rPr>
          <w:b/>
          <w:bCs/>
          <w:sz w:val="21"/>
          <w:szCs w:val="21"/>
        </w:rPr>
        <w:lastRenderedPageBreak/>
        <w:t>Cumulatividade dos enquadramentos.</w:t>
      </w:r>
      <w:r>
        <w:rPr>
          <w:sz w:val="21"/>
          <w:szCs w:val="21"/>
        </w:rPr>
        <w:t xml:space="preserve"> Os dois ilícitos não se excluem: o assédio moral discriminatório configura simultaneamente a infração de assédio moral (com o enquadramento da NT nº 93/2024, tratado no Capítulo 5) e a infração de discriminação (com o enquadramento adicional pelos dispositivos aplicáveis ao ato discriminatório). A autoridade julgadora deve fundamentar o enquadramento em relação a ambas as dimensões, pois cada uma protege bens jurídicos parcialmente distintos.</w:t>
      </w:r>
    </w:p>
    <w:p w14:paraId="63616E6A" w14:textId="77777777" w:rsidR="00287D58" w:rsidRPr="0003539F" w:rsidRDefault="00427539">
      <w:pPr>
        <w:spacing w:after="120"/>
        <w:jc w:val="both"/>
        <w:rPr>
          <w:sz w:val="21"/>
          <w:szCs w:val="21"/>
        </w:rPr>
      </w:pPr>
      <w:r>
        <w:rPr>
          <w:b/>
          <w:bCs/>
          <w:sz w:val="21"/>
          <w:szCs w:val="21"/>
        </w:rPr>
        <w:t>Qualificação da gravidade.</w:t>
      </w:r>
      <w:r>
        <w:rPr>
          <w:sz w:val="21"/>
          <w:szCs w:val="21"/>
        </w:rPr>
        <w:t xml:space="preserve"> A presença de motivação discriminatória é circunstância que qualifica a gravidade da conduta para fins de dosimetria e pode elevar o enquadramento do art. 116 para o art. 132 ou art. 117, conforme as circunstâncias. Um assédio moral praticado com motivação racista, misógina ou homofóbica é substancialmente mais grave do que um assédio moral sem motivação discriminatória identificável, porque atinge não apenas a vítima individual, mas também todos os membros do grupo que ela representa naquele ambiente.</w:t>
      </w:r>
    </w:p>
    <w:p w14:paraId="2BD5D68A" w14:textId="77777777" w:rsidR="00287D58" w:rsidRDefault="003B78AF">
      <w:pPr>
        <w:pStyle w:val="Ttulo2"/>
        <w:keepNext/>
      </w:pPr>
      <w:bookmarkStart w:id="73" w:name="_Toc238022068"/>
      <w:r>
        <w:t>6.9 A discriminação no tempo: atos isolados e padrão reiterado</w:t>
      </w:r>
      <w:bookmarkEnd w:id="73"/>
    </w:p>
    <w:p w14:paraId="4594338A" w14:textId="77777777" w:rsidR="0003539F" w:rsidRPr="0003539F" w:rsidRDefault="003B78AF" w:rsidP="0003539F">
      <w:pPr>
        <w:spacing w:after="120"/>
        <w:jc w:val="both"/>
        <w:rPr>
          <w:sz w:val="21"/>
          <w:szCs w:val="21"/>
        </w:rPr>
      </w:pPr>
      <w:r>
        <w:rPr>
          <w:sz w:val="21"/>
          <w:szCs w:val="21"/>
        </w:rPr>
        <w:t>Discriminação A NT nº 93/2024 distingue entre discriminação pontual e assédio discriminatório com base na dimensão temporal da conduta, distinção que tem consequências diretas para o enquadramento e para a penalidade aplicável.</w:t>
      </w:r>
    </w:p>
    <w:p w14:paraId="618A12F1" w14:textId="77777777" w:rsidR="0003539F" w:rsidRPr="0003539F" w:rsidRDefault="0003539F" w:rsidP="0003539F">
      <w:pPr>
        <w:spacing w:after="120"/>
        <w:jc w:val="both"/>
        <w:rPr>
          <w:sz w:val="21"/>
          <w:szCs w:val="21"/>
        </w:rPr>
      </w:pPr>
      <w:r>
        <w:rPr>
          <w:b/>
          <w:bCs/>
          <w:sz w:val="21"/>
          <w:szCs w:val="21"/>
        </w:rPr>
        <w:t>Discriminação pontual</w:t>
      </w:r>
      <w:r>
        <w:rPr>
          <w:sz w:val="21"/>
          <w:szCs w:val="21"/>
        </w:rPr>
        <w:t xml:space="preserve"> é o ato isolado motivado por característica protegida: um comentário racista proferido numa reunião, a recusa de um benefício específico com motivação discriminatória identificável, a exclusão de uma oportunidade específica por razão de gênero. A discriminação pontual pode ter gravidade individual significativa, especialmente quando o conteúdo é extremamente ofensivo ou quando o ato isolado tem impacto concreto e documentável sobre a carreira ou a saúde da vítima. Mas ela tende, em regra, ao enquadramento nos </w:t>
      </w:r>
      <w:proofErr w:type="spellStart"/>
      <w:r>
        <w:rPr>
          <w:sz w:val="21"/>
          <w:szCs w:val="21"/>
        </w:rPr>
        <w:t>arts</w:t>
      </w:r>
      <w:proofErr w:type="spellEnd"/>
      <w:r>
        <w:rPr>
          <w:sz w:val="21"/>
          <w:szCs w:val="21"/>
        </w:rPr>
        <w:t>. 116, IX e XI, com penalidade de advertência ou suspensão, salvo quando presente um dos qualificadores que elevam a gravidade (uso do cargo, escândalo ostensivo, grave impacto documentado).</w:t>
      </w:r>
    </w:p>
    <w:p w14:paraId="09059147" w14:textId="77777777" w:rsidR="0003539F" w:rsidRPr="0003539F" w:rsidRDefault="0003539F" w:rsidP="0003539F">
      <w:pPr>
        <w:spacing w:after="120"/>
        <w:jc w:val="both"/>
        <w:rPr>
          <w:sz w:val="21"/>
          <w:szCs w:val="21"/>
        </w:rPr>
      </w:pPr>
      <w:r>
        <w:rPr>
          <w:b/>
          <w:bCs/>
          <w:sz w:val="21"/>
          <w:szCs w:val="21"/>
        </w:rPr>
        <w:t>Assédio discriminatório</w:t>
      </w:r>
      <w:r>
        <w:rPr>
          <w:sz w:val="21"/>
          <w:szCs w:val="21"/>
        </w:rPr>
        <w:t xml:space="preserve"> é o padrão reiterado de condutas motivadas por característica protegida, dirigido a alvo específico, que sistematicamente degrada as condições de trabalho da vítima e produz efeito acumulado. O assédio discriminatório combina a estrutura temporal do assédio moral, a reiteração que instala na vítima a certeza de que as condutas hostis continuarão, com a dimensão discriminatória que seleciona a vítima com base na característica protegida. O enquadramento alcança o art. 132, V (conduta escandalosa) ou o art. 117, IX (valimento do cargo), conforme as circunstâncias, com penalidade de demissão.</w:t>
      </w:r>
    </w:p>
    <w:p w14:paraId="35A30F95" w14:textId="77777777" w:rsidR="00287D58" w:rsidRPr="0003539F" w:rsidRDefault="0003539F">
      <w:pPr>
        <w:spacing w:after="120"/>
        <w:jc w:val="both"/>
        <w:rPr>
          <w:sz w:val="21"/>
          <w:szCs w:val="21"/>
        </w:rPr>
      </w:pPr>
      <w:r>
        <w:rPr>
          <w:sz w:val="21"/>
          <w:szCs w:val="21"/>
        </w:rPr>
        <w:t xml:space="preserve">A distinção entre os dois não é sempre clara na prática, porque o que começa como episódio pontual pode revelar, com a instrução probatória, padrão reiterado mais amplo; e porque o padrão reiterado é composto de episódios individualmente identificáveis que podem ser enquadrados tanto na categoria pontual quanto no padrão geral. A ferramenta </w:t>
      </w:r>
      <w:proofErr w:type="spellStart"/>
      <w:r>
        <w:rPr>
          <w:sz w:val="21"/>
          <w:szCs w:val="21"/>
        </w:rPr>
        <w:t>Integritas</w:t>
      </w:r>
      <w:proofErr w:type="spellEnd"/>
      <w:r>
        <w:rPr>
          <w:sz w:val="21"/>
          <w:szCs w:val="21"/>
        </w:rPr>
        <w:t xml:space="preserve"> resolve essa ambiguidade estruturalmente: percorre a questão da reiteração como bifurcação explícita do fluxo, obrigando o operador a tomar posição sobre o padrão antes de avançar para o enquadramento.</w:t>
      </w:r>
    </w:p>
    <w:p w14:paraId="4B99A936" w14:textId="77777777" w:rsidR="00287D58" w:rsidRDefault="003B78AF">
      <w:pPr>
        <w:pStyle w:val="Ttulo2"/>
        <w:keepNext/>
      </w:pPr>
      <w:bookmarkStart w:id="74" w:name="_Toc238022069"/>
      <w:r>
        <w:t>6.10 A rota do art. 117, IX: o valimento do cargo na discriminação</w:t>
      </w:r>
      <w:bookmarkEnd w:id="74"/>
    </w:p>
    <w:p w14:paraId="60FD4D8A" w14:textId="77777777" w:rsidR="008F0206" w:rsidRPr="008F0206" w:rsidRDefault="008F0206" w:rsidP="008F0206">
      <w:pPr>
        <w:spacing w:after="120"/>
        <w:jc w:val="both"/>
        <w:rPr>
          <w:sz w:val="21"/>
          <w:szCs w:val="21"/>
        </w:rPr>
      </w:pPr>
      <w:r>
        <w:rPr>
          <w:sz w:val="21"/>
          <w:szCs w:val="21"/>
        </w:rPr>
        <w:t xml:space="preserve">A ferramenta </w:t>
      </w:r>
      <w:proofErr w:type="spellStart"/>
      <w:r>
        <w:rPr>
          <w:sz w:val="21"/>
          <w:szCs w:val="21"/>
        </w:rPr>
        <w:t>Integritas</w:t>
      </w:r>
      <w:proofErr w:type="spellEnd"/>
      <w:r>
        <w:rPr>
          <w:sz w:val="21"/>
          <w:szCs w:val="21"/>
        </w:rPr>
        <w:t xml:space="preserve"> incorporou, como Alteração 6 do fluxo do Eixo 4, uma bifurcação que a versão anterior não contemplava: quando identificado assédio discriminatório reiterado com alvo específico, a ferramenta pergunta se o servidor utilizou prerrogativas funcionais como instrumento da conduta </w:t>
      </w:r>
      <w:r>
        <w:rPr>
          <w:sz w:val="21"/>
          <w:szCs w:val="21"/>
        </w:rPr>
        <w:lastRenderedPageBreak/>
        <w:t>discriminatória. A resposta afirmativa ativa a rota do art. 117, IX, valimento do cargo para fins ilícitos em detrimento da dignidade da função pública, com penalidade de demissão por força do art. 132, XIII.</w:t>
      </w:r>
    </w:p>
    <w:p w14:paraId="70948790" w14:textId="77777777" w:rsidR="008F0206" w:rsidRPr="008F0206" w:rsidRDefault="008F0206" w:rsidP="008F0206">
      <w:pPr>
        <w:spacing w:after="120"/>
        <w:jc w:val="both"/>
        <w:rPr>
          <w:sz w:val="21"/>
          <w:szCs w:val="21"/>
        </w:rPr>
      </w:pPr>
      <w:r>
        <w:rPr>
          <w:sz w:val="21"/>
          <w:szCs w:val="21"/>
        </w:rPr>
        <w:t>A fundamentação dessa rota no enquadramento disciplinar da discriminação decorre da interpretação sistêmica da NT nº 93/2024, que trata o valimento do cargo como vetor de agravamento em toda a tipologia de condutas abusivas, e dos princípios gerais do direito disciplinar que vinculam o art. 117, IX a todo uso ilegítimo das prerrogativas funcionais.</w:t>
      </w:r>
    </w:p>
    <w:p w14:paraId="0D2196C0" w14:textId="77777777" w:rsidR="008F0206" w:rsidRPr="008F0206" w:rsidRDefault="008F0206" w:rsidP="008F0206">
      <w:pPr>
        <w:spacing w:after="120"/>
        <w:jc w:val="both"/>
        <w:rPr>
          <w:sz w:val="21"/>
          <w:szCs w:val="21"/>
        </w:rPr>
      </w:pPr>
      <w:r>
        <w:rPr>
          <w:b/>
          <w:bCs/>
          <w:sz w:val="21"/>
          <w:szCs w:val="21"/>
        </w:rPr>
        <w:t>O que constitui uso instrumental do cargo na discriminação.</w:t>
      </w:r>
      <w:r>
        <w:rPr>
          <w:sz w:val="21"/>
          <w:szCs w:val="21"/>
        </w:rPr>
        <w:t xml:space="preserve"> A mera existência de hierarquia entre o agressor e a vítima não é suficiente para configurar o valimento do cargo, que a relação hierárquica seja o contexto em que a discriminação ocorre não significa que o cargo foi o instrumento da discriminação. O que qualifica o art. 117, IX é o </w:t>
      </w:r>
      <w:r>
        <w:rPr>
          <w:b/>
          <w:bCs/>
          <w:sz w:val="21"/>
          <w:szCs w:val="21"/>
        </w:rPr>
        <w:t>uso ativo e consciente das prerrogativas funcionais</w:t>
      </w:r>
      <w:r>
        <w:rPr>
          <w:sz w:val="21"/>
          <w:szCs w:val="21"/>
        </w:rPr>
        <w:t xml:space="preserve"> como mecanismo de execução da discriminação:</w:t>
      </w:r>
    </w:p>
    <w:p w14:paraId="5CA10BE8" w14:textId="77777777" w:rsidR="008F0206" w:rsidRPr="008F0206" w:rsidRDefault="008F0206">
      <w:pPr>
        <w:numPr>
          <w:ilvl w:val="0"/>
          <w:numId w:val="17"/>
        </w:numPr>
        <w:spacing w:after="120"/>
        <w:jc w:val="both"/>
        <w:rPr>
          <w:sz w:val="21"/>
          <w:szCs w:val="21"/>
        </w:rPr>
      </w:pPr>
      <w:r>
        <w:rPr>
          <w:sz w:val="21"/>
          <w:szCs w:val="21"/>
        </w:rPr>
        <w:t>recusar promoções, progressões ou designações para funções de confiança com base em característica pessoal protegida da vítima;</w:t>
      </w:r>
    </w:p>
    <w:p w14:paraId="29529A0D" w14:textId="77777777" w:rsidR="008F0206" w:rsidRPr="008F0206" w:rsidRDefault="008F0206">
      <w:pPr>
        <w:numPr>
          <w:ilvl w:val="0"/>
          <w:numId w:val="17"/>
        </w:numPr>
        <w:spacing w:after="120"/>
        <w:jc w:val="both"/>
        <w:rPr>
          <w:sz w:val="21"/>
          <w:szCs w:val="21"/>
        </w:rPr>
      </w:pPr>
      <w:r>
        <w:rPr>
          <w:sz w:val="21"/>
          <w:szCs w:val="21"/>
        </w:rPr>
        <w:t>atribuir sistematicamente tarefas degradantes, repetitivas ou de menor prestígio a servidor de determinado grupo, utilizando o poder de distribuição de tarefas que o cargo confere;</w:t>
      </w:r>
    </w:p>
    <w:p w14:paraId="60ECA53C" w14:textId="77777777" w:rsidR="008F0206" w:rsidRPr="008F0206" w:rsidRDefault="008F0206">
      <w:pPr>
        <w:numPr>
          <w:ilvl w:val="0"/>
          <w:numId w:val="17"/>
        </w:numPr>
        <w:spacing w:after="120"/>
        <w:jc w:val="both"/>
        <w:rPr>
          <w:sz w:val="21"/>
          <w:szCs w:val="21"/>
        </w:rPr>
      </w:pPr>
      <w:r>
        <w:rPr>
          <w:sz w:val="21"/>
          <w:szCs w:val="21"/>
        </w:rPr>
        <w:t>manipular avaliações de desempenho para prejudicar servidor de grupo discriminado, usando o poder avaliativo que o cargo confere;</w:t>
      </w:r>
    </w:p>
    <w:p w14:paraId="718BD7B2" w14:textId="77777777" w:rsidR="008F0206" w:rsidRPr="008F0206" w:rsidRDefault="008F0206">
      <w:pPr>
        <w:numPr>
          <w:ilvl w:val="0"/>
          <w:numId w:val="17"/>
        </w:numPr>
        <w:spacing w:after="120"/>
        <w:jc w:val="both"/>
        <w:rPr>
          <w:sz w:val="21"/>
          <w:szCs w:val="21"/>
        </w:rPr>
      </w:pPr>
      <w:r>
        <w:rPr>
          <w:sz w:val="21"/>
          <w:szCs w:val="21"/>
        </w:rPr>
        <w:t>sonegar informações, acesso a sistemas ou recursos necessários ao trabalho, usando o poder de controle de acesso que o cargo confere;</w:t>
      </w:r>
    </w:p>
    <w:p w14:paraId="1CDEACE5" w14:textId="77777777" w:rsidR="008F0206" w:rsidRPr="008F0206" w:rsidRDefault="008F0206">
      <w:pPr>
        <w:numPr>
          <w:ilvl w:val="0"/>
          <w:numId w:val="17"/>
        </w:numPr>
        <w:spacing w:after="120"/>
        <w:jc w:val="both"/>
        <w:rPr>
          <w:sz w:val="21"/>
          <w:szCs w:val="21"/>
        </w:rPr>
      </w:pPr>
      <w:r>
        <w:rPr>
          <w:sz w:val="21"/>
          <w:szCs w:val="21"/>
        </w:rPr>
        <w:t>excluir servidor de reuniões, treinamentos ou oportunidades de desenvolvimento, usando o poder de organização do trabalho que o cargo confere.</w:t>
      </w:r>
    </w:p>
    <w:p w14:paraId="259B8FF4" w14:textId="77777777" w:rsidR="008F0206" w:rsidRPr="008F0206" w:rsidRDefault="008F0206" w:rsidP="008F0206">
      <w:pPr>
        <w:spacing w:after="120"/>
        <w:jc w:val="both"/>
        <w:rPr>
          <w:sz w:val="21"/>
          <w:szCs w:val="21"/>
        </w:rPr>
      </w:pPr>
      <w:r>
        <w:rPr>
          <w:sz w:val="21"/>
          <w:szCs w:val="21"/>
        </w:rPr>
        <w:t>Em todos esses casos, o elemento comum é o uso de poder que o cargo confere e que o servidor sem cargo não teria como instrumento de discriminação. O supervisor que faz comentário discriminatório em conversa informal pode não estar valendo-se do cargo, está violando o dever de moralidade ou urbanidade, mas não usando prerrogativa funcional como instrumento. O supervisor que nega progressão por razão discriminatória está usando o cargo porque a decisão sobre progressão é prerrogativa funcional que apenas o cargo lhe confere.</w:t>
      </w:r>
    </w:p>
    <w:p w14:paraId="5BEE5769" w14:textId="77777777" w:rsidR="00287D58" w:rsidRPr="008F0206" w:rsidRDefault="008F0206">
      <w:pPr>
        <w:spacing w:after="120"/>
        <w:jc w:val="both"/>
        <w:rPr>
          <w:sz w:val="21"/>
          <w:szCs w:val="21"/>
        </w:rPr>
      </w:pPr>
      <w:r>
        <w:rPr>
          <w:b/>
          <w:bCs/>
          <w:sz w:val="21"/>
          <w:szCs w:val="21"/>
        </w:rPr>
        <w:t>A distinção do cargo como contexto e como instrumento.</w:t>
      </w:r>
      <w:r>
        <w:rPr>
          <w:sz w:val="21"/>
          <w:szCs w:val="21"/>
        </w:rPr>
        <w:t xml:space="preserve"> A ferramenta </w:t>
      </w:r>
      <w:proofErr w:type="spellStart"/>
      <w:r>
        <w:rPr>
          <w:sz w:val="21"/>
          <w:szCs w:val="21"/>
        </w:rPr>
        <w:t>Integritas</w:t>
      </w:r>
      <w:proofErr w:type="spellEnd"/>
      <w:r>
        <w:rPr>
          <w:sz w:val="21"/>
          <w:szCs w:val="21"/>
        </w:rPr>
        <w:t>, ao formular a pergunta "o servidor utilizou prerrogativas funcionais como instrumento da conduta discriminatória?", apoia-se nessa distinção. O campo de ajuda da pergunta explicita: "a mera existência de hierarquia não é suficiente, é necessário que o cargo tenha sido ativamente instrumentalizado". Essa distinção é essencial para que o Eixo 4 não enquadre no art. 117, IX toda e qualquer discriminação praticada por servidor com cargo de gestão, o que produziria enquadramento demissório em situações que a NT nº 93/2024 orienta para patamar menor, mas apenas aquelas em que o cargo foi efetivamente o instrumento.</w:t>
      </w:r>
    </w:p>
    <w:p w14:paraId="619C33D4" w14:textId="77777777" w:rsidR="000A27DB" w:rsidRDefault="000A27DB" w:rsidP="000A27DB">
      <w:pPr>
        <w:pStyle w:val="Ttulo2"/>
        <w:keepNext/>
      </w:pPr>
      <w:bookmarkStart w:id="75" w:name="_Toc238022070"/>
      <w:r>
        <w:t>6.11 O ônus probatório na discriminação: o que a evidência pode ser</w:t>
      </w:r>
      <w:bookmarkEnd w:id="75"/>
    </w:p>
    <w:p w14:paraId="407D404E" w14:textId="77777777" w:rsidR="00B3767D" w:rsidRPr="00B3767D" w:rsidRDefault="00B3767D" w:rsidP="00773022">
      <w:pPr>
        <w:jc w:val="both"/>
        <w:rPr>
          <w:sz w:val="21"/>
          <w:szCs w:val="21"/>
        </w:rPr>
      </w:pPr>
      <w:r>
        <w:rPr>
          <w:sz w:val="21"/>
          <w:szCs w:val="21"/>
        </w:rPr>
        <w:t xml:space="preserve">A discriminação, diferentemente da agressão física ou da ameaça explícita, raramente se deixa documentar de forma direta. O ato discriminatório é, por sua natureza, frequentemente dissimulado: o agressor oferece justificativas alternativas, invoca critérios de desempenho ou de conveniência do </w:t>
      </w:r>
      <w:r>
        <w:rPr>
          <w:sz w:val="21"/>
          <w:szCs w:val="21"/>
        </w:rPr>
        <w:lastRenderedPageBreak/>
        <w:t xml:space="preserve">serviço, nega a motivação que orientou sua conduta. Provar discriminação é, portanto, provar algo que o </w:t>
      </w:r>
      <w:proofErr w:type="gramStart"/>
      <w:r>
        <w:rPr>
          <w:sz w:val="21"/>
          <w:szCs w:val="21"/>
        </w:rPr>
        <w:t>próprio infrator ativamente oculta</w:t>
      </w:r>
      <w:proofErr w:type="gramEnd"/>
      <w:r>
        <w:rPr>
          <w:sz w:val="21"/>
          <w:szCs w:val="21"/>
        </w:rPr>
        <w:t>.</w:t>
      </w:r>
    </w:p>
    <w:p w14:paraId="2018C695" w14:textId="77777777" w:rsidR="00B3767D" w:rsidRPr="00B3767D" w:rsidRDefault="00B3767D" w:rsidP="00773022">
      <w:pPr>
        <w:jc w:val="both"/>
        <w:rPr>
          <w:sz w:val="21"/>
          <w:szCs w:val="21"/>
        </w:rPr>
      </w:pPr>
      <w:r>
        <w:rPr>
          <w:sz w:val="21"/>
          <w:szCs w:val="21"/>
        </w:rPr>
        <w:t>A doutrina e a jurisprudência trabalhista e constitucional comparadas desenvolveram instrumentos para enfrentar esse desafio:</w:t>
      </w:r>
    </w:p>
    <w:p w14:paraId="7186F839" w14:textId="77777777" w:rsidR="00B3767D" w:rsidRPr="00B3767D" w:rsidRDefault="00B3767D" w:rsidP="00773022">
      <w:pPr>
        <w:jc w:val="both"/>
        <w:rPr>
          <w:sz w:val="21"/>
          <w:szCs w:val="21"/>
        </w:rPr>
      </w:pPr>
      <w:r>
        <w:rPr>
          <w:b/>
          <w:bCs/>
          <w:sz w:val="21"/>
          <w:szCs w:val="21"/>
        </w:rPr>
        <w:t>O método comparativo.</w:t>
      </w:r>
      <w:r>
        <w:rPr>
          <w:sz w:val="21"/>
          <w:szCs w:val="21"/>
        </w:rPr>
        <w:t xml:space="preserve"> A discriminação se demonstra pela comparação: mostrar que, em situações objetivamente análogas, servidor com a característica protegida recebeu tratamento menos favorável do que servidor sem essa característica. A comparação pode ser direta, entre dois servidores específicos em situações análogas, ou estatística, entre grupos. Quando a comparação revela disparidade sistemática sem justificativa objetiva aparente, emerge presunção de discriminação que o responsável deve afastar com prova de motivação legítima.</w:t>
      </w:r>
    </w:p>
    <w:p w14:paraId="61EDA874" w14:textId="77777777" w:rsidR="00B3767D" w:rsidRPr="00B3767D" w:rsidRDefault="00B3767D" w:rsidP="00773022">
      <w:pPr>
        <w:jc w:val="both"/>
        <w:rPr>
          <w:sz w:val="21"/>
          <w:szCs w:val="21"/>
        </w:rPr>
      </w:pPr>
      <w:r>
        <w:rPr>
          <w:b/>
          <w:bCs/>
          <w:sz w:val="21"/>
          <w:szCs w:val="21"/>
        </w:rPr>
        <w:t>A cronologia e o nexo causal.</w:t>
      </w:r>
      <w:r>
        <w:rPr>
          <w:sz w:val="21"/>
          <w:szCs w:val="21"/>
        </w:rPr>
        <w:t xml:space="preserve"> Em casos de discriminação que se manifesta após a revelação de uma característica protegida, o servidor que sofre deterioração das condições de trabalho após assumir publicamente determinada identidade, após retornar de licença-maternidade, após revelar diagnóstico de deficiência, a proximidade temporal entre a revelação e a deterioração cria inferência de causalidade que o acusado deve afastar. A mesma lógica se aplica à discriminação retaliativa: avaliações que despencam coincidentemente após denúncia de discriminação são evidência indireta relevante.</w:t>
      </w:r>
    </w:p>
    <w:p w14:paraId="75644CD1" w14:textId="77777777" w:rsidR="00B3767D" w:rsidRPr="00B3767D" w:rsidRDefault="00B3767D" w:rsidP="00773022">
      <w:pPr>
        <w:jc w:val="both"/>
        <w:rPr>
          <w:sz w:val="21"/>
          <w:szCs w:val="21"/>
        </w:rPr>
      </w:pPr>
      <w:r>
        <w:rPr>
          <w:b/>
          <w:bCs/>
          <w:sz w:val="21"/>
          <w:szCs w:val="21"/>
        </w:rPr>
        <w:t>A prova testemunhal.</w:t>
      </w:r>
      <w:r>
        <w:rPr>
          <w:sz w:val="21"/>
          <w:szCs w:val="21"/>
        </w:rPr>
        <w:t xml:space="preserve"> Servidores que testemunharam condutas discriminatórias ou que receberam da vítima relatos contemporâneos ao fato têm papel probatório central. A consistência interna dos relatos e sua corroboração por outros elementos do conjunto probatório são os critérios de avaliação. O receio de represálias que frequentemente inibe testemunhos em casos de assédio moral e sexual é ainda mais pronunciado em casos de discriminação que envolvem o superior hierárquico, o que o operador deve levar em conta ao avaliar a ausência de testemunhos como ausência de prova.</w:t>
      </w:r>
    </w:p>
    <w:p w14:paraId="23E3F699" w14:textId="77777777" w:rsidR="00B3767D" w:rsidRPr="00B3767D" w:rsidRDefault="00B3767D" w:rsidP="00773022">
      <w:pPr>
        <w:jc w:val="both"/>
        <w:rPr>
          <w:sz w:val="21"/>
          <w:szCs w:val="21"/>
        </w:rPr>
      </w:pPr>
      <w:r>
        <w:rPr>
          <w:b/>
          <w:bCs/>
          <w:sz w:val="21"/>
          <w:szCs w:val="21"/>
        </w:rPr>
        <w:t>O padrão de comportamento do agressor.</w:t>
      </w:r>
      <w:r>
        <w:rPr>
          <w:sz w:val="21"/>
          <w:szCs w:val="21"/>
        </w:rPr>
        <w:t xml:space="preserve"> A prova de que o mesmo agressor exibiu condutas discriminatórias em relação a outros membros do mesmo grupo protegido, antes ou depois do episódio em apuração, é altamente relevante, pois demonstra padrão e motivação, não episódio isolado. Essa prova pode ser obtida por testemunho de outros servidores que foram discriminados pelo mesmo agressor.</w:t>
      </w:r>
    </w:p>
    <w:p w14:paraId="7B780B0B" w14:textId="77777777" w:rsidR="00B3767D" w:rsidRPr="00B3767D" w:rsidRDefault="00B3767D" w:rsidP="00773022">
      <w:pPr>
        <w:jc w:val="both"/>
        <w:rPr>
          <w:sz w:val="21"/>
          <w:szCs w:val="21"/>
        </w:rPr>
      </w:pPr>
      <w:r>
        <w:rPr>
          <w:b/>
          <w:bCs/>
          <w:sz w:val="21"/>
          <w:szCs w:val="21"/>
        </w:rPr>
        <w:t>O padrão probatório do PAD.</w:t>
      </w:r>
      <w:r>
        <w:rPr>
          <w:sz w:val="21"/>
          <w:szCs w:val="21"/>
        </w:rPr>
        <w:t xml:space="preserve"> Em todos esses contextos, o padrão probatório do processo administrativo disciplinar, que opera com a preponderância de evidências, não com a certeza além da dúvida razoável do processo penal, permite que provas indiretas e circunstanciais convergentes sustentem o enquadramento disciplinar por discriminação, desde que a fundamentação documente com clareza a cadeia de inferências que conduz ao convencimento da autoridade julgadora.</w:t>
      </w:r>
    </w:p>
    <w:p w14:paraId="474C9F6E" w14:textId="77777777" w:rsidR="00B3767D" w:rsidRPr="00B3767D" w:rsidRDefault="00B3767D" w:rsidP="00773022">
      <w:pPr>
        <w:jc w:val="both"/>
        <w:rPr>
          <w:sz w:val="21"/>
          <w:szCs w:val="21"/>
        </w:rPr>
      </w:pPr>
      <w:r>
        <w:rPr>
          <w:sz w:val="21"/>
          <w:szCs w:val="21"/>
        </w:rPr>
        <w:t xml:space="preserve">Guilherme Peña de Moraes sintetiza o princípio aplicável: </w:t>
      </w:r>
      <w:r>
        <w:rPr>
          <w:i/>
          <w:iCs/>
          <w:sz w:val="21"/>
          <w:szCs w:val="21"/>
        </w:rPr>
        <w:t>"no processo administrativo disciplinar, a prova pode ser direta ou indireta; o que se exige é que o conjunto probatório forme convicção suficiente na autoridade julgadora, com fundamentação que demonstre os elos entre os fatos apurados e a conclusão adotada"</w:t>
      </w:r>
      <w:r>
        <w:rPr>
          <w:rStyle w:val="Refdenotaderodap"/>
          <w:i/>
          <w:iCs/>
          <w:sz w:val="21"/>
          <w:szCs w:val="21"/>
        </w:rPr>
        <w:footnoteReference w:id="39"/>
      </w:r>
      <w:r>
        <w:rPr>
          <w:sz w:val="21"/>
          <w:szCs w:val="21"/>
        </w:rPr>
        <w:t>.</w:t>
      </w:r>
    </w:p>
    <w:p w14:paraId="618D114E" w14:textId="77777777" w:rsidR="00F84D50" w:rsidRDefault="000A27DB" w:rsidP="00F84D50">
      <w:pPr>
        <w:pStyle w:val="Ttulo2"/>
        <w:keepNext/>
      </w:pPr>
      <w:r>
        <w:rPr>
          <w:sz w:val="21"/>
          <w:szCs w:val="21"/>
        </w:rPr>
        <w:t xml:space="preserve"> </w:t>
      </w:r>
      <w:bookmarkStart w:id="76" w:name="_Toc238022071"/>
      <w:r>
        <w:t>6.12 A cumulatividade bidirecional: quando discriminação e assédio moral coexistem</w:t>
      </w:r>
      <w:bookmarkEnd w:id="76"/>
    </w:p>
    <w:p w14:paraId="7BDDCF13" w14:textId="77777777" w:rsidR="003D10D7" w:rsidRPr="003D10D7" w:rsidRDefault="00F84D50" w:rsidP="003D10D7">
      <w:pPr>
        <w:jc w:val="both"/>
        <w:rPr>
          <w:sz w:val="21"/>
          <w:szCs w:val="21"/>
        </w:rPr>
      </w:pPr>
      <w:r>
        <w:rPr>
          <w:sz w:val="21"/>
          <w:szCs w:val="21"/>
        </w:rPr>
        <w:t xml:space="preserve">A </w:t>
      </w:r>
      <w:proofErr w:type="spellStart"/>
      <w:r>
        <w:rPr>
          <w:sz w:val="21"/>
          <w:szCs w:val="21"/>
        </w:rPr>
        <w:t>A</w:t>
      </w:r>
      <w:proofErr w:type="spellEnd"/>
      <w:r>
        <w:rPr>
          <w:sz w:val="21"/>
          <w:szCs w:val="21"/>
        </w:rPr>
        <w:t xml:space="preserve"> NT nº 93/2024 reconhece explicitamente que discriminação e assédio moral são categorias que frequentemente se sobrepõem, e que essa sobreposição é bidirecional: a discriminação pode configurar assédio moral; e o assédio moral pode ter motivação discriminatória que o qualifica como assédio discriminatório.</w:t>
      </w:r>
    </w:p>
    <w:p w14:paraId="075E01C5" w14:textId="77777777" w:rsidR="003D10D7" w:rsidRPr="003D10D7" w:rsidRDefault="003D10D7" w:rsidP="003D10D7">
      <w:pPr>
        <w:jc w:val="both"/>
        <w:rPr>
          <w:sz w:val="21"/>
          <w:szCs w:val="21"/>
        </w:rPr>
      </w:pPr>
      <w:r>
        <w:rPr>
          <w:b/>
          <w:bCs/>
          <w:sz w:val="21"/>
          <w:szCs w:val="21"/>
        </w:rPr>
        <w:lastRenderedPageBreak/>
        <w:t>Do lado da discriminação para o assédio moral.</w:t>
      </w:r>
      <w:r>
        <w:rPr>
          <w:sz w:val="21"/>
          <w:szCs w:val="21"/>
        </w:rPr>
        <w:t xml:space="preserve"> A conduta discriminatória reiterada, dirigida ao mesmo servidor ao longo do tempo, com o padrão de humilhação, isolamento e degradação do ambiente que a NT nº 93/2024 descreve como assédio moral, é, simultaneamente, discriminação e assédio moral. O Eixo 4 da ferramenta identifica essa situação e alerta para a necessidade de análise complementar no Eixo 5.</w:t>
      </w:r>
    </w:p>
    <w:p w14:paraId="3C768B67" w14:textId="77777777" w:rsidR="003D10D7" w:rsidRPr="003D10D7" w:rsidRDefault="003D10D7" w:rsidP="003D10D7">
      <w:pPr>
        <w:jc w:val="both"/>
        <w:rPr>
          <w:sz w:val="21"/>
          <w:szCs w:val="21"/>
        </w:rPr>
      </w:pPr>
      <w:r>
        <w:rPr>
          <w:b/>
          <w:bCs/>
          <w:sz w:val="21"/>
          <w:szCs w:val="21"/>
        </w:rPr>
        <w:t>Do lado do assédio moral para a discriminação.</w:t>
      </w:r>
      <w:r>
        <w:rPr>
          <w:sz w:val="21"/>
          <w:szCs w:val="21"/>
        </w:rPr>
        <w:t xml:space="preserve"> O assédio moral praticado em modalidades horizontal ou ascendente, entre pares ou de subordinado para superior, pode ter motivação discriminatória que o Eixo 5 da ferramenta verifica explicitamente: a pergunta "a escolha da vítima está associada a característica pessoal protegida?" é bifurcação do Eixo 5 que, quando respondida afirmativamente, aciona alerta e recomenda análise complementar no Eixo 4.</w:t>
      </w:r>
    </w:p>
    <w:p w14:paraId="2ACEC809" w14:textId="77777777" w:rsidR="00F84D50" w:rsidRPr="00B3767D" w:rsidRDefault="003D10D7" w:rsidP="00F84D50">
      <w:pPr>
        <w:jc w:val="both"/>
        <w:rPr>
          <w:sz w:val="21"/>
          <w:szCs w:val="21"/>
        </w:rPr>
      </w:pPr>
      <w:r>
        <w:rPr>
          <w:sz w:val="21"/>
          <w:szCs w:val="21"/>
        </w:rPr>
        <w:t xml:space="preserve">A cumulatividade tem consequência importante para a dosimetria: quando os dois enquadramentos são aplicáveis ao mesmo conjunto de fatos, a autoridade julgadora deve considerar a cumulatividade na determinação da penalidade final, não simplesmente somar as penalidades de dois enquadramentos independentes, mas considerar o conjunto da conduta em sua integralidade e dosar a penalidade proporcionalmente à gravidade total do ilícito, observada a proibição de </w:t>
      </w:r>
      <w:r>
        <w:rPr>
          <w:i/>
          <w:iCs/>
          <w:sz w:val="21"/>
          <w:szCs w:val="21"/>
        </w:rPr>
        <w:t>bis in idem</w:t>
      </w:r>
      <w:r>
        <w:rPr>
          <w:sz w:val="21"/>
          <w:szCs w:val="21"/>
        </w:rPr>
        <w:t xml:space="preserve"> na punição pelo mesmo fato.</w:t>
      </w:r>
    </w:p>
    <w:p w14:paraId="59DCBE09" w14:textId="77777777" w:rsidR="00FE10AD" w:rsidRDefault="00FE10AD" w:rsidP="00FE10AD">
      <w:pPr>
        <w:pStyle w:val="Ttulo2"/>
        <w:keepNext/>
      </w:pPr>
      <w:bookmarkStart w:id="77" w:name="_Toc238022072"/>
      <w:r>
        <w:t>6.13 A cumulatividade bidirecional: quando discriminação e assédio moral coexistem</w:t>
      </w:r>
      <w:bookmarkEnd w:id="77"/>
    </w:p>
    <w:p w14:paraId="04734507" w14:textId="77777777" w:rsidR="00FE10AD" w:rsidRPr="00FE10AD" w:rsidRDefault="00FE10AD" w:rsidP="00FE10AD">
      <w:pPr>
        <w:jc w:val="both"/>
        <w:rPr>
          <w:sz w:val="21"/>
          <w:szCs w:val="21"/>
        </w:rPr>
      </w:pPr>
      <w:r>
        <w:rPr>
          <w:sz w:val="21"/>
          <w:szCs w:val="21"/>
        </w:rPr>
        <w:t xml:space="preserve">A discriminação, quando satisfaz os elementos dos tipos previstos na Lei nº 7.716/1989 (Lei do Racismo) e na jurisprudência vinculante do STF sobre homotransfobia (ADO 26), constitui crime, com penas que variam de 1 a 5 anos de reclusão, a depender da modalidade específica. A responsabilidade disciplinar é independente da criminal, nos termos gerais dos </w:t>
      </w:r>
      <w:proofErr w:type="spellStart"/>
      <w:r>
        <w:rPr>
          <w:sz w:val="21"/>
          <w:szCs w:val="21"/>
        </w:rPr>
        <w:t>arts</w:t>
      </w:r>
      <w:proofErr w:type="spellEnd"/>
      <w:r>
        <w:rPr>
          <w:sz w:val="21"/>
          <w:szCs w:val="21"/>
        </w:rPr>
        <w:t>. 125 e 126 da Lei nº 8.112, de 1990: o PAD pode ser instaurado e concluído independentemente de qualquer providência na esfera penal.</w:t>
      </w:r>
    </w:p>
    <w:p w14:paraId="552BC448" w14:textId="77777777" w:rsidR="00FE10AD" w:rsidRPr="00FE10AD" w:rsidRDefault="00FE10AD" w:rsidP="00FE10AD">
      <w:pPr>
        <w:jc w:val="both"/>
        <w:rPr>
          <w:sz w:val="21"/>
          <w:szCs w:val="21"/>
        </w:rPr>
      </w:pPr>
      <w:r>
        <w:rPr>
          <w:sz w:val="21"/>
          <w:szCs w:val="21"/>
        </w:rPr>
        <w:t>O art. 3º da Lei nº 7.716/1989 tem relevância específica para o serviço público federal: tipifica como crime "impedir ou obstar o acesso de alguém, devidamente habilitado, a qualquer cargo da Administração Direta ou Indireta, bem como das concessionárias de serviços públicos" por razão de raça, cor, etnia, religião ou procedência nacional. A extensão desse tipo às condutas homotransfóbicas, por força da ADO 26, amplia o alcance penal da norma. O operador que identifica conduta discriminatória no Eixo 4 que pode configurar também o crime do art. 3º da Lei nº 7.716/1989 deve considerar a comunicação ao Ministério Público.</w:t>
      </w:r>
    </w:p>
    <w:p w14:paraId="0B15D47A" w14:textId="77777777" w:rsidR="00FE10AD" w:rsidRDefault="00FE10AD" w:rsidP="00FE10AD">
      <w:pPr>
        <w:jc w:val="both"/>
        <w:rPr>
          <w:sz w:val="21"/>
          <w:szCs w:val="21"/>
        </w:rPr>
      </w:pPr>
      <w:r>
        <w:rPr>
          <w:sz w:val="21"/>
          <w:szCs w:val="21"/>
        </w:rPr>
        <w:t>Apenas a absolvição criminal que negar o fato ou a autoria (art. 126 da Lei nº 8.112, de 1990) vincula a instância disciplinar. Absolvição por insuficiência de provas, por dúvida ou por excludente de culpabilidade não produz esse efeito, e o PAD pode concluir-se com enquadramento e penalidade mesmo após absolvição criminal por essas razões.</w:t>
      </w:r>
    </w:p>
    <w:p w14:paraId="5F850963" w14:textId="77777777" w:rsidR="00FE10AD" w:rsidRPr="00FE10AD" w:rsidRDefault="00FE10AD" w:rsidP="00FE10AD">
      <w:pPr>
        <w:pStyle w:val="Ttulo2"/>
        <w:keepNext/>
      </w:pPr>
      <w:bookmarkStart w:id="78" w:name="_Toc238022073"/>
      <w:r>
        <w:t>6.14 Os critérios de aferição da gravidade</w:t>
      </w:r>
      <w:bookmarkEnd w:id="78"/>
    </w:p>
    <w:p w14:paraId="0DC5F63B" w14:textId="77777777" w:rsidR="005F3191" w:rsidRPr="005F3191" w:rsidRDefault="005F3191" w:rsidP="005F3191">
      <w:pPr>
        <w:jc w:val="both"/>
        <w:rPr>
          <w:sz w:val="21"/>
          <w:szCs w:val="21"/>
        </w:rPr>
      </w:pPr>
      <w:r>
        <w:rPr>
          <w:sz w:val="21"/>
          <w:szCs w:val="21"/>
        </w:rPr>
        <w:t>Para o enquadramento disciplinar da discriminação, a NT nº 93/2024 orienta a avaliação de um conjunto de circunstâncias que determinam o patamar de gravidade e, consequentemente, o enquadramento aplicável:</w:t>
      </w:r>
    </w:p>
    <w:p w14:paraId="7E83F20C" w14:textId="77777777" w:rsidR="005F3191" w:rsidRPr="005F3191" w:rsidRDefault="005F3191" w:rsidP="005F3191">
      <w:pPr>
        <w:jc w:val="both"/>
        <w:rPr>
          <w:sz w:val="21"/>
          <w:szCs w:val="21"/>
        </w:rPr>
      </w:pPr>
      <w:r>
        <w:rPr>
          <w:sz w:val="21"/>
          <w:szCs w:val="21"/>
        </w:rPr>
        <w:t>Intensidade dos episódios individuais. Um comentário racista pontuado ocasionalmente é menos grave, no plano individual, do que a humilhação pública sistemática por razão de raça. A intensidade de cada episódio, pela natureza do conteúdo, pelo contexto em que ocorreu, pelo impacto imediato sobre a vítima, é o primeiro critério de aferição.</w:t>
      </w:r>
    </w:p>
    <w:p w14:paraId="26E9B48A" w14:textId="77777777" w:rsidR="005F3191" w:rsidRPr="005F3191" w:rsidRDefault="005F3191" w:rsidP="005F3191">
      <w:pPr>
        <w:jc w:val="both"/>
        <w:rPr>
          <w:sz w:val="21"/>
          <w:szCs w:val="21"/>
        </w:rPr>
      </w:pPr>
      <w:r>
        <w:rPr>
          <w:sz w:val="21"/>
          <w:szCs w:val="21"/>
        </w:rPr>
        <w:lastRenderedPageBreak/>
        <w:t xml:space="preserve">Frequência e duração do padrão. O padrão reiterado que se estende por meses eleva significativamente a gravidade em relação ao episódio isolado, pelo mecanismo de acumulação de dano descrito por Flores </w:t>
      </w:r>
      <w:proofErr w:type="spellStart"/>
      <w:r>
        <w:rPr>
          <w:sz w:val="21"/>
          <w:szCs w:val="21"/>
        </w:rPr>
        <w:t>Niemann</w:t>
      </w:r>
      <w:proofErr w:type="spellEnd"/>
      <w:r>
        <w:rPr>
          <w:sz w:val="21"/>
          <w:szCs w:val="21"/>
        </w:rPr>
        <w:t xml:space="preserve"> (seção 6.7). A frequência e a duração documentadas, com datas, contextos e testemunhos, são elementos centrais da instrução probatória nos casos de assédio discriminatório.</w:t>
      </w:r>
    </w:p>
    <w:p w14:paraId="6EBFE779" w14:textId="77777777" w:rsidR="005F3191" w:rsidRPr="005F3191" w:rsidRDefault="005F3191" w:rsidP="005F3191">
      <w:pPr>
        <w:jc w:val="both"/>
        <w:rPr>
          <w:sz w:val="21"/>
          <w:szCs w:val="21"/>
        </w:rPr>
      </w:pPr>
      <w:r>
        <w:rPr>
          <w:sz w:val="21"/>
          <w:szCs w:val="21"/>
        </w:rPr>
        <w:t>Repercussão coletiva. A discriminação praticada de forma ostensiva, visível a colegas, em reuniões ou por canais de comunicação coletivos, tem dimensão institucional que a discriminação praticada em privado não tem. Ela cria o ambiente hostil coletivo que compromete a organização como um todo, não apenas a relação bilateral entre agressor e vítima.</w:t>
      </w:r>
    </w:p>
    <w:p w14:paraId="532008E3" w14:textId="77777777" w:rsidR="005F3191" w:rsidRPr="005F3191" w:rsidRDefault="005F3191" w:rsidP="005F3191">
      <w:pPr>
        <w:jc w:val="both"/>
        <w:rPr>
          <w:sz w:val="21"/>
          <w:szCs w:val="21"/>
        </w:rPr>
      </w:pPr>
      <w:r>
        <w:rPr>
          <w:sz w:val="21"/>
          <w:szCs w:val="21"/>
        </w:rPr>
        <w:t>Impacto concreto sobre a vítima. O dano documentado (laudo psicológico, afastamento médico, comprometimento de carreira demonstrável, perda de oportunidades específicas) qualifica a gravidade e pode elevar o enquadramento do patamar de conduta imprópria para o patamar demissório.</w:t>
      </w:r>
    </w:p>
    <w:p w14:paraId="0F01D717" w14:textId="77777777" w:rsidR="005F3191" w:rsidRPr="005F3191" w:rsidRDefault="005F3191" w:rsidP="005F3191">
      <w:pPr>
        <w:jc w:val="both"/>
        <w:rPr>
          <w:sz w:val="21"/>
          <w:szCs w:val="21"/>
        </w:rPr>
      </w:pPr>
      <w:r>
        <w:rPr>
          <w:sz w:val="21"/>
          <w:szCs w:val="21"/>
        </w:rPr>
        <w:t>Existência de alvo específico ou conduta difusa. A discriminação dirigida a servidor específico, escolhido pela sua característica protegida, é mais grave do que a conduta discriminatória difusa, sem destinatário identificável. O alvo específico revela a dimensão pessoal da perseguição e a intencionalidade que, mesmo não sendo elemento constitutivo do tipo, é indicador relevante de gravidade.</w:t>
      </w:r>
    </w:p>
    <w:p w14:paraId="54A5530A" w14:textId="77777777" w:rsidR="004F735F" w:rsidRPr="00FE10AD" w:rsidRDefault="004F735F" w:rsidP="004F735F">
      <w:pPr>
        <w:pStyle w:val="Ttulo2"/>
        <w:keepNext/>
      </w:pPr>
      <w:bookmarkStart w:id="79" w:name="_Toc238022074"/>
      <w:r>
        <w:t xml:space="preserve">6.15 Síntese operacional: o Eixo 4 da ferramenta </w:t>
      </w:r>
      <w:proofErr w:type="spellStart"/>
      <w:r>
        <w:t>Integritas</w:t>
      </w:r>
      <w:bookmarkEnd w:id="79"/>
      <w:proofErr w:type="spellEnd"/>
    </w:p>
    <w:p w14:paraId="656F7D9F" w14:textId="77777777" w:rsidR="00B55282" w:rsidRPr="00B55282" w:rsidRDefault="00B55282" w:rsidP="00B55282">
      <w:pPr>
        <w:jc w:val="both"/>
        <w:rPr>
          <w:sz w:val="21"/>
          <w:szCs w:val="21"/>
        </w:rPr>
      </w:pPr>
      <w:r>
        <w:rPr>
          <w:sz w:val="21"/>
          <w:szCs w:val="21"/>
        </w:rPr>
        <w:t>O Eixo 4 percorre oito bifurcações: (P1) a conduta se baseia em fator protegido?; (P2) há alvo identificável?; na ausência de alvo identificável, (P2-A) a conduta difusa é reiterada e cria ambiente hostil generalizado? e (P2-B) qual o grau de comprometimento da moralidade administrativa e do ambiente institucional?; havendo alvo identificável, (P3) a conduta é reiterada?; (P4) o servidor utilizou prerrogativas funcionais como instrumento da conduta discriminatória?; e (P4-B ou P5) qual a gravidade do padrão reiterado ou do ato pontual?</w:t>
      </w:r>
    </w:p>
    <w:p w14:paraId="0133388C" w14:textId="77777777" w:rsidR="00B55282" w:rsidRPr="00B55282" w:rsidRDefault="00B55282" w:rsidP="00B55282">
      <w:pPr>
        <w:jc w:val="both"/>
        <w:rPr>
          <w:sz w:val="21"/>
          <w:szCs w:val="21"/>
        </w:rPr>
      </w:pPr>
      <w:r>
        <w:rPr>
          <w:sz w:val="21"/>
          <w:szCs w:val="21"/>
        </w:rPr>
        <w:t>A estrutura do eixo reflete a lógica analítica deste capítulo: a identificação do fator protegido como ponto de partida (P1), a verificação da existência de alvo específico que distingue a conduta difusa da conduta dirigida (P2), a análise da dimensão temporal que separa o ato isolado do padrão reiterado (P3), a bifurcação que identifica o uso instrumental do cargo como qualificador máximo (P4), e a avaliação de gravidade que determina o patamar de enquadramento nas hipóteses sem uso do cargo (P4-B e P5).</w:t>
      </w:r>
    </w:p>
    <w:p w14:paraId="250D0909" w14:textId="77777777" w:rsidR="00B55282" w:rsidRPr="00B55282" w:rsidRDefault="00B55282" w:rsidP="00B55282">
      <w:pPr>
        <w:jc w:val="both"/>
        <w:rPr>
          <w:sz w:val="21"/>
          <w:szCs w:val="21"/>
        </w:rPr>
      </w:pPr>
      <w:r>
        <w:rPr>
          <w:sz w:val="21"/>
          <w:szCs w:val="21"/>
        </w:rPr>
        <w:t>O operador que percorre o Eixo 4 deve ter presentes quatro orientações fundamentais:</w:t>
      </w:r>
    </w:p>
    <w:p w14:paraId="00205E44" w14:textId="77777777" w:rsidR="00B55282" w:rsidRPr="00B55282" w:rsidRDefault="00B55282" w:rsidP="00B55282">
      <w:pPr>
        <w:jc w:val="both"/>
        <w:rPr>
          <w:sz w:val="21"/>
          <w:szCs w:val="21"/>
        </w:rPr>
      </w:pPr>
      <w:r>
        <w:rPr>
          <w:b/>
          <w:bCs/>
          <w:sz w:val="21"/>
          <w:szCs w:val="21"/>
        </w:rPr>
        <w:t>O efeito é o critério, não a intenção.</w:t>
      </w:r>
      <w:r>
        <w:rPr>
          <w:sz w:val="21"/>
          <w:szCs w:val="21"/>
        </w:rPr>
        <w:t xml:space="preserve"> A pergunta não é "o servidor pretendia discriminar?" mas "a conduta, objetivamente avaliada pelo seu conteúdo e pelo seu efeito sobre a vítima, produziu ou foi apta a produzir destruição ou alteração da igualdade de oportunidades?" A Convenção nº 111 da OIT e o mandato constitucional de igualdade substancial exigem esse deslocamento.</w:t>
      </w:r>
    </w:p>
    <w:p w14:paraId="74CCF3F6" w14:textId="77777777" w:rsidR="00B55282" w:rsidRPr="00B55282" w:rsidRDefault="00B55282" w:rsidP="00B55282">
      <w:pPr>
        <w:jc w:val="both"/>
        <w:rPr>
          <w:sz w:val="21"/>
          <w:szCs w:val="21"/>
        </w:rPr>
      </w:pPr>
      <w:r>
        <w:rPr>
          <w:b/>
          <w:bCs/>
          <w:sz w:val="21"/>
          <w:szCs w:val="21"/>
        </w:rPr>
        <w:t>O rol de características protegidas é aberto.</w:t>
      </w:r>
      <w:r>
        <w:rPr>
          <w:sz w:val="21"/>
          <w:szCs w:val="21"/>
        </w:rPr>
        <w:t xml:space="preserve"> O operador não deve arquivar a análise porque a característica da vítima não está expressamente listada em nenhuma norma específica. A cláusula constitucional de abertura e a interpretação sistemática do ordenamento permitem identificar como discriminatório qualquer tratamento desfavorável baseado em atributo pessoal que viole a igualdade de oportunidades.</w:t>
      </w:r>
    </w:p>
    <w:p w14:paraId="75B80EBA" w14:textId="77777777" w:rsidR="00B55282" w:rsidRPr="00B55282" w:rsidRDefault="00B55282" w:rsidP="00B55282">
      <w:pPr>
        <w:jc w:val="both"/>
        <w:rPr>
          <w:sz w:val="21"/>
          <w:szCs w:val="21"/>
        </w:rPr>
      </w:pPr>
      <w:r>
        <w:rPr>
          <w:b/>
          <w:bCs/>
          <w:sz w:val="21"/>
          <w:szCs w:val="21"/>
        </w:rPr>
        <w:t>A cumulatividade com o Eixo 5 deve ser verificada sempre que houver padrão.</w:t>
      </w:r>
      <w:r>
        <w:rPr>
          <w:sz w:val="21"/>
          <w:szCs w:val="21"/>
        </w:rPr>
        <w:t xml:space="preserve"> Quando a conduta é reiterada e dirigida a alvo específico, a análise pelo Eixo 5 (assédio moral) é quase sempre necessária, porque o padrão reiterado de condutas discriminatórias frequentemente configura também assédio </w:t>
      </w:r>
      <w:r>
        <w:rPr>
          <w:sz w:val="21"/>
          <w:szCs w:val="21"/>
        </w:rPr>
        <w:lastRenderedPageBreak/>
        <w:t>moral. Os dois enquadramentos podem e devem coexistir quando os elementos de cada um estão presentes.</w:t>
      </w:r>
    </w:p>
    <w:p w14:paraId="3119EAD6" w14:textId="77777777" w:rsidR="00B55282" w:rsidRPr="00B55282" w:rsidRDefault="00B55282" w:rsidP="00B55282">
      <w:pPr>
        <w:jc w:val="both"/>
        <w:rPr>
          <w:sz w:val="21"/>
          <w:szCs w:val="21"/>
        </w:rPr>
      </w:pPr>
      <w:r>
        <w:rPr>
          <w:b/>
          <w:bCs/>
          <w:sz w:val="21"/>
          <w:szCs w:val="21"/>
        </w:rPr>
        <w:t>O uso do cargo é o qualificador que mais eleva a gravidade.</w:t>
      </w:r>
      <w:r>
        <w:rPr>
          <w:sz w:val="21"/>
          <w:szCs w:val="21"/>
        </w:rPr>
        <w:t xml:space="preserve"> Quando as prerrogativas funcionais são instrumentalizadas para executar a discriminação (poder de avaliação, de distribuição de tarefas, de concessão de progressões), o enquadramento alcança o art. 117, IX com demissão obrigatória. A documentação precisa de quais prerrogativas foram usadas e como é essencial para a fundamentação desse enquadramento.</w:t>
      </w:r>
    </w:p>
    <w:p w14:paraId="4A52D18F" w14:textId="77777777" w:rsidR="00B55282" w:rsidRPr="00B55282" w:rsidRDefault="00B55282" w:rsidP="00B55282">
      <w:pPr>
        <w:jc w:val="both"/>
        <w:rPr>
          <w:sz w:val="21"/>
          <w:szCs w:val="21"/>
        </w:rPr>
      </w:pPr>
      <w:r>
        <w:rPr>
          <w:sz w:val="21"/>
          <w:szCs w:val="21"/>
        </w:rPr>
        <w:t>O operador que aplica essas orientações com atenção ao conjunto probatório disponível, às circunstâncias de gravidade e à possibilidade de cumulatividade realizará análise que não apenas enquadra corretamente a conduta discriminatória, mas que contribui para o projeto constitucional de igualdade que vincula toda a Administração Pública Federal.</w:t>
      </w:r>
    </w:p>
    <w:p w14:paraId="663E2F2B" w14:textId="77777777" w:rsidR="00B55282" w:rsidRPr="005F3191" w:rsidRDefault="00B55282" w:rsidP="00B55282">
      <w:pPr>
        <w:jc w:val="both"/>
        <w:rPr>
          <w:sz w:val="21"/>
          <w:szCs w:val="21"/>
        </w:rPr>
      </w:pPr>
    </w:p>
    <w:p w14:paraId="7AA464C0" w14:textId="77777777" w:rsidR="00287D58" w:rsidRDefault="003B78AF">
      <w:r>
        <w:br w:type="page"/>
      </w:r>
    </w:p>
    <w:p w14:paraId="0FBA1BAE"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CAPÍTULO 7</w:t>
      </w:r>
    </w:p>
    <w:p w14:paraId="71C4947C" w14:textId="77777777" w:rsidR="00287D58" w:rsidRDefault="003B78AF">
      <w:pPr>
        <w:pStyle w:val="Ttulo1"/>
        <w:keepNext/>
        <w:pBdr>
          <w:bottom w:val="single" w:sz="12" w:space="6" w:color="C9A35C"/>
        </w:pBdr>
        <w:spacing w:line="400" w:lineRule="exact"/>
      </w:pPr>
      <w:bookmarkStart w:id="80" w:name="_Toc238022075"/>
      <w:r>
        <w:t>7. RETALIAÇÃO AO DENUNCIANTE: O AVESSO DO SISTEMA DE INTEGRIDADE</w:t>
      </w:r>
      <w:bookmarkEnd w:id="80"/>
    </w:p>
    <w:p w14:paraId="1D8154AE" w14:textId="77777777" w:rsidR="00287D58" w:rsidRDefault="003B78AF">
      <w:pPr>
        <w:pStyle w:val="Ttulo2"/>
        <w:keepNext/>
      </w:pPr>
      <w:bookmarkStart w:id="81" w:name="_Toc238022076"/>
      <w:r>
        <w:t>7.1 A proteção ao denunciante como pressuposto de qualquer sistema de controle eficaz</w:t>
      </w:r>
      <w:bookmarkEnd w:id="81"/>
    </w:p>
    <w:p w14:paraId="059A65F7" w14:textId="77777777" w:rsidR="00D064F3" w:rsidRPr="00D064F3" w:rsidRDefault="003B78AF" w:rsidP="00D064F3">
      <w:pPr>
        <w:spacing w:after="120"/>
        <w:jc w:val="both"/>
        <w:rPr>
          <w:sz w:val="21"/>
          <w:szCs w:val="21"/>
        </w:rPr>
      </w:pPr>
      <w:r>
        <w:rPr>
          <w:sz w:val="21"/>
          <w:szCs w:val="21"/>
        </w:rPr>
        <w:t xml:space="preserve">A Há uma tensão estrutural no coração de qualquer sistema de controle interno: ele depende, para funcionar, da disposição de servidores de denunciar irregularidades praticadas por colegas e superiores hierárquicos, e é precisamente essa disposição que o sistema destrói quando tolera ou pune as represálias contra quem </w:t>
      </w:r>
      <w:proofErr w:type="spellStart"/>
      <w:r>
        <w:rPr>
          <w:sz w:val="21"/>
          <w:szCs w:val="21"/>
        </w:rPr>
        <w:t>denuncia</w:t>
      </w:r>
      <w:proofErr w:type="spellEnd"/>
      <w:r>
        <w:rPr>
          <w:sz w:val="21"/>
          <w:szCs w:val="21"/>
        </w:rPr>
        <w:t>. A retaliação ao denunciante não é apenas mais uma infração disciplinar entre outras: ela é o mecanismo pelo qual o poder desviante se perpetua, silenciando aqueles que poderiam interrompê-lo. Quando um servidor é punido por ter denunciado, a mensagem institucional para todos os demais é imediata e inequívoca: denunciar tem custo; silenciar é seguro.</w:t>
      </w:r>
    </w:p>
    <w:p w14:paraId="0F46648A" w14:textId="77777777" w:rsidR="00D064F3" w:rsidRPr="00D064F3" w:rsidRDefault="00D064F3" w:rsidP="00D064F3">
      <w:pPr>
        <w:spacing w:after="120"/>
        <w:jc w:val="both"/>
        <w:rPr>
          <w:sz w:val="21"/>
          <w:szCs w:val="21"/>
        </w:rPr>
      </w:pPr>
      <w:r>
        <w:rPr>
          <w:sz w:val="21"/>
          <w:szCs w:val="21"/>
        </w:rPr>
        <w:t xml:space="preserve">Por essa razão, a proteção ao denunciante não é matéria de generosidade normativa. É pressuposto funcional de qualquer sistema de integridade que pretenda ser mais do que formal. O relatório da </w:t>
      </w:r>
      <w:r>
        <w:rPr>
          <w:b/>
          <w:bCs/>
          <w:sz w:val="21"/>
          <w:szCs w:val="21"/>
        </w:rPr>
        <w:t>Transparência Internacional</w:t>
      </w:r>
      <w:r>
        <w:rPr>
          <w:sz w:val="21"/>
          <w:szCs w:val="21"/>
        </w:rPr>
        <w:t xml:space="preserve"> (</w:t>
      </w:r>
      <w:proofErr w:type="spellStart"/>
      <w:r>
        <w:rPr>
          <w:i/>
          <w:iCs/>
          <w:sz w:val="21"/>
          <w:szCs w:val="21"/>
        </w:rPr>
        <w:t>Whistleblower</w:t>
      </w:r>
      <w:proofErr w:type="spellEnd"/>
      <w:r>
        <w:rPr>
          <w:i/>
          <w:iCs/>
          <w:sz w:val="21"/>
          <w:szCs w:val="21"/>
        </w:rPr>
        <w:t xml:space="preserve"> </w:t>
      </w:r>
      <w:proofErr w:type="spellStart"/>
      <w:r>
        <w:rPr>
          <w:i/>
          <w:iCs/>
          <w:sz w:val="21"/>
          <w:szCs w:val="21"/>
        </w:rPr>
        <w:t>Protection</w:t>
      </w:r>
      <w:proofErr w:type="spellEnd"/>
      <w:r>
        <w:rPr>
          <w:i/>
          <w:iCs/>
          <w:sz w:val="21"/>
          <w:szCs w:val="21"/>
        </w:rPr>
        <w:t xml:space="preserve"> </w:t>
      </w:r>
      <w:proofErr w:type="spellStart"/>
      <w:r>
        <w:rPr>
          <w:i/>
          <w:iCs/>
          <w:sz w:val="21"/>
          <w:szCs w:val="21"/>
        </w:rPr>
        <w:t>Laws</w:t>
      </w:r>
      <w:proofErr w:type="spellEnd"/>
      <w:r>
        <w:rPr>
          <w:i/>
          <w:iCs/>
          <w:sz w:val="21"/>
          <w:szCs w:val="21"/>
        </w:rPr>
        <w:t xml:space="preserve"> in G20 Countries</w:t>
      </w:r>
      <w:r>
        <w:rPr>
          <w:sz w:val="21"/>
          <w:szCs w:val="21"/>
        </w:rPr>
        <w:t>, 2022) documenta que a ausência de proteção efetiva ao denunciante é o principal fator de subnotificação de irregularidades em organizações públicas e privadas, não a ausência de canais de denúncia, não a falta de instrumentos normativos, mas a percepção fundada de que denunciar traz consequências pessoais negativas. Canais de denúncia sem proteção real ao denunciante são instrumentos simbólicos: existem, mas não funcionam.</w:t>
      </w:r>
    </w:p>
    <w:p w14:paraId="1A8BB144" w14:textId="77777777" w:rsidR="00287D58" w:rsidRPr="00456BC3" w:rsidRDefault="00D064F3">
      <w:pPr>
        <w:spacing w:after="120"/>
        <w:jc w:val="both"/>
        <w:rPr>
          <w:sz w:val="21"/>
          <w:szCs w:val="21"/>
        </w:rPr>
      </w:pPr>
      <w:r>
        <w:rPr>
          <w:sz w:val="21"/>
          <w:szCs w:val="21"/>
        </w:rPr>
        <w:t xml:space="preserve">No Brasil, esse diagnóstico se aplica com plena força. A Corregedoria da Receita Federal do Brasil, ao incorporar o Eixo 6 à ferramenta </w:t>
      </w:r>
      <w:proofErr w:type="spellStart"/>
      <w:r>
        <w:rPr>
          <w:sz w:val="21"/>
          <w:szCs w:val="21"/>
        </w:rPr>
        <w:t>Integritas</w:t>
      </w:r>
      <w:proofErr w:type="spellEnd"/>
      <w:r>
        <w:rPr>
          <w:sz w:val="21"/>
          <w:szCs w:val="21"/>
        </w:rPr>
        <w:t>, reconheceu explicitamente que o sistema de controle interno não pode operar adequadamente enquanto a retaliação ao denunciante permanecer juridicamente ambígua, enquadrada no mesmo tipo genérico do assédio moral, sem reconhecimento autônomo dos seus elementos constitutivos específicos e sem fluxo próprio de análise que permita ao operador identificá-la com precisão.</w:t>
      </w:r>
    </w:p>
    <w:p w14:paraId="7C1C3AD7" w14:textId="77777777" w:rsidR="00287D58" w:rsidRDefault="003B78AF">
      <w:pPr>
        <w:pStyle w:val="Ttulo2"/>
        <w:keepNext/>
      </w:pPr>
      <w:bookmarkStart w:id="82" w:name="_Toc238022077"/>
      <w:r>
        <w:t>7.2 Marco normativo: camadas sobrepostas de proteção</w:t>
      </w:r>
      <w:bookmarkEnd w:id="82"/>
    </w:p>
    <w:p w14:paraId="620A52B3" w14:textId="77777777" w:rsidR="00456BC3" w:rsidRPr="00456BC3" w:rsidRDefault="003B78AF" w:rsidP="00456BC3">
      <w:pPr>
        <w:spacing w:after="120"/>
        <w:jc w:val="both"/>
        <w:rPr>
          <w:sz w:val="21"/>
          <w:szCs w:val="21"/>
        </w:rPr>
      </w:pPr>
      <w:r>
        <w:rPr>
          <w:sz w:val="21"/>
          <w:szCs w:val="21"/>
        </w:rPr>
        <w:t xml:space="preserve">A </w:t>
      </w:r>
      <w:proofErr w:type="spellStart"/>
      <w:r>
        <w:rPr>
          <w:sz w:val="21"/>
          <w:szCs w:val="21"/>
        </w:rPr>
        <w:t>A</w:t>
      </w:r>
      <w:proofErr w:type="spellEnd"/>
      <w:r>
        <w:rPr>
          <w:sz w:val="21"/>
          <w:szCs w:val="21"/>
        </w:rPr>
        <w:t xml:space="preserve"> proteção ao denunciante no ordenamento brasileiro é construída por camadas normativas que se sobrepõem e se complementam, sem que nenhuma delas, isoladamente, ofereça o tratamento integral que a matéria exige.</w:t>
      </w:r>
    </w:p>
    <w:p w14:paraId="41137BF6" w14:textId="77777777" w:rsidR="00456BC3" w:rsidRPr="00456BC3" w:rsidRDefault="00456BC3" w:rsidP="00456BC3">
      <w:pPr>
        <w:spacing w:after="120"/>
        <w:jc w:val="both"/>
        <w:rPr>
          <w:sz w:val="21"/>
          <w:szCs w:val="21"/>
        </w:rPr>
      </w:pPr>
      <w:r>
        <w:rPr>
          <w:sz w:val="21"/>
          <w:szCs w:val="21"/>
        </w:rPr>
        <w:t xml:space="preserve">A </w:t>
      </w:r>
      <w:r>
        <w:rPr>
          <w:b/>
          <w:bCs/>
          <w:sz w:val="21"/>
          <w:szCs w:val="21"/>
        </w:rPr>
        <w:t>Constituição Federal de 1988</w:t>
      </w:r>
      <w:r>
        <w:rPr>
          <w:sz w:val="21"/>
          <w:szCs w:val="21"/>
        </w:rPr>
        <w:t xml:space="preserve"> estabelece a base: o art. 5º, XXXIV, garante a todos o direito de petição aos Poderes Públicos em defesa de direitos ou contra ilegalidade ou abuso de poder; o art. 5º, XXXV, assegura o acesso ao Poder Judiciário. Esses dispositivos, lidos em conjunto com o princípio da dignidade da pessoa humana (art. 1º, III) e com o dever de moralidade administrativa (art. 37, </w:t>
      </w:r>
      <w:r>
        <w:rPr>
          <w:i/>
          <w:iCs/>
          <w:sz w:val="21"/>
          <w:szCs w:val="21"/>
        </w:rPr>
        <w:t>caput</w:t>
      </w:r>
      <w:r>
        <w:rPr>
          <w:sz w:val="21"/>
          <w:szCs w:val="21"/>
        </w:rPr>
        <w:t>), fundam um direito constitucional ao exercício das vias de controle interno e externo, direito que o Estado não pode punir sem contrariar a si próprio.</w:t>
      </w:r>
    </w:p>
    <w:p w14:paraId="23876B87" w14:textId="77777777" w:rsidR="00456BC3" w:rsidRPr="00456BC3" w:rsidRDefault="00456BC3" w:rsidP="00456BC3">
      <w:pPr>
        <w:spacing w:after="120"/>
        <w:jc w:val="both"/>
        <w:rPr>
          <w:sz w:val="21"/>
          <w:szCs w:val="21"/>
        </w:rPr>
      </w:pPr>
      <w:r>
        <w:rPr>
          <w:sz w:val="21"/>
          <w:szCs w:val="21"/>
        </w:rPr>
        <w:t xml:space="preserve">A </w:t>
      </w:r>
      <w:r>
        <w:rPr>
          <w:b/>
          <w:bCs/>
          <w:sz w:val="21"/>
          <w:szCs w:val="21"/>
        </w:rPr>
        <w:t>Lei nº 13.608, de 10 de janeiro de 2018</w:t>
      </w:r>
      <w:r>
        <w:rPr>
          <w:sz w:val="21"/>
          <w:szCs w:val="21"/>
        </w:rPr>
        <w:t xml:space="preserve">, regulamentou o serviço de recebimento de denúncias no âmbito federal. O art. 4º veda a identificação do denunciante sem seu consentimento e estabelece que o órgão público competente deve adotar as medidas necessárias para a preservação da identidade do informante. O art. 5º-A, incluído pela </w:t>
      </w:r>
      <w:r>
        <w:rPr>
          <w:b/>
          <w:bCs/>
          <w:sz w:val="21"/>
          <w:szCs w:val="21"/>
        </w:rPr>
        <w:t>Lei nº 14.230, de 25 de outubro de 2021</w:t>
      </w:r>
      <w:r>
        <w:rPr>
          <w:sz w:val="21"/>
          <w:szCs w:val="21"/>
        </w:rPr>
        <w:t xml:space="preserve">, é o mais relevante para o enquadramento disciplinar: </w:t>
      </w:r>
      <w:r>
        <w:rPr>
          <w:i/>
          <w:iCs/>
          <w:sz w:val="21"/>
          <w:szCs w:val="21"/>
        </w:rPr>
        <w:t xml:space="preserve">"É vedada qualquer forma de retaliação praticada por agente </w:t>
      </w:r>
      <w:r>
        <w:rPr>
          <w:i/>
          <w:iCs/>
          <w:sz w:val="21"/>
          <w:szCs w:val="21"/>
        </w:rPr>
        <w:lastRenderedPageBreak/>
        <w:t>público, direta ou indiretamente, em razão de denúncia ou comunicação feita ao Ministério Público, à Polícia, à Controladoria-Geral da União, aos órgãos do sistema de controle interno federal, ao Tribunal de Contas da União ou a outros órgãos ou entidades competentes."</w:t>
      </w:r>
      <w:r>
        <w:rPr>
          <w:sz w:val="21"/>
          <w:szCs w:val="21"/>
        </w:rPr>
        <w:t xml:space="preserve"> O parágrafo único do mesmo artigo é taxativo: a retaliação caracteriza ilícito funcional, sujeita ao agente às sanções previstas na lei.</w:t>
      </w:r>
    </w:p>
    <w:p w14:paraId="1D34E7BF" w14:textId="77777777" w:rsidR="00456BC3" w:rsidRPr="00456BC3" w:rsidRDefault="00456BC3" w:rsidP="00456BC3">
      <w:pPr>
        <w:spacing w:after="120"/>
        <w:jc w:val="both"/>
        <w:rPr>
          <w:sz w:val="21"/>
          <w:szCs w:val="21"/>
        </w:rPr>
      </w:pPr>
      <w:r>
        <w:rPr>
          <w:sz w:val="21"/>
          <w:szCs w:val="21"/>
        </w:rPr>
        <w:t xml:space="preserve">A </w:t>
      </w:r>
      <w:r>
        <w:rPr>
          <w:b/>
          <w:bCs/>
          <w:sz w:val="21"/>
          <w:szCs w:val="21"/>
        </w:rPr>
        <w:t>Lei nº 14.230/2021</w:t>
      </w:r>
      <w:r>
        <w:rPr>
          <w:sz w:val="21"/>
          <w:szCs w:val="21"/>
        </w:rPr>
        <w:t xml:space="preserve"> (que reformulou a Lei de Improbidade Administrativa) contribui com outro ângulo: seu art. 3º, § 1º, estabelece que </w:t>
      </w:r>
      <w:r>
        <w:rPr>
          <w:i/>
          <w:iCs/>
          <w:sz w:val="21"/>
          <w:szCs w:val="21"/>
        </w:rPr>
        <w:t>"a participação na apuração de irregularidades não pode ser fundamento para responsabilização do agente"</w:t>
      </w:r>
      <w:r>
        <w:rPr>
          <w:sz w:val="21"/>
          <w:szCs w:val="21"/>
        </w:rPr>
        <w:t>. A norma tem destinatário duplo: protege o denunciante e protege a testemunha.</w:t>
      </w:r>
    </w:p>
    <w:p w14:paraId="11AB4BBA" w14:textId="77777777" w:rsidR="00287D58" w:rsidRPr="00456BC3" w:rsidRDefault="00456BC3">
      <w:pPr>
        <w:spacing w:after="120"/>
        <w:jc w:val="both"/>
        <w:rPr>
          <w:sz w:val="21"/>
          <w:szCs w:val="21"/>
        </w:rPr>
      </w:pPr>
      <w:r>
        <w:rPr>
          <w:sz w:val="21"/>
          <w:szCs w:val="21"/>
        </w:rPr>
        <w:t xml:space="preserve">No plano do serviço público federal, a </w:t>
      </w:r>
      <w:r>
        <w:rPr>
          <w:b/>
          <w:bCs/>
          <w:sz w:val="21"/>
          <w:szCs w:val="21"/>
        </w:rPr>
        <w:t>Lei nº 8.112, de 1990</w:t>
      </w:r>
      <w:r>
        <w:rPr>
          <w:sz w:val="21"/>
          <w:szCs w:val="21"/>
        </w:rPr>
        <w:t xml:space="preserve"> não tipifica autonomamente a retaliação ao denunciante. O enquadramento disciplinar faz-se pelos tipos abertos que o sistema oferece: art. 116, IX (dever de manter conduta compatível com a moralidade administrativa) para as hipóteses sem uso instrumental do cargo; art. 117, IX c/c art. 132, XIII (valimento do cargo para lograr proveito pessoal em detrimento da dignidade da função pública) para as hipóteses com uso das prerrogativas funcionais como instrumento da represália. A ferramenta </w:t>
      </w:r>
      <w:proofErr w:type="spellStart"/>
      <w:r>
        <w:rPr>
          <w:sz w:val="21"/>
          <w:szCs w:val="21"/>
        </w:rPr>
        <w:t>Integritas</w:t>
      </w:r>
      <w:proofErr w:type="spellEnd"/>
      <w:r>
        <w:rPr>
          <w:sz w:val="21"/>
          <w:szCs w:val="21"/>
        </w:rPr>
        <w:t xml:space="preserve"> opera sobre essa estrutura, adicionando a pergunta sobre o nexo causal, elemento definidor da retaliação que a distingue do assédio moral comum, como bifurcação central do eixo.</w:t>
      </w:r>
    </w:p>
    <w:p w14:paraId="7384E107" w14:textId="77777777" w:rsidR="00287D58" w:rsidRDefault="003B78AF">
      <w:pPr>
        <w:pStyle w:val="Ttulo2"/>
        <w:keepNext/>
      </w:pPr>
      <w:bookmarkStart w:id="83" w:name="_Toc238022078"/>
      <w:r>
        <w:t>7.3 Conceito e natureza jurídica</w:t>
      </w:r>
      <w:bookmarkEnd w:id="83"/>
    </w:p>
    <w:p w14:paraId="4BB9CE2A" w14:textId="77777777" w:rsidR="00594340" w:rsidRPr="00594340" w:rsidRDefault="0016213C" w:rsidP="00594340">
      <w:pPr>
        <w:spacing w:after="120"/>
        <w:jc w:val="both"/>
        <w:rPr>
          <w:sz w:val="21"/>
          <w:szCs w:val="21"/>
        </w:rPr>
      </w:pPr>
      <w:r>
        <w:rPr>
          <w:sz w:val="21"/>
          <w:szCs w:val="21"/>
        </w:rPr>
        <w:t>Retaliação ao denunciante é a conduta adversa praticada por servidor público, deliberadamente ou com consciência do efeito, em razão do exercício, pelo servidor-alvo, de direito funcionalmente protegido, denúncia, testemunho, recusa de ordem ilegal ou qualquer ato legítimo de acesso às instâncias de controle. Para fins da presente definição, "denunciante" e "testemunha" são figuras protegidas pelo mesmo fundamento material, a vedação de represália ao exercício de direito funcionalmente legítimo, mas não se confundem para fins de competência apuratória, distinção tratada na seção 7.5.</w:t>
      </w:r>
    </w:p>
    <w:p w14:paraId="32270E94" w14:textId="77777777" w:rsidR="00594340" w:rsidRPr="00594340" w:rsidRDefault="00594340" w:rsidP="00594340">
      <w:pPr>
        <w:spacing w:after="120"/>
        <w:jc w:val="both"/>
        <w:rPr>
          <w:sz w:val="21"/>
          <w:szCs w:val="21"/>
        </w:rPr>
      </w:pPr>
      <w:r>
        <w:rPr>
          <w:sz w:val="21"/>
          <w:szCs w:val="21"/>
        </w:rPr>
        <w:t>Três elementos dessa definição merecem desdobramento analítico.</w:t>
      </w:r>
    </w:p>
    <w:p w14:paraId="1F671E22" w14:textId="77777777" w:rsidR="00594340" w:rsidRPr="00594340" w:rsidRDefault="00594340" w:rsidP="00594340">
      <w:pPr>
        <w:spacing w:after="120"/>
        <w:jc w:val="both"/>
        <w:rPr>
          <w:sz w:val="21"/>
          <w:szCs w:val="21"/>
        </w:rPr>
      </w:pPr>
      <w:r>
        <w:rPr>
          <w:b/>
          <w:bCs/>
          <w:sz w:val="21"/>
          <w:szCs w:val="21"/>
        </w:rPr>
        <w:t>O elemento causal como núcleo do tipo.</w:t>
      </w:r>
      <w:r>
        <w:rPr>
          <w:sz w:val="21"/>
          <w:szCs w:val="21"/>
        </w:rPr>
        <w:t xml:space="preserve"> A retaliação não se define pela forma da conduta adversa, que pode ser idêntica à do assédio moral ou da discriminação, mas pelo nexo que a liga ao ato protegido. Uma remoção de ofício, em si, é ato legítimo da Administração. Uma remoção de ofício praticada nos dias seguintes a uma denúncia, sem justificativa funcional objetiva, contra servidor com histórico de bons antecedentes, é retaliação. O que transforma o ato administrativo em retaliação é precisamente a sua causa real, a reação ao ato protegido. Por isso o Eixo 6 da ferramenta pergunta, antes de qualquer análise de gravidade, se há nexo causal identificável entre o ato protegido e a conduta adversa. Sem nexo, não há retaliação, pode haver assédio moral, pode haver discriminação, mas não retaliação no sentido técnico aqui tratado.</w:t>
      </w:r>
    </w:p>
    <w:p w14:paraId="51FBB413" w14:textId="77777777" w:rsidR="00594340" w:rsidRPr="00594340" w:rsidRDefault="00594340" w:rsidP="00594340">
      <w:pPr>
        <w:spacing w:after="120"/>
        <w:jc w:val="both"/>
        <w:rPr>
          <w:sz w:val="21"/>
          <w:szCs w:val="21"/>
        </w:rPr>
      </w:pPr>
      <w:r>
        <w:rPr>
          <w:b/>
          <w:bCs/>
          <w:sz w:val="21"/>
          <w:szCs w:val="21"/>
        </w:rPr>
        <w:t>A irrelevância do resultado do ato protegido.</w:t>
      </w:r>
      <w:r>
        <w:rPr>
          <w:sz w:val="21"/>
          <w:szCs w:val="21"/>
        </w:rPr>
        <w:t xml:space="preserve"> A proteção ao denunciante não é condicional ao mérito da denúncia. O servidor que denunciou irregularidades que, ao final da apuração, se revelaram inexistentes permanece protegido se agiu de boa-fé, se formulou a denúncia com base em elementos razoáveis que a fundamentavam, sem dolo de prejudicar o denunciado. A doutrina norte-americana sobre </w:t>
      </w:r>
      <w:proofErr w:type="spellStart"/>
      <w:r>
        <w:rPr>
          <w:i/>
          <w:iCs/>
          <w:sz w:val="21"/>
          <w:szCs w:val="21"/>
        </w:rPr>
        <w:t>whistleblower</w:t>
      </w:r>
      <w:proofErr w:type="spellEnd"/>
      <w:r>
        <w:rPr>
          <w:i/>
          <w:iCs/>
          <w:sz w:val="21"/>
          <w:szCs w:val="21"/>
        </w:rPr>
        <w:t xml:space="preserve"> </w:t>
      </w:r>
      <w:proofErr w:type="spellStart"/>
      <w:r>
        <w:rPr>
          <w:i/>
          <w:iCs/>
          <w:sz w:val="21"/>
          <w:szCs w:val="21"/>
        </w:rPr>
        <w:t>protection</w:t>
      </w:r>
      <w:proofErr w:type="spellEnd"/>
      <w:r>
        <w:rPr>
          <w:sz w:val="21"/>
          <w:szCs w:val="21"/>
        </w:rPr>
        <w:t xml:space="preserve">, amplamente recepcionada nos sistemas de integridade internacionais, distingue o </w:t>
      </w:r>
      <w:proofErr w:type="spellStart"/>
      <w:r>
        <w:rPr>
          <w:i/>
          <w:iCs/>
          <w:sz w:val="21"/>
          <w:szCs w:val="21"/>
        </w:rPr>
        <w:t>good</w:t>
      </w:r>
      <w:proofErr w:type="spellEnd"/>
      <w:r>
        <w:rPr>
          <w:i/>
          <w:iCs/>
          <w:sz w:val="21"/>
          <w:szCs w:val="21"/>
        </w:rPr>
        <w:t xml:space="preserve"> </w:t>
      </w:r>
      <w:proofErr w:type="spellStart"/>
      <w:r>
        <w:rPr>
          <w:i/>
          <w:iCs/>
          <w:sz w:val="21"/>
          <w:szCs w:val="21"/>
        </w:rPr>
        <w:t>faith</w:t>
      </w:r>
      <w:proofErr w:type="spellEnd"/>
      <w:r>
        <w:rPr>
          <w:i/>
          <w:iCs/>
          <w:sz w:val="21"/>
          <w:szCs w:val="21"/>
        </w:rPr>
        <w:t xml:space="preserve"> </w:t>
      </w:r>
      <w:proofErr w:type="spellStart"/>
      <w:r>
        <w:rPr>
          <w:i/>
          <w:iCs/>
          <w:sz w:val="21"/>
          <w:szCs w:val="21"/>
        </w:rPr>
        <w:t>whistleblower</w:t>
      </w:r>
      <w:proofErr w:type="spellEnd"/>
      <w:r>
        <w:rPr>
          <w:sz w:val="21"/>
          <w:szCs w:val="21"/>
        </w:rPr>
        <w:t xml:space="preserve">, protegido mesmo na hipótese de denúncia não confirmada, do </w:t>
      </w:r>
      <w:proofErr w:type="spellStart"/>
      <w:r>
        <w:rPr>
          <w:i/>
          <w:iCs/>
          <w:sz w:val="21"/>
          <w:szCs w:val="21"/>
        </w:rPr>
        <w:t>bad</w:t>
      </w:r>
      <w:proofErr w:type="spellEnd"/>
      <w:r>
        <w:rPr>
          <w:i/>
          <w:iCs/>
          <w:sz w:val="21"/>
          <w:szCs w:val="21"/>
        </w:rPr>
        <w:t xml:space="preserve"> </w:t>
      </w:r>
      <w:proofErr w:type="spellStart"/>
      <w:r>
        <w:rPr>
          <w:i/>
          <w:iCs/>
          <w:sz w:val="21"/>
          <w:szCs w:val="21"/>
        </w:rPr>
        <w:t>faith</w:t>
      </w:r>
      <w:proofErr w:type="spellEnd"/>
      <w:r>
        <w:rPr>
          <w:i/>
          <w:iCs/>
          <w:sz w:val="21"/>
          <w:szCs w:val="21"/>
        </w:rPr>
        <w:t xml:space="preserve"> </w:t>
      </w:r>
      <w:proofErr w:type="spellStart"/>
      <w:r>
        <w:rPr>
          <w:i/>
          <w:iCs/>
          <w:sz w:val="21"/>
          <w:szCs w:val="21"/>
        </w:rPr>
        <w:t>accuser</w:t>
      </w:r>
      <w:proofErr w:type="spellEnd"/>
      <w:r>
        <w:rPr>
          <w:sz w:val="21"/>
          <w:szCs w:val="21"/>
        </w:rPr>
        <w:t xml:space="preserve">, que usa o canal de denúncias como instrumento de perseguição pessoal, hipótese </w:t>
      </w:r>
      <w:r>
        <w:rPr>
          <w:sz w:val="21"/>
          <w:szCs w:val="21"/>
        </w:rPr>
        <w:lastRenderedPageBreak/>
        <w:t xml:space="preserve">não protegida. O nosso sistema, embora não utilize essa terminologia, opera com lógica análoga: o art. 5º-A da Lei nº 13.608/2018 protege quem </w:t>
      </w:r>
      <w:r>
        <w:rPr>
          <w:i/>
          <w:iCs/>
          <w:sz w:val="21"/>
          <w:szCs w:val="21"/>
        </w:rPr>
        <w:t>fez</w:t>
      </w:r>
      <w:r>
        <w:rPr>
          <w:sz w:val="21"/>
          <w:szCs w:val="21"/>
        </w:rPr>
        <w:t xml:space="preserve"> denúncia, não apenas quem fez denúncia verdadeira.</w:t>
      </w:r>
    </w:p>
    <w:p w14:paraId="40381FCF" w14:textId="77777777" w:rsidR="00287D58" w:rsidRPr="00594340" w:rsidRDefault="00594340">
      <w:pPr>
        <w:spacing w:after="120"/>
        <w:jc w:val="both"/>
        <w:rPr>
          <w:sz w:val="21"/>
          <w:szCs w:val="21"/>
        </w:rPr>
      </w:pPr>
      <w:r>
        <w:rPr>
          <w:b/>
          <w:bCs/>
          <w:sz w:val="21"/>
          <w:szCs w:val="21"/>
        </w:rPr>
        <w:t>A amplitude dos atos protegidos.</w:t>
      </w:r>
      <w:r>
        <w:rPr>
          <w:sz w:val="21"/>
          <w:szCs w:val="21"/>
        </w:rPr>
        <w:t xml:space="preserve"> O rol de atos funcionalmente protegidos não se limita às denúncias formais a ouvidorias. Abrange todo e qualquer exercício de direito legítimo de controle: a denúncia verbal ao superior hierárquico, o relato a colegas que chegou ao conhecimento das instâncias competentes, o testemunho em sindicância ou PAD, a recusa documentada de cumprir ordem manifestamente ilegal, a representação sindical, o pedido de revisão de ato administrativo, a impugnação em processo de licitação. O que importa não é o canal ou o formalismo do ato protegido, mas o exercício de direito legítimo de controle ou de resistência ao ilícito.</w:t>
      </w:r>
    </w:p>
    <w:p w14:paraId="4429190C" w14:textId="77777777" w:rsidR="00287D58" w:rsidRDefault="003B78AF">
      <w:pPr>
        <w:pStyle w:val="Ttulo2"/>
        <w:keepNext/>
      </w:pPr>
      <w:bookmarkStart w:id="84" w:name="_Toc238022079"/>
      <w:r>
        <w:t>7.4 Os atos protegidos: tipologia e limites</w:t>
      </w:r>
      <w:bookmarkEnd w:id="84"/>
    </w:p>
    <w:p w14:paraId="77B2BAD2" w14:textId="77777777" w:rsidR="00594340" w:rsidRPr="00594340" w:rsidRDefault="00594340" w:rsidP="00594340">
      <w:pPr>
        <w:spacing w:after="120"/>
        <w:jc w:val="both"/>
        <w:rPr>
          <w:sz w:val="21"/>
          <w:szCs w:val="21"/>
        </w:rPr>
      </w:pPr>
      <w:r>
        <w:rPr>
          <w:sz w:val="21"/>
          <w:szCs w:val="21"/>
        </w:rPr>
        <w:t>A identificação do ato protegido é o primeiro passo do Eixo 6. O operador deve verificar se o servidor-alvo da conduta adversa efetivamente praticou, antes dela, um ato que o ordenamento reconhece como legítimo e que o protege de represálias.</w:t>
      </w:r>
    </w:p>
    <w:p w14:paraId="1EB605D9" w14:textId="77777777" w:rsidR="00594340" w:rsidRPr="00594340" w:rsidRDefault="00594340" w:rsidP="00594340">
      <w:pPr>
        <w:spacing w:after="120"/>
        <w:jc w:val="both"/>
        <w:rPr>
          <w:sz w:val="21"/>
          <w:szCs w:val="21"/>
        </w:rPr>
      </w:pPr>
      <w:r>
        <w:rPr>
          <w:sz w:val="21"/>
          <w:szCs w:val="21"/>
        </w:rPr>
        <w:t>São atos funcionalmente protegidos:</w:t>
      </w:r>
    </w:p>
    <w:p w14:paraId="480B1D8A" w14:textId="77777777" w:rsidR="00594340" w:rsidRPr="00594340" w:rsidRDefault="00594340" w:rsidP="00594340">
      <w:pPr>
        <w:spacing w:after="120"/>
        <w:jc w:val="both"/>
        <w:rPr>
          <w:sz w:val="21"/>
          <w:szCs w:val="21"/>
        </w:rPr>
      </w:pPr>
      <w:r>
        <w:rPr>
          <w:b/>
          <w:bCs/>
          <w:sz w:val="21"/>
          <w:szCs w:val="21"/>
        </w:rPr>
        <w:t>Denúncia a instâncias de controle.</w:t>
      </w:r>
      <w:r>
        <w:rPr>
          <w:sz w:val="21"/>
          <w:szCs w:val="21"/>
        </w:rPr>
        <w:t xml:space="preserve"> Denúncia à ouvidoria do órgão, ao Canal de Denúncias da CGU, ao Tribunal de Contas da União, ao Ministério Público Federal, à Polícia Federal ou a qualquer autoridade competente para receber e apurar irregularidades funcionais. A proteção é independente do grau de formalismo: e-mail à ouvidoria, denúncia via formulário eletrônico, comunicação verbal documentada em ata, todas configuram ato protegido.</w:t>
      </w:r>
    </w:p>
    <w:p w14:paraId="6D790A73" w14:textId="77777777" w:rsidR="00594340" w:rsidRPr="00594340" w:rsidRDefault="00594340" w:rsidP="00594340">
      <w:pPr>
        <w:spacing w:after="120"/>
        <w:jc w:val="both"/>
        <w:rPr>
          <w:sz w:val="21"/>
          <w:szCs w:val="21"/>
        </w:rPr>
      </w:pPr>
      <w:r>
        <w:rPr>
          <w:b/>
          <w:bCs/>
          <w:sz w:val="21"/>
          <w:szCs w:val="21"/>
        </w:rPr>
        <w:t>Testemunho em apuração disciplinar.</w:t>
      </w:r>
      <w:r>
        <w:rPr>
          <w:sz w:val="21"/>
          <w:szCs w:val="21"/>
        </w:rPr>
        <w:t xml:space="preserve"> O servidor que depõe como testemunha em sindicância ou PAD exerce função de colaboração com o sistema de apuração que não pode gerar consequências negativas para ele. A proteção ao testemunho é especialmente crítica porque a retaliação a testemunhas destrói a eficácia probatória das apurações: servidores que sabem que testemunhar tem custo optam pela omissão ou pela versão que não incomoda.</w:t>
      </w:r>
    </w:p>
    <w:p w14:paraId="5792DD61" w14:textId="77777777" w:rsidR="00594340" w:rsidRPr="00594340" w:rsidRDefault="00594340" w:rsidP="00594340">
      <w:pPr>
        <w:spacing w:after="120"/>
        <w:jc w:val="both"/>
        <w:rPr>
          <w:sz w:val="21"/>
          <w:szCs w:val="21"/>
        </w:rPr>
      </w:pPr>
      <w:r>
        <w:rPr>
          <w:b/>
          <w:bCs/>
          <w:sz w:val="21"/>
          <w:szCs w:val="21"/>
        </w:rPr>
        <w:t>Recusa de ordem ilegal.</w:t>
      </w:r>
      <w:r>
        <w:rPr>
          <w:sz w:val="21"/>
          <w:szCs w:val="21"/>
        </w:rPr>
        <w:t xml:space="preserve"> O servidor que se recusa a cumprir ordem manifestamente ilegal exerce dever funcional, não prerrogativa. A Lei nº 8.112, de 1990, no art. 116, IV, inclui entre os deveres do servidor o de </w:t>
      </w:r>
      <w:r>
        <w:rPr>
          <w:i/>
          <w:iCs/>
          <w:sz w:val="21"/>
          <w:szCs w:val="21"/>
        </w:rPr>
        <w:t>"cumprir as ordens superiores, exceto quando manifestamente ilegais"</w:t>
      </w:r>
      <w:r>
        <w:rPr>
          <w:sz w:val="21"/>
          <w:szCs w:val="21"/>
        </w:rPr>
        <w:t>. A recusa amparada nessa exceção é ato legítimo e protegido. A retaliação a quem se recusa a participar de ato ilegal é, portanto, retaliação a quem cumpriu um dever.</w:t>
      </w:r>
    </w:p>
    <w:p w14:paraId="3843B8F7" w14:textId="77777777" w:rsidR="00594340" w:rsidRPr="00594340" w:rsidRDefault="00594340" w:rsidP="00594340">
      <w:pPr>
        <w:spacing w:after="120"/>
        <w:jc w:val="both"/>
        <w:rPr>
          <w:sz w:val="21"/>
          <w:szCs w:val="21"/>
        </w:rPr>
      </w:pPr>
      <w:r>
        <w:rPr>
          <w:b/>
          <w:bCs/>
          <w:sz w:val="21"/>
          <w:szCs w:val="21"/>
        </w:rPr>
        <w:t>Exercício de direitos funcionais legítimos.</w:t>
      </w:r>
      <w:r>
        <w:rPr>
          <w:sz w:val="21"/>
          <w:szCs w:val="21"/>
        </w:rPr>
        <w:t xml:space="preserve"> A proteção se estende a todo exercício de direito funcional cujo resultado foi a revelação de irregularidade ou a resistência a ato ilegal: solicitação de licença que revelou escala irregular, pedido de revisão de avaliação que expôs sistema de perseguição, impugnação de processo licitatório que documentou irregularidade.</w:t>
      </w:r>
    </w:p>
    <w:p w14:paraId="191BB6B2" w14:textId="77777777" w:rsidR="00287D58" w:rsidRDefault="00594340">
      <w:pPr>
        <w:spacing w:after="120"/>
        <w:jc w:val="both"/>
        <w:rPr>
          <w:sz w:val="21"/>
          <w:szCs w:val="21"/>
        </w:rPr>
      </w:pPr>
      <w:r>
        <w:rPr>
          <w:sz w:val="21"/>
          <w:szCs w:val="21"/>
        </w:rPr>
        <w:t xml:space="preserve">O limite da proteção é o </w:t>
      </w:r>
      <w:r>
        <w:rPr>
          <w:b/>
          <w:bCs/>
          <w:sz w:val="21"/>
          <w:szCs w:val="21"/>
        </w:rPr>
        <w:t>abuso de direito</w:t>
      </w:r>
      <w:r>
        <w:rPr>
          <w:sz w:val="21"/>
          <w:szCs w:val="21"/>
        </w:rPr>
        <w:t>: o servidor que usa o canal de denúncias como instrumento de perseguição pessoal, sem fundamento razoável, com intenção de prejudicar o denunciado, não está exercendo direito protegido, está praticando outra infração (denúncia de má-fé, calúnia etc.). Esse limite deve ser avaliado com cautela: não se exige que a denúncia seja correta, apenas que seja de boa-fé; e a alta frequência de denúncias em si não é indicativo de má-fé, pois pode refletir genuína percepção de irregularidades sistemáticas.</w:t>
      </w:r>
    </w:p>
    <w:p w14:paraId="573C91C5" w14:textId="77777777" w:rsidR="00A6235B" w:rsidRDefault="00A6235B" w:rsidP="00A6235B">
      <w:pPr>
        <w:pStyle w:val="Ttulo2"/>
        <w:keepNext/>
      </w:pPr>
      <w:bookmarkStart w:id="85" w:name="_Toc238022080"/>
      <w:r>
        <w:lastRenderedPageBreak/>
        <w:t xml:space="preserve">7.5 Bifurcação </w:t>
      </w:r>
      <w:proofErr w:type="spellStart"/>
      <w:r>
        <w:t>competencial</w:t>
      </w:r>
      <w:proofErr w:type="spellEnd"/>
      <w:r>
        <w:t>: denunciante e testemunha não seguem o mesmo fluxo</w:t>
      </w:r>
      <w:bookmarkEnd w:id="85"/>
    </w:p>
    <w:p w14:paraId="49B11ADE" w14:textId="77777777" w:rsidR="00A6235B" w:rsidRPr="00A6235B" w:rsidRDefault="00A6235B" w:rsidP="00A6235B">
      <w:pPr>
        <w:spacing w:after="120"/>
        <w:jc w:val="both"/>
        <w:rPr>
          <w:sz w:val="21"/>
          <w:szCs w:val="21"/>
        </w:rPr>
      </w:pPr>
      <w:r>
        <w:rPr>
          <w:sz w:val="21"/>
          <w:szCs w:val="21"/>
        </w:rPr>
        <w:t xml:space="preserve">A proteção material </w:t>
      </w:r>
      <w:proofErr w:type="gramStart"/>
      <w:r>
        <w:rPr>
          <w:sz w:val="21"/>
          <w:szCs w:val="21"/>
        </w:rPr>
        <w:t>contra retaliação</w:t>
      </w:r>
      <w:proofErr w:type="gramEnd"/>
      <w:r>
        <w:rPr>
          <w:sz w:val="21"/>
          <w:szCs w:val="21"/>
        </w:rPr>
        <w:t xml:space="preserve"> estende-se tanto ao denunciante quanto à testemunha, o art. 3º, § 1º, da Lei nº 14.230/2021 é expresso ao estabelecer que "a participação na apuração de irregularidades não pode ser fundamento para responsabilização do agente", norma de destinatário duplo. O enquadramento disciplinar do </w:t>
      </w:r>
      <w:proofErr w:type="spellStart"/>
      <w:r>
        <w:rPr>
          <w:sz w:val="21"/>
          <w:szCs w:val="21"/>
        </w:rPr>
        <w:t>retaliador</w:t>
      </w:r>
      <w:proofErr w:type="spellEnd"/>
      <w:r>
        <w:rPr>
          <w:sz w:val="21"/>
          <w:szCs w:val="21"/>
        </w:rPr>
        <w:t xml:space="preserve"> é igualmente aplicável nos dois casos, nos termos do art. 116, IX ou do art. 117, IX c/c art. 132, XIII, da Lei nº 8.112, de 1990, conforme haja ou não uso instrumental do cargo.</w:t>
      </w:r>
    </w:p>
    <w:p w14:paraId="2A608A7F" w14:textId="77777777" w:rsidR="00A6235B" w:rsidRPr="00A6235B" w:rsidRDefault="00A6235B" w:rsidP="00A6235B">
      <w:pPr>
        <w:spacing w:after="120"/>
        <w:jc w:val="both"/>
        <w:rPr>
          <w:sz w:val="21"/>
          <w:szCs w:val="21"/>
        </w:rPr>
      </w:pPr>
      <w:r>
        <w:rPr>
          <w:sz w:val="21"/>
          <w:szCs w:val="21"/>
        </w:rPr>
        <w:t xml:space="preserve">A divergência entre os dois casos não está na tipificação, está na </w:t>
      </w:r>
      <w:r>
        <w:rPr>
          <w:b/>
          <w:bCs/>
          <w:sz w:val="21"/>
          <w:szCs w:val="21"/>
        </w:rPr>
        <w:t>competência apuratória</w:t>
      </w:r>
      <w:r>
        <w:rPr>
          <w:sz w:val="21"/>
          <w:szCs w:val="21"/>
        </w:rPr>
        <w:t>.</w:t>
      </w:r>
    </w:p>
    <w:p w14:paraId="54ADE76D" w14:textId="77777777" w:rsidR="00A6235B" w:rsidRPr="00A6235B" w:rsidRDefault="00A6235B" w:rsidP="00A6235B">
      <w:pPr>
        <w:spacing w:after="120"/>
        <w:jc w:val="both"/>
        <w:rPr>
          <w:sz w:val="21"/>
          <w:szCs w:val="21"/>
        </w:rPr>
      </w:pPr>
      <w:r>
        <w:rPr>
          <w:sz w:val="21"/>
          <w:szCs w:val="21"/>
        </w:rPr>
        <w:t xml:space="preserve">O art. 135-A da Portaria Normativa CGU nº 27/2022, incluído pela Portaria Normativa CGU nº 123, de 22 de abril de 2024, atribui ao Órgão Central do </w:t>
      </w:r>
      <w:proofErr w:type="spellStart"/>
      <w:r>
        <w:rPr>
          <w:sz w:val="21"/>
          <w:szCs w:val="21"/>
        </w:rPr>
        <w:t>Siscor</w:t>
      </w:r>
      <w:proofErr w:type="spellEnd"/>
      <w:r>
        <w:rPr>
          <w:sz w:val="21"/>
          <w:szCs w:val="21"/>
        </w:rPr>
        <w:t xml:space="preserve"> (CRG/CGU) competência exclusiva para instaurar e julgar procedimentos disciplinares de apuração de retaliação contra denunciantes, especificamente aqueles que apresentaram denúncia na forma do art. 10-A do Decreto nº 10.153/2019, ou seja, com protocolo válido gerado no sistema Fala.BR ou sistema a ele integrado. A racionalidade dessa centralização é dupla: o denunciante assume risco diferenciado ao provocar proativamente a apuração, e a existência de retaliação pode indicar falha no próprio dever de sigilo da unidade de ouvidoria ou corregedoria do órgão </w:t>
      </w:r>
      <w:proofErr w:type="spellStart"/>
      <w:r>
        <w:rPr>
          <w:sz w:val="21"/>
          <w:szCs w:val="21"/>
        </w:rPr>
        <w:t>retaliador</w:t>
      </w:r>
      <w:proofErr w:type="spellEnd"/>
      <w:r>
        <w:rPr>
          <w:sz w:val="21"/>
          <w:szCs w:val="21"/>
        </w:rPr>
        <w:t>, o que torna necessário um olhar externo que a CGU, como Órgão Central, está em posição de exercer.</w:t>
      </w:r>
    </w:p>
    <w:p w14:paraId="2E9430C4" w14:textId="77777777" w:rsidR="00A6235B" w:rsidRPr="00A6235B" w:rsidRDefault="00A6235B" w:rsidP="00A6235B">
      <w:pPr>
        <w:spacing w:after="120"/>
        <w:jc w:val="both"/>
        <w:rPr>
          <w:sz w:val="21"/>
          <w:szCs w:val="21"/>
        </w:rPr>
      </w:pPr>
      <w:r>
        <w:rPr>
          <w:sz w:val="21"/>
          <w:szCs w:val="21"/>
        </w:rPr>
        <w:t xml:space="preserve">Essa racionalidade não se estende à testemunha. A testemunha não provoca a apuração, é convocada por autoridade competente no âmbito de procedimento já instaurado. Sua retaliação não suscita, por si, suspeita de falha no dever de sigilo do órgão </w:t>
      </w:r>
      <w:proofErr w:type="spellStart"/>
      <w:r>
        <w:rPr>
          <w:sz w:val="21"/>
          <w:szCs w:val="21"/>
        </w:rPr>
        <w:t>retaliador</w:t>
      </w:r>
      <w:proofErr w:type="spellEnd"/>
      <w:r>
        <w:rPr>
          <w:sz w:val="21"/>
          <w:szCs w:val="21"/>
        </w:rPr>
        <w:t xml:space="preserve">. Por essas razões, a Nota Técnica nº 2709/2025/CGUNE/DICOR/CRG, aprovada pelo Despacho DICOR de 08/08/2025, concluiu que a competência exclusiva da CGU não abrange a apuração de retaliação </w:t>
      </w:r>
      <w:proofErr w:type="gramStart"/>
      <w:r>
        <w:rPr>
          <w:sz w:val="21"/>
          <w:szCs w:val="21"/>
        </w:rPr>
        <w:t>contra testemunhas</w:t>
      </w:r>
      <w:proofErr w:type="gramEnd"/>
      <w:r>
        <w:rPr>
          <w:sz w:val="21"/>
          <w:szCs w:val="21"/>
        </w:rPr>
        <w:t xml:space="preserve">. Nesses casos, aplica-se a regra geral de competência: a apuração é conduzida pelo próprio órgão onde o fato ocorreu, no âmbito da Receita Federal do Brasil, pela </w:t>
      </w:r>
      <w:proofErr w:type="spellStart"/>
      <w:r>
        <w:rPr>
          <w:sz w:val="21"/>
          <w:szCs w:val="21"/>
        </w:rPr>
        <w:t>Coger</w:t>
      </w:r>
      <w:proofErr w:type="spellEnd"/>
      <w:r>
        <w:rPr>
          <w:sz w:val="21"/>
          <w:szCs w:val="21"/>
        </w:rPr>
        <w:t>/RFB, ressalvada a possibilidade de instauração ou avocação pela CGU nas hipóteses do art. 4º, VIII, do Decreto nº 5.480/2005: inexistência de condições objetivas para a realização no órgão de origem; complexidade e relevância da matéria; autoridade envolvida; ou envolvimento de servidores de mais de um órgão ou entidade.</w:t>
      </w:r>
    </w:p>
    <w:p w14:paraId="061FA5D3" w14:textId="77777777" w:rsidR="00A6235B" w:rsidRPr="00A6235B" w:rsidRDefault="00A6235B" w:rsidP="00A6235B">
      <w:pPr>
        <w:spacing w:after="120"/>
        <w:jc w:val="both"/>
        <w:rPr>
          <w:sz w:val="21"/>
          <w:szCs w:val="21"/>
        </w:rPr>
      </w:pPr>
      <w:r>
        <w:rPr>
          <w:sz w:val="21"/>
          <w:szCs w:val="21"/>
        </w:rPr>
        <w:t>O quadro abaixo sintetiza a distinção:</w:t>
      </w:r>
    </w:p>
    <w:tbl>
      <w:tblPr>
        <w:tblStyle w:val="TabeladeGrade4-nfase1"/>
        <w:tblW w:w="0" w:type="auto"/>
        <w:tblLook w:val="04A0" w:firstRow="1" w:lastRow="0" w:firstColumn="1" w:lastColumn="0" w:noHBand="0" w:noVBand="1"/>
      </w:tblPr>
      <w:tblGrid>
        <w:gridCol w:w="2389"/>
        <w:gridCol w:w="3252"/>
        <w:gridCol w:w="3420"/>
      </w:tblGrid>
      <w:tr w:rsidR="00A6235B" w:rsidRPr="00A6235B" w14:paraId="6F0C90CF" w14:textId="77777777" w:rsidTr="009A7C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9423C" w14:textId="77777777" w:rsidR="00A6235B" w:rsidRPr="00A6235B" w:rsidRDefault="00A6235B" w:rsidP="00A6235B">
            <w:pPr>
              <w:spacing w:after="120" w:line="276" w:lineRule="auto"/>
              <w:jc w:val="both"/>
              <w:rPr>
                <w:sz w:val="21"/>
                <w:szCs w:val="21"/>
              </w:rPr>
            </w:pPr>
          </w:p>
        </w:tc>
        <w:tc>
          <w:tcPr>
            <w:tcW w:w="0" w:type="auto"/>
            <w:hideMark/>
          </w:tcPr>
          <w:p w14:paraId="54DE9C36" w14:textId="77777777" w:rsidR="00A6235B" w:rsidRPr="00A6235B" w:rsidRDefault="00A6235B" w:rsidP="00A6235B">
            <w:pPr>
              <w:spacing w:after="120" w:line="276" w:lineRule="auto"/>
              <w:jc w:val="both"/>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Denunciante</w:t>
            </w:r>
          </w:p>
        </w:tc>
        <w:tc>
          <w:tcPr>
            <w:tcW w:w="0" w:type="auto"/>
            <w:hideMark/>
          </w:tcPr>
          <w:p w14:paraId="7B1BA818" w14:textId="77777777" w:rsidR="00A6235B" w:rsidRPr="00A6235B" w:rsidRDefault="00A6235B" w:rsidP="00A6235B">
            <w:pPr>
              <w:spacing w:after="120" w:line="276" w:lineRule="auto"/>
              <w:jc w:val="both"/>
              <w:cnfStyle w:val="100000000000" w:firstRow="1" w:lastRow="0" w:firstColumn="0" w:lastColumn="0" w:oddVBand="0" w:evenVBand="0" w:oddHBand="0" w:evenHBand="0" w:firstRowFirstColumn="0" w:firstRowLastColumn="0" w:lastRowFirstColumn="0" w:lastRowLastColumn="0"/>
              <w:rPr>
                <w:sz w:val="21"/>
                <w:szCs w:val="21"/>
              </w:rPr>
            </w:pPr>
            <w:r>
              <w:rPr>
                <w:sz w:val="21"/>
                <w:szCs w:val="21"/>
              </w:rPr>
              <w:t>Testemunha</w:t>
            </w:r>
          </w:p>
        </w:tc>
      </w:tr>
      <w:tr w:rsidR="00A6235B" w:rsidRPr="00A6235B" w14:paraId="6F142CEC" w14:textId="77777777" w:rsidTr="009A7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C4B36" w14:textId="77777777" w:rsidR="00A6235B" w:rsidRPr="00A6235B" w:rsidRDefault="00A6235B" w:rsidP="00A6235B">
            <w:pPr>
              <w:spacing w:after="120" w:line="276" w:lineRule="auto"/>
              <w:jc w:val="both"/>
              <w:rPr>
                <w:sz w:val="21"/>
                <w:szCs w:val="21"/>
              </w:rPr>
            </w:pPr>
            <w:r>
              <w:rPr>
                <w:sz w:val="21"/>
                <w:szCs w:val="21"/>
              </w:rPr>
              <w:t>Definição</w:t>
            </w:r>
          </w:p>
        </w:tc>
        <w:tc>
          <w:tcPr>
            <w:tcW w:w="0" w:type="auto"/>
            <w:hideMark/>
          </w:tcPr>
          <w:p w14:paraId="687E33C0" w14:textId="77777777" w:rsidR="00A6235B" w:rsidRPr="00A6235B" w:rsidRDefault="00A6235B" w:rsidP="00A6235B">
            <w:pPr>
              <w:spacing w:after="120" w:line="276" w:lineRule="auto"/>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Apresenta denúncia formal com protocolo no Fala.BR (art. 10-A do Decreto nº 10.153/2019)</w:t>
            </w:r>
          </w:p>
        </w:tc>
        <w:tc>
          <w:tcPr>
            <w:tcW w:w="0" w:type="auto"/>
            <w:hideMark/>
          </w:tcPr>
          <w:p w14:paraId="4C94447C" w14:textId="77777777" w:rsidR="00A6235B" w:rsidRPr="00A6235B" w:rsidRDefault="00A6235B" w:rsidP="00A6235B">
            <w:pPr>
              <w:spacing w:after="120" w:line="276" w:lineRule="auto"/>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Presta depoimento em procedimento já instaurado, por convocação ou espontaneamente</w:t>
            </w:r>
          </w:p>
        </w:tc>
      </w:tr>
      <w:tr w:rsidR="00A6235B" w:rsidRPr="00A6235B" w14:paraId="77E1BA56" w14:textId="77777777" w:rsidTr="009A7CC2">
        <w:tc>
          <w:tcPr>
            <w:cnfStyle w:val="001000000000" w:firstRow="0" w:lastRow="0" w:firstColumn="1" w:lastColumn="0" w:oddVBand="0" w:evenVBand="0" w:oddHBand="0" w:evenHBand="0" w:firstRowFirstColumn="0" w:firstRowLastColumn="0" w:lastRowFirstColumn="0" w:lastRowLastColumn="0"/>
            <w:tcW w:w="0" w:type="auto"/>
            <w:hideMark/>
          </w:tcPr>
          <w:p w14:paraId="740C5ECE" w14:textId="77777777" w:rsidR="00A6235B" w:rsidRPr="00A6235B" w:rsidRDefault="00A6235B" w:rsidP="00A6235B">
            <w:pPr>
              <w:spacing w:after="120" w:line="276" w:lineRule="auto"/>
              <w:jc w:val="both"/>
              <w:rPr>
                <w:sz w:val="21"/>
                <w:szCs w:val="21"/>
              </w:rPr>
            </w:pPr>
            <w:r>
              <w:rPr>
                <w:sz w:val="21"/>
                <w:szCs w:val="21"/>
              </w:rPr>
              <w:t>Proteção material</w:t>
            </w:r>
          </w:p>
        </w:tc>
        <w:tc>
          <w:tcPr>
            <w:tcW w:w="0" w:type="auto"/>
            <w:hideMark/>
          </w:tcPr>
          <w:p w14:paraId="199DF575" w14:textId="77777777" w:rsidR="00A6235B" w:rsidRPr="00A6235B" w:rsidRDefault="00A6235B" w:rsidP="00A6235B">
            <w:pPr>
              <w:spacing w:after="120" w:line="276" w:lineRule="auto"/>
              <w:jc w:val="both"/>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Sim, Lei nº 13.608/2018, art. 5º-A; Lei nº 14.230/2021, art. 3º, § 1º</w:t>
            </w:r>
          </w:p>
        </w:tc>
        <w:tc>
          <w:tcPr>
            <w:tcW w:w="0" w:type="auto"/>
            <w:hideMark/>
          </w:tcPr>
          <w:p w14:paraId="5BDE3D47" w14:textId="77777777" w:rsidR="00A6235B" w:rsidRPr="00A6235B" w:rsidRDefault="00A6235B" w:rsidP="00A6235B">
            <w:pPr>
              <w:spacing w:after="120" w:line="276" w:lineRule="auto"/>
              <w:jc w:val="both"/>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Sim, Lei nº 14.230/2021, art. 3º, § 1º</w:t>
            </w:r>
          </w:p>
        </w:tc>
      </w:tr>
      <w:tr w:rsidR="00A6235B" w:rsidRPr="00A6235B" w14:paraId="5C5C32E4" w14:textId="77777777" w:rsidTr="009A7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66483" w14:textId="77777777" w:rsidR="00A6235B" w:rsidRPr="00A6235B" w:rsidRDefault="00A6235B" w:rsidP="00A6235B">
            <w:pPr>
              <w:spacing w:after="120" w:line="276" w:lineRule="auto"/>
              <w:jc w:val="both"/>
              <w:rPr>
                <w:sz w:val="21"/>
                <w:szCs w:val="21"/>
              </w:rPr>
            </w:pPr>
            <w:r>
              <w:rPr>
                <w:sz w:val="21"/>
                <w:szCs w:val="21"/>
              </w:rPr>
              <w:t xml:space="preserve">Enquadramento disciplinar do </w:t>
            </w:r>
            <w:proofErr w:type="spellStart"/>
            <w:r>
              <w:rPr>
                <w:sz w:val="21"/>
                <w:szCs w:val="21"/>
              </w:rPr>
              <w:t>retaliador</w:t>
            </w:r>
            <w:proofErr w:type="spellEnd"/>
          </w:p>
        </w:tc>
        <w:tc>
          <w:tcPr>
            <w:tcW w:w="0" w:type="auto"/>
            <w:hideMark/>
          </w:tcPr>
          <w:p w14:paraId="553AC563" w14:textId="77777777" w:rsidR="00A6235B" w:rsidRPr="00A6235B" w:rsidRDefault="00A6235B" w:rsidP="00A6235B">
            <w:pPr>
              <w:spacing w:after="120" w:line="276" w:lineRule="auto"/>
              <w:jc w:val="both"/>
              <w:cnfStyle w:val="000000100000" w:firstRow="0" w:lastRow="0" w:firstColumn="0" w:lastColumn="0" w:oddVBand="0" w:evenVBand="0" w:oddHBand="1" w:evenHBand="0" w:firstRowFirstColumn="0" w:firstRowLastColumn="0" w:lastRowFirstColumn="0" w:lastRowLastColumn="0"/>
              <w:rPr>
                <w:sz w:val="21"/>
                <w:szCs w:val="21"/>
                <w:lang w:val="en-US"/>
              </w:rPr>
            </w:pPr>
            <w:r>
              <w:rPr>
                <w:sz w:val="21"/>
                <w:szCs w:val="21"/>
                <w:lang w:val="en-US"/>
              </w:rPr>
              <w:t xml:space="preserve">Art. 116, IX </w:t>
            </w:r>
            <w:proofErr w:type="spellStart"/>
            <w:r>
              <w:rPr>
                <w:sz w:val="21"/>
                <w:szCs w:val="21"/>
                <w:lang w:val="en-US"/>
              </w:rPr>
              <w:t>ou</w:t>
            </w:r>
            <w:proofErr w:type="spellEnd"/>
            <w:r>
              <w:rPr>
                <w:sz w:val="21"/>
                <w:szCs w:val="21"/>
                <w:lang w:val="en-US"/>
              </w:rPr>
              <w:t xml:space="preserve"> art. 117, IX c/c art. 132, XIII, Lei </w:t>
            </w:r>
            <w:proofErr w:type="gramStart"/>
            <w:r>
              <w:rPr>
                <w:sz w:val="21"/>
                <w:szCs w:val="21"/>
                <w:lang w:val="en-US"/>
              </w:rPr>
              <w:t>nº</w:t>
            </w:r>
            <w:proofErr w:type="gramEnd"/>
            <w:r>
              <w:rPr>
                <w:sz w:val="21"/>
                <w:szCs w:val="21"/>
                <w:lang w:val="en-US"/>
              </w:rPr>
              <w:t xml:space="preserve"> 8.112, de 1990</w:t>
            </w:r>
          </w:p>
        </w:tc>
        <w:tc>
          <w:tcPr>
            <w:tcW w:w="0" w:type="auto"/>
            <w:hideMark/>
          </w:tcPr>
          <w:p w14:paraId="4AB351F6" w14:textId="77777777" w:rsidR="00A6235B" w:rsidRPr="00A6235B" w:rsidRDefault="00A6235B" w:rsidP="00A6235B">
            <w:pPr>
              <w:spacing w:after="120" w:line="276" w:lineRule="auto"/>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Idem</w:t>
            </w:r>
          </w:p>
        </w:tc>
      </w:tr>
      <w:tr w:rsidR="00A6235B" w:rsidRPr="00A6235B" w14:paraId="4664154A" w14:textId="77777777" w:rsidTr="009A7CC2">
        <w:tc>
          <w:tcPr>
            <w:cnfStyle w:val="001000000000" w:firstRow="0" w:lastRow="0" w:firstColumn="1" w:lastColumn="0" w:oddVBand="0" w:evenVBand="0" w:oddHBand="0" w:evenHBand="0" w:firstRowFirstColumn="0" w:firstRowLastColumn="0" w:lastRowFirstColumn="0" w:lastRowLastColumn="0"/>
            <w:tcW w:w="0" w:type="auto"/>
            <w:hideMark/>
          </w:tcPr>
          <w:p w14:paraId="58193D94" w14:textId="77777777" w:rsidR="00A6235B" w:rsidRPr="00A6235B" w:rsidRDefault="00A6235B" w:rsidP="00A6235B">
            <w:pPr>
              <w:spacing w:after="120" w:line="276" w:lineRule="auto"/>
              <w:jc w:val="both"/>
              <w:rPr>
                <w:sz w:val="21"/>
                <w:szCs w:val="21"/>
              </w:rPr>
            </w:pPr>
            <w:r>
              <w:rPr>
                <w:sz w:val="21"/>
                <w:szCs w:val="21"/>
              </w:rPr>
              <w:t>Competência apuratória</w:t>
            </w:r>
          </w:p>
        </w:tc>
        <w:tc>
          <w:tcPr>
            <w:tcW w:w="0" w:type="auto"/>
            <w:hideMark/>
          </w:tcPr>
          <w:p w14:paraId="5B5C2E0E" w14:textId="77777777" w:rsidR="00A6235B" w:rsidRPr="00A6235B" w:rsidRDefault="00A6235B" w:rsidP="00A6235B">
            <w:pPr>
              <w:spacing w:after="120" w:line="276" w:lineRule="auto"/>
              <w:jc w:val="both"/>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CGU, exclusiva (art. 135-A, PN CGU nº 27/2022)</w:t>
            </w:r>
          </w:p>
        </w:tc>
        <w:tc>
          <w:tcPr>
            <w:tcW w:w="0" w:type="auto"/>
            <w:hideMark/>
          </w:tcPr>
          <w:p w14:paraId="7A5FC060" w14:textId="77777777" w:rsidR="00A6235B" w:rsidRPr="00A6235B" w:rsidRDefault="00A6235B" w:rsidP="00A6235B">
            <w:pPr>
              <w:spacing w:after="120" w:line="276" w:lineRule="auto"/>
              <w:jc w:val="both"/>
              <w:cnfStyle w:val="000000000000" w:firstRow="0" w:lastRow="0" w:firstColumn="0" w:lastColumn="0" w:oddVBand="0" w:evenVBand="0" w:oddHBand="0" w:evenHBand="0" w:firstRowFirstColumn="0" w:firstRowLastColumn="0" w:lastRowFirstColumn="0" w:lastRowLastColumn="0"/>
              <w:rPr>
                <w:sz w:val="21"/>
                <w:szCs w:val="21"/>
              </w:rPr>
            </w:pPr>
            <w:proofErr w:type="spellStart"/>
            <w:r>
              <w:rPr>
                <w:sz w:val="21"/>
                <w:szCs w:val="21"/>
              </w:rPr>
              <w:t>Coger</w:t>
            </w:r>
            <w:proofErr w:type="spellEnd"/>
            <w:r>
              <w:rPr>
                <w:sz w:val="21"/>
                <w:szCs w:val="21"/>
              </w:rPr>
              <w:t>/RFB, regra geral (ressalvadas hipóteses do art. 4º, VIII, Decreto nº 5.480/2005)</w:t>
            </w:r>
          </w:p>
        </w:tc>
      </w:tr>
      <w:tr w:rsidR="00A6235B" w:rsidRPr="00A6235B" w14:paraId="6E638255" w14:textId="77777777" w:rsidTr="009A7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19FD0" w14:textId="77777777" w:rsidR="00A6235B" w:rsidRPr="00A6235B" w:rsidRDefault="00A6235B" w:rsidP="00A6235B">
            <w:pPr>
              <w:spacing w:after="120" w:line="276" w:lineRule="auto"/>
              <w:jc w:val="both"/>
              <w:rPr>
                <w:sz w:val="21"/>
                <w:szCs w:val="21"/>
              </w:rPr>
            </w:pPr>
            <w:r>
              <w:rPr>
                <w:sz w:val="21"/>
                <w:szCs w:val="21"/>
              </w:rPr>
              <w:lastRenderedPageBreak/>
              <w:t>Comunicação obrigatória</w:t>
            </w:r>
          </w:p>
        </w:tc>
        <w:tc>
          <w:tcPr>
            <w:tcW w:w="0" w:type="auto"/>
            <w:hideMark/>
          </w:tcPr>
          <w:p w14:paraId="55AC9F91" w14:textId="77777777" w:rsidR="00A6235B" w:rsidRPr="00A6235B" w:rsidRDefault="00A6235B" w:rsidP="00A6235B">
            <w:pPr>
              <w:spacing w:after="120" w:line="276" w:lineRule="auto"/>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Sim, à CGU para registro no programa de proteção</w:t>
            </w:r>
          </w:p>
        </w:tc>
        <w:tc>
          <w:tcPr>
            <w:tcW w:w="0" w:type="auto"/>
            <w:hideMark/>
          </w:tcPr>
          <w:p w14:paraId="5A724F92" w14:textId="77777777" w:rsidR="00A6235B" w:rsidRPr="00A6235B" w:rsidRDefault="00A6235B" w:rsidP="00A6235B">
            <w:pPr>
              <w:spacing w:after="120" w:line="276" w:lineRule="auto"/>
              <w:jc w:val="both"/>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Não obrigatória, avaliar conforme complexidade do caso</w:t>
            </w:r>
          </w:p>
        </w:tc>
      </w:tr>
    </w:tbl>
    <w:p w14:paraId="7A8BDF1A" w14:textId="77777777" w:rsidR="00A6235B" w:rsidRDefault="00A6235B" w:rsidP="00A6235B">
      <w:pPr>
        <w:spacing w:after="120"/>
        <w:jc w:val="both"/>
        <w:rPr>
          <w:sz w:val="21"/>
          <w:szCs w:val="21"/>
        </w:rPr>
      </w:pPr>
      <w:r>
        <w:rPr>
          <w:sz w:val="21"/>
          <w:szCs w:val="21"/>
        </w:rPr>
        <w:t xml:space="preserve">Esta distinção tem consequência direta na ferramenta </w:t>
      </w:r>
      <w:proofErr w:type="spellStart"/>
      <w:r>
        <w:rPr>
          <w:sz w:val="21"/>
          <w:szCs w:val="21"/>
        </w:rPr>
        <w:t>Integritas</w:t>
      </w:r>
      <w:proofErr w:type="spellEnd"/>
      <w:r>
        <w:rPr>
          <w:sz w:val="21"/>
          <w:szCs w:val="21"/>
        </w:rPr>
        <w:t xml:space="preserve">: ao identificar que o ato protegido é testemunho (e não denúncia formal), o analista não deve encaminhar o caso à CGU para instauração, deve conduzir ou propor a instauração no âmbito da </w:t>
      </w:r>
      <w:proofErr w:type="spellStart"/>
      <w:r>
        <w:rPr>
          <w:sz w:val="21"/>
          <w:szCs w:val="21"/>
        </w:rPr>
        <w:t>Coger</w:t>
      </w:r>
      <w:proofErr w:type="spellEnd"/>
      <w:r>
        <w:rPr>
          <w:sz w:val="21"/>
          <w:szCs w:val="21"/>
        </w:rPr>
        <w:t>/RFB, observando o fluxo correcional ordinário.</w:t>
      </w:r>
    </w:p>
    <w:p w14:paraId="62FADBC2" w14:textId="77777777" w:rsidR="00D323FE" w:rsidRPr="00D323FE" w:rsidRDefault="00D323FE" w:rsidP="00D323FE">
      <w:pPr>
        <w:spacing w:after="120"/>
        <w:jc w:val="both"/>
        <w:rPr>
          <w:sz w:val="21"/>
          <w:szCs w:val="21"/>
        </w:rPr>
      </w:pPr>
      <w:r>
        <w:rPr>
          <w:b/>
          <w:bCs/>
          <w:sz w:val="21"/>
          <w:szCs w:val="21"/>
        </w:rPr>
        <w:t xml:space="preserve">Além da testemunha: outros atores sujeitos à regra geral da </w:t>
      </w:r>
      <w:proofErr w:type="spellStart"/>
      <w:r>
        <w:rPr>
          <w:b/>
          <w:bCs/>
          <w:sz w:val="21"/>
          <w:szCs w:val="21"/>
        </w:rPr>
        <w:t>Coger</w:t>
      </w:r>
      <w:proofErr w:type="spellEnd"/>
      <w:r>
        <w:rPr>
          <w:b/>
          <w:bCs/>
          <w:sz w:val="21"/>
          <w:szCs w:val="21"/>
        </w:rPr>
        <w:t>/RFB</w:t>
      </w:r>
    </w:p>
    <w:p w14:paraId="4CCD904C" w14:textId="77777777" w:rsidR="00D323FE" w:rsidRPr="00D323FE" w:rsidRDefault="00D323FE" w:rsidP="00D323FE">
      <w:pPr>
        <w:spacing w:after="120"/>
        <w:jc w:val="both"/>
        <w:rPr>
          <w:sz w:val="21"/>
          <w:szCs w:val="21"/>
        </w:rPr>
      </w:pPr>
      <w:r>
        <w:rPr>
          <w:sz w:val="21"/>
          <w:szCs w:val="21"/>
        </w:rPr>
        <w:t xml:space="preserve">A NT 2709/2025 trata especificamente da testemunha por ser o caso que gerou a consulta, mas a lógica é mais ampla: a competência exclusiva da CGU está vinculada ao </w:t>
      </w:r>
      <w:r>
        <w:rPr>
          <w:b/>
          <w:bCs/>
          <w:sz w:val="21"/>
          <w:szCs w:val="21"/>
        </w:rPr>
        <w:t>protocolo Fala.BR</w:t>
      </w:r>
      <w:r>
        <w:rPr>
          <w:sz w:val="21"/>
          <w:szCs w:val="21"/>
        </w:rPr>
        <w:t xml:space="preserve">, não à figura genérica do denunciante. Enquadram-se, portanto, na regra geral da </w:t>
      </w:r>
      <w:proofErr w:type="spellStart"/>
      <w:r>
        <w:rPr>
          <w:sz w:val="21"/>
          <w:szCs w:val="21"/>
        </w:rPr>
        <w:t>Coger</w:t>
      </w:r>
      <w:proofErr w:type="spellEnd"/>
      <w:r>
        <w:rPr>
          <w:sz w:val="21"/>
          <w:szCs w:val="21"/>
        </w:rPr>
        <w:t>/RFB todos os demais servidores que sofreram retaliação por ato protegido que não gerou esse protocolo:</w:t>
      </w:r>
    </w:p>
    <w:p w14:paraId="05257FE4" w14:textId="77777777" w:rsidR="00D323FE" w:rsidRPr="00D323FE" w:rsidRDefault="00D323FE" w:rsidP="00D323FE">
      <w:pPr>
        <w:numPr>
          <w:ilvl w:val="0"/>
          <w:numId w:val="33"/>
        </w:numPr>
        <w:spacing w:after="120"/>
        <w:jc w:val="both"/>
        <w:rPr>
          <w:sz w:val="21"/>
          <w:szCs w:val="21"/>
        </w:rPr>
      </w:pPr>
      <w:r>
        <w:rPr>
          <w:b/>
          <w:bCs/>
          <w:sz w:val="21"/>
          <w:szCs w:val="21"/>
        </w:rPr>
        <w:t>Comunicante anônimo</w:t>
      </w:r>
      <w:r>
        <w:rPr>
          <w:sz w:val="21"/>
          <w:szCs w:val="21"/>
        </w:rPr>
        <w:t>, sem protocolo identificável no Fala.BR, sem possibilidade de vincular o ato protegido ao art. 10-A do Decreto nº 10.153/2019.</w:t>
      </w:r>
    </w:p>
    <w:p w14:paraId="0AA7FDDC" w14:textId="77777777" w:rsidR="00D323FE" w:rsidRPr="00D323FE" w:rsidRDefault="00D323FE" w:rsidP="00D323FE">
      <w:pPr>
        <w:numPr>
          <w:ilvl w:val="0"/>
          <w:numId w:val="33"/>
        </w:numPr>
        <w:spacing w:after="120"/>
        <w:jc w:val="both"/>
        <w:rPr>
          <w:sz w:val="21"/>
          <w:szCs w:val="21"/>
        </w:rPr>
      </w:pPr>
      <w:r>
        <w:rPr>
          <w:b/>
          <w:bCs/>
          <w:sz w:val="21"/>
          <w:szCs w:val="21"/>
        </w:rPr>
        <w:t>Servidor que recusou ordem ilegal</w:t>
      </w:r>
      <w:r>
        <w:rPr>
          <w:sz w:val="21"/>
          <w:szCs w:val="21"/>
        </w:rPr>
        <w:t xml:space="preserve">, praticou dever funcional (art. 116, IV, da Lei nº 8.112, de 1990), não denúncia formal; a retaliação por esse ato é apurada pela </w:t>
      </w:r>
      <w:proofErr w:type="spellStart"/>
      <w:r>
        <w:rPr>
          <w:sz w:val="21"/>
          <w:szCs w:val="21"/>
        </w:rPr>
        <w:t>Coger</w:t>
      </w:r>
      <w:proofErr w:type="spellEnd"/>
      <w:r>
        <w:rPr>
          <w:sz w:val="21"/>
          <w:szCs w:val="21"/>
        </w:rPr>
        <w:t>/RFB.</w:t>
      </w:r>
    </w:p>
    <w:p w14:paraId="69C2A4F4" w14:textId="77777777" w:rsidR="00D323FE" w:rsidRPr="00D323FE" w:rsidRDefault="00D323FE" w:rsidP="00D323FE">
      <w:pPr>
        <w:numPr>
          <w:ilvl w:val="0"/>
          <w:numId w:val="33"/>
        </w:numPr>
        <w:spacing w:after="120"/>
        <w:jc w:val="both"/>
        <w:rPr>
          <w:sz w:val="21"/>
          <w:szCs w:val="21"/>
        </w:rPr>
      </w:pPr>
      <w:r>
        <w:rPr>
          <w:b/>
          <w:bCs/>
          <w:sz w:val="21"/>
          <w:szCs w:val="21"/>
        </w:rPr>
        <w:t>Servidor que exerceu direito de greve, interpôs recurso hierárquico ou formulou representação sindical</w:t>
      </w:r>
      <w:r>
        <w:rPr>
          <w:sz w:val="21"/>
          <w:szCs w:val="21"/>
        </w:rPr>
        <w:t>, ato protegido funcionalmente legítimo, mas que não se enquadra como denúncia com protocolo Fala.BR.</w:t>
      </w:r>
    </w:p>
    <w:p w14:paraId="6B3F2225" w14:textId="77777777" w:rsidR="00D323FE" w:rsidRPr="00D323FE" w:rsidRDefault="00D323FE" w:rsidP="00D323FE">
      <w:pPr>
        <w:numPr>
          <w:ilvl w:val="0"/>
          <w:numId w:val="33"/>
        </w:numPr>
        <w:spacing w:after="120"/>
        <w:jc w:val="both"/>
        <w:rPr>
          <w:sz w:val="21"/>
          <w:szCs w:val="21"/>
        </w:rPr>
      </w:pPr>
      <w:r>
        <w:rPr>
          <w:b/>
          <w:bCs/>
          <w:sz w:val="21"/>
          <w:szCs w:val="21"/>
        </w:rPr>
        <w:t>Vítima de assédio que relatou sua própria situação sem protocolo válido</w:t>
      </w:r>
      <w:r>
        <w:rPr>
          <w:sz w:val="21"/>
          <w:szCs w:val="21"/>
        </w:rPr>
        <w:t>, hipótese residual na RFB, dada a obrigatoriedade do protocolo, mas possível em situações em que o relato foi feito por canal diverso sem integração ao Fala.BR.</w:t>
      </w:r>
    </w:p>
    <w:p w14:paraId="700DC8CB" w14:textId="77777777" w:rsidR="00D323FE" w:rsidRPr="00D323FE" w:rsidRDefault="00D323FE" w:rsidP="00D323FE">
      <w:pPr>
        <w:spacing w:after="120"/>
        <w:jc w:val="both"/>
        <w:rPr>
          <w:sz w:val="21"/>
          <w:szCs w:val="21"/>
        </w:rPr>
      </w:pPr>
      <w:r>
        <w:rPr>
          <w:sz w:val="21"/>
          <w:szCs w:val="21"/>
        </w:rPr>
        <w:t xml:space="preserve">Mesmo nesses casos, a </w:t>
      </w:r>
      <w:proofErr w:type="spellStart"/>
      <w:r>
        <w:rPr>
          <w:sz w:val="21"/>
          <w:szCs w:val="21"/>
        </w:rPr>
        <w:t>Coger</w:t>
      </w:r>
      <w:proofErr w:type="spellEnd"/>
      <w:r>
        <w:rPr>
          <w:sz w:val="21"/>
          <w:szCs w:val="21"/>
        </w:rPr>
        <w:t>/RFB pode ser substituída pela CGU mediante instauração ou avocação nas hipóteses do art. 4º, VIII, do Decreto nº 5.480/2005: inexistência de condições objetivas para realização no órgão de origem; complexidade e relevância da matéria; autoridade envolvida; ou envolvimento de servidores de mais de um órgão ou entidade.</w:t>
      </w:r>
    </w:p>
    <w:p w14:paraId="5BDD0E8D" w14:textId="77777777" w:rsidR="00D323FE" w:rsidRPr="00D323FE" w:rsidRDefault="00D323FE" w:rsidP="00D323FE">
      <w:pPr>
        <w:spacing w:after="120"/>
        <w:jc w:val="both"/>
        <w:rPr>
          <w:sz w:val="21"/>
          <w:szCs w:val="21"/>
        </w:rPr>
      </w:pPr>
      <w:r>
        <w:rPr>
          <w:b/>
          <w:bCs/>
          <w:sz w:val="21"/>
          <w:szCs w:val="21"/>
        </w:rPr>
        <w:t>O protocolo Fala.BR como gatilho de competência, síntese operacional</w:t>
      </w:r>
    </w:p>
    <w:p w14:paraId="4A842C56" w14:textId="77777777" w:rsidR="006A4295" w:rsidRPr="006A4295" w:rsidRDefault="006A4295" w:rsidP="006A4295">
      <w:pPr>
        <w:spacing w:before="60" w:after="120" w:line="288" w:lineRule="auto"/>
        <w:jc w:val="both"/>
        <w:rPr>
          <w:sz w:val="21"/>
          <w:szCs w:val="21"/>
        </w:rPr>
      </w:pPr>
      <w:r>
        <w:rPr>
          <w:sz w:val="21"/>
          <w:szCs w:val="21"/>
        </w:rPr>
        <w:t>O quadro abaixo sintetiza, para cada ator protegido, se o ato exercido gera protocolo Fala.BR e qual é a competência apuratória resultante:</w:t>
      </w:r>
    </w:p>
    <w:p w14:paraId="4BA5B569" w14:textId="77777777" w:rsidR="006A4295" w:rsidRDefault="006A4295" w:rsidP="006A4295">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838"/>
        <w:gridCol w:w="3000"/>
      </w:tblGrid>
      <w:tr w:rsidR="006A4295" w14:paraId="5F69CAE6" w14:textId="77777777" w:rsidTr="007E02F5">
        <w:trPr>
          <w:tblHeader/>
        </w:trPr>
        <w:tc>
          <w:tcPr>
            <w:tcW w:w="2200" w:type="dxa"/>
            <w:tcBorders>
              <w:top w:val="single" w:sz="4" w:space="0" w:color="0B2C5F"/>
              <w:left w:val="single" w:sz="4" w:space="0" w:color="0B2C5F"/>
              <w:bottom w:val="single" w:sz="4" w:space="0" w:color="0B2C5F"/>
              <w:right w:val="single" w:sz="4" w:space="0" w:color="0B2C5F"/>
            </w:tcBorders>
            <w:shd w:val="clear" w:color="auto" w:fill="0B2C5F"/>
            <w:tcMar>
              <w:top w:w="100" w:type="dxa"/>
              <w:left w:w="120" w:type="dxa"/>
              <w:bottom w:w="100" w:type="dxa"/>
              <w:right w:w="120" w:type="dxa"/>
            </w:tcMar>
          </w:tcPr>
          <w:p w14:paraId="2F2D52A4" w14:textId="77777777" w:rsidR="006A4295" w:rsidRPr="004F26FF" w:rsidRDefault="006A4295" w:rsidP="007E02F5">
            <w:pPr>
              <w:jc w:val="center"/>
            </w:pPr>
            <w:r>
              <w:rPr>
                <w:rFonts w:eastAsia="Arial" w:cs="Arial"/>
                <w:b/>
                <w:bCs/>
                <w:color w:val="FFFFFF"/>
              </w:rPr>
              <w:t>Ator retaliado</w:t>
            </w:r>
          </w:p>
        </w:tc>
        <w:tc>
          <w:tcPr>
            <w:tcW w:w="2600" w:type="dxa"/>
            <w:tcBorders>
              <w:top w:val="single" w:sz="4" w:space="0" w:color="0B2C5F"/>
              <w:left w:val="single" w:sz="4" w:space="0" w:color="0B2C5F"/>
              <w:bottom w:val="single" w:sz="4" w:space="0" w:color="0B2C5F"/>
              <w:right w:val="single" w:sz="4" w:space="0" w:color="0B2C5F"/>
            </w:tcBorders>
            <w:shd w:val="clear" w:color="auto" w:fill="0B2C5F"/>
            <w:tcMar>
              <w:top w:w="100" w:type="dxa"/>
              <w:left w:w="120" w:type="dxa"/>
              <w:bottom w:w="100" w:type="dxa"/>
              <w:right w:w="120" w:type="dxa"/>
            </w:tcMar>
          </w:tcPr>
          <w:p w14:paraId="78C81AB7" w14:textId="77777777" w:rsidR="006A4295" w:rsidRPr="004F26FF" w:rsidRDefault="006A4295" w:rsidP="007E02F5">
            <w:pPr>
              <w:jc w:val="center"/>
            </w:pPr>
            <w:r>
              <w:rPr>
                <w:rFonts w:eastAsia="Arial" w:cs="Arial"/>
                <w:b/>
                <w:bCs/>
                <w:color w:val="FFFFFF"/>
              </w:rPr>
              <w:t>Ato protegido</w:t>
            </w:r>
          </w:p>
        </w:tc>
        <w:tc>
          <w:tcPr>
            <w:tcW w:w="1838" w:type="dxa"/>
            <w:tcBorders>
              <w:top w:val="single" w:sz="4" w:space="0" w:color="0B2C5F"/>
              <w:left w:val="single" w:sz="4" w:space="0" w:color="0B2C5F"/>
              <w:bottom w:val="single" w:sz="4" w:space="0" w:color="0B2C5F"/>
              <w:right w:val="single" w:sz="4" w:space="0" w:color="0B2C5F"/>
            </w:tcBorders>
            <w:shd w:val="clear" w:color="auto" w:fill="0B2C5F"/>
            <w:tcMar>
              <w:top w:w="100" w:type="dxa"/>
              <w:left w:w="120" w:type="dxa"/>
              <w:bottom w:w="100" w:type="dxa"/>
              <w:right w:w="120" w:type="dxa"/>
            </w:tcMar>
          </w:tcPr>
          <w:p w14:paraId="2FB5E713" w14:textId="77777777" w:rsidR="006A4295" w:rsidRPr="004F26FF" w:rsidRDefault="006A4295" w:rsidP="007E02F5">
            <w:pPr>
              <w:jc w:val="center"/>
            </w:pPr>
            <w:r>
              <w:rPr>
                <w:rFonts w:eastAsia="Arial" w:cs="Arial"/>
                <w:b/>
                <w:bCs/>
                <w:color w:val="FFFFFF"/>
              </w:rPr>
              <w:t>Protocolo Fala.BR</w:t>
            </w:r>
          </w:p>
        </w:tc>
        <w:tc>
          <w:tcPr>
            <w:tcW w:w="3000" w:type="dxa"/>
            <w:tcBorders>
              <w:top w:val="single" w:sz="4" w:space="0" w:color="0B2C5F"/>
              <w:left w:val="single" w:sz="4" w:space="0" w:color="0B2C5F"/>
              <w:bottom w:val="single" w:sz="4" w:space="0" w:color="0B2C5F"/>
              <w:right w:val="single" w:sz="4" w:space="0" w:color="0B2C5F"/>
            </w:tcBorders>
            <w:shd w:val="clear" w:color="auto" w:fill="0B2C5F"/>
            <w:tcMar>
              <w:top w:w="100" w:type="dxa"/>
              <w:left w:w="120" w:type="dxa"/>
              <w:bottom w:w="100" w:type="dxa"/>
              <w:right w:w="120" w:type="dxa"/>
            </w:tcMar>
          </w:tcPr>
          <w:p w14:paraId="706EA2D5" w14:textId="77777777" w:rsidR="006A4295" w:rsidRPr="004F26FF" w:rsidRDefault="006A4295" w:rsidP="007E02F5">
            <w:pPr>
              <w:jc w:val="center"/>
            </w:pPr>
            <w:r>
              <w:rPr>
                <w:rFonts w:eastAsia="Arial" w:cs="Arial"/>
                <w:b/>
                <w:bCs/>
                <w:color w:val="FFFFFF"/>
              </w:rPr>
              <w:t>Competência apuratória</w:t>
            </w:r>
          </w:p>
        </w:tc>
      </w:tr>
      <w:tr w:rsidR="006A4295" w14:paraId="7DD25CF8" w14:textId="77777777" w:rsidTr="007E02F5">
        <w:tc>
          <w:tcPr>
            <w:tcW w:w="2200" w:type="dxa"/>
            <w:tcBorders>
              <w:top w:val="single" w:sz="4" w:space="0" w:color="D1D5DB"/>
              <w:left w:val="single" w:sz="4" w:space="0" w:color="D1D5DB"/>
              <w:bottom w:val="single" w:sz="4" w:space="0" w:color="D1D5DB"/>
              <w:right w:val="single" w:sz="4" w:space="0" w:color="D1D5DB"/>
            </w:tcBorders>
            <w:shd w:val="clear" w:color="auto" w:fill="DCE6F4"/>
            <w:tcMar>
              <w:top w:w="80" w:type="dxa"/>
              <w:left w:w="120" w:type="dxa"/>
              <w:bottom w:w="80" w:type="dxa"/>
              <w:right w:w="120" w:type="dxa"/>
            </w:tcMar>
            <w:vAlign w:val="center"/>
          </w:tcPr>
          <w:p w14:paraId="7899CDC4" w14:textId="77777777" w:rsidR="006A4295" w:rsidRPr="004F26FF" w:rsidRDefault="006A4295" w:rsidP="007E02F5">
            <w:r>
              <w:rPr>
                <w:rFonts w:eastAsia="Arial" w:cs="Arial"/>
                <w:b/>
                <w:bCs/>
                <w:color w:val="0B2C5F"/>
              </w:rPr>
              <w:t>Denunciante</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F77CDD7" w14:textId="77777777" w:rsidR="006A4295" w:rsidRPr="004F26FF" w:rsidRDefault="006A4295" w:rsidP="007E02F5">
            <w:r>
              <w:rPr>
                <w:rFonts w:eastAsia="Arial" w:cs="Arial"/>
              </w:rPr>
              <w:t>Denúncia formal com protocolo no Fala.BR (art. 10-A, Decreto nº 10.153/2019)</w:t>
            </w:r>
          </w:p>
        </w:tc>
        <w:tc>
          <w:tcPr>
            <w:tcW w:w="1838" w:type="dxa"/>
            <w:tcBorders>
              <w:top w:val="single" w:sz="4" w:space="0" w:color="D1D5DB"/>
              <w:left w:val="single" w:sz="4" w:space="0" w:color="D1D5DB"/>
              <w:bottom w:val="single" w:sz="4" w:space="0" w:color="D1D5DB"/>
              <w:right w:val="single" w:sz="4" w:space="0" w:color="D1D5DB"/>
            </w:tcBorders>
            <w:shd w:val="clear" w:color="auto" w:fill="E8F5E9"/>
            <w:tcMar>
              <w:top w:w="80" w:type="dxa"/>
              <w:left w:w="120" w:type="dxa"/>
              <w:bottom w:w="80" w:type="dxa"/>
              <w:right w:w="120" w:type="dxa"/>
            </w:tcMar>
            <w:vAlign w:val="center"/>
          </w:tcPr>
          <w:p w14:paraId="722091D6" w14:textId="77777777" w:rsidR="006A4295" w:rsidRPr="004F26FF" w:rsidRDefault="006A4295" w:rsidP="007E02F5">
            <w:pPr>
              <w:jc w:val="center"/>
            </w:pPr>
            <w:r>
              <w:rPr>
                <w:rFonts w:eastAsia="Arial" w:cs="Arial"/>
                <w:b/>
                <w:bCs/>
                <w:color w:val="1F7A4C"/>
              </w:rPr>
              <w:t>Sim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687ABB0" w14:textId="77777777" w:rsidR="006A4295" w:rsidRPr="004F26FF" w:rsidRDefault="006A4295" w:rsidP="007E02F5">
            <w:r>
              <w:rPr>
                <w:rFonts w:eastAsia="Arial" w:cs="Arial"/>
                <w:b/>
                <w:bCs/>
                <w:color w:val="1F7A4C"/>
              </w:rPr>
              <w:t>CGU, exclusiva (art. 135-A, PN CGU nº 27/2022)</w:t>
            </w:r>
          </w:p>
        </w:tc>
      </w:tr>
      <w:tr w:rsidR="006A4295" w14:paraId="0D838C68" w14:textId="77777777" w:rsidTr="007E02F5">
        <w:tc>
          <w:tcPr>
            <w:tcW w:w="2200" w:type="dxa"/>
            <w:tcBorders>
              <w:top w:val="single" w:sz="4" w:space="0" w:color="D1D5DB"/>
              <w:left w:val="single" w:sz="4" w:space="0" w:color="D1D5DB"/>
              <w:bottom w:val="single" w:sz="4" w:space="0" w:color="D1D5DB"/>
              <w:right w:val="single" w:sz="4" w:space="0" w:color="D1D5DB"/>
            </w:tcBorders>
            <w:shd w:val="clear" w:color="auto" w:fill="DCE6F4"/>
            <w:tcMar>
              <w:top w:w="80" w:type="dxa"/>
              <w:left w:w="120" w:type="dxa"/>
              <w:bottom w:w="80" w:type="dxa"/>
              <w:right w:w="120" w:type="dxa"/>
            </w:tcMar>
            <w:vAlign w:val="center"/>
          </w:tcPr>
          <w:p w14:paraId="0A4594BA" w14:textId="77777777" w:rsidR="006A4295" w:rsidRPr="004F26FF" w:rsidRDefault="006A4295" w:rsidP="007E02F5">
            <w:r>
              <w:rPr>
                <w:rFonts w:eastAsia="Arial" w:cs="Arial"/>
                <w:color w:val="0B2C5F"/>
              </w:rPr>
              <w:t>Testemunha</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A675626" w14:textId="77777777" w:rsidR="006A4295" w:rsidRPr="004F26FF" w:rsidRDefault="006A4295" w:rsidP="007E02F5">
            <w:r>
              <w:rPr>
                <w:rFonts w:eastAsia="Arial" w:cs="Arial"/>
              </w:rPr>
              <w:t>Depoimento em apuração já instaurada, por convocação ou espontaneamente</w:t>
            </w:r>
          </w:p>
        </w:tc>
        <w:tc>
          <w:tcPr>
            <w:tcW w:w="1838" w:type="dxa"/>
            <w:tcBorders>
              <w:top w:val="single" w:sz="4" w:space="0" w:color="D1D5DB"/>
              <w:left w:val="single" w:sz="4" w:space="0" w:color="D1D5DB"/>
              <w:bottom w:val="single" w:sz="4" w:space="0" w:color="D1D5DB"/>
              <w:right w:val="single" w:sz="4" w:space="0" w:color="D1D5DB"/>
            </w:tcBorders>
            <w:shd w:val="clear" w:color="auto" w:fill="FFF3E0"/>
            <w:tcMar>
              <w:top w:w="80" w:type="dxa"/>
              <w:left w:w="120" w:type="dxa"/>
              <w:bottom w:w="80" w:type="dxa"/>
              <w:right w:w="120" w:type="dxa"/>
            </w:tcMar>
            <w:vAlign w:val="center"/>
          </w:tcPr>
          <w:p w14:paraId="5960BA95" w14:textId="77777777" w:rsidR="006A4295" w:rsidRPr="004F26FF" w:rsidRDefault="006A4295" w:rsidP="007E02F5">
            <w:pPr>
              <w:jc w:val="center"/>
            </w:pPr>
            <w:r>
              <w:rPr>
                <w:rFonts w:eastAsia="Arial" w:cs="Arial"/>
                <w:b/>
                <w:bCs/>
                <w:color w:val="B7791F"/>
              </w:rPr>
              <w:t>Não</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EE2CA9B" w14:textId="77777777" w:rsidR="006A4295" w:rsidRPr="004F26FF" w:rsidRDefault="006A4295" w:rsidP="007E02F5">
            <w:proofErr w:type="spellStart"/>
            <w:r>
              <w:rPr>
                <w:rFonts w:eastAsia="Arial" w:cs="Arial"/>
              </w:rPr>
              <w:t>Coger</w:t>
            </w:r>
            <w:proofErr w:type="spellEnd"/>
            <w:r>
              <w:rPr>
                <w:rFonts w:eastAsia="Arial" w:cs="Arial"/>
              </w:rPr>
              <w:t>/RFB, regra geral</w:t>
            </w:r>
          </w:p>
        </w:tc>
      </w:tr>
      <w:tr w:rsidR="006A4295" w14:paraId="5D4BDD65" w14:textId="77777777" w:rsidTr="007E02F5">
        <w:tc>
          <w:tcPr>
            <w:tcW w:w="2200" w:type="dxa"/>
            <w:tcBorders>
              <w:top w:val="single" w:sz="4" w:space="0" w:color="D1D5DB"/>
              <w:left w:val="single" w:sz="4" w:space="0" w:color="D1D5DB"/>
              <w:bottom w:val="single" w:sz="4" w:space="0" w:color="D1D5DB"/>
              <w:right w:val="single" w:sz="4" w:space="0" w:color="D1D5DB"/>
            </w:tcBorders>
            <w:shd w:val="clear" w:color="auto" w:fill="DCE6F4"/>
            <w:tcMar>
              <w:top w:w="80" w:type="dxa"/>
              <w:left w:w="120" w:type="dxa"/>
              <w:bottom w:w="80" w:type="dxa"/>
              <w:right w:w="120" w:type="dxa"/>
            </w:tcMar>
            <w:vAlign w:val="center"/>
          </w:tcPr>
          <w:p w14:paraId="0AAE1B12" w14:textId="77777777" w:rsidR="006A4295" w:rsidRPr="004F26FF" w:rsidRDefault="006A4295" w:rsidP="007E02F5">
            <w:r>
              <w:rPr>
                <w:rFonts w:eastAsia="Arial" w:cs="Arial"/>
                <w:color w:val="0B2C5F"/>
              </w:rPr>
              <w:t>Comunicante anônimo</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451383C" w14:textId="77777777" w:rsidR="006A4295" w:rsidRPr="004F26FF" w:rsidRDefault="006A4295" w:rsidP="007E02F5">
            <w:r>
              <w:rPr>
                <w:rFonts w:eastAsia="Arial" w:cs="Arial"/>
              </w:rPr>
              <w:t>Relato sem identificação, sem protocolo vinculável</w:t>
            </w:r>
          </w:p>
        </w:tc>
        <w:tc>
          <w:tcPr>
            <w:tcW w:w="1838" w:type="dxa"/>
            <w:tcBorders>
              <w:top w:val="single" w:sz="4" w:space="0" w:color="D1D5DB"/>
              <w:left w:val="single" w:sz="4" w:space="0" w:color="D1D5DB"/>
              <w:bottom w:val="single" w:sz="4" w:space="0" w:color="D1D5DB"/>
              <w:right w:val="single" w:sz="4" w:space="0" w:color="D1D5DB"/>
            </w:tcBorders>
            <w:shd w:val="clear" w:color="auto" w:fill="FFF3E0"/>
            <w:tcMar>
              <w:top w:w="80" w:type="dxa"/>
              <w:left w:w="120" w:type="dxa"/>
              <w:bottom w:w="80" w:type="dxa"/>
              <w:right w:w="120" w:type="dxa"/>
            </w:tcMar>
            <w:vAlign w:val="center"/>
          </w:tcPr>
          <w:p w14:paraId="4AE74690" w14:textId="77777777" w:rsidR="006A4295" w:rsidRPr="004F26FF" w:rsidRDefault="006A4295" w:rsidP="007E02F5">
            <w:pPr>
              <w:jc w:val="center"/>
            </w:pPr>
            <w:r>
              <w:rPr>
                <w:rFonts w:eastAsia="Arial" w:cs="Arial"/>
                <w:b/>
                <w:bCs/>
                <w:color w:val="B7791F"/>
              </w:rPr>
              <w:t>Não</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58AEA51" w14:textId="77777777" w:rsidR="006A4295" w:rsidRPr="004F26FF" w:rsidRDefault="006A4295" w:rsidP="007E02F5">
            <w:proofErr w:type="spellStart"/>
            <w:r>
              <w:rPr>
                <w:rFonts w:eastAsia="Arial" w:cs="Arial"/>
              </w:rPr>
              <w:t>Coger</w:t>
            </w:r>
            <w:proofErr w:type="spellEnd"/>
            <w:r>
              <w:rPr>
                <w:rFonts w:eastAsia="Arial" w:cs="Arial"/>
              </w:rPr>
              <w:t>/RFB, regra geral</w:t>
            </w:r>
          </w:p>
        </w:tc>
      </w:tr>
      <w:tr w:rsidR="006A4295" w14:paraId="7BD7153E" w14:textId="77777777" w:rsidTr="007E02F5">
        <w:tc>
          <w:tcPr>
            <w:tcW w:w="2200" w:type="dxa"/>
            <w:tcBorders>
              <w:top w:val="single" w:sz="4" w:space="0" w:color="D1D5DB"/>
              <w:left w:val="single" w:sz="4" w:space="0" w:color="D1D5DB"/>
              <w:bottom w:val="single" w:sz="4" w:space="0" w:color="D1D5DB"/>
              <w:right w:val="single" w:sz="4" w:space="0" w:color="D1D5DB"/>
            </w:tcBorders>
            <w:shd w:val="clear" w:color="auto" w:fill="DCE6F4"/>
            <w:tcMar>
              <w:top w:w="80" w:type="dxa"/>
              <w:left w:w="120" w:type="dxa"/>
              <w:bottom w:w="80" w:type="dxa"/>
              <w:right w:w="120" w:type="dxa"/>
            </w:tcMar>
            <w:vAlign w:val="center"/>
          </w:tcPr>
          <w:p w14:paraId="42795FD5" w14:textId="77777777" w:rsidR="006A4295" w:rsidRPr="004F26FF" w:rsidRDefault="006A4295" w:rsidP="007E02F5">
            <w:r>
              <w:rPr>
                <w:rFonts w:eastAsia="Arial" w:cs="Arial"/>
                <w:color w:val="0B2C5F"/>
              </w:rPr>
              <w:lastRenderedPageBreak/>
              <w:t>Servidor que recusou ordem ilegal</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55E36AF" w14:textId="77777777" w:rsidR="006A4295" w:rsidRPr="004F26FF" w:rsidRDefault="006A4295" w:rsidP="007E02F5">
            <w:r>
              <w:rPr>
                <w:rFonts w:eastAsia="Arial" w:cs="Arial"/>
              </w:rPr>
              <w:t>Recusa documentada de cumprir ordem manifestamente ilegal (art. 116, IV, Lei nº 8.112, de 1990)</w:t>
            </w:r>
          </w:p>
        </w:tc>
        <w:tc>
          <w:tcPr>
            <w:tcW w:w="1838" w:type="dxa"/>
            <w:tcBorders>
              <w:top w:val="single" w:sz="4" w:space="0" w:color="D1D5DB"/>
              <w:left w:val="single" w:sz="4" w:space="0" w:color="D1D5DB"/>
              <w:bottom w:val="single" w:sz="4" w:space="0" w:color="D1D5DB"/>
              <w:right w:val="single" w:sz="4" w:space="0" w:color="D1D5DB"/>
            </w:tcBorders>
            <w:shd w:val="clear" w:color="auto" w:fill="FFF3E0"/>
            <w:tcMar>
              <w:top w:w="80" w:type="dxa"/>
              <w:left w:w="120" w:type="dxa"/>
              <w:bottom w:w="80" w:type="dxa"/>
              <w:right w:w="120" w:type="dxa"/>
            </w:tcMar>
            <w:vAlign w:val="center"/>
          </w:tcPr>
          <w:p w14:paraId="4A64BC47" w14:textId="77777777" w:rsidR="006A4295" w:rsidRPr="004F26FF" w:rsidRDefault="006A4295" w:rsidP="007E02F5">
            <w:pPr>
              <w:jc w:val="center"/>
            </w:pPr>
            <w:r>
              <w:rPr>
                <w:rFonts w:eastAsia="Arial" w:cs="Arial"/>
                <w:b/>
                <w:bCs/>
                <w:color w:val="B7791F"/>
              </w:rPr>
              <w:t>Não</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597CE6E" w14:textId="77777777" w:rsidR="006A4295" w:rsidRPr="004F26FF" w:rsidRDefault="006A4295" w:rsidP="007E02F5">
            <w:proofErr w:type="spellStart"/>
            <w:r>
              <w:rPr>
                <w:rFonts w:eastAsia="Arial" w:cs="Arial"/>
              </w:rPr>
              <w:t>Coger</w:t>
            </w:r>
            <w:proofErr w:type="spellEnd"/>
            <w:r>
              <w:rPr>
                <w:rFonts w:eastAsia="Arial" w:cs="Arial"/>
              </w:rPr>
              <w:t>/RFB, regra geral</w:t>
            </w:r>
          </w:p>
        </w:tc>
      </w:tr>
      <w:tr w:rsidR="006A4295" w14:paraId="3D1FB328" w14:textId="77777777" w:rsidTr="007E02F5">
        <w:tc>
          <w:tcPr>
            <w:tcW w:w="2200" w:type="dxa"/>
            <w:tcBorders>
              <w:top w:val="single" w:sz="4" w:space="0" w:color="D1D5DB"/>
              <w:left w:val="single" w:sz="4" w:space="0" w:color="D1D5DB"/>
              <w:bottom w:val="single" w:sz="4" w:space="0" w:color="D1D5DB"/>
              <w:right w:val="single" w:sz="4" w:space="0" w:color="D1D5DB"/>
            </w:tcBorders>
            <w:shd w:val="clear" w:color="auto" w:fill="DCE6F4"/>
            <w:tcMar>
              <w:top w:w="80" w:type="dxa"/>
              <w:left w:w="120" w:type="dxa"/>
              <w:bottom w:w="80" w:type="dxa"/>
              <w:right w:w="120" w:type="dxa"/>
            </w:tcMar>
            <w:vAlign w:val="center"/>
          </w:tcPr>
          <w:p w14:paraId="0556F013" w14:textId="77777777" w:rsidR="006A4295" w:rsidRPr="004F26FF" w:rsidRDefault="006A4295" w:rsidP="007E02F5">
            <w:r>
              <w:rPr>
                <w:rFonts w:eastAsia="Arial" w:cs="Arial"/>
                <w:color w:val="0B2C5F"/>
              </w:rPr>
              <w:t>Servidor que exerceu direito funcional legítimo</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344C8D0" w14:textId="77777777" w:rsidR="006A4295" w:rsidRPr="004F26FF" w:rsidRDefault="006A4295" w:rsidP="007E02F5">
            <w:r>
              <w:rPr>
                <w:rFonts w:eastAsia="Arial" w:cs="Arial"/>
              </w:rPr>
              <w:t>Greve, recurso hierárquico, representação sindical ou outra manifestação legítima</w:t>
            </w:r>
          </w:p>
        </w:tc>
        <w:tc>
          <w:tcPr>
            <w:tcW w:w="1838" w:type="dxa"/>
            <w:tcBorders>
              <w:top w:val="single" w:sz="4" w:space="0" w:color="D1D5DB"/>
              <w:left w:val="single" w:sz="4" w:space="0" w:color="D1D5DB"/>
              <w:bottom w:val="single" w:sz="4" w:space="0" w:color="D1D5DB"/>
              <w:right w:val="single" w:sz="4" w:space="0" w:color="D1D5DB"/>
            </w:tcBorders>
            <w:shd w:val="clear" w:color="auto" w:fill="FFF3E0"/>
            <w:tcMar>
              <w:top w:w="80" w:type="dxa"/>
              <w:left w:w="120" w:type="dxa"/>
              <w:bottom w:w="80" w:type="dxa"/>
              <w:right w:w="120" w:type="dxa"/>
            </w:tcMar>
            <w:vAlign w:val="center"/>
          </w:tcPr>
          <w:p w14:paraId="30D8D171" w14:textId="77777777" w:rsidR="006A4295" w:rsidRPr="004F26FF" w:rsidRDefault="006A4295" w:rsidP="007E02F5">
            <w:pPr>
              <w:jc w:val="center"/>
            </w:pPr>
            <w:r>
              <w:rPr>
                <w:rFonts w:eastAsia="Arial" w:cs="Arial"/>
                <w:b/>
                <w:bCs/>
                <w:color w:val="B7791F"/>
              </w:rPr>
              <w:t>Não</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8E7BBE3" w14:textId="77777777" w:rsidR="006A4295" w:rsidRPr="004F26FF" w:rsidRDefault="006A4295" w:rsidP="007E02F5">
            <w:proofErr w:type="spellStart"/>
            <w:r>
              <w:rPr>
                <w:rFonts w:eastAsia="Arial" w:cs="Arial"/>
              </w:rPr>
              <w:t>Coger</w:t>
            </w:r>
            <w:proofErr w:type="spellEnd"/>
            <w:r>
              <w:rPr>
                <w:rFonts w:eastAsia="Arial" w:cs="Arial"/>
              </w:rPr>
              <w:t>/RFB, regra geral</w:t>
            </w:r>
          </w:p>
        </w:tc>
      </w:tr>
    </w:tbl>
    <w:p w14:paraId="0428C825" w14:textId="77777777" w:rsidR="00287D58" w:rsidRDefault="003B78AF">
      <w:pPr>
        <w:pStyle w:val="Ttulo2"/>
        <w:keepNext/>
      </w:pPr>
      <w:bookmarkStart w:id="86" w:name="_Toc238022081"/>
      <w:r>
        <w:t>7.6 As condutas adversas: o que pode constituir represália</w:t>
      </w:r>
      <w:bookmarkEnd w:id="86"/>
    </w:p>
    <w:p w14:paraId="2B92F947" w14:textId="77777777" w:rsidR="0040550E" w:rsidRPr="0040550E" w:rsidRDefault="0040550E" w:rsidP="0040550E">
      <w:pPr>
        <w:spacing w:after="120"/>
        <w:jc w:val="both"/>
        <w:rPr>
          <w:sz w:val="21"/>
          <w:szCs w:val="21"/>
        </w:rPr>
      </w:pPr>
      <w:r>
        <w:rPr>
          <w:sz w:val="21"/>
          <w:szCs w:val="21"/>
        </w:rPr>
        <w:t>A conduta adversa é o segundo elemento do tipo. Deve ser tratamento funcional desfavorável, qualquer ação ou omissão da Administração que prejudique o servidor-alvo em suas condições de trabalho, carreira, reputação ou direitos funcionais.</w:t>
      </w:r>
    </w:p>
    <w:p w14:paraId="4071D75C" w14:textId="77777777" w:rsidR="0040550E" w:rsidRPr="0040550E" w:rsidRDefault="0040550E" w:rsidP="0040550E">
      <w:pPr>
        <w:spacing w:after="120"/>
        <w:jc w:val="both"/>
        <w:rPr>
          <w:sz w:val="21"/>
          <w:szCs w:val="21"/>
        </w:rPr>
      </w:pPr>
      <w:r>
        <w:rPr>
          <w:sz w:val="21"/>
          <w:szCs w:val="21"/>
        </w:rPr>
        <w:t>A tipologia das condutas adversas é ampla e aberta. Os exemplos mais frequentes nos registros do sistema de corregedorias brasileiro:</w:t>
      </w:r>
    </w:p>
    <w:p w14:paraId="6A5FB199" w14:textId="77777777" w:rsidR="0040550E" w:rsidRPr="0040550E" w:rsidRDefault="0040550E" w:rsidP="0040550E">
      <w:pPr>
        <w:spacing w:after="120"/>
        <w:jc w:val="both"/>
        <w:rPr>
          <w:sz w:val="21"/>
          <w:szCs w:val="21"/>
        </w:rPr>
      </w:pPr>
      <w:r>
        <w:rPr>
          <w:b/>
          <w:bCs/>
          <w:sz w:val="21"/>
          <w:szCs w:val="21"/>
        </w:rPr>
        <w:t>Remoção de ofício injustificada.</w:t>
      </w:r>
      <w:r>
        <w:rPr>
          <w:sz w:val="21"/>
          <w:szCs w:val="21"/>
        </w:rPr>
        <w:t xml:space="preserve"> A remoção é ato discricionário, mas não arbitrário: exige motivação fundada na necessidade do serviço. A remoção praticada nos meses seguintes a uma denúncia, sem necessidade objetivamente demonstrada, dirigida ao servidor que denunciou, é conduta adversa potencialmente </w:t>
      </w:r>
      <w:proofErr w:type="spellStart"/>
      <w:r>
        <w:rPr>
          <w:sz w:val="21"/>
          <w:szCs w:val="21"/>
        </w:rPr>
        <w:t>retaliadora</w:t>
      </w:r>
      <w:proofErr w:type="spellEnd"/>
      <w:r>
        <w:rPr>
          <w:sz w:val="21"/>
          <w:szCs w:val="21"/>
        </w:rPr>
        <w:t>. A proximidade temporal é o primeiro indicador; a ausência de fundamento funcional objetivo é o segundo.</w:t>
      </w:r>
    </w:p>
    <w:p w14:paraId="742D17DD" w14:textId="77777777" w:rsidR="0040550E" w:rsidRPr="0040550E" w:rsidRDefault="0040550E" w:rsidP="0040550E">
      <w:pPr>
        <w:spacing w:after="120"/>
        <w:jc w:val="both"/>
        <w:rPr>
          <w:sz w:val="21"/>
          <w:szCs w:val="21"/>
        </w:rPr>
      </w:pPr>
      <w:r>
        <w:rPr>
          <w:b/>
          <w:bCs/>
          <w:sz w:val="21"/>
          <w:szCs w:val="21"/>
        </w:rPr>
        <w:t>Avaliação de desempenho negativa sem base probatória.</w:t>
      </w:r>
      <w:r>
        <w:rPr>
          <w:sz w:val="21"/>
          <w:szCs w:val="21"/>
        </w:rPr>
        <w:t xml:space="preserve"> O sistema de avaliação funcional é, por natureza, um instrumento de poder suscetível a usos abusivos. A avaliação negativa, especialmente a primeira em histórico de avaliações positivas, ocorrida após denúncia, sem sustentação em elementos objetivos documentados é conduta adversa que deve ser investigada.</w:t>
      </w:r>
    </w:p>
    <w:p w14:paraId="00F97EF6" w14:textId="77777777" w:rsidR="0040550E" w:rsidRPr="0040550E" w:rsidRDefault="0040550E" w:rsidP="0040550E">
      <w:pPr>
        <w:spacing w:after="120"/>
        <w:jc w:val="both"/>
        <w:rPr>
          <w:sz w:val="21"/>
          <w:szCs w:val="21"/>
        </w:rPr>
      </w:pPr>
      <w:r>
        <w:rPr>
          <w:b/>
          <w:bCs/>
          <w:sz w:val="21"/>
          <w:szCs w:val="21"/>
        </w:rPr>
        <w:t>Exclusão de reuniões e projetos.</w:t>
      </w:r>
      <w:r>
        <w:rPr>
          <w:sz w:val="21"/>
          <w:szCs w:val="21"/>
        </w:rPr>
        <w:t xml:space="preserve"> O isolamento funcional como forma de represália: o servidor que denunciou passa a ser excluído de reuniões relevantes, retirado de projetos estratégicos, privado de informações necessárias ao trabalho, sem fundamentação objetiva para essa exclusão.</w:t>
      </w:r>
    </w:p>
    <w:p w14:paraId="7E8858A3" w14:textId="77777777" w:rsidR="0040550E" w:rsidRPr="0040550E" w:rsidRDefault="0040550E" w:rsidP="0040550E">
      <w:pPr>
        <w:spacing w:after="120"/>
        <w:jc w:val="both"/>
        <w:rPr>
          <w:sz w:val="21"/>
          <w:szCs w:val="21"/>
        </w:rPr>
      </w:pPr>
      <w:r>
        <w:rPr>
          <w:b/>
          <w:bCs/>
          <w:sz w:val="21"/>
          <w:szCs w:val="21"/>
        </w:rPr>
        <w:t>Assédio moral subsequente.</w:t>
      </w:r>
      <w:r>
        <w:rPr>
          <w:sz w:val="21"/>
          <w:szCs w:val="21"/>
        </w:rPr>
        <w:t xml:space="preserve"> A represália pode tomar a forma de assédio moral clássico, humilhações, cobranças impossíveis, exposição vexatória, dirigido especificamente ao servidor que denunciou. Nesse caso, há cumulatividade entre o Eixo 6 (retaliação) e o Eixo 5 (assédio moral), com análise independente de cada eixo e possibilidade de enquadramento simultâneo.</w:t>
      </w:r>
    </w:p>
    <w:p w14:paraId="4FBD6B0A" w14:textId="77777777" w:rsidR="0040550E" w:rsidRPr="0040550E" w:rsidRDefault="0040550E" w:rsidP="0040550E">
      <w:pPr>
        <w:spacing w:after="120"/>
        <w:jc w:val="both"/>
        <w:rPr>
          <w:sz w:val="21"/>
          <w:szCs w:val="21"/>
        </w:rPr>
      </w:pPr>
      <w:r>
        <w:rPr>
          <w:b/>
          <w:bCs/>
          <w:sz w:val="21"/>
          <w:szCs w:val="21"/>
        </w:rPr>
        <w:t>Restrição de acesso a recursos.</w:t>
      </w:r>
      <w:r>
        <w:rPr>
          <w:sz w:val="21"/>
          <w:szCs w:val="21"/>
        </w:rPr>
        <w:t xml:space="preserve"> Negação de acesso a sistemas, equipamentos, informações ou espaços necessários ao exercício das atribuições do servidor, sem fundamento funcional.</w:t>
      </w:r>
    </w:p>
    <w:p w14:paraId="30C02D62" w14:textId="77777777" w:rsidR="0040550E" w:rsidRPr="0040550E" w:rsidRDefault="0040550E" w:rsidP="0040550E">
      <w:pPr>
        <w:spacing w:after="120"/>
        <w:jc w:val="both"/>
        <w:rPr>
          <w:sz w:val="21"/>
          <w:szCs w:val="21"/>
        </w:rPr>
      </w:pPr>
      <w:r>
        <w:rPr>
          <w:b/>
          <w:bCs/>
          <w:sz w:val="21"/>
          <w:szCs w:val="21"/>
        </w:rPr>
        <w:t>Transferência punitiva.</w:t>
      </w:r>
      <w:r>
        <w:rPr>
          <w:sz w:val="21"/>
          <w:szCs w:val="21"/>
        </w:rPr>
        <w:t xml:space="preserve"> A designação para unidade de menor prestígio, com piores condições de trabalho, em localidade de menor conveniência, praticada sem motivação objetiva no período pós-denúncia.</w:t>
      </w:r>
    </w:p>
    <w:p w14:paraId="5799DEC5" w14:textId="77777777" w:rsidR="00287D58" w:rsidRPr="0040550E" w:rsidRDefault="0040550E">
      <w:pPr>
        <w:spacing w:after="120"/>
        <w:jc w:val="both"/>
        <w:rPr>
          <w:sz w:val="21"/>
          <w:szCs w:val="21"/>
        </w:rPr>
      </w:pPr>
      <w:r>
        <w:rPr>
          <w:b/>
          <w:bCs/>
          <w:sz w:val="21"/>
          <w:szCs w:val="21"/>
        </w:rPr>
        <w:t>Condutas omissivas.</w:t>
      </w:r>
      <w:r>
        <w:rPr>
          <w:sz w:val="21"/>
          <w:szCs w:val="21"/>
        </w:rPr>
        <w:t xml:space="preserve"> A retaliação não precisa ser ativa: a omissão deliberada em conceder progressão devida, em responder pedidos legítimos, em fornecer recursos necessários ao trabalho pode constituir conduta adversa tanto quanto a ação positiva.</w:t>
      </w:r>
    </w:p>
    <w:p w14:paraId="4504010F" w14:textId="77777777" w:rsidR="00287D58" w:rsidRDefault="003B78AF">
      <w:pPr>
        <w:pStyle w:val="Ttulo2"/>
        <w:keepNext/>
      </w:pPr>
      <w:bookmarkStart w:id="87" w:name="_Toc238022082"/>
      <w:r>
        <w:lastRenderedPageBreak/>
        <w:t>7.7 O nexo de causalidade: o elemento central e mais exigente</w:t>
      </w:r>
      <w:bookmarkEnd w:id="87"/>
    </w:p>
    <w:p w14:paraId="45A97FF4" w14:textId="77777777" w:rsidR="006564E5" w:rsidRPr="006564E5" w:rsidRDefault="006564E5" w:rsidP="006564E5">
      <w:pPr>
        <w:spacing w:after="120"/>
        <w:jc w:val="both"/>
        <w:rPr>
          <w:sz w:val="21"/>
          <w:szCs w:val="21"/>
        </w:rPr>
      </w:pPr>
      <w:r>
        <w:rPr>
          <w:sz w:val="21"/>
          <w:szCs w:val="21"/>
        </w:rPr>
        <w:t xml:space="preserve">O nexo causal entre o ato protegido e a conduta adversa é o elemento que mais distingue a retaliação disciplinar das demais infrações e que impõe ao operador o esforço analítico mais refinado. A conduta adversa existe, a pergunta é se ela existe </w:t>
      </w:r>
      <w:r>
        <w:rPr>
          <w:i/>
          <w:iCs/>
          <w:sz w:val="21"/>
          <w:szCs w:val="21"/>
        </w:rPr>
        <w:t>por causa</w:t>
      </w:r>
      <w:r>
        <w:rPr>
          <w:sz w:val="21"/>
          <w:szCs w:val="21"/>
        </w:rPr>
        <w:t xml:space="preserve"> do ato protegido.</w:t>
      </w:r>
    </w:p>
    <w:p w14:paraId="129E95E0" w14:textId="77777777" w:rsidR="006564E5" w:rsidRPr="006564E5" w:rsidRDefault="006564E5" w:rsidP="006564E5">
      <w:pPr>
        <w:spacing w:after="120"/>
        <w:jc w:val="both"/>
        <w:rPr>
          <w:sz w:val="21"/>
          <w:szCs w:val="21"/>
        </w:rPr>
      </w:pPr>
      <w:r>
        <w:rPr>
          <w:sz w:val="21"/>
          <w:szCs w:val="21"/>
        </w:rPr>
        <w:t xml:space="preserve">A prova direta do nexo causal raramente está disponível. O agressor não documenta sua motivação </w:t>
      </w:r>
      <w:proofErr w:type="spellStart"/>
      <w:r>
        <w:rPr>
          <w:sz w:val="21"/>
          <w:szCs w:val="21"/>
        </w:rPr>
        <w:t>retaliadora</w:t>
      </w:r>
      <w:proofErr w:type="spellEnd"/>
      <w:r>
        <w:rPr>
          <w:sz w:val="21"/>
          <w:szCs w:val="21"/>
        </w:rPr>
        <w:t xml:space="preserve">; não há, em geral, ata de reunião que registre: "servidor X foi removido porque denunciou Y". O nexo, na quase totalidade dos casos, precisa ser demonstrado por prova indireta, por inferência a partir de circunstâncias que, consideradas em conjunto, tornam a explicação </w:t>
      </w:r>
      <w:proofErr w:type="spellStart"/>
      <w:r>
        <w:rPr>
          <w:sz w:val="21"/>
          <w:szCs w:val="21"/>
        </w:rPr>
        <w:t>retaliadora</w:t>
      </w:r>
      <w:proofErr w:type="spellEnd"/>
      <w:r>
        <w:rPr>
          <w:sz w:val="21"/>
          <w:szCs w:val="21"/>
        </w:rPr>
        <w:t xml:space="preserve"> mais plausível do que qualquer explicação alternativa disponível.</w:t>
      </w:r>
    </w:p>
    <w:p w14:paraId="68E86ADE" w14:textId="77777777" w:rsidR="006564E5" w:rsidRPr="006564E5" w:rsidRDefault="006564E5" w:rsidP="006564E5">
      <w:pPr>
        <w:spacing w:after="120"/>
        <w:jc w:val="both"/>
        <w:rPr>
          <w:sz w:val="21"/>
          <w:szCs w:val="21"/>
        </w:rPr>
      </w:pPr>
      <w:r>
        <w:rPr>
          <w:sz w:val="21"/>
          <w:szCs w:val="21"/>
        </w:rPr>
        <w:t>A doutrina e a jurisprudência trabalhista e constitucional comparadas, que desenvolveram a questão com maior profundidade do que o direito disciplinar, identificam os seguintes indicadores de nexo causal:</w:t>
      </w:r>
    </w:p>
    <w:p w14:paraId="3758C534" w14:textId="77777777" w:rsidR="006564E5" w:rsidRPr="006564E5" w:rsidRDefault="006564E5" w:rsidP="006564E5">
      <w:pPr>
        <w:spacing w:after="120"/>
        <w:jc w:val="both"/>
        <w:rPr>
          <w:sz w:val="21"/>
          <w:szCs w:val="21"/>
        </w:rPr>
      </w:pPr>
      <w:r>
        <w:rPr>
          <w:b/>
          <w:bCs/>
          <w:sz w:val="21"/>
          <w:szCs w:val="21"/>
        </w:rPr>
        <w:t>Proximidade temporal.</w:t>
      </w:r>
      <w:r>
        <w:rPr>
          <w:sz w:val="21"/>
          <w:szCs w:val="21"/>
        </w:rPr>
        <w:t xml:space="preserve"> A conduta adversa que ocorre nos meses seguintes ao ato protegido, sem ter sido precedida por qualquer sinal de deterioração da relação funcional ou de avaliação negativa do servidor, cria uma presunção temporal de nexo. A ferramenta </w:t>
      </w:r>
      <w:proofErr w:type="spellStart"/>
      <w:r>
        <w:rPr>
          <w:sz w:val="21"/>
          <w:szCs w:val="21"/>
        </w:rPr>
        <w:t>Integritas</w:t>
      </w:r>
      <w:proofErr w:type="spellEnd"/>
      <w:r>
        <w:rPr>
          <w:sz w:val="21"/>
          <w:szCs w:val="21"/>
        </w:rPr>
        <w:t xml:space="preserve"> adota o parâmetro de seis meses como referência, não como limite rígido, mas como indicador: condutas adversas ocorridas dentro desse período exigem justificativa objetiva especialmente rigorosa para afastar a presunção.</w:t>
      </w:r>
    </w:p>
    <w:p w14:paraId="63922DB6" w14:textId="77777777" w:rsidR="006564E5" w:rsidRPr="006564E5" w:rsidRDefault="006564E5" w:rsidP="006564E5">
      <w:pPr>
        <w:spacing w:after="120"/>
        <w:jc w:val="both"/>
        <w:rPr>
          <w:sz w:val="21"/>
          <w:szCs w:val="21"/>
        </w:rPr>
      </w:pPr>
      <w:r>
        <w:rPr>
          <w:b/>
          <w:bCs/>
          <w:sz w:val="21"/>
          <w:szCs w:val="21"/>
        </w:rPr>
        <w:t>Ausência de justificativa objetiva.</w:t>
      </w:r>
      <w:r>
        <w:rPr>
          <w:sz w:val="21"/>
          <w:szCs w:val="21"/>
        </w:rPr>
        <w:t xml:space="preserve"> Quando a Administração não consegue apresentar fundamento funcional autônomo, anterior ao ato protegido ou independente dele, para a conduta adversa, a inferência de nexo se fortalece. A remoção sem precedente de necessidade, a avaliação negativa sem registro de problemas anteriores, a exclusão de projetos sem critério objetivo documentado, a ausência de fundamento alternativo plausível é indicador de nexo.</w:t>
      </w:r>
    </w:p>
    <w:p w14:paraId="79F08671" w14:textId="77777777" w:rsidR="006564E5" w:rsidRPr="006564E5" w:rsidRDefault="006564E5" w:rsidP="006564E5">
      <w:pPr>
        <w:spacing w:after="120"/>
        <w:jc w:val="both"/>
        <w:rPr>
          <w:sz w:val="21"/>
          <w:szCs w:val="21"/>
        </w:rPr>
      </w:pPr>
      <w:r>
        <w:rPr>
          <w:b/>
          <w:bCs/>
          <w:sz w:val="21"/>
          <w:szCs w:val="21"/>
        </w:rPr>
        <w:t>Histórico favorável anterior.</w:t>
      </w:r>
      <w:r>
        <w:rPr>
          <w:sz w:val="21"/>
          <w:szCs w:val="21"/>
        </w:rPr>
        <w:t xml:space="preserve"> O servidor que tinha avaliações positivas, bom relacionamento com a chefia e trajetória funcional ascendente, e sofre súbita deterioração de suas condições de trabalho após o ato protegido, apresenta um padrão que reforça a inferência de nexo. A ruptura abrupta num histórico estável é circunstância relevante.</w:t>
      </w:r>
    </w:p>
    <w:p w14:paraId="1B628966" w14:textId="77777777" w:rsidR="006564E5" w:rsidRPr="006564E5" w:rsidRDefault="006564E5" w:rsidP="006564E5">
      <w:pPr>
        <w:spacing w:after="120"/>
        <w:jc w:val="both"/>
        <w:rPr>
          <w:sz w:val="21"/>
          <w:szCs w:val="21"/>
        </w:rPr>
      </w:pPr>
      <w:r>
        <w:rPr>
          <w:b/>
          <w:bCs/>
          <w:sz w:val="21"/>
          <w:szCs w:val="21"/>
        </w:rPr>
        <w:t>Declarações e comunicações do agressor.</w:t>
      </w:r>
      <w:r>
        <w:rPr>
          <w:sz w:val="21"/>
          <w:szCs w:val="21"/>
        </w:rPr>
        <w:t xml:space="preserve"> Comentários feitos pelo agressor, mesmo informalmente, mesmo em contextos não institucionais, que revelam incômodo ou hostilidade em relação ao ato protegido do servidor são evidência direta de motivação </w:t>
      </w:r>
      <w:proofErr w:type="spellStart"/>
      <w:r>
        <w:rPr>
          <w:sz w:val="21"/>
          <w:szCs w:val="21"/>
        </w:rPr>
        <w:t>retaliadora</w:t>
      </w:r>
      <w:proofErr w:type="spellEnd"/>
      <w:r>
        <w:rPr>
          <w:sz w:val="21"/>
          <w:szCs w:val="21"/>
        </w:rPr>
        <w:t>. Mensagens em canais de comunicação institucional ou informal que expressem desaprovação da denúncia; conversas com outros servidores que sejam relatadas em testemunho; registros de reuniões que documentem essa postura, tudo isso é relevante.</w:t>
      </w:r>
    </w:p>
    <w:p w14:paraId="2E3DDAB5" w14:textId="77777777" w:rsidR="006564E5" w:rsidRPr="006564E5" w:rsidRDefault="006564E5" w:rsidP="006564E5">
      <w:pPr>
        <w:spacing w:after="120"/>
        <w:jc w:val="both"/>
        <w:rPr>
          <w:sz w:val="21"/>
          <w:szCs w:val="21"/>
        </w:rPr>
      </w:pPr>
      <w:r>
        <w:rPr>
          <w:b/>
          <w:bCs/>
          <w:sz w:val="21"/>
          <w:szCs w:val="21"/>
        </w:rPr>
        <w:t>Padrão de tratamento diferenciado.</w:t>
      </w:r>
      <w:r>
        <w:rPr>
          <w:sz w:val="21"/>
          <w:szCs w:val="21"/>
        </w:rPr>
        <w:t xml:space="preserve"> A demonstração de que outros servidores em situação funcionalmente análoga, que não praticaram o ato protegido, receberam tratamento diferente e melhor, sem razão objetiva para essa diferença, aponta para motivação discriminatória ou </w:t>
      </w:r>
      <w:proofErr w:type="spellStart"/>
      <w:r>
        <w:rPr>
          <w:sz w:val="21"/>
          <w:szCs w:val="21"/>
        </w:rPr>
        <w:t>retaliadora</w:t>
      </w:r>
      <w:proofErr w:type="spellEnd"/>
      <w:r>
        <w:rPr>
          <w:sz w:val="21"/>
          <w:szCs w:val="21"/>
        </w:rPr>
        <w:t>.</w:t>
      </w:r>
    </w:p>
    <w:p w14:paraId="15FC24A1" w14:textId="77777777" w:rsidR="00287D58" w:rsidRPr="006564E5" w:rsidRDefault="006564E5">
      <w:pPr>
        <w:spacing w:after="120"/>
        <w:jc w:val="both"/>
        <w:rPr>
          <w:sz w:val="21"/>
          <w:szCs w:val="21"/>
        </w:rPr>
      </w:pPr>
      <w:r>
        <w:rPr>
          <w:sz w:val="21"/>
          <w:szCs w:val="21"/>
        </w:rPr>
        <w:t>A presunção de nexo criada pelos indicadores acima é relativa, pode ser afastada pelo acusado com prova de motivação legítima e objetiva, anterior ao ato protegido ou completamente independente dele. O ônus de afastar a presunção, contudo, é do acusado: identificados os indicadores de nexo, cabe a ele demonstrar que a conduta adversa tem fundamento funcional autônomo.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287D58" w14:paraId="21B7B2B7" w14:textId="77777777">
        <w:tc>
          <w:tcPr>
            <w:tcW w:w="9070" w:type="dxa"/>
            <w:tcBorders>
              <w:left w:val="single" w:sz="24" w:space="0" w:color="B7791F"/>
            </w:tcBorders>
            <w:shd w:val="clear" w:color="auto" w:fill="F6ECD7"/>
            <w:tcMar>
              <w:top w:w="120" w:type="dxa"/>
              <w:left w:w="200" w:type="dxa"/>
              <w:bottom w:w="120" w:type="dxa"/>
              <w:right w:w="160" w:type="dxa"/>
            </w:tcMar>
          </w:tcPr>
          <w:p w14:paraId="0515E3EC" w14:textId="77777777" w:rsidR="00287D58" w:rsidRDefault="003B78AF">
            <w:pPr>
              <w:spacing w:after="40"/>
            </w:pPr>
            <w:r>
              <w:rPr>
                <w:rFonts w:ascii="Barlow Condensed" w:eastAsia="Barlow Condensed" w:hAnsi="Barlow Condensed" w:cs="Barlow Condensed"/>
                <w:b/>
                <w:bCs/>
                <w:color w:val="B7791F"/>
                <w:spacing w:val="20"/>
                <w:sz w:val="16"/>
                <w:szCs w:val="16"/>
              </w:rPr>
              <w:t>CAUTELA</w:t>
            </w:r>
          </w:p>
          <w:p w14:paraId="33D58763" w14:textId="77777777" w:rsidR="00287D58" w:rsidRDefault="003B78AF">
            <w:pPr>
              <w:spacing w:line="264" w:lineRule="auto"/>
              <w:jc w:val="both"/>
            </w:pPr>
            <w:r>
              <w:rPr>
                <w:b/>
                <w:bCs/>
                <w:sz w:val="21"/>
                <w:szCs w:val="21"/>
              </w:rPr>
              <w:lastRenderedPageBreak/>
              <w:t xml:space="preserve">Nexo temporal como presunção. </w:t>
            </w:r>
            <w:r>
              <w:rPr>
                <w:sz w:val="21"/>
                <w:szCs w:val="21"/>
              </w:rPr>
              <w:t>Conduta adversa nos seis meses seguintes ao ato protegido, sem justificativa objetiva independente, cria presunção relativa de nexo. O ônus de afastar a presunção é do acusado: cabe a ele demonstrar que a conduta adversa tem fundamento funcional autônomo pré-existente.</w:t>
            </w:r>
          </w:p>
        </w:tc>
      </w:tr>
    </w:tbl>
    <w:p w14:paraId="1F4FD07A" w14:textId="77777777" w:rsidR="00287D58" w:rsidRDefault="003B78AF">
      <w:pPr>
        <w:pStyle w:val="Ttulo2"/>
        <w:keepNext/>
      </w:pPr>
      <w:bookmarkStart w:id="88" w:name="_Toc238022083"/>
      <w:r>
        <w:lastRenderedPageBreak/>
        <w:t>7.8 A distinção em relação ao assédio moral e sua relevância prática</w:t>
      </w:r>
      <w:bookmarkEnd w:id="88"/>
    </w:p>
    <w:p w14:paraId="53FDA26C" w14:textId="77777777" w:rsidR="006564E5" w:rsidRPr="006564E5" w:rsidRDefault="006564E5" w:rsidP="006564E5">
      <w:pPr>
        <w:spacing w:after="120"/>
        <w:jc w:val="both"/>
        <w:rPr>
          <w:sz w:val="21"/>
          <w:szCs w:val="21"/>
        </w:rPr>
      </w:pPr>
      <w:r>
        <w:rPr>
          <w:sz w:val="21"/>
          <w:szCs w:val="21"/>
        </w:rPr>
        <w:t>A retaliação ao denunciante e o assédio moral podem assumir as mesmas formas externas e coexistir no mesmo caso. A distinção jurídica, porém, tem consequências práticas que tornam necessária a análise independente dos dois eixos.</w:t>
      </w:r>
    </w:p>
    <w:p w14:paraId="444CFBBA" w14:textId="77777777" w:rsidR="006564E5" w:rsidRPr="006564E5" w:rsidRDefault="006564E5" w:rsidP="006564E5">
      <w:pPr>
        <w:spacing w:after="120"/>
        <w:jc w:val="both"/>
        <w:rPr>
          <w:sz w:val="21"/>
          <w:szCs w:val="21"/>
        </w:rPr>
      </w:pPr>
      <w:r>
        <w:rPr>
          <w:sz w:val="21"/>
          <w:szCs w:val="21"/>
        </w:rPr>
        <w:t xml:space="preserve">O </w:t>
      </w:r>
      <w:r>
        <w:rPr>
          <w:b/>
          <w:bCs/>
          <w:sz w:val="21"/>
          <w:szCs w:val="21"/>
        </w:rPr>
        <w:t>assédio moral</w:t>
      </w:r>
      <w:r>
        <w:rPr>
          <w:sz w:val="21"/>
          <w:szCs w:val="21"/>
        </w:rPr>
        <w:t xml:space="preserve"> caracteriza-se pela reiteração de condutas hostis que degradam o ambiente de trabalho e a integridade psíquica da vítima, motivadas por propósito de humilhar, isolar ou excluir, sem que a escolha da vítima precise estar vinculada a um ato protegido específico. O assediador pode escolher qualquer servidor como alvo.</w:t>
      </w:r>
    </w:p>
    <w:p w14:paraId="5861D706" w14:textId="77777777" w:rsidR="006564E5" w:rsidRPr="006564E5" w:rsidRDefault="006564E5" w:rsidP="006564E5">
      <w:pPr>
        <w:spacing w:after="120"/>
        <w:jc w:val="both"/>
        <w:rPr>
          <w:sz w:val="21"/>
          <w:szCs w:val="21"/>
        </w:rPr>
      </w:pPr>
      <w:r>
        <w:rPr>
          <w:sz w:val="21"/>
          <w:szCs w:val="21"/>
        </w:rPr>
        <w:t xml:space="preserve">A </w:t>
      </w:r>
      <w:r>
        <w:rPr>
          <w:b/>
          <w:bCs/>
          <w:sz w:val="21"/>
          <w:szCs w:val="21"/>
        </w:rPr>
        <w:t>retaliação</w:t>
      </w:r>
      <w:r>
        <w:rPr>
          <w:sz w:val="21"/>
          <w:szCs w:val="21"/>
        </w:rPr>
        <w:t xml:space="preserve"> caracteriza-se pelo nexo causal com o ato protegido, a vítima é escolhida precisamente porque denunciou, testemunhou ou resistiu a uma ilegalidade. A reiteração não é elemento constitutivo da retaliação: um único ato adverso grave praticado imediatamente após uma denúncia pode configurar retaliação sem configurar assédio moral.</w:t>
      </w:r>
    </w:p>
    <w:p w14:paraId="3C82F3D2" w14:textId="77777777" w:rsidR="006564E5" w:rsidRPr="006564E5" w:rsidRDefault="006564E5" w:rsidP="006564E5">
      <w:pPr>
        <w:spacing w:after="120"/>
        <w:jc w:val="both"/>
        <w:rPr>
          <w:sz w:val="21"/>
          <w:szCs w:val="21"/>
        </w:rPr>
      </w:pPr>
      <w:r>
        <w:rPr>
          <w:sz w:val="21"/>
          <w:szCs w:val="21"/>
        </w:rPr>
        <w:t>Essa distinção tem consequência direta no enquadramento e na prova. No assédio moral, a prova central é a reiteração e o padrão de hostilidade. Na retaliação, a prova central é o nexo causal com o ato protegido. A análise da retaliação exige, necessariamente, identificar o ato protegido, situá-lo temporalmente e demonstrar que a conduta adversa o seguiu sem justificativa funcional autônoma, análise que o Eixo 5 não realiza e que o Eixo 6 foi projetado para estruturar.</w:t>
      </w:r>
    </w:p>
    <w:p w14:paraId="06D095AF" w14:textId="77777777" w:rsidR="00287D58" w:rsidRPr="006564E5" w:rsidRDefault="006564E5">
      <w:pPr>
        <w:spacing w:after="120"/>
        <w:jc w:val="both"/>
        <w:rPr>
          <w:sz w:val="21"/>
          <w:szCs w:val="21"/>
        </w:rPr>
      </w:pPr>
      <w:r>
        <w:rPr>
          <w:sz w:val="21"/>
          <w:szCs w:val="21"/>
        </w:rPr>
        <w:t>Quando ambos os elementos estão presentes, padrão reiterado de hostilidade e nexo causal com ato protegido, os dois eixos devem ser percorridos de forma independente, com os seus respectivos enquadramentos podendo ser cumulativos.</w:t>
      </w:r>
    </w:p>
    <w:p w14:paraId="0B0B1E9D" w14:textId="77777777" w:rsidR="00287D58" w:rsidRDefault="003B78AF">
      <w:pPr>
        <w:pStyle w:val="Ttulo2"/>
        <w:keepNext/>
      </w:pPr>
      <w:bookmarkStart w:id="89" w:name="_Toc238022084"/>
      <w:r>
        <w:t>7.9 O enquadramento disciplinar e as medidas além do PAD</w:t>
      </w:r>
      <w:bookmarkEnd w:id="89"/>
    </w:p>
    <w:p w14:paraId="44A21DD0" w14:textId="77777777" w:rsidR="003F08AA" w:rsidRPr="003F08AA" w:rsidRDefault="003F08AA" w:rsidP="003F08AA">
      <w:pPr>
        <w:spacing w:after="120"/>
        <w:jc w:val="both"/>
        <w:rPr>
          <w:sz w:val="21"/>
          <w:szCs w:val="21"/>
        </w:rPr>
      </w:pPr>
      <w:r>
        <w:rPr>
          <w:sz w:val="21"/>
          <w:szCs w:val="21"/>
        </w:rPr>
        <w:t>A retaliação ao denunciante, no plano disciplinar, enquadra-se em dois patamares distintos conforme a presença ou ausência do uso instrumental das prerrogativas funcionais:</w:t>
      </w:r>
    </w:p>
    <w:p w14:paraId="1A5E97EC" w14:textId="77777777" w:rsidR="003F08AA" w:rsidRPr="003F08AA" w:rsidRDefault="003F08AA" w:rsidP="003F08AA">
      <w:pPr>
        <w:spacing w:after="120"/>
        <w:jc w:val="both"/>
        <w:rPr>
          <w:sz w:val="21"/>
          <w:szCs w:val="21"/>
        </w:rPr>
      </w:pPr>
      <w:r>
        <w:rPr>
          <w:b/>
          <w:bCs/>
          <w:sz w:val="21"/>
          <w:szCs w:val="21"/>
        </w:rPr>
        <w:t>Sem uso instrumental do cargo.</w:t>
      </w:r>
      <w:r>
        <w:rPr>
          <w:sz w:val="21"/>
          <w:szCs w:val="21"/>
        </w:rPr>
        <w:t xml:space="preserve"> A conduta adversa praticada por servidor sem fazer uso das prerrogativas funcionais do cargo, a humilhação informal, o comentário depreciativo sobre a denúncia na sala de reuniões, a pressão interpessoal sobre o denunciante, viola o dever de manter conduta compatível com a moralidade administrativa (art. 116, IX), com penalidade de advertência ou suspensão conforme a dosimetria do art. 128.</w:t>
      </w:r>
    </w:p>
    <w:p w14:paraId="39F6E6AB" w14:textId="77777777" w:rsidR="003F08AA" w:rsidRPr="003F08AA" w:rsidRDefault="003F08AA" w:rsidP="003F08AA">
      <w:pPr>
        <w:spacing w:after="120"/>
        <w:jc w:val="both"/>
        <w:rPr>
          <w:sz w:val="21"/>
          <w:szCs w:val="21"/>
        </w:rPr>
      </w:pPr>
      <w:r>
        <w:rPr>
          <w:b/>
          <w:bCs/>
          <w:sz w:val="21"/>
          <w:szCs w:val="21"/>
        </w:rPr>
        <w:t>Com uso instrumental do cargo.</w:t>
      </w:r>
      <w:r>
        <w:rPr>
          <w:sz w:val="21"/>
          <w:szCs w:val="21"/>
        </w:rPr>
        <w:t xml:space="preserve"> A conduta adversa que se vale das prerrogativas funcionais como instrumento da represália, a remoção de ofício, a avaliação funcional negativa, a exclusão de projetos por decisão hierárquica, a restrição de acesso a recursos por ato administrativo, caracteriza o valimento do cargo para fins ilícitos, em detrimento da dignidade da função pública (art. 117, IX), com penalidade de demissão, nos termos do art. 132, XIII. A Súmula 650/STJ aplica-se integralmente: uma vez configurado o valimento do cargo, a demissão é ato vinculado.</w:t>
      </w:r>
    </w:p>
    <w:p w14:paraId="4FFBEEDC" w14:textId="77777777" w:rsidR="003F08AA" w:rsidRDefault="003F08AA" w:rsidP="003F08AA">
      <w:pPr>
        <w:spacing w:after="120"/>
        <w:jc w:val="both"/>
        <w:rPr>
          <w:sz w:val="21"/>
          <w:szCs w:val="21"/>
        </w:rPr>
      </w:pPr>
      <w:r>
        <w:rPr>
          <w:sz w:val="21"/>
          <w:szCs w:val="21"/>
        </w:rPr>
        <w:lastRenderedPageBreak/>
        <w:t xml:space="preserve">A dosimetria, nas hipóteses sem uso do cargo, considera: a gravidade da conduta adversa; o dano efetivo à carreira, à saúde ou à dignidade do servidor-alvo; a clareza do nexo causal; e, como agravante particularmente relevante neste eixo, o impacto sistêmico da conduta, o efeito que a retaliação documentada produz sobre a disposição dos demais servidores de denunciar. Uma retaliação que se torna conhecida na repartição causa </w:t>
      </w:r>
      <w:proofErr w:type="spellStart"/>
      <w:r>
        <w:rPr>
          <w:sz w:val="21"/>
          <w:szCs w:val="21"/>
        </w:rPr>
        <w:t>dano</w:t>
      </w:r>
      <w:proofErr w:type="spellEnd"/>
      <w:r>
        <w:rPr>
          <w:sz w:val="21"/>
          <w:szCs w:val="21"/>
        </w:rPr>
        <w:t xml:space="preserve"> que vai muito além da vítima individual: destrói a credibilidade do canal de denúncias para todos aqueles que testemunharam ou souberam do que aconteceu.</w:t>
      </w:r>
    </w:p>
    <w:p w14:paraId="0F07455E" w14:textId="77777777" w:rsidR="003F08AA" w:rsidRDefault="003F08AA" w:rsidP="003F08AA">
      <w:pPr>
        <w:pStyle w:val="Ttulo2"/>
        <w:keepNext/>
      </w:pPr>
      <w:bookmarkStart w:id="90" w:name="_Toc238022085"/>
      <w:r>
        <w:t>7.10 Comunicação externa e medidas protetivas paralelas</w:t>
      </w:r>
      <w:bookmarkEnd w:id="90"/>
    </w:p>
    <w:p w14:paraId="24FCD9A7" w14:textId="77777777" w:rsidR="003F08AA" w:rsidRPr="003F08AA" w:rsidRDefault="003F08AA" w:rsidP="003F08AA">
      <w:pPr>
        <w:spacing w:after="120"/>
        <w:jc w:val="both"/>
        <w:rPr>
          <w:sz w:val="21"/>
          <w:szCs w:val="21"/>
        </w:rPr>
      </w:pPr>
      <w:r>
        <w:rPr>
          <w:sz w:val="21"/>
          <w:szCs w:val="21"/>
        </w:rPr>
        <w:t>O enquadramento disciplinar da retaliação ao denunciante deve ser acompanhado, sempre que pertinente, de providências paralelas:</w:t>
      </w:r>
    </w:p>
    <w:p w14:paraId="13369F7B" w14:textId="77777777" w:rsidR="003F08AA" w:rsidRPr="003F08AA" w:rsidRDefault="003F08AA" w:rsidP="003F08AA">
      <w:pPr>
        <w:spacing w:after="120"/>
        <w:jc w:val="both"/>
        <w:rPr>
          <w:sz w:val="21"/>
          <w:szCs w:val="21"/>
        </w:rPr>
      </w:pPr>
      <w:r>
        <w:rPr>
          <w:b/>
          <w:bCs/>
          <w:sz w:val="21"/>
          <w:szCs w:val="21"/>
        </w:rPr>
        <w:t>Proteção imediata do denunciante.</w:t>
      </w:r>
      <w:r>
        <w:rPr>
          <w:sz w:val="21"/>
          <w:szCs w:val="21"/>
        </w:rPr>
        <w:t xml:space="preserve"> A autoridade competente pode, e deve, quando há risco, determinar medidas cautelares que protejam o servidor-alvo da retaliação enquanto o PAD tramita: revisão provisória da remoção, acesso a recursos negados, afastamento do agressor da esfera funcional do denunciante. A Lei nº 13.608/2018 autoriza e recomenda a adoção de medidas protetivas.</w:t>
      </w:r>
    </w:p>
    <w:p w14:paraId="3190F3EC" w14:textId="77777777" w:rsidR="003F08AA" w:rsidRPr="003F08AA" w:rsidRDefault="003F08AA" w:rsidP="003F08AA">
      <w:pPr>
        <w:spacing w:after="120"/>
        <w:jc w:val="both"/>
        <w:rPr>
          <w:sz w:val="21"/>
          <w:szCs w:val="21"/>
        </w:rPr>
      </w:pPr>
      <w:r>
        <w:rPr>
          <w:b/>
          <w:bCs/>
          <w:sz w:val="21"/>
          <w:szCs w:val="21"/>
        </w:rPr>
        <w:t>Confidencialidade nos autos.</w:t>
      </w:r>
      <w:r>
        <w:rPr>
          <w:sz w:val="21"/>
          <w:szCs w:val="21"/>
        </w:rPr>
        <w:t xml:space="preserve"> A identidade do denunciante não deve constar do despacho de instauração do PAD quando houver risco concreto de nova retaliação. A violação da confidencialidade do denunciante nos próprios autos do processo que apura a retaliação é, além de paradoxo institucional, potencialmente nova infração disciplinar autônoma.</w:t>
      </w:r>
    </w:p>
    <w:p w14:paraId="20EA6E17" w14:textId="77777777" w:rsidR="003F08AA" w:rsidRPr="003F08AA" w:rsidRDefault="003F08AA" w:rsidP="003F08AA">
      <w:pPr>
        <w:spacing w:after="120"/>
        <w:jc w:val="both"/>
        <w:rPr>
          <w:sz w:val="21"/>
          <w:szCs w:val="21"/>
        </w:rPr>
      </w:pPr>
      <w:r>
        <w:rPr>
          <w:b/>
          <w:bCs/>
          <w:sz w:val="21"/>
          <w:szCs w:val="21"/>
        </w:rPr>
        <w:t>Comunicação ao programa de proteção ao denunciante da CGU.</w:t>
      </w:r>
      <w:r>
        <w:rPr>
          <w:sz w:val="21"/>
          <w:szCs w:val="21"/>
        </w:rPr>
        <w:t xml:space="preserve"> Os canais de ouvidoria da CGU mantêm registros de casos de retaliação que alimentam o monitoramento sistêmico. A comunicação do caso identificado colabora com o aprimoramento do sistema e pode acionar medidas de proteção adicionais.</w:t>
      </w:r>
    </w:p>
    <w:p w14:paraId="5C8E3B86" w14:textId="77777777" w:rsidR="003F08AA" w:rsidRPr="003F08AA" w:rsidRDefault="003F08AA" w:rsidP="003F08AA">
      <w:pPr>
        <w:spacing w:after="120"/>
        <w:jc w:val="both"/>
        <w:rPr>
          <w:sz w:val="21"/>
          <w:szCs w:val="21"/>
        </w:rPr>
      </w:pPr>
      <w:r>
        <w:rPr>
          <w:b/>
          <w:bCs/>
          <w:sz w:val="21"/>
          <w:szCs w:val="21"/>
        </w:rPr>
        <w:t>Comunicação ao Ministério Público.</w:t>
      </w:r>
      <w:r>
        <w:rPr>
          <w:sz w:val="21"/>
          <w:szCs w:val="21"/>
        </w:rPr>
        <w:t xml:space="preserve"> Quando a retaliação assume a forma de perseguição sistemática que pode configurar crimes (constrangimento ilegal, abuso de autoridade, perseguição do art. 147-A do CP), a comunicação às autoridades policiais ou ao Ministério Público é medida que deve ser considerada, sem prejuízo da tramitação simultânea e independente do PAD.</w:t>
      </w:r>
    </w:p>
    <w:p w14:paraId="578E7558" w14:textId="77777777" w:rsidR="00F205AD" w:rsidRDefault="00F205AD" w:rsidP="00F205AD">
      <w:pPr>
        <w:pStyle w:val="Ttulo2"/>
        <w:keepNext/>
      </w:pPr>
      <w:bookmarkStart w:id="91" w:name="_Toc238022086"/>
      <w:r>
        <w:t xml:space="preserve">7.11 Síntese Operacional: Eixo 6 da ferramenta </w:t>
      </w:r>
      <w:proofErr w:type="spellStart"/>
      <w:r>
        <w:t>Integritas</w:t>
      </w:r>
      <w:bookmarkEnd w:id="91"/>
      <w:proofErr w:type="spellEnd"/>
    </w:p>
    <w:p w14:paraId="0F389FDE" w14:textId="77777777" w:rsidR="00F205AD" w:rsidRPr="00F205AD" w:rsidRDefault="00F205AD" w:rsidP="00F205AD">
      <w:pPr>
        <w:spacing w:after="120"/>
        <w:jc w:val="both"/>
        <w:rPr>
          <w:sz w:val="21"/>
          <w:szCs w:val="21"/>
        </w:rPr>
      </w:pPr>
      <w:r>
        <w:rPr>
          <w:sz w:val="21"/>
          <w:szCs w:val="21"/>
        </w:rPr>
        <w:t xml:space="preserve">O Eixo 6 percorre quatro bifurcações: (P1) houve ato </w:t>
      </w:r>
      <w:proofErr w:type="gramStart"/>
      <w:r>
        <w:rPr>
          <w:sz w:val="21"/>
          <w:szCs w:val="21"/>
        </w:rPr>
        <w:t>protegido?;</w:t>
      </w:r>
      <w:proofErr w:type="gramEnd"/>
      <w:r>
        <w:rPr>
          <w:sz w:val="21"/>
          <w:szCs w:val="21"/>
        </w:rPr>
        <w:t xml:space="preserve"> (P2) houve conduta adversa </w:t>
      </w:r>
      <w:proofErr w:type="gramStart"/>
      <w:r>
        <w:rPr>
          <w:sz w:val="21"/>
          <w:szCs w:val="21"/>
        </w:rPr>
        <w:t>subsequente?;</w:t>
      </w:r>
      <w:proofErr w:type="gramEnd"/>
      <w:r>
        <w:rPr>
          <w:sz w:val="21"/>
          <w:szCs w:val="21"/>
        </w:rPr>
        <w:t xml:space="preserve"> (P3) há nexo causal </w:t>
      </w:r>
      <w:proofErr w:type="gramStart"/>
      <w:r>
        <w:rPr>
          <w:sz w:val="21"/>
          <w:szCs w:val="21"/>
        </w:rPr>
        <w:t>identificável?;</w:t>
      </w:r>
      <w:proofErr w:type="gramEnd"/>
      <w:r>
        <w:rPr>
          <w:sz w:val="21"/>
          <w:szCs w:val="21"/>
        </w:rPr>
        <w:t xml:space="preserve"> (P4) houve uso instrumental do cargo?</w:t>
      </w:r>
    </w:p>
    <w:p w14:paraId="0A59B489" w14:textId="77777777" w:rsidR="00F205AD" w:rsidRPr="00F205AD" w:rsidRDefault="00F205AD" w:rsidP="00F205AD">
      <w:pPr>
        <w:spacing w:after="120"/>
        <w:jc w:val="both"/>
        <w:rPr>
          <w:sz w:val="21"/>
          <w:szCs w:val="21"/>
        </w:rPr>
      </w:pPr>
      <w:r>
        <w:rPr>
          <w:sz w:val="21"/>
          <w:szCs w:val="21"/>
        </w:rPr>
        <w:t xml:space="preserve">A estrutura do eixo reflete a lógica analítica deste capítulo: a identificação do ato protegido como ponto de partida, a verificação da conduta adversa como segundo elemento, a análise do nexo como elemento central e mais exigente, e a distinção entre uso e não uso do cargo como bifurcação de penalidade. O operador que percorre o eixo com atenção aos indicadores de nexo descritos na seção 7.6 e com a consciência do impacto sistêmico descrito na seção 7.8 </w:t>
      </w:r>
      <w:proofErr w:type="gramStart"/>
      <w:r>
        <w:rPr>
          <w:sz w:val="21"/>
          <w:szCs w:val="21"/>
        </w:rPr>
        <w:t>estará realizando</w:t>
      </w:r>
      <w:proofErr w:type="gramEnd"/>
      <w:r>
        <w:rPr>
          <w:sz w:val="21"/>
          <w:szCs w:val="21"/>
        </w:rPr>
        <w:t xml:space="preserve"> uma análise que protege simultaneamente a vítima individual e a credibilidade do sistema de controle interno do qual a Corregedoria é guardiã.</w:t>
      </w:r>
    </w:p>
    <w:p w14:paraId="2E6F97AE" w14:textId="77777777" w:rsidR="003F08AA" w:rsidRPr="003F08AA" w:rsidRDefault="003F08AA" w:rsidP="003F08AA">
      <w:pPr>
        <w:spacing w:after="120"/>
        <w:jc w:val="both"/>
        <w:rPr>
          <w:sz w:val="21"/>
          <w:szCs w:val="21"/>
        </w:rPr>
      </w:pPr>
    </w:p>
    <w:p w14:paraId="0A1AB2A0" w14:textId="77777777" w:rsidR="00287D58" w:rsidRDefault="00287D58">
      <w:pPr>
        <w:spacing w:after="120"/>
        <w:jc w:val="both"/>
      </w:pPr>
    </w:p>
    <w:p w14:paraId="3D435162" w14:textId="77777777" w:rsidR="00287D58" w:rsidRDefault="003B78AF">
      <w:r>
        <w:br w:type="page"/>
      </w:r>
    </w:p>
    <w:p w14:paraId="5A95EB5A"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CAPÍTULO 8</w:t>
      </w:r>
    </w:p>
    <w:p w14:paraId="4472B1DD" w14:textId="77777777" w:rsidR="00287D58" w:rsidRDefault="003B78AF">
      <w:pPr>
        <w:pStyle w:val="Ttulo1"/>
        <w:keepNext/>
        <w:pBdr>
          <w:bottom w:val="single" w:sz="12" w:space="6" w:color="C9A35C"/>
        </w:pBdr>
        <w:spacing w:line="400" w:lineRule="exact"/>
      </w:pPr>
      <w:bookmarkStart w:id="92" w:name="_Toc238022087"/>
      <w:r>
        <w:t>8. VIOLÊNCIA VERBAL E OFENSA DIRETA: A PALAVRA COMO INSTRUMENTO DE DANO PRESENTE</w:t>
      </w:r>
      <w:bookmarkEnd w:id="92"/>
    </w:p>
    <w:p w14:paraId="7F1E40C6" w14:textId="77777777" w:rsidR="00287D58" w:rsidRDefault="003B78AF">
      <w:pPr>
        <w:pStyle w:val="Ttulo2"/>
        <w:keepNext/>
      </w:pPr>
      <w:bookmarkStart w:id="93" w:name="_Toc238022088"/>
      <w:r>
        <w:t>8.1 A lacuna entre agressão física e ameaça, e por que ela importa</w:t>
      </w:r>
      <w:bookmarkEnd w:id="93"/>
    </w:p>
    <w:p w14:paraId="46A7F5CC" w14:textId="77777777" w:rsidR="00765B68" w:rsidRPr="00765B68" w:rsidRDefault="00765B68" w:rsidP="00765B68">
      <w:pPr>
        <w:spacing w:after="120"/>
        <w:jc w:val="both"/>
        <w:rPr>
          <w:sz w:val="21"/>
          <w:szCs w:val="21"/>
        </w:rPr>
      </w:pPr>
      <w:r>
        <w:rPr>
          <w:sz w:val="21"/>
          <w:szCs w:val="21"/>
        </w:rPr>
        <w:t xml:space="preserve">O direito disciplinar brasileiro construiu, ao longo das últimas décadas, sistemas de análise cada vez mais refinados para as condutas de maior gravidade, agressão física, assédio moral e sexual, discriminação, e para o anúncio de violência futura, tratado pela NT nº 544/2024 no eixo da ameaça. O que permanecia em zona de relativa imprecisão era a conduta que não promete violência nem a concretiza fisicamente, mas que a </w:t>
      </w:r>
      <w:proofErr w:type="gramStart"/>
      <w:r>
        <w:rPr>
          <w:sz w:val="21"/>
          <w:szCs w:val="21"/>
        </w:rPr>
        <w:t>pratica</w:t>
      </w:r>
      <w:proofErr w:type="gramEnd"/>
      <w:r>
        <w:rPr>
          <w:sz w:val="21"/>
          <w:szCs w:val="21"/>
        </w:rPr>
        <w:t xml:space="preserve"> no plano simbólico e comunicativo de forma imediata e direta: o insulto, o xingamento, a humilhação pública, a ofensa pessoal que não ameaça o que virá, mas fere o que existe, a dignidade presente da vítima.</w:t>
      </w:r>
    </w:p>
    <w:p w14:paraId="348D7557" w14:textId="77777777" w:rsidR="00765B68" w:rsidRPr="00765B68" w:rsidRDefault="00765B68" w:rsidP="00765B68">
      <w:pPr>
        <w:spacing w:after="120"/>
        <w:jc w:val="both"/>
        <w:rPr>
          <w:sz w:val="21"/>
          <w:szCs w:val="21"/>
        </w:rPr>
      </w:pPr>
      <w:r>
        <w:rPr>
          <w:sz w:val="21"/>
          <w:szCs w:val="21"/>
        </w:rPr>
        <w:t>Essa conduta é, quantitativamente, a mais frequente nos processos disciplinares do serviço público federal. Nenhum outro tipo de conduta aparece em maior número nos registros das corregedorias de todo o país: supervisores que xingam subordinados na frente da equipe, colegas que se insultam em discussões de trabalho, servidores que humilham usuários do serviço, gestores que expõem publicamente as limitações de seus subordinados com vocabulário ofensivo. A violência verbal é a conduta cotidiana do ambiente laboral hostil, e exatamente por ser cotidiana, tende a ser subestimada tanto pela vítima quanto pelo operador do sistema disciplinar.</w:t>
      </w:r>
    </w:p>
    <w:p w14:paraId="31DB6977" w14:textId="77777777" w:rsidR="00765B68" w:rsidRPr="00765B68" w:rsidRDefault="00765B68" w:rsidP="00765B68">
      <w:pPr>
        <w:spacing w:after="120"/>
        <w:jc w:val="both"/>
        <w:rPr>
          <w:sz w:val="21"/>
          <w:szCs w:val="21"/>
        </w:rPr>
      </w:pPr>
      <w:r>
        <w:rPr>
          <w:sz w:val="21"/>
          <w:szCs w:val="21"/>
        </w:rPr>
        <w:t xml:space="preserve">A ausência de eixo próprio para analisá-la produz dois problemas práticos correlatos. O primeiro é o </w:t>
      </w:r>
      <w:proofErr w:type="spellStart"/>
      <w:r>
        <w:rPr>
          <w:b/>
          <w:bCs/>
          <w:sz w:val="21"/>
          <w:szCs w:val="21"/>
        </w:rPr>
        <w:t>subframe</w:t>
      </w:r>
      <w:proofErr w:type="spellEnd"/>
      <w:r>
        <w:rPr>
          <w:sz w:val="21"/>
          <w:szCs w:val="21"/>
        </w:rPr>
        <w:t xml:space="preserve">: a violência verbal enquadrada genericamente como "conduta imprópria" (art. 116, IX ou XI) sem análise dos qualificadores que podem elevá-la ao art. 132, V, o uso do cargo, a publicidade, a gravidade do conteúdo, tende a receber penalidade aquém da que os fatos justificam. O segundo é a </w:t>
      </w:r>
      <w:r>
        <w:rPr>
          <w:b/>
          <w:bCs/>
          <w:sz w:val="21"/>
          <w:szCs w:val="21"/>
        </w:rPr>
        <w:t>análise incompleta</w:t>
      </w:r>
      <w:r>
        <w:rPr>
          <w:sz w:val="21"/>
          <w:szCs w:val="21"/>
        </w:rPr>
        <w:t xml:space="preserve">: sem fluxo próprio, o operador não é guiado a verificar se a ofensa verbal tem conotação sexual (Eixo 3) ou motivação discriminatória (Eixo 4), o que pode levar ao enquadramento pelo tipo mais brando quando o mais específico seria aplicável. O Eixo 7 da ferramenta </w:t>
      </w:r>
      <w:proofErr w:type="spellStart"/>
      <w:r>
        <w:rPr>
          <w:sz w:val="21"/>
          <w:szCs w:val="21"/>
        </w:rPr>
        <w:t>Integritas</w:t>
      </w:r>
      <w:proofErr w:type="spellEnd"/>
      <w:r>
        <w:rPr>
          <w:sz w:val="21"/>
          <w:szCs w:val="21"/>
        </w:rPr>
        <w:t xml:space="preserve"> foi construído para resolver esses dois problemas.</w:t>
      </w:r>
    </w:p>
    <w:p w14:paraId="4969D26C" w14:textId="77777777" w:rsidR="00287D58" w:rsidRDefault="003B78AF">
      <w:pPr>
        <w:pStyle w:val="Ttulo2"/>
        <w:keepNext/>
      </w:pPr>
      <w:bookmarkStart w:id="94" w:name="_Toc238022089"/>
      <w:r>
        <w:t>8.2 Conceito e elementos constitutivos</w:t>
      </w:r>
      <w:bookmarkEnd w:id="94"/>
    </w:p>
    <w:p w14:paraId="7BBA4B0E" w14:textId="77777777" w:rsidR="00765B68" w:rsidRPr="00765B68" w:rsidRDefault="003B78AF" w:rsidP="00765B68">
      <w:pPr>
        <w:spacing w:after="120"/>
        <w:jc w:val="both"/>
        <w:rPr>
          <w:sz w:val="21"/>
          <w:szCs w:val="21"/>
        </w:rPr>
      </w:pPr>
      <w:r>
        <w:rPr>
          <w:sz w:val="21"/>
          <w:szCs w:val="21"/>
        </w:rPr>
        <w:t>Violência verbal é a conduta que ofende diretamente a dignidade da vítima por meio de palavras, expressões ou gestos com conteúdo ofensivo, sem conter anúncio de mal futuro. É a violência que age no presente, que fere no ato em que é praticada, sem intermediação temporal. Essa imediaticidade é o traço que a distingue estruturalmente da ameaça e o ponto de partida para compreender por que os dois eixos exigem análises distintas.</w:t>
      </w:r>
    </w:p>
    <w:p w14:paraId="34DE3F6A" w14:textId="77777777" w:rsidR="00765B68" w:rsidRPr="00765B68" w:rsidRDefault="00765B68" w:rsidP="00765B68">
      <w:pPr>
        <w:spacing w:after="120"/>
        <w:jc w:val="both"/>
        <w:rPr>
          <w:sz w:val="21"/>
          <w:szCs w:val="21"/>
        </w:rPr>
      </w:pPr>
      <w:r>
        <w:rPr>
          <w:sz w:val="21"/>
          <w:szCs w:val="21"/>
        </w:rPr>
        <w:t>A definição comporta quatro elementos:</w:t>
      </w:r>
    </w:p>
    <w:p w14:paraId="4D338B91" w14:textId="77777777" w:rsidR="00765B68" w:rsidRPr="00765B68" w:rsidRDefault="00765B68" w:rsidP="00765B68">
      <w:pPr>
        <w:spacing w:after="120"/>
        <w:jc w:val="both"/>
        <w:rPr>
          <w:sz w:val="21"/>
          <w:szCs w:val="21"/>
        </w:rPr>
      </w:pPr>
      <w:r>
        <w:rPr>
          <w:b/>
          <w:bCs/>
          <w:sz w:val="21"/>
          <w:szCs w:val="21"/>
        </w:rPr>
        <w:t>O conteúdo ofensivo.</w:t>
      </w:r>
      <w:r>
        <w:rPr>
          <w:sz w:val="21"/>
          <w:szCs w:val="21"/>
        </w:rPr>
        <w:t xml:space="preserve"> A violência verbal não é qualquer comunicação desagradável ou áspera. Exige conteúdo que objetivamente ofenda a dignidade da vítima: insultos, xingamentos, impropérios, comparações humilhantes, atribuição de características negativas como pessoa (incompetência, desonestidade, covardia, estupidez) em tom não </w:t>
      </w:r>
      <w:proofErr w:type="gramStart"/>
      <w:r>
        <w:rPr>
          <w:sz w:val="21"/>
          <w:szCs w:val="21"/>
        </w:rPr>
        <w:t>crítico</w:t>
      </w:r>
      <w:proofErr w:type="gramEnd"/>
      <w:r>
        <w:rPr>
          <w:sz w:val="21"/>
          <w:szCs w:val="21"/>
        </w:rPr>
        <w:t xml:space="preserve"> mas ofensivo, exposição vexatória de limitações ou falhas pessoais. A linha entre crítica profissional legítima, ainda que dura, e violência </w:t>
      </w:r>
      <w:r>
        <w:rPr>
          <w:sz w:val="21"/>
          <w:szCs w:val="21"/>
        </w:rPr>
        <w:lastRenderedPageBreak/>
        <w:t>verbal passa pelo objeto da comunicação: a crítica legítima se dirige ao trabalho ou ao comportamento funcional; a violência verbal se dirige à pessoa.</w:t>
      </w:r>
    </w:p>
    <w:p w14:paraId="4D7E0D25" w14:textId="77777777" w:rsidR="00765B68" w:rsidRPr="00765B68" w:rsidRDefault="00765B68" w:rsidP="00765B68">
      <w:pPr>
        <w:spacing w:after="120"/>
        <w:jc w:val="both"/>
        <w:rPr>
          <w:sz w:val="21"/>
          <w:szCs w:val="21"/>
        </w:rPr>
      </w:pPr>
      <w:r>
        <w:rPr>
          <w:b/>
          <w:bCs/>
          <w:sz w:val="21"/>
          <w:szCs w:val="21"/>
        </w:rPr>
        <w:t>A ausência de anúncio de mal futuro.</w:t>
      </w:r>
      <w:r>
        <w:rPr>
          <w:sz w:val="21"/>
          <w:szCs w:val="21"/>
        </w:rPr>
        <w:t xml:space="preserve"> O que distingue a violência verbal da ameaça não é a intensidade nem o contexto, mas a estrutura temporal da conduta. A ameaça promete o que virá; a violência verbal age agora. O supervisor que diz "se você errar de novo, eu te destruo nesta repartição" </w:t>
      </w:r>
      <w:proofErr w:type="gramStart"/>
      <w:r>
        <w:rPr>
          <w:sz w:val="21"/>
          <w:szCs w:val="21"/>
        </w:rPr>
        <w:t>pratica</w:t>
      </w:r>
      <w:proofErr w:type="gramEnd"/>
      <w:r>
        <w:rPr>
          <w:sz w:val="21"/>
          <w:szCs w:val="21"/>
        </w:rPr>
        <w:t xml:space="preserve"> ameaça, há mal futuro prometido. O supervisor que diz "você é um incompetente e uma vergonha para este setor" pratica violência verbal, há ofensa presente, sem projeção futura. Essa distinção tem consequência na norma aplicável, na Nota Técnica de referência e no prazo prescricional.</w:t>
      </w:r>
    </w:p>
    <w:p w14:paraId="77CB2B9D" w14:textId="77777777" w:rsidR="00765B68" w:rsidRPr="00765B68" w:rsidRDefault="00765B68" w:rsidP="00765B68">
      <w:pPr>
        <w:spacing w:after="120"/>
        <w:jc w:val="both"/>
        <w:rPr>
          <w:sz w:val="21"/>
          <w:szCs w:val="21"/>
        </w:rPr>
      </w:pPr>
      <w:r>
        <w:rPr>
          <w:b/>
          <w:bCs/>
          <w:sz w:val="21"/>
          <w:szCs w:val="21"/>
        </w:rPr>
        <w:t>O contexto funcional.</w:t>
      </w:r>
      <w:r>
        <w:rPr>
          <w:sz w:val="21"/>
          <w:szCs w:val="21"/>
        </w:rPr>
        <w:t xml:space="preserve"> A violência verbal disciplinarmente relevante é aquela que ocorre em serviço ou em decorrência das relações funcionais: no ambiente físico da repartição, em reuniões de trabalho, em comunicações institucionais, em interações decorrentes das atribuições funcionais das partes, ainda que fora do ambiente físico da repartição. A ofensa proferida em contexto completamente alheio ao serviço e sem qualquer repercussão funcional pode não configurar infração disciplinar, embora possa configurar ilícito civil ou penal.</w:t>
      </w:r>
    </w:p>
    <w:p w14:paraId="48552ACF" w14:textId="77777777" w:rsidR="00765B68" w:rsidRPr="00765B68" w:rsidRDefault="00765B68" w:rsidP="00765B68">
      <w:pPr>
        <w:spacing w:after="120"/>
        <w:jc w:val="both"/>
        <w:rPr>
          <w:sz w:val="21"/>
          <w:szCs w:val="21"/>
        </w:rPr>
      </w:pPr>
      <w:r>
        <w:rPr>
          <w:b/>
          <w:bCs/>
          <w:sz w:val="21"/>
          <w:szCs w:val="21"/>
        </w:rPr>
        <w:t>A natureza dolosa.</w:t>
      </w:r>
      <w:r>
        <w:rPr>
          <w:sz w:val="21"/>
          <w:szCs w:val="21"/>
        </w:rPr>
        <w:t xml:space="preserve"> A violência verbal, por sua própria estrutura, alguém escolhe palavras que sabe serem ofensivas e as profere, é conduta naturalmente dolosa. Não há violência verbal culposa: a linguagem ofensiva é um ato consciente. Isso a distingue das falhas de gestão de comunicação, do linguajar informal sem intenção de ofender, da rispidez não dirigida pessoalmente a ninguém.</w:t>
      </w:r>
    </w:p>
    <w:p w14:paraId="06581BF2" w14:textId="77777777" w:rsidR="00287D58" w:rsidRDefault="003B78AF">
      <w:pPr>
        <w:pStyle w:val="Ttulo2"/>
        <w:keepNext/>
      </w:pPr>
      <w:bookmarkStart w:id="95" w:name="_Toc238022090"/>
      <w:r>
        <w:t>8.3 A distinção da ameaça e sua relevância prática</w:t>
      </w:r>
      <w:bookmarkEnd w:id="95"/>
    </w:p>
    <w:p w14:paraId="7D34D718" w14:textId="77777777" w:rsidR="00AA1AB0" w:rsidRPr="00AA1AB0" w:rsidRDefault="00AA1AB0" w:rsidP="00AA1AB0">
      <w:pPr>
        <w:spacing w:after="120"/>
        <w:jc w:val="both"/>
        <w:rPr>
          <w:sz w:val="21"/>
          <w:szCs w:val="21"/>
        </w:rPr>
      </w:pPr>
      <w:r>
        <w:rPr>
          <w:sz w:val="21"/>
          <w:szCs w:val="21"/>
        </w:rPr>
        <w:t>A distinção entre violência verbal e ameaça não é apenas conceitual, tem consequências normativas diretas que o operador precisa ter presentes antes de percorrer qualquer eixo de análise.</w:t>
      </w:r>
    </w:p>
    <w:p w14:paraId="6F2CBF28" w14:textId="77777777" w:rsidR="00AA1AB0" w:rsidRPr="00AA1AB0" w:rsidRDefault="00AA1AB0" w:rsidP="00AA1AB0">
      <w:pPr>
        <w:spacing w:after="120"/>
        <w:jc w:val="both"/>
        <w:rPr>
          <w:sz w:val="21"/>
          <w:szCs w:val="21"/>
        </w:rPr>
      </w:pPr>
      <w:r>
        <w:rPr>
          <w:b/>
          <w:bCs/>
          <w:sz w:val="21"/>
          <w:szCs w:val="21"/>
        </w:rPr>
        <w:t>Distinção conceitual.</w:t>
      </w:r>
      <w:r>
        <w:rPr>
          <w:sz w:val="21"/>
          <w:szCs w:val="21"/>
        </w:rPr>
        <w:t xml:space="preserve"> A ameaça opera no futuro: anuncia mal que ainda não se concretizou, com o propósito de intimidar a vítima, de alterar seu comportamento pelo medo do que virá. A violência verbal opera no presente: ofende no ato, sem pretender (necessariamente) alterar o comportamento futuro da vítima pela intimidação. Dito de forma sintética: a ameaça usa a palavra para controlar; a violência verbal usa a palavra para ferir.</w:t>
      </w:r>
    </w:p>
    <w:p w14:paraId="22AE6316" w14:textId="77777777" w:rsidR="00AA1AB0" w:rsidRPr="00AA1AB0" w:rsidRDefault="00AA1AB0" w:rsidP="00AA1AB0">
      <w:pPr>
        <w:spacing w:after="120"/>
        <w:jc w:val="both"/>
        <w:rPr>
          <w:sz w:val="21"/>
          <w:szCs w:val="21"/>
        </w:rPr>
      </w:pPr>
      <w:r>
        <w:rPr>
          <w:b/>
          <w:bCs/>
          <w:sz w:val="21"/>
          <w:szCs w:val="21"/>
        </w:rPr>
        <w:t>Distinção de nota técnica de referência.</w:t>
      </w:r>
      <w:r>
        <w:rPr>
          <w:sz w:val="21"/>
          <w:szCs w:val="21"/>
        </w:rPr>
        <w:t xml:space="preserve"> A ameaça é disciplinada pela NT nº 544/2024; a violência verbal não tem nota técnica específica e é enquadrada pelos tipos abertos da Lei nº 8.112, de 1990 por subsunção direta. Isso significa que o operador, ao analisar violência verbal, precisa exercer juízo de subsunção mais autônomo, os parâmetros de gravidade são os oferecidos pelos próprios tipos (urbanidade, moralidade, conduta escandalosa) e pelos critérios de dosimetria do art. 128, sem o guia interpretativo que uma nota técnica específica proporciona.</w:t>
      </w:r>
    </w:p>
    <w:p w14:paraId="171BF8B8" w14:textId="77777777" w:rsidR="00AA1AB0" w:rsidRPr="00AA1AB0" w:rsidRDefault="00AA1AB0" w:rsidP="00AA1AB0">
      <w:pPr>
        <w:spacing w:after="120"/>
        <w:jc w:val="both"/>
        <w:rPr>
          <w:sz w:val="21"/>
          <w:szCs w:val="21"/>
        </w:rPr>
      </w:pPr>
      <w:r>
        <w:rPr>
          <w:b/>
          <w:bCs/>
          <w:sz w:val="21"/>
          <w:szCs w:val="21"/>
        </w:rPr>
        <w:t>Distinção de prazo prescricional.</w:t>
      </w:r>
      <w:r>
        <w:rPr>
          <w:sz w:val="21"/>
          <w:szCs w:val="21"/>
        </w:rPr>
        <w:t xml:space="preserve"> Enquanto a ameaça moderada enquadrada como suspensão tem prazo de 2 anos (art. 142, II), a violência verbal de baixa gravidade enquadrada como advertência (art. 116, XI) tem prazo de apenas 180 dias (art. 142, III). Essa diferença prescricional pode ser determinante em casos que chegam à apuração com atraso, e o operador precisa verificar o prazo antes de qualquer outro ato.</w:t>
      </w:r>
    </w:p>
    <w:p w14:paraId="27216763" w14:textId="77777777" w:rsidR="00AA1AB0" w:rsidRPr="00AA1AB0" w:rsidRDefault="00AA1AB0" w:rsidP="00AA1AB0">
      <w:pPr>
        <w:spacing w:after="120"/>
        <w:jc w:val="both"/>
        <w:rPr>
          <w:sz w:val="21"/>
          <w:szCs w:val="21"/>
        </w:rPr>
      </w:pPr>
      <w:r>
        <w:rPr>
          <w:b/>
          <w:bCs/>
          <w:sz w:val="21"/>
          <w:szCs w:val="21"/>
        </w:rPr>
        <w:t>A fronteira é o conteúdo temporal da conduta.</w:t>
      </w:r>
      <w:r>
        <w:rPr>
          <w:sz w:val="21"/>
          <w:szCs w:val="21"/>
        </w:rPr>
        <w:t xml:space="preserve"> Quando o operador não consegue identificar com clareza se a conduta é ameaça ou violência verbal, o critério decisivo é a presença ou ausência de anúncio de consequência futura: "vou fazer com que você se arrependa" é ameaça; "você é um idiota" </w:t>
      </w:r>
      <w:r>
        <w:rPr>
          <w:sz w:val="21"/>
          <w:szCs w:val="21"/>
        </w:rPr>
        <w:lastRenderedPageBreak/>
        <w:t>é violência verbal; "você é um idiota e não vai durar nada aqui" combina os dois elementos e deve ser analisada primariamente como ameaça, com a ofensa verbal tratada como circunstância agravante.</w:t>
      </w:r>
    </w:p>
    <w:p w14:paraId="478811D0" w14:textId="77777777" w:rsidR="00287D58" w:rsidRDefault="003B78AF">
      <w:pPr>
        <w:pStyle w:val="Ttulo2"/>
        <w:keepNext/>
      </w:pPr>
      <w:bookmarkStart w:id="96" w:name="_Toc238022091"/>
      <w:r>
        <w:t>8.4 Fundamento normativo e o espectro de enquadramento</w:t>
      </w:r>
      <w:bookmarkEnd w:id="96"/>
    </w:p>
    <w:p w14:paraId="4A203207" w14:textId="77777777" w:rsidR="00AA1AB0" w:rsidRPr="00AA1AB0" w:rsidRDefault="00AA1AB0" w:rsidP="00AA1AB0">
      <w:pPr>
        <w:spacing w:after="120"/>
        <w:jc w:val="both"/>
        <w:rPr>
          <w:sz w:val="21"/>
          <w:szCs w:val="21"/>
        </w:rPr>
      </w:pPr>
      <w:r>
        <w:rPr>
          <w:sz w:val="21"/>
          <w:szCs w:val="21"/>
        </w:rPr>
        <w:t>A Lei nº 8.112, de 1990 oferece três patamares para o enquadramento da violência verbal, organizados pela gravidade crescente da conduta:</w:t>
      </w:r>
    </w:p>
    <w:p w14:paraId="502C0BBC" w14:textId="77777777" w:rsidR="00AA1AB0" w:rsidRPr="00AA1AB0" w:rsidRDefault="00AA1AB0" w:rsidP="00AA1AB0">
      <w:pPr>
        <w:spacing w:after="120"/>
        <w:jc w:val="both"/>
        <w:rPr>
          <w:sz w:val="21"/>
          <w:szCs w:val="21"/>
        </w:rPr>
      </w:pPr>
      <w:r>
        <w:rPr>
          <w:b/>
          <w:bCs/>
          <w:sz w:val="21"/>
          <w:szCs w:val="21"/>
        </w:rPr>
        <w:t>Art. 116, XI, Dever de urbanidade.</w:t>
      </w:r>
      <w:r>
        <w:rPr>
          <w:sz w:val="21"/>
          <w:szCs w:val="21"/>
        </w:rPr>
        <w:t xml:space="preserve"> O dever de "tratar com urbanidade as pessoas" é o tipo mais aberto e de menor gravidade. Captura as ofensas verbais de baixa intensidade: rispidez que ultrapassa o limite da comunicação direta, vocabulário grosseiro sem gravidade extrema, comentários depreciativos pontuais sem as circunstâncias qualificadoras de publicidade ou uso do cargo. A penalidade de referência é a advertência, com prazo prescricional de 180 dias. Como observa </w:t>
      </w:r>
      <w:r>
        <w:rPr>
          <w:b/>
          <w:bCs/>
          <w:sz w:val="21"/>
          <w:szCs w:val="21"/>
        </w:rPr>
        <w:t>Odete Medauar</w:t>
      </w:r>
      <w:r>
        <w:rPr>
          <w:sz w:val="21"/>
          <w:szCs w:val="21"/>
        </w:rPr>
        <w:t xml:space="preserve">, o dever de urbanidade </w:t>
      </w:r>
      <w:r>
        <w:rPr>
          <w:i/>
          <w:iCs/>
          <w:sz w:val="21"/>
          <w:szCs w:val="21"/>
        </w:rPr>
        <w:t>"abrange o modo de tratar as pessoas, a cortesia nas relações, o respeito à dignidade dos outros, valores que a Administração Pública tem o dever de cultivar internamente para poder exigi-los externamente"</w:t>
      </w:r>
      <w:r>
        <w:rPr>
          <w:sz w:val="21"/>
          <w:szCs w:val="21"/>
        </w:rPr>
        <w:t xml:space="preserve"> (Direito Administrativo Moderno, 22. ed., Belo Horizonte: Fórum, 2019, p. 305).</w:t>
      </w:r>
    </w:p>
    <w:p w14:paraId="44CB194B" w14:textId="77777777" w:rsidR="00AA1AB0" w:rsidRPr="00AA1AB0" w:rsidRDefault="00AA1AB0" w:rsidP="00AA1AB0">
      <w:pPr>
        <w:spacing w:after="120"/>
        <w:jc w:val="both"/>
        <w:rPr>
          <w:sz w:val="21"/>
          <w:szCs w:val="21"/>
        </w:rPr>
      </w:pPr>
      <w:r>
        <w:rPr>
          <w:b/>
          <w:bCs/>
          <w:sz w:val="21"/>
          <w:szCs w:val="21"/>
        </w:rPr>
        <w:t>Art. 116, IX, Dever de moralidade administrativa.</w:t>
      </w:r>
      <w:r>
        <w:rPr>
          <w:sz w:val="21"/>
          <w:szCs w:val="21"/>
        </w:rPr>
        <w:t xml:space="preserve"> O dever de "manter conduta compatível com a moralidade administrativa" alcança condutas de maior gravidade que, sem atingir o limiar do "escandaloso", demonstram incompatibilidade significativa do servidor com os padrões éticos exigidos da função pública. Para a violência verbal, esse tipo é ativado quando há circunstâncias qualificadoras que elevam a gravidade além da simples falta de urbanidade: a reiteração das ofensas, o impacto documentável na saúde ou na dignidade da vítima, ou o contexto de assédio que o episódio de violência verbal integra.</w:t>
      </w:r>
    </w:p>
    <w:p w14:paraId="3E961E99" w14:textId="77777777" w:rsidR="00AA1AB0" w:rsidRPr="00AA1AB0" w:rsidRDefault="00AA1AB0" w:rsidP="00AA1AB0">
      <w:pPr>
        <w:spacing w:after="120"/>
        <w:jc w:val="both"/>
        <w:rPr>
          <w:sz w:val="21"/>
          <w:szCs w:val="21"/>
        </w:rPr>
      </w:pPr>
      <w:r>
        <w:rPr>
          <w:b/>
          <w:bCs/>
          <w:sz w:val="21"/>
          <w:szCs w:val="21"/>
        </w:rPr>
        <w:t>Art. 132, V, Incontinência pública e conduta escandalosa na repartição.</w:t>
      </w:r>
      <w:r>
        <w:rPr>
          <w:sz w:val="21"/>
          <w:szCs w:val="21"/>
        </w:rPr>
        <w:t xml:space="preserve"> O tipo mais grave disponível para a violência verbal. A doutrina administrativista sempre interpretou "conduta escandalosa" como aquela que, pelo conteúdo, pela intensidade ou pelo contexto público em que ocorre, ultrapassa o limiar do meramente reprovável para atingir o que causa escândalo, que produz efeito de choque, repúdio e comprometimento da imagem institucional perceptível a quem testemunhou. A violência verbal que atinge esse limiar, especialmente quando proferida em reunião pública, com múltiplas testemunhas, em linguagem gravemente ofensiva, enquadra-se no art. 132, V, com demissão como penalidade necessária (Súmula 650/STJ).</w:t>
      </w:r>
    </w:p>
    <w:p w14:paraId="2020B0F2" w14:textId="77777777" w:rsidR="00AA1AB0" w:rsidRPr="00AA1AB0" w:rsidRDefault="00AA1AB0" w:rsidP="00AA1AB0">
      <w:pPr>
        <w:spacing w:after="120"/>
        <w:jc w:val="both"/>
        <w:rPr>
          <w:sz w:val="21"/>
          <w:szCs w:val="21"/>
        </w:rPr>
      </w:pPr>
      <w:r>
        <w:rPr>
          <w:b/>
          <w:bCs/>
          <w:sz w:val="21"/>
          <w:szCs w:val="21"/>
        </w:rPr>
        <w:t>Art. 117, IX, Valimento do cargo.</w:t>
      </w:r>
      <w:r>
        <w:rPr>
          <w:sz w:val="21"/>
          <w:szCs w:val="21"/>
        </w:rPr>
        <w:t xml:space="preserve"> Quando a ofensa verbal é praticada com uso instrumental das prerrogativas do cargo como mecanismo de humilhação, enquadra-se adicionalmente no art. 117, IX, com demissão (art. 132, XIII). O uso do cargo não é mera posição hierárquica: é o emprego ativo da autoridade funcional para dar à violência verbal uma dimensão institucional que o servidor sem cargo não poderia conferir, a humilhação praticada com o peso e a autoridade da função.</w:t>
      </w:r>
    </w:p>
    <w:p w14:paraId="2130F3D5" w14:textId="77777777" w:rsidR="00287D58" w:rsidRDefault="003B78AF">
      <w:pPr>
        <w:pStyle w:val="Ttulo2"/>
        <w:keepNext/>
      </w:pPr>
      <w:bookmarkStart w:id="97" w:name="_Toc238022092"/>
      <w:r>
        <w:t>8.5 Os qualificadores que determinam o patamar</w:t>
      </w:r>
      <w:bookmarkEnd w:id="97"/>
    </w:p>
    <w:p w14:paraId="6E06E388" w14:textId="77777777" w:rsidR="00A052E7" w:rsidRPr="00A052E7" w:rsidRDefault="00A052E7" w:rsidP="00A052E7">
      <w:pPr>
        <w:spacing w:after="120"/>
        <w:jc w:val="both"/>
        <w:rPr>
          <w:sz w:val="21"/>
          <w:szCs w:val="21"/>
        </w:rPr>
      </w:pPr>
      <w:r>
        <w:rPr>
          <w:sz w:val="21"/>
          <w:szCs w:val="21"/>
        </w:rPr>
        <w:t xml:space="preserve">O Eixo 7 da ferramenta </w:t>
      </w:r>
      <w:proofErr w:type="spellStart"/>
      <w:r>
        <w:rPr>
          <w:sz w:val="21"/>
          <w:szCs w:val="21"/>
        </w:rPr>
        <w:t>Integritas</w:t>
      </w:r>
      <w:proofErr w:type="spellEnd"/>
      <w:r>
        <w:rPr>
          <w:sz w:val="21"/>
          <w:szCs w:val="21"/>
        </w:rPr>
        <w:t xml:space="preserve"> verifica os qualificadores que determinam o caminho de análise e o enquadramento aplicável. A lógica do fluxo é: antes de analisar a violência verbal pelo seu eixo próprio, verificar se ela apresenta características que a tornam mais adequadamente analisável pelos eixos especializados.</w:t>
      </w:r>
    </w:p>
    <w:p w14:paraId="1953B83E" w14:textId="77777777" w:rsidR="00A052E7" w:rsidRPr="00A052E7" w:rsidRDefault="00A052E7" w:rsidP="00A052E7">
      <w:pPr>
        <w:spacing w:after="120"/>
        <w:jc w:val="both"/>
        <w:rPr>
          <w:sz w:val="21"/>
          <w:szCs w:val="21"/>
        </w:rPr>
      </w:pPr>
      <w:r>
        <w:rPr>
          <w:b/>
          <w:bCs/>
          <w:sz w:val="21"/>
          <w:szCs w:val="21"/>
        </w:rPr>
        <w:lastRenderedPageBreak/>
        <w:t>Qualificador 1, Conotação sexual.</w:t>
      </w:r>
      <w:r>
        <w:rPr>
          <w:sz w:val="21"/>
          <w:szCs w:val="21"/>
        </w:rPr>
        <w:t xml:space="preserve"> Quando a ofensa verbal tem conteúdo sexual, comentários sobre o corpo com conotação sexual, vocabulário de cunho sexual dirigido à vítima, insinuações ou convites sexuais formulados de forma ofensiva, o Eixo 7 redireciona para o Eixo 3 (Assédio Sexual), onde o fluxo especializado da NT nº 3285/2023 é aplicado. A violência verbal com conotação sexual é, simultaneamente, ato de conotação sexual, e o tipo mais específico prevalece na análise.</w:t>
      </w:r>
    </w:p>
    <w:p w14:paraId="3BCFE24A" w14:textId="77777777" w:rsidR="00A052E7" w:rsidRPr="00A052E7" w:rsidRDefault="00A052E7" w:rsidP="00A052E7">
      <w:pPr>
        <w:spacing w:after="120"/>
        <w:jc w:val="both"/>
        <w:rPr>
          <w:sz w:val="21"/>
          <w:szCs w:val="21"/>
        </w:rPr>
      </w:pPr>
      <w:r>
        <w:rPr>
          <w:b/>
          <w:bCs/>
          <w:sz w:val="21"/>
          <w:szCs w:val="21"/>
        </w:rPr>
        <w:t>Qualificador 2, Motivação discriminatória.</w:t>
      </w:r>
      <w:r>
        <w:rPr>
          <w:sz w:val="21"/>
          <w:szCs w:val="21"/>
        </w:rPr>
        <w:t xml:space="preserve"> Quando a ofensa verbal é motivada por característica pessoal protegida da vítima, insultos racistas, ofensas misóginas, xingamentos homofóbicos, vocabulário ofensivo sobre a deficiência ou a religião da vítima, o Eixo 7 redireciona para o Eixo 4 (Discriminação). Aqui, a violência verbal é o veículo de uma conduta discriminatória, e o eixo especializado oferece análise mais precisa e enquadramento mais adequado.</w:t>
      </w:r>
    </w:p>
    <w:p w14:paraId="3128FA77" w14:textId="77777777" w:rsidR="00A052E7" w:rsidRPr="00A052E7" w:rsidRDefault="00A052E7" w:rsidP="00A052E7">
      <w:pPr>
        <w:spacing w:after="120"/>
        <w:jc w:val="both"/>
        <w:rPr>
          <w:sz w:val="21"/>
          <w:szCs w:val="21"/>
        </w:rPr>
      </w:pPr>
      <w:r>
        <w:rPr>
          <w:b/>
          <w:bCs/>
          <w:sz w:val="21"/>
          <w:szCs w:val="21"/>
        </w:rPr>
        <w:t>Qualificador 3, Publicidade e gravidade.</w:t>
      </w:r>
      <w:r>
        <w:rPr>
          <w:sz w:val="21"/>
          <w:szCs w:val="21"/>
        </w:rPr>
        <w:t xml:space="preserve"> Para as ofensas verbais que não apresentam conotação sexual nem motivação discriminatória, a bifurcação central do Eixo 7 é a combinação de publicidade e gravidade. Ofensa pública de elevada gravidade abre o caminho para o art. 132, V (conduta escandalosa) ou para o art. 117, IX (uso do cargo), dependendo da presença ou ausência do uso instrumental das prerrogativas funcionais. Ofensa sem publicidade ou de gravidade menor permanece no art. 116, XI (urbanidade).</w:t>
      </w:r>
    </w:p>
    <w:p w14:paraId="0C1D68F2" w14:textId="77777777" w:rsidR="00287D58" w:rsidRDefault="003B78AF">
      <w:pPr>
        <w:pStyle w:val="Ttulo2"/>
        <w:keepNext/>
      </w:pPr>
      <w:bookmarkStart w:id="98" w:name="_Toc238022093"/>
      <w:r>
        <w:t>8.6 A avaliação da publicidade e da gravidade</w:t>
      </w:r>
      <w:bookmarkEnd w:id="98"/>
    </w:p>
    <w:p w14:paraId="5F4FCADA" w14:textId="77777777" w:rsidR="00A052E7" w:rsidRPr="00A052E7" w:rsidRDefault="00A052E7" w:rsidP="00A052E7">
      <w:pPr>
        <w:spacing w:after="120"/>
        <w:jc w:val="both"/>
        <w:rPr>
          <w:sz w:val="21"/>
          <w:szCs w:val="21"/>
        </w:rPr>
      </w:pPr>
      <w:r>
        <w:rPr>
          <w:sz w:val="21"/>
          <w:szCs w:val="21"/>
        </w:rPr>
        <w:t>A publicidade da ofensa verbal é circunstância qualificadora de especial relevância. Ela transforma uma ofensa interpessoal, que existe entre o agressor e a vítima, numa ofensa institucional, presenciada por outros servidores, que compromete o ambiente de trabalho coletivo e a imagem da instituição.</w:t>
      </w:r>
    </w:p>
    <w:p w14:paraId="1325FD37" w14:textId="77777777" w:rsidR="00A052E7" w:rsidRPr="00A052E7" w:rsidRDefault="00A052E7" w:rsidP="00A052E7">
      <w:pPr>
        <w:spacing w:after="120"/>
        <w:jc w:val="both"/>
        <w:rPr>
          <w:sz w:val="21"/>
          <w:szCs w:val="21"/>
        </w:rPr>
      </w:pPr>
      <w:r>
        <w:rPr>
          <w:sz w:val="21"/>
          <w:szCs w:val="21"/>
        </w:rPr>
        <w:t>Para os fins do Eixo 7, a ofensa é pública quando proferida:</w:t>
      </w:r>
    </w:p>
    <w:p w14:paraId="336FEFA9" w14:textId="77777777" w:rsidR="00A052E7" w:rsidRPr="00A052E7" w:rsidRDefault="00A052E7">
      <w:pPr>
        <w:numPr>
          <w:ilvl w:val="0"/>
          <w:numId w:val="18"/>
        </w:numPr>
        <w:spacing w:after="120"/>
        <w:jc w:val="both"/>
        <w:rPr>
          <w:sz w:val="21"/>
          <w:szCs w:val="21"/>
        </w:rPr>
      </w:pPr>
      <w:r>
        <w:rPr>
          <w:sz w:val="21"/>
          <w:szCs w:val="21"/>
        </w:rPr>
        <w:t>em reunião de equipe, independentemente do número de participantes;</w:t>
      </w:r>
    </w:p>
    <w:p w14:paraId="684A0793" w14:textId="77777777" w:rsidR="00A052E7" w:rsidRPr="00A052E7" w:rsidRDefault="00A052E7">
      <w:pPr>
        <w:numPr>
          <w:ilvl w:val="0"/>
          <w:numId w:val="18"/>
        </w:numPr>
        <w:spacing w:after="120"/>
        <w:jc w:val="both"/>
        <w:rPr>
          <w:sz w:val="21"/>
          <w:szCs w:val="21"/>
        </w:rPr>
      </w:pPr>
      <w:r>
        <w:rPr>
          <w:sz w:val="21"/>
          <w:szCs w:val="21"/>
        </w:rPr>
        <w:t>no ambiente físico comum da repartição (corredor, sala coletiva, refeitório) com a presença de outros servidores;</w:t>
      </w:r>
    </w:p>
    <w:p w14:paraId="7B1182CB" w14:textId="77777777" w:rsidR="00A052E7" w:rsidRPr="00A052E7" w:rsidRDefault="00A052E7">
      <w:pPr>
        <w:numPr>
          <w:ilvl w:val="0"/>
          <w:numId w:val="18"/>
        </w:numPr>
        <w:spacing w:after="120"/>
        <w:jc w:val="both"/>
        <w:rPr>
          <w:sz w:val="21"/>
          <w:szCs w:val="21"/>
        </w:rPr>
      </w:pPr>
      <w:r>
        <w:rPr>
          <w:sz w:val="21"/>
          <w:szCs w:val="21"/>
        </w:rPr>
        <w:t>em comunicação institucional com múltiplos destinatários (e-mail para lista, mensagem em grupo de trabalho, comunicado oficial);</w:t>
      </w:r>
    </w:p>
    <w:p w14:paraId="69D39144" w14:textId="77777777" w:rsidR="00A052E7" w:rsidRPr="00A052E7" w:rsidRDefault="00A052E7">
      <w:pPr>
        <w:numPr>
          <w:ilvl w:val="0"/>
          <w:numId w:val="18"/>
        </w:numPr>
        <w:spacing w:after="120"/>
        <w:jc w:val="both"/>
        <w:rPr>
          <w:sz w:val="21"/>
          <w:szCs w:val="21"/>
        </w:rPr>
      </w:pPr>
      <w:r>
        <w:rPr>
          <w:sz w:val="21"/>
          <w:szCs w:val="21"/>
        </w:rPr>
        <w:t>em evento externo em que o servidor representa a instituição.</w:t>
      </w:r>
    </w:p>
    <w:p w14:paraId="7478D0B7" w14:textId="77777777" w:rsidR="00A052E7" w:rsidRPr="00A052E7" w:rsidRDefault="00A052E7" w:rsidP="00A052E7">
      <w:pPr>
        <w:spacing w:after="120"/>
        <w:jc w:val="both"/>
        <w:rPr>
          <w:sz w:val="21"/>
          <w:szCs w:val="21"/>
        </w:rPr>
      </w:pPr>
      <w:r>
        <w:rPr>
          <w:sz w:val="21"/>
          <w:szCs w:val="21"/>
        </w:rPr>
        <w:t>A publicidade não exige plateia numerosa. Três testemunhas são suficientes para que a ofensa tenha dimensão pública, e para que o efeito sobre o ambiente de trabalho e sobre a percepção coletiva do clima organizacional seja concreto. O que a publicidade acrescenta à ofensa é o elemento de escândalo: a percepção compartilhada de que algo inaceitável foi praticado, que não deveria ter acontecido, e que compromete a credibilidade institucional de quem o praticou e da instituição que o tolera.</w:t>
      </w:r>
    </w:p>
    <w:p w14:paraId="59EBF5B7" w14:textId="77777777" w:rsidR="00A052E7" w:rsidRDefault="00A052E7" w:rsidP="00A052E7">
      <w:pPr>
        <w:spacing w:after="120"/>
        <w:jc w:val="both"/>
        <w:rPr>
          <w:sz w:val="21"/>
          <w:szCs w:val="21"/>
        </w:rPr>
      </w:pPr>
      <w:r>
        <w:rPr>
          <w:sz w:val="21"/>
          <w:szCs w:val="21"/>
        </w:rPr>
        <w:t>A ofensa proferida em conversa particular, a sós com a vítima, sem testemunhas e sem repercussão documentada, não tem esse elemento de escândalo, embora possa ter gravidade individual significativa e merecer enquadramento no art. 116, IX. A distinção entre ofensa pública e privada tem relevância na avaliação do enquadramento, mas não na da reprovabilidade moral da conduta.</w:t>
      </w:r>
    </w:p>
    <w:p w14:paraId="4C3E436C" w14:textId="77777777" w:rsidR="007A4118" w:rsidRPr="007A4118" w:rsidRDefault="007A4118" w:rsidP="007A4118">
      <w:pPr>
        <w:spacing w:after="120"/>
        <w:jc w:val="both"/>
        <w:rPr>
          <w:sz w:val="21"/>
          <w:szCs w:val="21"/>
        </w:rPr>
      </w:pPr>
      <w:r>
        <w:rPr>
          <w:sz w:val="21"/>
          <w:szCs w:val="21"/>
        </w:rPr>
        <w:t xml:space="preserve">A gravidade do conteúdo da ofensa verbal deve ser avaliada objetivamente, pelo que as palavras dizem, pelo contexto em que foram proferidas e pelo impacto razoavelmente esperável sobre a vítima, sem que o padrão de avaliação seja determinado pelas alegações do agressor ("foi brincadeira", "é meu jeito </w:t>
      </w:r>
      <w:r>
        <w:rPr>
          <w:sz w:val="21"/>
          <w:szCs w:val="21"/>
        </w:rPr>
        <w:lastRenderedPageBreak/>
        <w:t>de falar") ou pela reação específica da vítima (que pode variar por razões pessoais, culturais ou de contexto).</w:t>
      </w:r>
    </w:p>
    <w:p w14:paraId="0BAD6D30" w14:textId="77777777" w:rsidR="007A4118" w:rsidRPr="007A4118" w:rsidRDefault="007A4118" w:rsidP="007A4118">
      <w:pPr>
        <w:spacing w:after="120"/>
        <w:jc w:val="both"/>
        <w:rPr>
          <w:sz w:val="21"/>
          <w:szCs w:val="21"/>
        </w:rPr>
      </w:pPr>
      <w:r>
        <w:rPr>
          <w:sz w:val="21"/>
          <w:szCs w:val="21"/>
        </w:rPr>
        <w:t>São circunstâncias que elevam a gravidade da ofensa verbal:</w:t>
      </w:r>
    </w:p>
    <w:p w14:paraId="174293F2" w14:textId="77777777" w:rsidR="007A4118" w:rsidRPr="007A4118" w:rsidRDefault="007A4118" w:rsidP="007A4118">
      <w:pPr>
        <w:spacing w:after="120"/>
        <w:jc w:val="both"/>
        <w:rPr>
          <w:sz w:val="21"/>
          <w:szCs w:val="21"/>
        </w:rPr>
      </w:pPr>
      <w:r>
        <w:rPr>
          <w:b/>
          <w:bCs/>
          <w:sz w:val="21"/>
          <w:szCs w:val="21"/>
        </w:rPr>
        <w:t>Conteúdo gravemente ofensivo à dignidade pessoal.</w:t>
      </w:r>
      <w:r>
        <w:rPr>
          <w:sz w:val="21"/>
          <w:szCs w:val="21"/>
        </w:rPr>
        <w:t xml:space="preserve"> Expressões que atacam a integridade moral da pessoa, atribuição de desonestidade, covardia, incapacidade intelectual grave, em formulação que vai além da crítica ao trabalho e atinge o ser da vítima como pessoa. Há vocabulário que, independentemente do contexto, é gravemente ofensivo.</w:t>
      </w:r>
    </w:p>
    <w:p w14:paraId="703265A8" w14:textId="77777777" w:rsidR="007A4118" w:rsidRPr="007A4118" w:rsidRDefault="007A4118" w:rsidP="007A4118">
      <w:pPr>
        <w:spacing w:after="120"/>
        <w:jc w:val="both"/>
        <w:rPr>
          <w:sz w:val="21"/>
          <w:szCs w:val="21"/>
        </w:rPr>
      </w:pPr>
      <w:r>
        <w:rPr>
          <w:b/>
          <w:bCs/>
          <w:sz w:val="21"/>
          <w:szCs w:val="21"/>
        </w:rPr>
        <w:t>Recorrência dirigida à mesma vítima.</w:t>
      </w:r>
      <w:r>
        <w:rPr>
          <w:sz w:val="21"/>
          <w:szCs w:val="21"/>
        </w:rPr>
        <w:t xml:space="preserve"> A reiteração das ofensas, mesmo que cada episódio isolado possa ser qualificado como de menor gravidade, eleva o padrão de gravidade e pode aproximar a análise do eixo de assédio moral, pois o padrão reiterado de violência verbal constitui o tipo de "condutas abusivas de forma repetitiva" que a NT nº 93/2024 identifica como assédio moral.</w:t>
      </w:r>
    </w:p>
    <w:p w14:paraId="5872C774" w14:textId="77777777" w:rsidR="007A4118" w:rsidRPr="007A4118" w:rsidRDefault="007A4118" w:rsidP="007A4118">
      <w:pPr>
        <w:spacing w:after="120"/>
        <w:jc w:val="both"/>
        <w:rPr>
          <w:sz w:val="21"/>
          <w:szCs w:val="21"/>
        </w:rPr>
      </w:pPr>
      <w:r>
        <w:rPr>
          <w:b/>
          <w:bCs/>
          <w:sz w:val="21"/>
          <w:szCs w:val="21"/>
        </w:rPr>
        <w:t>Impacto documentado na vítima.</w:t>
      </w:r>
      <w:r>
        <w:rPr>
          <w:sz w:val="21"/>
          <w:szCs w:val="21"/>
        </w:rPr>
        <w:t xml:space="preserve"> Laudo psicológico, afastamento por licença médica, testemunho de colegas sobre deterioração perceptível do estado da vítima após a ofensa, todos são elementos que demonstram gravidade concreta e não apenas abstrata.</w:t>
      </w:r>
    </w:p>
    <w:p w14:paraId="465A9CDC" w14:textId="77777777" w:rsidR="007A4118" w:rsidRPr="007A4118" w:rsidRDefault="007A4118" w:rsidP="007A4118">
      <w:pPr>
        <w:spacing w:after="120"/>
        <w:jc w:val="both"/>
        <w:rPr>
          <w:sz w:val="21"/>
          <w:szCs w:val="21"/>
        </w:rPr>
      </w:pPr>
      <w:r>
        <w:rPr>
          <w:b/>
          <w:bCs/>
          <w:sz w:val="21"/>
          <w:szCs w:val="21"/>
        </w:rPr>
        <w:t>Contexto de assimetria de poder.</w:t>
      </w:r>
      <w:r>
        <w:rPr>
          <w:sz w:val="21"/>
          <w:szCs w:val="21"/>
        </w:rPr>
        <w:t xml:space="preserve"> A ofensa do superior ao subordinado é estruturalmente mais </w:t>
      </w:r>
      <w:proofErr w:type="gramStart"/>
      <w:r>
        <w:rPr>
          <w:sz w:val="21"/>
          <w:szCs w:val="21"/>
        </w:rPr>
        <w:t>grave</w:t>
      </w:r>
      <w:proofErr w:type="gramEnd"/>
      <w:r>
        <w:rPr>
          <w:sz w:val="21"/>
          <w:szCs w:val="21"/>
        </w:rPr>
        <w:t xml:space="preserve"> do que a ofensa entre pares, pelo mesmo mecanismo que agrava todas as condutas abusivas em contexto hierárquico: a vítima não pode simplesmente se afastar, e a autoridade do agressor sobre as condições de trabalho da vítima dá à ofensa uma dimensão institucional que a ofensa entre pares não tem.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287D58" w14:paraId="375271B6" w14:textId="77777777">
        <w:tc>
          <w:tcPr>
            <w:tcW w:w="9070" w:type="dxa"/>
            <w:tcBorders>
              <w:left w:val="single" w:sz="24" w:space="0" w:color="C9A35C"/>
            </w:tcBorders>
            <w:shd w:val="clear" w:color="auto" w:fill="DCE6F4"/>
            <w:tcMar>
              <w:top w:w="120" w:type="dxa"/>
              <w:left w:w="200" w:type="dxa"/>
              <w:bottom w:w="120" w:type="dxa"/>
              <w:right w:w="160" w:type="dxa"/>
            </w:tcMar>
          </w:tcPr>
          <w:p w14:paraId="1D407718" w14:textId="77777777" w:rsidR="00287D58" w:rsidRDefault="003B78AF">
            <w:pPr>
              <w:spacing w:after="40"/>
            </w:pPr>
            <w:r>
              <w:rPr>
                <w:rFonts w:ascii="Barlow Condensed" w:eastAsia="Barlow Condensed" w:hAnsi="Barlow Condensed" w:cs="Barlow Condensed"/>
                <w:b/>
                <w:bCs/>
                <w:color w:val="C9A35C"/>
                <w:spacing w:val="20"/>
                <w:sz w:val="16"/>
                <w:szCs w:val="16"/>
              </w:rPr>
              <w:t>NOTA</w:t>
            </w:r>
          </w:p>
          <w:p w14:paraId="4D259F05" w14:textId="77777777" w:rsidR="00287D58" w:rsidRDefault="003B78AF" w:rsidP="00C91E2E">
            <w:pPr>
              <w:spacing w:line="240" w:lineRule="auto"/>
              <w:jc w:val="both"/>
            </w:pPr>
            <w:r>
              <w:rPr>
                <w:b/>
                <w:bCs/>
                <w:sz w:val="21"/>
                <w:szCs w:val="21"/>
              </w:rPr>
              <w:t xml:space="preserve">Crítica construtiva não é violência verbal. </w:t>
            </w:r>
            <w:r>
              <w:rPr>
                <w:sz w:val="21"/>
                <w:szCs w:val="21"/>
              </w:rPr>
              <w:t>A avaliação negativa fundamentada, a cobrança de desempenho com critérios objetivos, a comunicação direta de insatisfação com o trabalho entregue não configuram violência verbal. O que a distingue é o objeto: a crítica legítima dirige-se ao trabalho; a violência verbal dirige-se à pessoa.</w:t>
            </w:r>
          </w:p>
        </w:tc>
      </w:tr>
    </w:tbl>
    <w:p w14:paraId="70E1265C" w14:textId="77777777" w:rsidR="00287D58" w:rsidRDefault="003B78AF">
      <w:pPr>
        <w:pStyle w:val="Ttulo2"/>
        <w:keepNext/>
      </w:pPr>
      <w:bookmarkStart w:id="99" w:name="_Toc238022094"/>
      <w:r>
        <w:t>8.7 O uso do cargo como qualificador máximo</w:t>
      </w:r>
      <w:bookmarkEnd w:id="99"/>
    </w:p>
    <w:p w14:paraId="0889900F" w14:textId="77777777" w:rsidR="005A1320" w:rsidRPr="005A1320" w:rsidRDefault="005A1320" w:rsidP="005A1320">
      <w:pPr>
        <w:spacing w:after="120"/>
        <w:jc w:val="both"/>
        <w:rPr>
          <w:sz w:val="21"/>
          <w:szCs w:val="21"/>
        </w:rPr>
      </w:pPr>
      <w:r>
        <w:rPr>
          <w:sz w:val="21"/>
          <w:szCs w:val="21"/>
        </w:rPr>
        <w:t>Quando a violência verbal é praticada com uso instrumental das prerrogativas do cargo como mecanismo de humilhação, o enquadramento alcança o art. 117, IX, independentemente de a ofensa ser pública ou não, e independentemente de ter atingido o limiar do "escandaloso".</w:t>
      </w:r>
    </w:p>
    <w:p w14:paraId="20685403" w14:textId="77777777" w:rsidR="005A1320" w:rsidRPr="005A1320" w:rsidRDefault="005A1320" w:rsidP="005A1320">
      <w:pPr>
        <w:spacing w:after="120"/>
        <w:jc w:val="both"/>
        <w:rPr>
          <w:sz w:val="21"/>
          <w:szCs w:val="21"/>
        </w:rPr>
      </w:pPr>
      <w:r>
        <w:rPr>
          <w:sz w:val="21"/>
          <w:szCs w:val="21"/>
        </w:rPr>
        <w:t>O uso do cargo na violência verbal manifesta-se quando o agressor emprega a autoridade funcional para:</w:t>
      </w:r>
    </w:p>
    <w:p w14:paraId="5D6BB248" w14:textId="77777777" w:rsidR="005A1320" w:rsidRPr="005A1320" w:rsidRDefault="005A1320">
      <w:pPr>
        <w:numPr>
          <w:ilvl w:val="0"/>
          <w:numId w:val="19"/>
        </w:numPr>
        <w:spacing w:after="120"/>
        <w:jc w:val="both"/>
        <w:rPr>
          <w:sz w:val="21"/>
          <w:szCs w:val="21"/>
        </w:rPr>
      </w:pPr>
      <w:r>
        <w:rPr>
          <w:sz w:val="21"/>
          <w:szCs w:val="21"/>
        </w:rPr>
        <w:t>praticar a ofensa em contexto institucional formal em que essa autoridade está presente (reunião de avaliação, comunicado oficial, ato de gestão);</w:t>
      </w:r>
    </w:p>
    <w:p w14:paraId="07A36108" w14:textId="77777777" w:rsidR="005A1320" w:rsidRPr="005A1320" w:rsidRDefault="005A1320">
      <w:pPr>
        <w:numPr>
          <w:ilvl w:val="0"/>
          <w:numId w:val="19"/>
        </w:numPr>
        <w:spacing w:after="120"/>
        <w:jc w:val="both"/>
        <w:rPr>
          <w:sz w:val="21"/>
          <w:szCs w:val="21"/>
        </w:rPr>
      </w:pPr>
      <w:r>
        <w:rPr>
          <w:sz w:val="21"/>
          <w:szCs w:val="21"/>
        </w:rPr>
        <w:t>usar a posição hierárquica para garantir que a vítima não possa responder ou sair da situação;</w:t>
      </w:r>
    </w:p>
    <w:p w14:paraId="21CE2076" w14:textId="77777777" w:rsidR="005A1320" w:rsidRPr="005A1320" w:rsidRDefault="005A1320">
      <w:pPr>
        <w:numPr>
          <w:ilvl w:val="0"/>
          <w:numId w:val="19"/>
        </w:numPr>
        <w:spacing w:after="120"/>
        <w:jc w:val="both"/>
        <w:rPr>
          <w:sz w:val="21"/>
          <w:szCs w:val="21"/>
        </w:rPr>
      </w:pPr>
      <w:r>
        <w:rPr>
          <w:sz w:val="21"/>
          <w:szCs w:val="21"/>
        </w:rPr>
        <w:t>combinar a ofensa verbal com ato funcional contemporâneo ou subsequente que demonstra o uso da autoridade como instrumento (a ofensa seguida de designação punitiva, de avaliação negativa, de exclusão de projeto).</w:t>
      </w:r>
    </w:p>
    <w:p w14:paraId="7BC01D50" w14:textId="77777777" w:rsidR="005A1320" w:rsidRDefault="005A1320" w:rsidP="005A1320">
      <w:pPr>
        <w:spacing w:after="120"/>
        <w:jc w:val="both"/>
        <w:rPr>
          <w:sz w:val="21"/>
          <w:szCs w:val="21"/>
        </w:rPr>
      </w:pPr>
      <w:r>
        <w:rPr>
          <w:sz w:val="21"/>
          <w:szCs w:val="21"/>
        </w:rPr>
        <w:t xml:space="preserve">O que o art. 117, IX requer não é a mera existência de hierarquia, que está presente em qualquer relação vertical, mas o uso ativo das prerrogativas do cargo como instrumento da conduta. O superior que xinga o subordinado em conversa informal, sem qualquer elemento que indique uso das </w:t>
      </w:r>
      <w:r>
        <w:rPr>
          <w:sz w:val="21"/>
          <w:szCs w:val="21"/>
        </w:rPr>
        <w:lastRenderedPageBreak/>
        <w:t xml:space="preserve">prerrogativas funcionais, não </w:t>
      </w:r>
      <w:proofErr w:type="gramStart"/>
      <w:r>
        <w:rPr>
          <w:sz w:val="21"/>
          <w:szCs w:val="21"/>
        </w:rPr>
        <w:t>pratica</w:t>
      </w:r>
      <w:proofErr w:type="gramEnd"/>
      <w:r>
        <w:rPr>
          <w:sz w:val="21"/>
          <w:szCs w:val="21"/>
        </w:rPr>
        <w:t xml:space="preserve"> valimento do cargo no sentido do art. 117, IX, </w:t>
      </w:r>
      <w:proofErr w:type="gramStart"/>
      <w:r>
        <w:rPr>
          <w:sz w:val="21"/>
          <w:szCs w:val="21"/>
        </w:rPr>
        <w:t>pratica</w:t>
      </w:r>
      <w:proofErr w:type="gramEnd"/>
      <w:r>
        <w:rPr>
          <w:sz w:val="21"/>
          <w:szCs w:val="21"/>
        </w:rPr>
        <w:t xml:space="preserve"> violação do dever de urbanidade ou, conforme a gravidade, conduta escandalosa, mas não necessariamente o valimento do cargo.</w:t>
      </w:r>
    </w:p>
    <w:p w14:paraId="14318D16" w14:textId="77777777" w:rsidR="005A1320" w:rsidRDefault="005A1320" w:rsidP="005A1320">
      <w:pPr>
        <w:pStyle w:val="Ttulo2"/>
        <w:keepNext/>
      </w:pPr>
      <w:bookmarkStart w:id="100" w:name="_Toc238022095"/>
      <w:r>
        <w:t>8.8 A relação com os demais eixos: fronteiras e sobreposições</w:t>
      </w:r>
      <w:bookmarkEnd w:id="100"/>
    </w:p>
    <w:p w14:paraId="4BFE44C1" w14:textId="77777777" w:rsidR="00C21A22" w:rsidRPr="00C21A22" w:rsidRDefault="00C21A22" w:rsidP="00C21A22">
      <w:pPr>
        <w:spacing w:after="120"/>
        <w:jc w:val="both"/>
        <w:rPr>
          <w:sz w:val="21"/>
          <w:szCs w:val="21"/>
        </w:rPr>
      </w:pPr>
      <w:r>
        <w:rPr>
          <w:sz w:val="21"/>
          <w:szCs w:val="21"/>
        </w:rPr>
        <w:t xml:space="preserve">A violência verbal ocupa posição particular no sistema de eixos da ferramenta </w:t>
      </w:r>
      <w:proofErr w:type="spellStart"/>
      <w:r>
        <w:rPr>
          <w:sz w:val="21"/>
          <w:szCs w:val="21"/>
        </w:rPr>
        <w:t>Integritas</w:t>
      </w:r>
      <w:proofErr w:type="spellEnd"/>
      <w:r>
        <w:rPr>
          <w:sz w:val="21"/>
          <w:szCs w:val="21"/>
        </w:rPr>
        <w:t xml:space="preserve"> porque tem relações de fronteira ou sobreposição com quase todos os outros eixos:</w:t>
      </w:r>
    </w:p>
    <w:p w14:paraId="74A0900E" w14:textId="77777777" w:rsidR="00C21A22" w:rsidRPr="00C21A22" w:rsidRDefault="00C21A22" w:rsidP="00C21A22">
      <w:pPr>
        <w:spacing w:after="120"/>
        <w:jc w:val="both"/>
        <w:rPr>
          <w:sz w:val="21"/>
          <w:szCs w:val="21"/>
        </w:rPr>
      </w:pPr>
      <w:r>
        <w:rPr>
          <w:b/>
          <w:bCs/>
          <w:sz w:val="21"/>
          <w:szCs w:val="21"/>
        </w:rPr>
        <w:t>Violência verbal e ameaça (Eixo 2).</w:t>
      </w:r>
      <w:r>
        <w:rPr>
          <w:sz w:val="21"/>
          <w:szCs w:val="21"/>
        </w:rPr>
        <w:t xml:space="preserve"> Como detalhado na seção 8.3, a fronteira é a presença ou ausência de anúncio de mal futuro. Quando a mesma comunicação contém ambos, ofensa presente e anúncio de consequência futura, prevalece a análise pelo Eixo 2 (ameaça), com a ofensa verbal tratada como circunstância de agravamento.</w:t>
      </w:r>
    </w:p>
    <w:p w14:paraId="4EC35129" w14:textId="77777777" w:rsidR="00C21A22" w:rsidRPr="00C21A22" w:rsidRDefault="00C21A22" w:rsidP="00C21A22">
      <w:pPr>
        <w:spacing w:after="120"/>
        <w:jc w:val="both"/>
        <w:rPr>
          <w:sz w:val="21"/>
          <w:szCs w:val="21"/>
        </w:rPr>
      </w:pPr>
      <w:r>
        <w:rPr>
          <w:b/>
          <w:bCs/>
          <w:sz w:val="21"/>
          <w:szCs w:val="21"/>
        </w:rPr>
        <w:t>Violência verbal e assédio sexual (Eixo 3).</w:t>
      </w:r>
      <w:r>
        <w:rPr>
          <w:sz w:val="21"/>
          <w:szCs w:val="21"/>
        </w:rPr>
        <w:t xml:space="preserve"> Quando a ofensa verbal tem conotação sexual, o Eixo 7 redireciona para o Eixo 3. A violência verbal de conteúdo sexual é, simultaneamente, ato de conotação sexual, e a análise pelo fluxo especializado da NT nº 3285/2023 oferece enquadramento mais preciso.</w:t>
      </w:r>
    </w:p>
    <w:p w14:paraId="360D7746" w14:textId="77777777" w:rsidR="00C21A22" w:rsidRPr="00C21A22" w:rsidRDefault="00C21A22" w:rsidP="00C21A22">
      <w:pPr>
        <w:spacing w:after="120"/>
        <w:jc w:val="both"/>
        <w:rPr>
          <w:sz w:val="21"/>
          <w:szCs w:val="21"/>
        </w:rPr>
      </w:pPr>
      <w:r>
        <w:rPr>
          <w:b/>
          <w:bCs/>
          <w:sz w:val="21"/>
          <w:szCs w:val="21"/>
        </w:rPr>
        <w:t>Violência verbal e discriminação (Eixo 4).</w:t>
      </w:r>
      <w:r>
        <w:rPr>
          <w:sz w:val="21"/>
          <w:szCs w:val="21"/>
        </w:rPr>
        <w:t xml:space="preserve"> Quando a ofensa verbal é motivada por característica pessoal protegida, o Eixo 7 redireciona para o Eixo 4. A violência verbal discriminatória, insulto racista, xingamento homofóbico, é, simultaneamente, conduta discriminatória e merece análise pelo eixo que trata especificamente da discriminação.</w:t>
      </w:r>
    </w:p>
    <w:p w14:paraId="3DA5890E" w14:textId="77777777" w:rsidR="00C21A22" w:rsidRPr="00C21A22" w:rsidRDefault="00C21A22" w:rsidP="00C21A22">
      <w:pPr>
        <w:spacing w:after="120"/>
        <w:jc w:val="both"/>
        <w:rPr>
          <w:sz w:val="21"/>
          <w:szCs w:val="21"/>
        </w:rPr>
      </w:pPr>
      <w:r>
        <w:rPr>
          <w:b/>
          <w:bCs/>
          <w:sz w:val="21"/>
          <w:szCs w:val="21"/>
        </w:rPr>
        <w:t>Violência verbal e assédio moral (Eixo 5).</w:t>
      </w:r>
      <w:r>
        <w:rPr>
          <w:sz w:val="21"/>
          <w:szCs w:val="21"/>
        </w:rPr>
        <w:t xml:space="preserve"> A relação mais complexa é com o assédio moral. Um episódio isolado de violência verbal raramente configura assédio moral, que exige padrão reiterado. Mas um padrão reiterado de violência verbal, dirigido sistematicamente à mesma vítima, constitui exatamente o tipo de conduta abusiva sistemática que a NT nº 93/2024 descreve como assédio moral. O operador que identifica, no Eixo 7, um padrão de reiteração deve verificar se o percurso pelo Eixo 5 é também necessário, e a ferramenta sinaliza essa possibilidade no resultado do Eixo 7 quando há indicação de reiteração.</w:t>
      </w:r>
    </w:p>
    <w:p w14:paraId="1287A2A6" w14:textId="77777777" w:rsidR="00C21A22" w:rsidRDefault="00C21A22" w:rsidP="00C21A22">
      <w:pPr>
        <w:pStyle w:val="Ttulo2"/>
        <w:keepNext/>
      </w:pPr>
      <w:bookmarkStart w:id="101" w:name="_Toc238022096"/>
      <w:r>
        <w:t>8.9 Prescrição: o risco específico da violência verbal de baixa gravidade</w:t>
      </w:r>
      <w:bookmarkEnd w:id="101"/>
    </w:p>
    <w:p w14:paraId="7877757F" w14:textId="77777777" w:rsidR="00652A8B" w:rsidRPr="00652A8B" w:rsidRDefault="00652A8B" w:rsidP="00BB702D">
      <w:pPr>
        <w:jc w:val="both"/>
        <w:rPr>
          <w:sz w:val="21"/>
          <w:szCs w:val="21"/>
        </w:rPr>
      </w:pPr>
      <w:r>
        <w:rPr>
          <w:sz w:val="21"/>
          <w:szCs w:val="21"/>
        </w:rPr>
        <w:t>O prazo prescricional de 180 dias para a advertência (art. 142, III, da Lei nº 8.112, de 1990) é o mais exíguo do regime disciplinar e produz, no contexto da violência verbal, um risco prático que o operador deve identificar antes de qualquer outro ato.</w:t>
      </w:r>
    </w:p>
    <w:p w14:paraId="19E37603" w14:textId="77777777" w:rsidR="00652A8B" w:rsidRPr="00652A8B" w:rsidRDefault="00652A8B" w:rsidP="00BB702D">
      <w:pPr>
        <w:jc w:val="both"/>
        <w:rPr>
          <w:sz w:val="21"/>
          <w:szCs w:val="21"/>
        </w:rPr>
      </w:pPr>
      <w:r>
        <w:rPr>
          <w:sz w:val="21"/>
          <w:szCs w:val="21"/>
        </w:rPr>
        <w:t>A violência verbal de baixa gravidade, ofensa verbal sem publicidade, sem uso do cargo, sem motivação discriminatória ou conotação sexual, enquadra-se tipicamente no art. 116, XI (urbanidade), com penalidade de advertência. O prazo de 180 dias para essa penalidade começa a correr da data em que a autoridade competente tomou conhecimento do fato. Em processos que chegam à apuração formal com seis meses ou mais de atraso após o conhecimento, o que é frequente, a prescrição pode já ter operado.</w:t>
      </w:r>
    </w:p>
    <w:p w14:paraId="463301B8" w14:textId="77777777" w:rsidR="00652A8B" w:rsidRPr="00652A8B" w:rsidRDefault="00652A8B" w:rsidP="00BB702D">
      <w:pPr>
        <w:jc w:val="both"/>
        <w:rPr>
          <w:sz w:val="21"/>
          <w:szCs w:val="21"/>
        </w:rPr>
      </w:pPr>
      <w:r>
        <w:rPr>
          <w:sz w:val="21"/>
          <w:szCs w:val="21"/>
        </w:rPr>
        <w:t xml:space="preserve">A ferramenta </w:t>
      </w:r>
      <w:proofErr w:type="spellStart"/>
      <w:r>
        <w:rPr>
          <w:sz w:val="21"/>
          <w:szCs w:val="21"/>
        </w:rPr>
        <w:t>Integritas</w:t>
      </w:r>
      <w:proofErr w:type="spellEnd"/>
      <w:r>
        <w:rPr>
          <w:sz w:val="21"/>
          <w:szCs w:val="21"/>
        </w:rPr>
        <w:t xml:space="preserve"> exibe esse alerta diretamente no resultado do Eixo 7 para as condutas enquadradas como advertência, e o calculador de prescrição permite verificar imediatamente se o prazo está dentro ou fora do limite. Quando a prescrição de 180 dias está comprometida, o operador deve avaliar duas questões: (a) se os fatos permitem enquadramento na penalidade de suspensão, o que exige presença dos qualificadores descritos neste capítulo e não mera conveniência prescricional, pois a dosimetria deve ser fundada na gravidade dos fatos, não no prazo; (b) se o padrão de reiteração </w:t>
      </w:r>
      <w:r>
        <w:rPr>
          <w:sz w:val="21"/>
          <w:szCs w:val="21"/>
        </w:rPr>
        <w:lastRenderedPageBreak/>
        <w:t>permite enquadramento como assédio moral, hipótese em que o prazo prescricional aplicável seria o da penalidade mais grave resultante.</w:t>
      </w:r>
    </w:p>
    <w:p w14:paraId="2DD5C543" w14:textId="77777777" w:rsidR="00652A8B" w:rsidRDefault="00652A8B" w:rsidP="00652A8B">
      <w:pPr>
        <w:pStyle w:val="Ttulo2"/>
        <w:keepNext/>
      </w:pPr>
      <w:bookmarkStart w:id="102" w:name="_Toc238022097"/>
      <w:r>
        <w:t xml:space="preserve">8.10 Síntese operacional: o Eixo 7 da ferramenta </w:t>
      </w:r>
      <w:proofErr w:type="spellStart"/>
      <w:r>
        <w:t>Integritas</w:t>
      </w:r>
      <w:bookmarkEnd w:id="102"/>
      <w:proofErr w:type="spellEnd"/>
    </w:p>
    <w:p w14:paraId="7CFD77DF" w14:textId="77777777" w:rsidR="00BB702D" w:rsidRPr="00BB702D" w:rsidRDefault="00BB702D" w:rsidP="00BB702D">
      <w:pPr>
        <w:jc w:val="both"/>
        <w:rPr>
          <w:sz w:val="21"/>
          <w:szCs w:val="21"/>
        </w:rPr>
      </w:pPr>
      <w:r>
        <w:rPr>
          <w:sz w:val="21"/>
          <w:szCs w:val="21"/>
        </w:rPr>
        <w:t xml:space="preserve">O Eixo 7 percorre sete bifurcações: (P1) a conduta é ofensa verbal sem conteúdo </w:t>
      </w:r>
      <w:proofErr w:type="spellStart"/>
      <w:proofErr w:type="gramStart"/>
      <w:r>
        <w:rPr>
          <w:sz w:val="21"/>
          <w:szCs w:val="21"/>
        </w:rPr>
        <w:t>ameaçatório</w:t>
      </w:r>
      <w:proofErr w:type="spellEnd"/>
      <w:r>
        <w:rPr>
          <w:sz w:val="21"/>
          <w:szCs w:val="21"/>
        </w:rPr>
        <w:t>?;</w:t>
      </w:r>
      <w:proofErr w:type="gramEnd"/>
      <w:r>
        <w:rPr>
          <w:sz w:val="21"/>
          <w:szCs w:val="21"/>
        </w:rPr>
        <w:t xml:space="preserve"> (P2) tem conotação </w:t>
      </w:r>
      <w:proofErr w:type="gramStart"/>
      <w:r>
        <w:rPr>
          <w:sz w:val="21"/>
          <w:szCs w:val="21"/>
        </w:rPr>
        <w:t>sexual?;</w:t>
      </w:r>
      <w:proofErr w:type="gramEnd"/>
      <w:r>
        <w:rPr>
          <w:sz w:val="21"/>
          <w:szCs w:val="21"/>
        </w:rPr>
        <w:t xml:space="preserve"> (P3) tem motivação </w:t>
      </w:r>
      <w:proofErr w:type="gramStart"/>
      <w:r>
        <w:rPr>
          <w:sz w:val="21"/>
          <w:szCs w:val="21"/>
        </w:rPr>
        <w:t>discriminatória?;</w:t>
      </w:r>
      <w:proofErr w:type="gramEnd"/>
      <w:r>
        <w:rPr>
          <w:sz w:val="21"/>
          <w:szCs w:val="21"/>
        </w:rPr>
        <w:t xml:space="preserve"> (P4) foi pública e de elevada </w:t>
      </w:r>
      <w:proofErr w:type="gramStart"/>
      <w:r>
        <w:rPr>
          <w:sz w:val="21"/>
          <w:szCs w:val="21"/>
        </w:rPr>
        <w:t>gravidade?;</w:t>
      </w:r>
      <w:proofErr w:type="gramEnd"/>
      <w:r>
        <w:rPr>
          <w:sz w:val="21"/>
          <w:szCs w:val="21"/>
        </w:rPr>
        <w:t xml:space="preserve"> (P5) o conteúdo da ofensa foi objetivamente </w:t>
      </w:r>
      <w:proofErr w:type="gramStart"/>
      <w:r>
        <w:rPr>
          <w:sz w:val="21"/>
          <w:szCs w:val="21"/>
        </w:rPr>
        <w:t>degradante?;</w:t>
      </w:r>
      <w:proofErr w:type="gramEnd"/>
      <w:r>
        <w:rPr>
          <w:sz w:val="21"/>
          <w:szCs w:val="21"/>
        </w:rPr>
        <w:t xml:space="preserve"> (P6) há repercussão documentada nos </w:t>
      </w:r>
      <w:proofErr w:type="gramStart"/>
      <w:r>
        <w:rPr>
          <w:sz w:val="21"/>
          <w:szCs w:val="21"/>
        </w:rPr>
        <w:t>autos?;</w:t>
      </w:r>
      <w:proofErr w:type="gramEnd"/>
      <w:r>
        <w:rPr>
          <w:sz w:val="21"/>
          <w:szCs w:val="21"/>
        </w:rPr>
        <w:t xml:space="preserve"> (P7) houve uso do cargo?</w:t>
      </w:r>
    </w:p>
    <w:p w14:paraId="22ECB2BB" w14:textId="77777777" w:rsidR="00BB702D" w:rsidRPr="00BB702D" w:rsidRDefault="00BB702D" w:rsidP="00BB702D">
      <w:pPr>
        <w:jc w:val="both"/>
        <w:rPr>
          <w:sz w:val="21"/>
          <w:szCs w:val="21"/>
        </w:rPr>
      </w:pPr>
      <w:r>
        <w:rPr>
          <w:sz w:val="21"/>
          <w:szCs w:val="21"/>
        </w:rPr>
        <w:t>A estrutura do eixo reflete a hierarquia analítica deste capítulo: verificar primeiro os qualificadores que ativam análise especializada (conotação sexual, motivação discriminatória); identificar depois os qualificadores de gravidade que determinam o patamar de enquadramento (publicidade, gravidade do conteúdo); e verificar por último o uso do cargo como qualificador que eleva o enquadramento ao seu patamar máximo.</w:t>
      </w:r>
    </w:p>
    <w:p w14:paraId="6D916834" w14:textId="77777777" w:rsidR="00BB702D" w:rsidRPr="00BB702D" w:rsidRDefault="00BB702D" w:rsidP="00BB702D">
      <w:pPr>
        <w:jc w:val="both"/>
        <w:rPr>
          <w:sz w:val="21"/>
          <w:szCs w:val="21"/>
        </w:rPr>
      </w:pPr>
      <w:r>
        <w:rPr>
          <w:sz w:val="21"/>
          <w:szCs w:val="21"/>
        </w:rPr>
        <w:t>O operador que percorre o eixo com atenção aos critérios de publicidade, gravidade e uso do cargo descritos nas seções 8.5 a 8.8, e que verifica o prazo prescricional antes de qualquer outra providência nos casos de baixa gravidade, estará realizando análise que não apenas enquadra corretamente a conduta mais frequente nos PADs do serviço público federal, mas que identifica quando essa conduta frequente é, na verdade, manifestação de fenômeno mais grave, discriminação, assédio sexual ou assédio moral, que o eixo especializado analisará com maior precisão.</w:t>
      </w:r>
    </w:p>
    <w:p w14:paraId="7E577C89" w14:textId="77777777" w:rsidR="00BB702D" w:rsidRPr="00652A8B" w:rsidRDefault="00BB702D" w:rsidP="00BB702D">
      <w:pPr>
        <w:rPr>
          <w:sz w:val="21"/>
          <w:szCs w:val="21"/>
        </w:rPr>
      </w:pPr>
    </w:p>
    <w:p w14:paraId="7D519877" w14:textId="77777777" w:rsidR="00287D58" w:rsidRDefault="003B78AF">
      <w:r>
        <w:br w:type="page"/>
      </w:r>
    </w:p>
    <w:p w14:paraId="3E530172"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CAPÍTULO 9</w:t>
      </w:r>
    </w:p>
    <w:p w14:paraId="116B41C4" w14:textId="77777777" w:rsidR="00287D58" w:rsidRDefault="003B78AF">
      <w:pPr>
        <w:pStyle w:val="Ttulo1"/>
        <w:keepNext/>
        <w:pBdr>
          <w:bottom w:val="single" w:sz="12" w:space="6" w:color="C9A35C"/>
        </w:pBdr>
        <w:spacing w:line="400" w:lineRule="exact"/>
      </w:pPr>
      <w:bookmarkStart w:id="103" w:name="_Toc238022098"/>
      <w:r>
        <w:t xml:space="preserve">9. PERSEGUIÇÃO SISTEMÁTICA NO AMBIENTE DE TRABALHO - </w:t>
      </w:r>
      <w:r>
        <w:rPr>
          <w:i/>
          <w:iCs/>
        </w:rPr>
        <w:t>STALKING</w:t>
      </w:r>
      <w:r>
        <w:t>: O ART. 147-A DO CÓDIGO PENAL E O ENQUADRAMENTO DISCIPLINAR</w:t>
      </w:r>
      <w:bookmarkEnd w:id="103"/>
    </w:p>
    <w:p w14:paraId="5AC6BD64" w14:textId="77777777" w:rsidR="00287D58" w:rsidRDefault="003B78AF">
      <w:pPr>
        <w:pStyle w:val="Ttulo2"/>
        <w:keepNext/>
      </w:pPr>
      <w:bookmarkStart w:id="104" w:name="_Toc238022099"/>
      <w:r>
        <w:t>9.1 A criação do tipo penal e seu significado para o direito disciplinar</w:t>
      </w:r>
      <w:bookmarkEnd w:id="104"/>
    </w:p>
    <w:p w14:paraId="155C8038" w14:textId="77777777" w:rsidR="00C77079" w:rsidRPr="00C77079" w:rsidRDefault="00C77079" w:rsidP="00C77079">
      <w:pPr>
        <w:spacing w:after="120"/>
        <w:jc w:val="both"/>
        <w:rPr>
          <w:sz w:val="21"/>
          <w:szCs w:val="21"/>
        </w:rPr>
      </w:pPr>
      <w:r>
        <w:rPr>
          <w:sz w:val="21"/>
          <w:szCs w:val="21"/>
        </w:rPr>
        <w:t xml:space="preserve">A </w:t>
      </w:r>
      <w:r>
        <w:rPr>
          <w:b/>
          <w:bCs/>
          <w:sz w:val="21"/>
          <w:szCs w:val="21"/>
        </w:rPr>
        <w:t>Lei nº 14.132, de 31 de março de 2021</w:t>
      </w:r>
      <w:r>
        <w:rPr>
          <w:sz w:val="21"/>
          <w:szCs w:val="21"/>
        </w:rPr>
        <w:t xml:space="preserve">, inseriu no Código Penal o art. 147-A, criando pela primeira vez no ordenamento jurídico brasileiro um tipo penal autônomo para a perseguição reiterada, o que a língua inglesa nomeia </w:t>
      </w:r>
      <w:proofErr w:type="spellStart"/>
      <w:r>
        <w:rPr>
          <w:i/>
          <w:iCs/>
          <w:sz w:val="21"/>
          <w:szCs w:val="21"/>
        </w:rPr>
        <w:t>stalking</w:t>
      </w:r>
      <w:proofErr w:type="spellEnd"/>
      <w:r>
        <w:rPr>
          <w:sz w:val="21"/>
          <w:szCs w:val="21"/>
        </w:rPr>
        <w:t xml:space="preserve"> e que a literatura científica descreve como o padrão de comportamentos obsessivos, intrusivos e repetitivos dirigidos a uma vítima específica com o efeito de causar-lhe sofrimento, medo e perturbação da vida cotidiana. Antes dessa lei, condutas persecutórias eram tratadas fragmentariamente como constrangimento ilegal (art. 146 do CP), perturbação da tranquilidade (Lei das Contravenções Penais, art. 65) ou ameaça (art. 147 do CP), a depender das circunstâncias, sem que qualquer desses tipos capturasse adequadamente a natureza específica do dano causado pela perseguição: não o dano de um ato isolado, mas o dano cumulativo e progressivo de um padrão de vigilância que coloniza a experiência cotidiana da vítima e a priva da liberdade de se mover, comunicar e existir sem medo.</w:t>
      </w:r>
    </w:p>
    <w:p w14:paraId="18AFA47C" w14:textId="77777777" w:rsidR="00C77079" w:rsidRPr="00C77079" w:rsidRDefault="00C77079" w:rsidP="00C77079">
      <w:pPr>
        <w:spacing w:after="120"/>
        <w:jc w:val="both"/>
        <w:rPr>
          <w:sz w:val="21"/>
          <w:szCs w:val="21"/>
        </w:rPr>
      </w:pPr>
      <w:r>
        <w:rPr>
          <w:sz w:val="21"/>
          <w:szCs w:val="21"/>
        </w:rPr>
        <w:t xml:space="preserve">A relevância da Lei nº 14.132/2021 para o direito disciplinar vai além da criação de um tipo penal que pode ser comunicado ao Ministério Público: ela codificou, no ordenamento brasileiro, o reconhecimento de que a perseguição sistemática é uma forma autônoma de violência, distinta da ameaça, distinta do assédio moral, distinta da discriminação, com elementos constitutivos próprios que exigem análise própria. O Eixo 8 da ferramenta </w:t>
      </w:r>
      <w:proofErr w:type="spellStart"/>
      <w:r>
        <w:rPr>
          <w:sz w:val="21"/>
          <w:szCs w:val="21"/>
        </w:rPr>
        <w:t>Integritas</w:t>
      </w:r>
      <w:proofErr w:type="spellEnd"/>
      <w:r>
        <w:rPr>
          <w:sz w:val="21"/>
          <w:szCs w:val="21"/>
        </w:rPr>
        <w:t xml:space="preserve"> traduz esse reconhecimento para o plano disciplinar: a perseguição sistemática no ambiente funcional é analisada pelo seu eixo específico, não subsumida nos eixos do assédio moral ou da ameaça que capturariam apenas parcialmente o fenômeno.</w:t>
      </w:r>
    </w:p>
    <w:p w14:paraId="2545EF1B" w14:textId="77777777" w:rsidR="00C77079" w:rsidRPr="00C77079" w:rsidRDefault="00C77079" w:rsidP="00C77079">
      <w:pPr>
        <w:spacing w:after="120"/>
        <w:jc w:val="both"/>
        <w:rPr>
          <w:sz w:val="21"/>
          <w:szCs w:val="21"/>
        </w:rPr>
      </w:pPr>
      <w:r>
        <w:rPr>
          <w:sz w:val="21"/>
          <w:szCs w:val="21"/>
        </w:rPr>
        <w:t xml:space="preserve">O § 1º, inciso I, do art. 147-A é particularmente relevante para o contexto da Corregedoria: prevê causa de aumento de pena de metade quando o crime </w:t>
      </w:r>
      <w:proofErr w:type="spellStart"/>
      <w:r>
        <w:rPr>
          <w:sz w:val="21"/>
          <w:szCs w:val="21"/>
        </w:rPr>
        <w:t>é</w:t>
      </w:r>
      <w:proofErr w:type="spellEnd"/>
      <w:r>
        <w:rPr>
          <w:sz w:val="21"/>
          <w:szCs w:val="21"/>
        </w:rPr>
        <w:t xml:space="preserve"> cometido </w:t>
      </w:r>
      <w:r>
        <w:rPr>
          <w:i/>
          <w:iCs/>
          <w:sz w:val="21"/>
          <w:szCs w:val="21"/>
        </w:rPr>
        <w:t>"contra servidor público, no exercício de suas funções ou em razão delas"</w:t>
      </w:r>
      <w:r>
        <w:rPr>
          <w:sz w:val="21"/>
          <w:szCs w:val="21"/>
        </w:rPr>
        <w:t>. O legislador reconheceu explicitamente a vulnerabilidade especial do servidor em contexto funcional, e a gravidade agravada da perseguição que usa o ambiente e os recursos do trabalho como instrumentos de vigilância e controle sobre a vítima.</w:t>
      </w:r>
    </w:p>
    <w:p w14:paraId="06F2B248" w14:textId="77777777" w:rsidR="00287D58" w:rsidRDefault="003B78AF">
      <w:pPr>
        <w:pStyle w:val="Ttulo2"/>
        <w:keepNext/>
      </w:pPr>
      <w:bookmarkStart w:id="105" w:name="_Toc238022100"/>
      <w:r>
        <w:t xml:space="preserve">9.2 O fenômeno do </w:t>
      </w:r>
      <w:proofErr w:type="spellStart"/>
      <w:r>
        <w:rPr>
          <w:i/>
          <w:iCs/>
        </w:rPr>
        <w:t>stalking</w:t>
      </w:r>
      <w:proofErr w:type="spellEnd"/>
      <w:r>
        <w:t>: do reconhecimento clínico ao enquadramento jurídico</w:t>
      </w:r>
      <w:bookmarkEnd w:id="105"/>
    </w:p>
    <w:p w14:paraId="27AE34F9" w14:textId="77777777" w:rsidR="00802484" w:rsidRPr="00802484" w:rsidRDefault="00802484" w:rsidP="00802484">
      <w:pPr>
        <w:spacing w:after="120"/>
        <w:jc w:val="both"/>
        <w:rPr>
          <w:sz w:val="21"/>
          <w:szCs w:val="21"/>
        </w:rPr>
      </w:pPr>
      <w:r>
        <w:rPr>
          <w:sz w:val="21"/>
          <w:szCs w:val="21"/>
        </w:rPr>
        <w:t xml:space="preserve">A nomeação clínica do </w:t>
      </w:r>
      <w:proofErr w:type="spellStart"/>
      <w:r>
        <w:rPr>
          <w:i/>
          <w:iCs/>
          <w:sz w:val="21"/>
          <w:szCs w:val="21"/>
        </w:rPr>
        <w:t>stalking</w:t>
      </w:r>
      <w:proofErr w:type="spellEnd"/>
      <w:r>
        <w:rPr>
          <w:sz w:val="21"/>
          <w:szCs w:val="21"/>
        </w:rPr>
        <w:t xml:space="preserve"> como padrão comportamental patológico e danoso antecede em três décadas a sua codificação legal no Brasil. O trabalho pioneiro de Zona, Sharma e Lane (1993), desenvolvido no contexto da psiquiatria forense norte-americana, identificou o </w:t>
      </w:r>
      <w:proofErr w:type="spellStart"/>
      <w:r>
        <w:rPr>
          <w:i/>
          <w:sz w:val="21"/>
          <w:szCs w:val="21"/>
        </w:rPr>
        <w:t>stalking</w:t>
      </w:r>
      <w:proofErr w:type="spellEnd"/>
      <w:r>
        <w:rPr>
          <w:sz w:val="21"/>
          <w:szCs w:val="21"/>
        </w:rPr>
        <w:t xml:space="preserve"> como padrão distinto de comportamento obsessivo-persecutório com características próprias: direcionamento a vítima específica, reiteração compulsiva, resistência aos pedidos de cessação e escalada progressiva de intensidade ao longo do tempo. Mullen, Pathé e Purcell desenvolveram, em obra que se tornou referência internacional (</w:t>
      </w:r>
      <w:r>
        <w:rPr>
          <w:i/>
          <w:iCs/>
          <w:sz w:val="21"/>
          <w:szCs w:val="21"/>
        </w:rPr>
        <w:t xml:space="preserve">Stalkers </w:t>
      </w:r>
      <w:proofErr w:type="spellStart"/>
      <w:r>
        <w:rPr>
          <w:i/>
          <w:iCs/>
          <w:sz w:val="21"/>
          <w:szCs w:val="21"/>
        </w:rPr>
        <w:t>and</w:t>
      </w:r>
      <w:proofErr w:type="spellEnd"/>
      <w:r>
        <w:rPr>
          <w:i/>
          <w:iCs/>
          <w:sz w:val="21"/>
          <w:szCs w:val="21"/>
        </w:rPr>
        <w:t xml:space="preserve"> </w:t>
      </w:r>
      <w:proofErr w:type="spellStart"/>
      <w:r>
        <w:rPr>
          <w:i/>
          <w:iCs/>
          <w:sz w:val="21"/>
          <w:szCs w:val="21"/>
        </w:rPr>
        <w:t>their</w:t>
      </w:r>
      <w:proofErr w:type="spellEnd"/>
      <w:r>
        <w:rPr>
          <w:i/>
          <w:iCs/>
          <w:sz w:val="21"/>
          <w:szCs w:val="21"/>
        </w:rPr>
        <w:t xml:space="preserve"> </w:t>
      </w:r>
      <w:proofErr w:type="spellStart"/>
      <w:r>
        <w:rPr>
          <w:i/>
          <w:iCs/>
          <w:sz w:val="21"/>
          <w:szCs w:val="21"/>
        </w:rPr>
        <w:t>Victims</w:t>
      </w:r>
      <w:proofErr w:type="spellEnd"/>
      <w:r>
        <w:rPr>
          <w:sz w:val="21"/>
          <w:szCs w:val="21"/>
        </w:rPr>
        <w:t xml:space="preserve">, Cambridge </w:t>
      </w:r>
      <w:proofErr w:type="spellStart"/>
      <w:r>
        <w:rPr>
          <w:sz w:val="21"/>
          <w:szCs w:val="21"/>
        </w:rPr>
        <w:t>University</w:t>
      </w:r>
      <w:proofErr w:type="spellEnd"/>
      <w:r>
        <w:rPr>
          <w:sz w:val="21"/>
          <w:szCs w:val="21"/>
        </w:rPr>
        <w:t xml:space="preserve"> Press, 2000), uma tipologia do </w:t>
      </w:r>
      <w:r>
        <w:rPr>
          <w:i/>
          <w:sz w:val="21"/>
          <w:szCs w:val="21"/>
        </w:rPr>
        <w:t>stalker</w:t>
      </w:r>
      <w:r>
        <w:rPr>
          <w:sz w:val="21"/>
          <w:szCs w:val="21"/>
        </w:rPr>
        <w:t xml:space="preserve"> baseada na motivação: o rejeitado, o ressentido, o predador, o incompetente e o cortejador, cada tipo com dinâmica distinta e padrão de escalada diferente.</w:t>
      </w:r>
    </w:p>
    <w:p w14:paraId="6132EC80" w14:textId="77777777" w:rsidR="00802484" w:rsidRPr="00802484" w:rsidRDefault="00802484" w:rsidP="00802484">
      <w:pPr>
        <w:spacing w:after="120"/>
        <w:jc w:val="both"/>
        <w:rPr>
          <w:sz w:val="21"/>
          <w:szCs w:val="21"/>
        </w:rPr>
      </w:pPr>
      <w:r>
        <w:rPr>
          <w:sz w:val="21"/>
          <w:szCs w:val="21"/>
        </w:rPr>
        <w:lastRenderedPageBreak/>
        <w:t xml:space="preserve">O denominador comum entre todos os tipos, porém, é o efeito sobre a vítima. A pesquisa clínica documentou consistentemente que a vítima de </w:t>
      </w:r>
      <w:proofErr w:type="spellStart"/>
      <w:r>
        <w:rPr>
          <w:i/>
          <w:sz w:val="21"/>
          <w:szCs w:val="21"/>
        </w:rPr>
        <w:t>stalking</w:t>
      </w:r>
      <w:proofErr w:type="spellEnd"/>
      <w:r>
        <w:rPr>
          <w:sz w:val="21"/>
          <w:szCs w:val="21"/>
        </w:rPr>
        <w:t xml:space="preserve"> experimenta o que </w:t>
      </w:r>
      <w:proofErr w:type="spellStart"/>
      <w:r>
        <w:rPr>
          <w:sz w:val="21"/>
          <w:szCs w:val="21"/>
        </w:rPr>
        <w:t>Tjaden</w:t>
      </w:r>
      <w:proofErr w:type="spellEnd"/>
      <w:r>
        <w:rPr>
          <w:sz w:val="21"/>
          <w:szCs w:val="21"/>
        </w:rPr>
        <w:t xml:space="preserve"> e </w:t>
      </w:r>
      <w:proofErr w:type="spellStart"/>
      <w:r>
        <w:rPr>
          <w:sz w:val="21"/>
          <w:szCs w:val="21"/>
        </w:rPr>
        <w:t>Thoennes</w:t>
      </w:r>
      <w:proofErr w:type="spellEnd"/>
      <w:r>
        <w:rPr>
          <w:sz w:val="21"/>
          <w:szCs w:val="21"/>
        </w:rPr>
        <w:t xml:space="preserve"> (1998) descreveram como </w:t>
      </w:r>
      <w:r>
        <w:rPr>
          <w:i/>
          <w:iCs/>
          <w:sz w:val="21"/>
          <w:szCs w:val="21"/>
        </w:rPr>
        <w:t>"terror crônico"</w:t>
      </w:r>
      <w:r>
        <w:rPr>
          <w:sz w:val="21"/>
          <w:szCs w:val="21"/>
        </w:rPr>
        <w:t xml:space="preserve">: não o medo pontual de um ato específico, mas a dissolução da sensação de segurança como estado basal da experiência cotidiana. A vítima de </w:t>
      </w:r>
      <w:proofErr w:type="spellStart"/>
      <w:r>
        <w:rPr>
          <w:i/>
          <w:sz w:val="21"/>
          <w:szCs w:val="21"/>
        </w:rPr>
        <w:t>stalking</w:t>
      </w:r>
      <w:proofErr w:type="spellEnd"/>
      <w:r>
        <w:rPr>
          <w:sz w:val="21"/>
          <w:szCs w:val="21"/>
        </w:rPr>
        <w:t xml:space="preserve"> não teme apenas o próximo encontro: teme a totalidade do espaço e do tempo que habita, porque o </w:t>
      </w:r>
      <w:r>
        <w:rPr>
          <w:i/>
          <w:sz w:val="21"/>
          <w:szCs w:val="21"/>
        </w:rPr>
        <w:t>stalker</w:t>
      </w:r>
      <w:r>
        <w:rPr>
          <w:sz w:val="21"/>
          <w:szCs w:val="21"/>
        </w:rPr>
        <w:t xml:space="preserve"> pode estar em qualquer lugar e qualquer momento. Esse dano, a destruição da capacidade de viver sem vigilância constante, é qualitativamente diferente do dano causado por qualquer ato isolado, por mais grave que seja. É o dano cumulativo de um padrão, não o dano pontual de um episódio.</w:t>
      </w:r>
    </w:p>
    <w:p w14:paraId="79A7E59B" w14:textId="77777777" w:rsidR="00802484" w:rsidRPr="00802484" w:rsidRDefault="00802484" w:rsidP="00802484">
      <w:pPr>
        <w:spacing w:after="120"/>
        <w:jc w:val="both"/>
        <w:rPr>
          <w:sz w:val="21"/>
          <w:szCs w:val="21"/>
        </w:rPr>
      </w:pPr>
      <w:r>
        <w:rPr>
          <w:sz w:val="21"/>
          <w:szCs w:val="21"/>
        </w:rPr>
        <w:t xml:space="preserve">No contexto do trabalho, o </w:t>
      </w:r>
      <w:proofErr w:type="spellStart"/>
      <w:r>
        <w:rPr>
          <w:i/>
          <w:sz w:val="21"/>
          <w:szCs w:val="21"/>
        </w:rPr>
        <w:t>stalking</w:t>
      </w:r>
      <w:proofErr w:type="spellEnd"/>
      <w:r>
        <w:rPr>
          <w:sz w:val="21"/>
          <w:szCs w:val="21"/>
        </w:rPr>
        <w:t xml:space="preserve"> adquire dimensões específicas que o tornam particularmente danoso. A vítima não pode simplesmente evitar o </w:t>
      </w:r>
      <w:r>
        <w:rPr>
          <w:i/>
          <w:sz w:val="21"/>
          <w:szCs w:val="21"/>
        </w:rPr>
        <w:t>stalker</w:t>
      </w:r>
      <w:r>
        <w:rPr>
          <w:sz w:val="21"/>
          <w:szCs w:val="21"/>
        </w:rPr>
        <w:t xml:space="preserve">: está vinculada a ele por relação funcional, comparece ao mesmo ambiente todos os dias, utiliza os mesmos sistemas de comunicação, está sujeita à mesma hierarquia. O ambiente de trabalho, que deveria ser espaço de desenvolvimento profissional, transforma-se em espaço de vigilância permanente. A produtividade cai, a concentração é comprometida, as interações com colegas são afetadas, e a saúde psicológica deteriora progressivamente. Pathé e Mullen (1997) documentaram que 83% das vítimas de </w:t>
      </w:r>
      <w:proofErr w:type="spellStart"/>
      <w:r>
        <w:rPr>
          <w:i/>
          <w:sz w:val="21"/>
          <w:szCs w:val="21"/>
        </w:rPr>
        <w:t>stalking</w:t>
      </w:r>
      <w:proofErr w:type="spellEnd"/>
      <w:r>
        <w:rPr>
          <w:sz w:val="21"/>
          <w:szCs w:val="21"/>
        </w:rPr>
        <w:t xml:space="preserve"> relataram impacto negativo significativo no desempenho profissional, percentual que sobe quando o </w:t>
      </w:r>
      <w:proofErr w:type="spellStart"/>
      <w:r>
        <w:rPr>
          <w:i/>
          <w:sz w:val="21"/>
          <w:szCs w:val="21"/>
        </w:rPr>
        <w:t>stalking</w:t>
      </w:r>
      <w:proofErr w:type="spellEnd"/>
      <w:r>
        <w:rPr>
          <w:sz w:val="21"/>
          <w:szCs w:val="21"/>
        </w:rPr>
        <w:t xml:space="preserve"> ocorre no próprio ambiente de trabalho.</w:t>
      </w:r>
    </w:p>
    <w:p w14:paraId="392055DB" w14:textId="77777777" w:rsidR="00287D58" w:rsidRDefault="003B78AF">
      <w:pPr>
        <w:pStyle w:val="Ttulo2"/>
        <w:keepNext/>
      </w:pPr>
      <w:bookmarkStart w:id="106" w:name="_Toc238022101"/>
      <w:r>
        <w:t>9.3 Conceito jurídico e elementos constitutivos do art. 147-A do Código Penal</w:t>
      </w:r>
      <w:bookmarkEnd w:id="106"/>
    </w:p>
    <w:p w14:paraId="288A97CA" w14:textId="77777777" w:rsidR="006078F6" w:rsidRPr="006078F6" w:rsidRDefault="006078F6" w:rsidP="006078F6">
      <w:pPr>
        <w:spacing w:after="120"/>
        <w:jc w:val="both"/>
        <w:rPr>
          <w:sz w:val="21"/>
          <w:szCs w:val="21"/>
        </w:rPr>
      </w:pPr>
      <w:r>
        <w:rPr>
          <w:sz w:val="21"/>
          <w:szCs w:val="21"/>
        </w:rPr>
        <w:t>O art. 147-A do Código Penal, com a redação dada pela Lei nº 14.132/2021, tipifica a perseguição nos seguintes termos:</w:t>
      </w:r>
    </w:p>
    <w:p w14:paraId="67EDE311" w14:textId="77777777" w:rsidR="006078F6" w:rsidRPr="006078F6" w:rsidRDefault="006078F6" w:rsidP="006078F6">
      <w:pPr>
        <w:spacing w:after="120"/>
        <w:jc w:val="both"/>
        <w:rPr>
          <w:sz w:val="21"/>
          <w:szCs w:val="21"/>
        </w:rPr>
      </w:pPr>
      <w:r>
        <w:rPr>
          <w:i/>
          <w:iCs/>
          <w:sz w:val="21"/>
          <w:szCs w:val="21"/>
        </w:rPr>
        <w:t>"Perseguir alguém, reiteradamente e por qualquer meio, ameaçando-lhe a integridade física ou psicológica, restringindo-lhe a capacidade de locomoção ou, de qualquer forma, invadindo ou perturbando sua esfera de liberdade ou privacidade."</w:t>
      </w:r>
    </w:p>
    <w:p w14:paraId="2C2CF658" w14:textId="77777777" w:rsidR="006078F6" w:rsidRPr="006078F6" w:rsidRDefault="006078F6" w:rsidP="006078F6">
      <w:pPr>
        <w:spacing w:after="120"/>
        <w:jc w:val="both"/>
        <w:rPr>
          <w:sz w:val="21"/>
          <w:szCs w:val="21"/>
        </w:rPr>
      </w:pPr>
      <w:r>
        <w:rPr>
          <w:sz w:val="21"/>
          <w:szCs w:val="21"/>
        </w:rPr>
        <w:t>A interpretação desse tipo para os fins disciplinares exige análise de seus elementos constitutivos:</w:t>
      </w:r>
    </w:p>
    <w:p w14:paraId="53F34869" w14:textId="77777777" w:rsidR="006078F6" w:rsidRPr="006078F6" w:rsidRDefault="006078F6" w:rsidP="006078F6">
      <w:pPr>
        <w:spacing w:after="120"/>
        <w:jc w:val="both"/>
        <w:rPr>
          <w:sz w:val="21"/>
          <w:szCs w:val="21"/>
        </w:rPr>
      </w:pPr>
      <w:r>
        <w:rPr>
          <w:b/>
          <w:bCs/>
          <w:sz w:val="21"/>
          <w:szCs w:val="21"/>
        </w:rPr>
        <w:t>Perseguir.</w:t>
      </w:r>
      <w:r>
        <w:rPr>
          <w:sz w:val="21"/>
          <w:szCs w:val="21"/>
        </w:rPr>
        <w:t xml:space="preserve"> O verbo nuclear do tipo indica conduta ativa e dirigida: não qualquer comportamento incômodo, mas o direcionamento deliberado de atenção e ação à pessoa da vítima. A perseguição implica propósito, o </w:t>
      </w:r>
      <w:r>
        <w:rPr>
          <w:i/>
          <w:sz w:val="21"/>
          <w:szCs w:val="21"/>
        </w:rPr>
        <w:t>stalker</w:t>
      </w:r>
      <w:r>
        <w:rPr>
          <w:sz w:val="21"/>
          <w:szCs w:val="21"/>
        </w:rPr>
        <w:t xml:space="preserve"> não está simplesmente na mesma repartição que a vítima; está ativamente monitorando, buscando, contatando ou se aproximando dela de forma direcionada.</w:t>
      </w:r>
    </w:p>
    <w:p w14:paraId="372DD80F" w14:textId="77777777" w:rsidR="006078F6" w:rsidRPr="006078F6" w:rsidRDefault="006078F6" w:rsidP="006078F6">
      <w:pPr>
        <w:spacing w:after="120"/>
        <w:jc w:val="both"/>
        <w:rPr>
          <w:sz w:val="21"/>
          <w:szCs w:val="21"/>
        </w:rPr>
      </w:pPr>
      <w:r>
        <w:rPr>
          <w:b/>
          <w:bCs/>
          <w:sz w:val="21"/>
          <w:szCs w:val="21"/>
        </w:rPr>
        <w:t>Reiteradamente.</w:t>
      </w:r>
      <w:r>
        <w:rPr>
          <w:sz w:val="21"/>
          <w:szCs w:val="21"/>
        </w:rPr>
        <w:t xml:space="preserve"> A reiteração é elemento constitutivo do tipo, não circunstância de agravamento. O ato isolado, por mais intrusivo que seja, não configura </w:t>
      </w:r>
      <w:proofErr w:type="spellStart"/>
      <w:r>
        <w:rPr>
          <w:i/>
          <w:sz w:val="21"/>
          <w:szCs w:val="21"/>
        </w:rPr>
        <w:t>stalking</w:t>
      </w:r>
      <w:proofErr w:type="spellEnd"/>
      <w:r>
        <w:rPr>
          <w:sz w:val="21"/>
          <w:szCs w:val="21"/>
        </w:rPr>
        <w:t xml:space="preserve">; configura, eventualmente, ameaça, constrangimento ilegal ou violência verbal, a depender do seu conteúdo. O que define o </w:t>
      </w:r>
      <w:proofErr w:type="spellStart"/>
      <w:r>
        <w:rPr>
          <w:i/>
          <w:sz w:val="21"/>
          <w:szCs w:val="21"/>
        </w:rPr>
        <w:t>stalking</w:t>
      </w:r>
      <w:proofErr w:type="spellEnd"/>
      <w:r>
        <w:rPr>
          <w:sz w:val="21"/>
          <w:szCs w:val="21"/>
        </w:rPr>
        <w:t xml:space="preserve"> é precisamente o padrão, a repetição que instala na vítima a certeza de que o comportamento continuará, que ela não escapará da vigilância, que cada aparente cessação é apenas pausa antes do próximo episódio. A lei não fixa número mínimo de atos para a reiteração; a doutrina e a jurisprudência tendem a exigir ao menos três episódios identificáveis, embora o critério central seja qualitativo, o padrão de comportamento, não a contagem de episódios.</w:t>
      </w:r>
    </w:p>
    <w:p w14:paraId="74C69136" w14:textId="77777777" w:rsidR="006078F6" w:rsidRPr="006078F6" w:rsidRDefault="006078F6" w:rsidP="006078F6">
      <w:pPr>
        <w:spacing w:after="120"/>
        <w:jc w:val="both"/>
        <w:rPr>
          <w:sz w:val="21"/>
          <w:szCs w:val="21"/>
        </w:rPr>
      </w:pPr>
      <w:r>
        <w:rPr>
          <w:b/>
          <w:bCs/>
          <w:sz w:val="21"/>
          <w:szCs w:val="21"/>
        </w:rPr>
        <w:t>Por qualquer meio.</w:t>
      </w:r>
      <w:r>
        <w:rPr>
          <w:sz w:val="21"/>
          <w:szCs w:val="21"/>
        </w:rPr>
        <w:t xml:space="preserve"> A amplitude é deliberada e reflete a multiplicidade de formas que o </w:t>
      </w:r>
      <w:proofErr w:type="spellStart"/>
      <w:r>
        <w:rPr>
          <w:i/>
          <w:sz w:val="21"/>
          <w:szCs w:val="21"/>
        </w:rPr>
        <w:t>stalking</w:t>
      </w:r>
      <w:proofErr w:type="spellEnd"/>
      <w:r>
        <w:rPr>
          <w:sz w:val="21"/>
          <w:szCs w:val="21"/>
        </w:rPr>
        <w:t xml:space="preserve"> assume na prática: presença física repetida em locais frequentados pela vítima, envio de mensagens por múltiplos canais, vigilância por meios eletrônicos, acesso a informações pessoais, uso de intermediários para manter contato, monitoramento de atividades nas redes sociais. No ambiente de trabalho, o leque se expande com os recursos institucionais disponíveis: sistemas de ponto eletrônico, </w:t>
      </w:r>
      <w:r>
        <w:rPr>
          <w:sz w:val="21"/>
          <w:szCs w:val="21"/>
        </w:rPr>
        <w:lastRenderedPageBreak/>
        <w:t>e-mails institucionais, sistemas de gestão, câmeras de segurança, acesso a processos e dados funcionais.</w:t>
      </w:r>
    </w:p>
    <w:p w14:paraId="00BDB5B0" w14:textId="77777777" w:rsidR="006078F6" w:rsidRPr="006078F6" w:rsidRDefault="006078F6" w:rsidP="006078F6">
      <w:pPr>
        <w:spacing w:after="120"/>
        <w:jc w:val="both"/>
        <w:rPr>
          <w:sz w:val="21"/>
          <w:szCs w:val="21"/>
        </w:rPr>
      </w:pPr>
      <w:r>
        <w:rPr>
          <w:b/>
          <w:bCs/>
          <w:sz w:val="21"/>
          <w:szCs w:val="21"/>
        </w:rPr>
        <w:t>Ameaçar a integridade física ou psicológica, restringir a capacidade de locomoção ou invadir/perturbar a esfera de liberdade ou privacidade.</w:t>
      </w:r>
      <w:r>
        <w:rPr>
          <w:sz w:val="21"/>
          <w:szCs w:val="21"/>
        </w:rPr>
        <w:t xml:space="preserve"> O tipo prevê quatro resultados alternativos, basta a configuração de qualquer um deles. O mais relevante para o contexto funcional é a </w:t>
      </w:r>
      <w:r>
        <w:rPr>
          <w:b/>
          <w:bCs/>
          <w:sz w:val="21"/>
          <w:szCs w:val="21"/>
        </w:rPr>
        <w:t>perturbação da esfera de liberdade ou privacidade</w:t>
      </w:r>
      <w:r>
        <w:rPr>
          <w:sz w:val="21"/>
          <w:szCs w:val="21"/>
        </w:rPr>
        <w:t>: a vítima que sente que está sendo monitorada, que não pode comunicar-se livremente, que não pode se mover pela repartição sem ser observada, experimenta exatamente essa perturbação, independentemente de ter sido explicitamente ameaçada.</w:t>
      </w:r>
    </w:p>
    <w:p w14:paraId="08EFD82A" w14:textId="77777777" w:rsidR="00287D58" w:rsidRDefault="00287D58">
      <w:pPr>
        <w:spacing w:after="120"/>
        <w:jc w:val="both"/>
      </w:pPr>
    </w:p>
    <w:p w14:paraId="744471B6" w14:textId="77777777" w:rsidR="00287D58" w:rsidRDefault="003B78AF">
      <w:pPr>
        <w:pStyle w:val="Ttulo2"/>
        <w:keepNext/>
      </w:pPr>
      <w:bookmarkStart w:id="107" w:name="_Toc238022102"/>
      <w:r>
        <w:t>9.4 Distinção em relação ao assédio moral e à ameaça</w:t>
      </w:r>
      <w:bookmarkEnd w:id="107"/>
    </w:p>
    <w:p w14:paraId="00CB5024" w14:textId="77777777" w:rsidR="006078F6" w:rsidRPr="006078F6" w:rsidRDefault="006078F6" w:rsidP="006078F6">
      <w:pPr>
        <w:spacing w:after="120"/>
        <w:jc w:val="both"/>
        <w:rPr>
          <w:sz w:val="21"/>
          <w:szCs w:val="21"/>
        </w:rPr>
      </w:pPr>
      <w:r>
        <w:rPr>
          <w:sz w:val="21"/>
          <w:szCs w:val="21"/>
        </w:rPr>
        <w:t xml:space="preserve">O </w:t>
      </w:r>
      <w:proofErr w:type="spellStart"/>
      <w:r>
        <w:rPr>
          <w:i/>
          <w:sz w:val="21"/>
          <w:szCs w:val="21"/>
        </w:rPr>
        <w:t>stalking</w:t>
      </w:r>
      <w:proofErr w:type="spellEnd"/>
      <w:r>
        <w:rPr>
          <w:sz w:val="21"/>
          <w:szCs w:val="21"/>
        </w:rPr>
        <w:t xml:space="preserve"> funcional compartilha elementos com o assédio moral e com a ameaça, mas é juridicamente distinto de ambos. Compreender essas distinções é essencial tanto para a análise pelo eixo correto quanto para a eventual cumulatividade de enquadramentos.</w:t>
      </w:r>
    </w:p>
    <w:p w14:paraId="12CE1813" w14:textId="77777777" w:rsidR="006078F6" w:rsidRPr="006078F6" w:rsidRDefault="006078F6" w:rsidP="006078F6">
      <w:pPr>
        <w:spacing w:after="120"/>
        <w:jc w:val="both"/>
        <w:rPr>
          <w:sz w:val="21"/>
          <w:szCs w:val="21"/>
        </w:rPr>
      </w:pPr>
      <w:proofErr w:type="spellStart"/>
      <w:r>
        <w:rPr>
          <w:b/>
          <w:bCs/>
          <w:sz w:val="21"/>
          <w:szCs w:val="21"/>
        </w:rPr>
        <w:t>Stalking</w:t>
      </w:r>
      <w:proofErr w:type="spellEnd"/>
      <w:r>
        <w:rPr>
          <w:b/>
          <w:bCs/>
          <w:sz w:val="21"/>
          <w:szCs w:val="21"/>
        </w:rPr>
        <w:t xml:space="preserve"> funcional e assédio moral.</w:t>
      </w:r>
      <w:r>
        <w:rPr>
          <w:sz w:val="21"/>
          <w:szCs w:val="21"/>
        </w:rPr>
        <w:t xml:space="preserve"> O assédio moral é definido pela NT nº 93/2024 como exposição reiterada a situações humilhantes, constrangedoras ou vexatórias que degradam o ambiente de trabalho. O </w:t>
      </w:r>
      <w:proofErr w:type="spellStart"/>
      <w:r>
        <w:rPr>
          <w:i/>
          <w:sz w:val="21"/>
          <w:szCs w:val="21"/>
        </w:rPr>
        <w:t>stalking</w:t>
      </w:r>
      <w:proofErr w:type="spellEnd"/>
      <w:r>
        <w:rPr>
          <w:sz w:val="21"/>
          <w:szCs w:val="21"/>
        </w:rPr>
        <w:t xml:space="preserve">, por sua vez, centra-se no comportamento persecutório, vigilância, monitoramento, contato insistente, mais do que no comportamento humilhante. Um </w:t>
      </w:r>
      <w:r>
        <w:rPr>
          <w:i/>
          <w:sz w:val="21"/>
          <w:szCs w:val="21"/>
        </w:rPr>
        <w:t>stalker</w:t>
      </w:r>
      <w:r>
        <w:rPr>
          <w:sz w:val="21"/>
          <w:szCs w:val="21"/>
        </w:rPr>
        <w:t xml:space="preserve"> funcional pode não humilhar a vítima: pode simplesmente vigiá-la, monitorar seus horários, aparecer repetidamente no seu espaço de trabalho sem confronto explícito. Esse comportamento configura </w:t>
      </w:r>
      <w:proofErr w:type="spellStart"/>
      <w:r>
        <w:rPr>
          <w:i/>
          <w:sz w:val="21"/>
          <w:szCs w:val="21"/>
        </w:rPr>
        <w:t>stalking</w:t>
      </w:r>
      <w:proofErr w:type="spellEnd"/>
      <w:r>
        <w:rPr>
          <w:sz w:val="21"/>
          <w:szCs w:val="21"/>
        </w:rPr>
        <w:t xml:space="preserve"> sem necessariamente configurar assédio moral, porque o elemento humilhante pode estar ausente.</w:t>
      </w:r>
    </w:p>
    <w:p w14:paraId="077E3DB7" w14:textId="77777777" w:rsidR="006078F6" w:rsidRPr="006078F6" w:rsidRDefault="006078F6" w:rsidP="006078F6">
      <w:pPr>
        <w:spacing w:after="120"/>
        <w:jc w:val="both"/>
        <w:rPr>
          <w:sz w:val="21"/>
          <w:szCs w:val="21"/>
        </w:rPr>
      </w:pPr>
      <w:r>
        <w:rPr>
          <w:sz w:val="21"/>
          <w:szCs w:val="21"/>
        </w:rPr>
        <w:t xml:space="preserve">Inversamente, nem todo assédio moral é </w:t>
      </w:r>
      <w:proofErr w:type="spellStart"/>
      <w:r>
        <w:rPr>
          <w:i/>
          <w:sz w:val="21"/>
          <w:szCs w:val="21"/>
        </w:rPr>
        <w:t>stalking</w:t>
      </w:r>
      <w:proofErr w:type="spellEnd"/>
      <w:r>
        <w:rPr>
          <w:sz w:val="21"/>
          <w:szCs w:val="21"/>
        </w:rPr>
        <w:t xml:space="preserve">: o assediador que atribui tarefas impossíveis, que grita em reuniões ou que isola funcionalmente a vítima pratica assédio moral sem necessariamente praticar </w:t>
      </w:r>
      <w:proofErr w:type="spellStart"/>
      <w:r>
        <w:rPr>
          <w:i/>
          <w:sz w:val="21"/>
          <w:szCs w:val="21"/>
        </w:rPr>
        <w:t>stalking</w:t>
      </w:r>
      <w:proofErr w:type="spellEnd"/>
      <w:r>
        <w:rPr>
          <w:sz w:val="21"/>
          <w:szCs w:val="21"/>
        </w:rPr>
        <w:t>, pois não há comportamento persecutório de vigilância e intrusão na esfera privada.</w:t>
      </w:r>
    </w:p>
    <w:p w14:paraId="111245ED" w14:textId="77777777" w:rsidR="006078F6" w:rsidRPr="006078F6" w:rsidRDefault="006078F6" w:rsidP="006078F6">
      <w:pPr>
        <w:spacing w:after="120"/>
        <w:jc w:val="both"/>
        <w:rPr>
          <w:sz w:val="21"/>
          <w:szCs w:val="21"/>
        </w:rPr>
      </w:pPr>
      <w:r>
        <w:rPr>
          <w:sz w:val="21"/>
          <w:szCs w:val="21"/>
        </w:rPr>
        <w:t xml:space="preserve">Quando ambos coexistem, o </w:t>
      </w:r>
      <w:r>
        <w:rPr>
          <w:i/>
          <w:sz w:val="21"/>
          <w:szCs w:val="21"/>
        </w:rPr>
        <w:t>stalker</w:t>
      </w:r>
      <w:r>
        <w:rPr>
          <w:sz w:val="21"/>
          <w:szCs w:val="21"/>
        </w:rPr>
        <w:t xml:space="preserve"> que simultaneamente vigia e humilha, ou o assediador cuja conduta inclui padrão persecutório além das condutas degradantes, os dois eixos devem ser percorridos de forma independente, com possibilidade de enquadramento cumulativo.</w:t>
      </w:r>
    </w:p>
    <w:p w14:paraId="051145EB" w14:textId="77777777" w:rsidR="006078F6" w:rsidRPr="006078F6" w:rsidRDefault="006078F6" w:rsidP="006078F6">
      <w:pPr>
        <w:spacing w:after="120"/>
        <w:jc w:val="both"/>
        <w:rPr>
          <w:sz w:val="21"/>
          <w:szCs w:val="21"/>
        </w:rPr>
      </w:pPr>
      <w:proofErr w:type="spellStart"/>
      <w:r>
        <w:rPr>
          <w:b/>
          <w:bCs/>
          <w:sz w:val="21"/>
          <w:szCs w:val="21"/>
        </w:rPr>
        <w:t>Stalking</w:t>
      </w:r>
      <w:proofErr w:type="spellEnd"/>
      <w:r>
        <w:rPr>
          <w:b/>
          <w:bCs/>
          <w:sz w:val="21"/>
          <w:szCs w:val="21"/>
        </w:rPr>
        <w:t xml:space="preserve"> funcional e ameaça.</w:t>
      </w:r>
      <w:r>
        <w:rPr>
          <w:sz w:val="21"/>
          <w:szCs w:val="21"/>
        </w:rPr>
        <w:t xml:space="preserve"> A ameaça (Eixo 2) é definida pelo anúncio explícito de mal futuro, a comunicação de que algo ruim acontecerá se a vítima não se comportar de determinada forma, ou simplesmente como declaração de intenção hostil. O </w:t>
      </w:r>
      <w:proofErr w:type="spellStart"/>
      <w:r>
        <w:rPr>
          <w:i/>
          <w:sz w:val="21"/>
          <w:szCs w:val="21"/>
        </w:rPr>
        <w:t>stalking</w:t>
      </w:r>
      <w:proofErr w:type="spellEnd"/>
      <w:r>
        <w:rPr>
          <w:sz w:val="21"/>
          <w:szCs w:val="21"/>
        </w:rPr>
        <w:t xml:space="preserve"> não exige esse anúncio: o </w:t>
      </w:r>
      <w:r>
        <w:rPr>
          <w:i/>
          <w:sz w:val="21"/>
          <w:szCs w:val="21"/>
        </w:rPr>
        <w:t>stalker</w:t>
      </w:r>
      <w:r>
        <w:rPr>
          <w:sz w:val="21"/>
          <w:szCs w:val="21"/>
        </w:rPr>
        <w:t xml:space="preserve"> pode não dizer nada explicitamente ameaçador, a ameaça está na presença, no contato repetido, na vigilância persistente, que comunicam implicitamente que o </w:t>
      </w:r>
      <w:r>
        <w:rPr>
          <w:i/>
          <w:sz w:val="21"/>
          <w:szCs w:val="21"/>
        </w:rPr>
        <w:t>stalker</w:t>
      </w:r>
      <w:r>
        <w:rPr>
          <w:sz w:val="21"/>
          <w:szCs w:val="21"/>
        </w:rPr>
        <w:t xml:space="preserve"> está lá, que continuará estando, e que a vítima não tem controle sobre isso.</w:t>
      </w:r>
    </w:p>
    <w:p w14:paraId="02B3F5AB" w14:textId="77777777" w:rsidR="00287D58" w:rsidRPr="006078F6" w:rsidRDefault="006078F6">
      <w:pPr>
        <w:spacing w:after="120"/>
        <w:jc w:val="both"/>
        <w:rPr>
          <w:sz w:val="21"/>
          <w:szCs w:val="21"/>
        </w:rPr>
      </w:pPr>
      <w:r>
        <w:rPr>
          <w:sz w:val="21"/>
          <w:szCs w:val="21"/>
        </w:rPr>
        <w:t xml:space="preserve">O </w:t>
      </w:r>
      <w:proofErr w:type="spellStart"/>
      <w:r>
        <w:rPr>
          <w:i/>
          <w:sz w:val="21"/>
          <w:szCs w:val="21"/>
        </w:rPr>
        <w:t>stalking</w:t>
      </w:r>
      <w:proofErr w:type="spellEnd"/>
      <w:r>
        <w:rPr>
          <w:sz w:val="21"/>
          <w:szCs w:val="21"/>
        </w:rPr>
        <w:t xml:space="preserve"> pode coexistir com ameaças explícitas, e quando isso ocorre, os dois eixos se aplicam cumulativamente. Mas o </w:t>
      </w:r>
      <w:proofErr w:type="spellStart"/>
      <w:r>
        <w:rPr>
          <w:i/>
          <w:sz w:val="21"/>
          <w:szCs w:val="21"/>
        </w:rPr>
        <w:t>stalking</w:t>
      </w:r>
      <w:proofErr w:type="spellEnd"/>
      <w:r>
        <w:rPr>
          <w:sz w:val="21"/>
          <w:szCs w:val="21"/>
        </w:rPr>
        <w:t xml:space="preserve"> sem ameaças explícitas é fenômeno distinto e juridicamente autônomo que o Eixo 7 da ferramenta (ameaça) não capturaria adequadamente.</w:t>
      </w:r>
    </w:p>
    <w:p w14:paraId="4CE4602C" w14:textId="77777777" w:rsidR="00287D58" w:rsidRDefault="003B78AF">
      <w:pPr>
        <w:pStyle w:val="Ttulo2"/>
        <w:keepNext/>
      </w:pPr>
      <w:bookmarkStart w:id="108" w:name="_Toc238022103"/>
      <w:r>
        <w:lastRenderedPageBreak/>
        <w:t>9.5 O elemento essencial: a reiteração e como identificá-la</w:t>
      </w:r>
      <w:bookmarkEnd w:id="108"/>
    </w:p>
    <w:p w14:paraId="704A5F46" w14:textId="77777777" w:rsidR="003A0B79" w:rsidRPr="003A0B79" w:rsidRDefault="003A0B79" w:rsidP="003A0B79">
      <w:pPr>
        <w:spacing w:after="120"/>
        <w:jc w:val="both"/>
        <w:rPr>
          <w:sz w:val="21"/>
          <w:szCs w:val="21"/>
        </w:rPr>
      </w:pPr>
      <w:r>
        <w:rPr>
          <w:sz w:val="21"/>
          <w:szCs w:val="21"/>
        </w:rPr>
        <w:t>A reiteração é o elemento constitutivo que mais exige do operador capacidade de análise de padrão, de identificar, no conjunto dos fatos, um comportamento sistemático que vai além de episódios isolados.</w:t>
      </w:r>
    </w:p>
    <w:p w14:paraId="7035ED13" w14:textId="77777777" w:rsidR="003A0B79" w:rsidRPr="003A0B79" w:rsidRDefault="003A0B79" w:rsidP="003A0B79">
      <w:pPr>
        <w:spacing w:after="120"/>
        <w:jc w:val="both"/>
        <w:rPr>
          <w:sz w:val="21"/>
          <w:szCs w:val="21"/>
        </w:rPr>
      </w:pPr>
      <w:r>
        <w:rPr>
          <w:b/>
          <w:bCs/>
          <w:sz w:val="21"/>
          <w:szCs w:val="21"/>
        </w:rPr>
        <w:t>O número de episódios não é critério absoluto.</w:t>
      </w:r>
      <w:r>
        <w:rPr>
          <w:sz w:val="21"/>
          <w:szCs w:val="21"/>
        </w:rPr>
        <w:t xml:space="preserve"> Embora a doutrina penal brasileira, seguindo a tendência internacional, tenda a exigir ao menos três episódios identificáveis para caracterizar a reiteração, o critério decisivo é qualitativo: há um padrão de comportamento dirigido à vítima que persiste no tempo e resiste às suas tentativas de cessação? Um </w:t>
      </w:r>
      <w:r>
        <w:rPr>
          <w:i/>
          <w:sz w:val="21"/>
          <w:szCs w:val="21"/>
        </w:rPr>
        <w:t>stalker</w:t>
      </w:r>
      <w:r>
        <w:rPr>
          <w:sz w:val="21"/>
          <w:szCs w:val="21"/>
        </w:rPr>
        <w:t xml:space="preserve"> que contata a vítima três vezes por semana durante dois meses produz padrão mais claro do que um que o faz quinze vezes em dois dias, mas o critério não é a frequência absoluta, é a sistematicidade e a persistência.</w:t>
      </w:r>
    </w:p>
    <w:p w14:paraId="5FD4DA6D" w14:textId="77777777" w:rsidR="003A0B79" w:rsidRPr="003A0B79" w:rsidRDefault="003A0B79" w:rsidP="003A0B79">
      <w:pPr>
        <w:spacing w:after="120"/>
        <w:jc w:val="both"/>
        <w:rPr>
          <w:sz w:val="21"/>
          <w:szCs w:val="21"/>
        </w:rPr>
      </w:pPr>
      <w:r>
        <w:rPr>
          <w:b/>
          <w:bCs/>
          <w:sz w:val="21"/>
          <w:szCs w:val="21"/>
        </w:rPr>
        <w:t>A persistência após sinal de recusa é indicador central.</w:t>
      </w:r>
      <w:r>
        <w:rPr>
          <w:sz w:val="21"/>
          <w:szCs w:val="21"/>
        </w:rPr>
        <w:t xml:space="preserve"> O que transforma o contato ou a aproximação numa perseguição é precisamente a continuidade após a manifestação, expressa ou inequivocamente implícita na situação, de que o contato é indesejado. O colega que envia e-mails frequentes sem resposta e continua enviando; o servidor que aparece repetidamente no setor de outro depois de lhe ser solicitado que pare; o superior que monitora os horários de subordinado que reclamou do monitoramento, todos exibem o traço definitório da perseguição: a recusa não produz cessação.</w:t>
      </w:r>
    </w:p>
    <w:p w14:paraId="03CC706D" w14:textId="77777777" w:rsidR="003A0B79" w:rsidRPr="003A0B79" w:rsidRDefault="003A0B79" w:rsidP="003A0B79">
      <w:pPr>
        <w:spacing w:after="120"/>
        <w:jc w:val="both"/>
        <w:rPr>
          <w:sz w:val="21"/>
          <w:szCs w:val="21"/>
        </w:rPr>
      </w:pPr>
      <w:r>
        <w:rPr>
          <w:b/>
          <w:bCs/>
          <w:sz w:val="21"/>
          <w:szCs w:val="21"/>
        </w:rPr>
        <w:t>A escalada é sinal de alerta.</w:t>
      </w:r>
      <w:r>
        <w:rPr>
          <w:sz w:val="21"/>
          <w:szCs w:val="21"/>
        </w:rPr>
        <w:t xml:space="preserve"> Os estudos clínicos sobre </w:t>
      </w:r>
      <w:proofErr w:type="spellStart"/>
      <w:r>
        <w:rPr>
          <w:i/>
          <w:sz w:val="21"/>
          <w:szCs w:val="21"/>
        </w:rPr>
        <w:t>stalking</w:t>
      </w:r>
      <w:proofErr w:type="spellEnd"/>
      <w:r>
        <w:rPr>
          <w:sz w:val="21"/>
          <w:szCs w:val="21"/>
        </w:rPr>
        <w:t xml:space="preserve"> documentam consistentemente o padrão de escalada: os episódios tendem a aumentar em frequência e intensidade ao longo do tempo, especialmente quando a vítima tenta resistir ou denunciar. No ambiente funcional, a escalada pode manifestar-se como aumento da frequência de contatos não solicitados, diversificação dos meios de vigilância ou acesso a informações cada vez mais privadas da vítima. A escalada, quando identificada, é indicador de que o comportamento não cessará espontaneamente, e de que a intervenção disciplinar é urgente.</w:t>
      </w:r>
    </w:p>
    <w:p w14:paraId="5501BD7E" w14:textId="77777777" w:rsidR="00287D58" w:rsidRPr="003A0B79" w:rsidRDefault="003A0B79">
      <w:pPr>
        <w:spacing w:after="120"/>
        <w:jc w:val="both"/>
        <w:rPr>
          <w:sz w:val="21"/>
          <w:szCs w:val="21"/>
        </w:rPr>
      </w:pPr>
      <w:r>
        <w:rPr>
          <w:b/>
          <w:bCs/>
          <w:sz w:val="21"/>
          <w:szCs w:val="21"/>
        </w:rPr>
        <w:t>A duração temporal.</w:t>
      </w:r>
      <w:r>
        <w:rPr>
          <w:sz w:val="21"/>
          <w:szCs w:val="21"/>
        </w:rPr>
        <w:t xml:space="preserve"> O </w:t>
      </w:r>
      <w:proofErr w:type="spellStart"/>
      <w:r>
        <w:rPr>
          <w:i/>
          <w:sz w:val="21"/>
          <w:szCs w:val="21"/>
        </w:rPr>
        <w:t>stalking</w:t>
      </w:r>
      <w:proofErr w:type="spellEnd"/>
      <w:r>
        <w:rPr>
          <w:sz w:val="21"/>
          <w:szCs w:val="21"/>
        </w:rPr>
        <w:t xml:space="preserve"> funcional com duração superior a três meses deve ser tratado como padrão consolidado, não como fase passageira de comportamento inadequado. A doutrina norte-americana sobre </w:t>
      </w:r>
      <w:proofErr w:type="spellStart"/>
      <w:r>
        <w:rPr>
          <w:i/>
          <w:iCs/>
          <w:sz w:val="21"/>
          <w:szCs w:val="21"/>
        </w:rPr>
        <w:t>workplace</w:t>
      </w:r>
      <w:proofErr w:type="spellEnd"/>
      <w:r>
        <w:rPr>
          <w:i/>
          <w:iCs/>
          <w:sz w:val="21"/>
          <w:szCs w:val="21"/>
        </w:rPr>
        <w:t xml:space="preserve"> </w:t>
      </w:r>
      <w:proofErr w:type="spellStart"/>
      <w:r>
        <w:rPr>
          <w:i/>
          <w:iCs/>
          <w:sz w:val="21"/>
          <w:szCs w:val="21"/>
        </w:rPr>
        <w:t>stalking</w:t>
      </w:r>
      <w:proofErr w:type="spellEnd"/>
      <w:r>
        <w:rPr>
          <w:sz w:val="21"/>
          <w:szCs w:val="21"/>
        </w:rPr>
        <w:t xml:space="preserve"> identifica como critério de gravidade a duração superior a quatro semanas, período além do qual a persistência do comportamento indica fixação que não se resolverá sem intervenção.</w:t>
      </w:r>
    </w:p>
    <w:p w14:paraId="3ECF77F2" w14:textId="77777777" w:rsidR="00287D58" w:rsidRDefault="003B78AF">
      <w:pPr>
        <w:pStyle w:val="Ttulo2"/>
        <w:keepNext/>
      </w:pPr>
      <w:bookmarkStart w:id="109" w:name="_Toc238022104"/>
      <w:r>
        <w:t>9.6 Os meios funcionais de perseguição</w:t>
      </w:r>
      <w:bookmarkEnd w:id="109"/>
    </w:p>
    <w:p w14:paraId="38394B57" w14:textId="77777777" w:rsidR="003A0B79" w:rsidRPr="003A0B79" w:rsidRDefault="00765A2F" w:rsidP="003A0B79">
      <w:pPr>
        <w:spacing w:after="120"/>
        <w:jc w:val="both"/>
        <w:rPr>
          <w:sz w:val="21"/>
          <w:szCs w:val="21"/>
        </w:rPr>
      </w:pPr>
      <w:r>
        <w:rPr>
          <w:sz w:val="21"/>
          <w:szCs w:val="21"/>
        </w:rPr>
        <w:t xml:space="preserve">O tipo penal do </w:t>
      </w:r>
      <w:proofErr w:type="spellStart"/>
      <w:r>
        <w:rPr>
          <w:i/>
          <w:sz w:val="21"/>
          <w:szCs w:val="21"/>
        </w:rPr>
        <w:t>stalking</w:t>
      </w:r>
      <w:proofErr w:type="spellEnd"/>
      <w:r>
        <w:rPr>
          <w:sz w:val="21"/>
          <w:szCs w:val="21"/>
        </w:rPr>
        <w:t xml:space="preserve"> é expresso: </w:t>
      </w:r>
      <w:r>
        <w:rPr>
          <w:i/>
          <w:iCs/>
          <w:sz w:val="21"/>
          <w:szCs w:val="21"/>
        </w:rPr>
        <w:t xml:space="preserve">"perseguir alguém, reiteradamente e </w:t>
      </w:r>
      <w:r>
        <w:rPr>
          <w:b/>
          <w:bCs/>
          <w:i/>
          <w:iCs/>
          <w:sz w:val="21"/>
          <w:szCs w:val="21"/>
        </w:rPr>
        <w:t>por qualquer meio</w:t>
      </w:r>
      <w:r>
        <w:rPr>
          <w:i/>
          <w:iCs/>
          <w:sz w:val="21"/>
          <w:szCs w:val="21"/>
        </w:rPr>
        <w:t>"</w:t>
      </w:r>
      <w:r>
        <w:rPr>
          <w:sz w:val="21"/>
          <w:szCs w:val="21"/>
        </w:rPr>
        <w:t xml:space="preserve">. A amplitude é deliberada e total. Mensagem por WhatsApp pessoal, seguimento físico fora do trabalho, monitoramento de redes sociais privadas, aparecimento em locais frequentados pela vítima fora do expediente, qualquer desses meios, isolado ou combinado, satisfaz o elemento "por qualquer meio" do tipo. O que define o </w:t>
      </w:r>
      <w:proofErr w:type="spellStart"/>
      <w:r>
        <w:rPr>
          <w:i/>
          <w:sz w:val="21"/>
          <w:szCs w:val="21"/>
        </w:rPr>
        <w:t>stalking</w:t>
      </w:r>
      <w:proofErr w:type="spellEnd"/>
      <w:r>
        <w:rPr>
          <w:sz w:val="21"/>
          <w:szCs w:val="21"/>
        </w:rPr>
        <w:t xml:space="preserve"> disciplinarmente relevante não é o canal usado pelo agressor, mas o padrão de perseguição e o seu nexo com a relação funcional.</w:t>
      </w:r>
    </w:p>
    <w:p w14:paraId="090C2CF0" w14:textId="77777777" w:rsidR="003A0B79" w:rsidRPr="003A0B79" w:rsidRDefault="003A0B79" w:rsidP="003A0B79">
      <w:pPr>
        <w:spacing w:after="120"/>
        <w:jc w:val="both"/>
        <w:rPr>
          <w:sz w:val="21"/>
          <w:szCs w:val="21"/>
        </w:rPr>
      </w:pPr>
      <w:r>
        <w:rPr>
          <w:b/>
          <w:bCs/>
          <w:sz w:val="21"/>
          <w:szCs w:val="21"/>
        </w:rPr>
        <w:t>Sistemas de ponto eletrônico e controle de acesso.</w:t>
      </w:r>
      <w:r>
        <w:rPr>
          <w:sz w:val="21"/>
          <w:szCs w:val="21"/>
        </w:rPr>
        <w:t xml:space="preserve"> O servidor que tem acesso ao sistema de ponto eletrônico, seja por função gerencial, seja por acesso indevido, pode monitorar os horários de chegada, saída e ausências da vítima com precisão que nenhum observador físico conseguiria. O sistema de controle de acesso a áreas restritas fornece informações sobre os movimentos da vítima dentro do </w:t>
      </w:r>
      <w:r>
        <w:rPr>
          <w:sz w:val="21"/>
          <w:szCs w:val="21"/>
        </w:rPr>
        <w:lastRenderedPageBreak/>
        <w:t>edifício. Esses sistemas existem para finalidade legítima de gestão; o uso para vigilância de vítima específica é desvio de finalidade que configura meio funcional de perseguição.</w:t>
      </w:r>
    </w:p>
    <w:p w14:paraId="3324AEFB" w14:textId="77777777" w:rsidR="003A0B79" w:rsidRPr="003A0B79" w:rsidRDefault="003A0B79" w:rsidP="003A0B79">
      <w:pPr>
        <w:spacing w:after="120"/>
        <w:jc w:val="both"/>
        <w:rPr>
          <w:sz w:val="21"/>
          <w:szCs w:val="21"/>
        </w:rPr>
      </w:pPr>
      <w:r>
        <w:rPr>
          <w:b/>
          <w:bCs/>
          <w:sz w:val="21"/>
          <w:szCs w:val="21"/>
        </w:rPr>
        <w:t>E-mails e sistemas de mensagens.</w:t>
      </w:r>
      <w:r>
        <w:rPr>
          <w:sz w:val="21"/>
          <w:szCs w:val="21"/>
        </w:rPr>
        <w:t xml:space="preserve"> O envio insistente de e-mails ou mensagens, após pedido expresso de cessação de contato, é forma clássica de </w:t>
      </w:r>
      <w:proofErr w:type="spellStart"/>
      <w:r>
        <w:rPr>
          <w:i/>
          <w:sz w:val="21"/>
          <w:szCs w:val="21"/>
        </w:rPr>
        <w:t>stalking</w:t>
      </w:r>
      <w:proofErr w:type="spellEnd"/>
      <w:r>
        <w:rPr>
          <w:sz w:val="21"/>
          <w:szCs w:val="21"/>
        </w:rPr>
        <w:t xml:space="preserve"> funcional. A natureza institucional do canal não atenua a perseguição, ao contrário, a intensifica, porque a vítima é obrigada a acessar esses sistemas para trabalhar e não pode simplesmente ignorá-los ou bloqueá-los sem comprometer suas funções.</w:t>
      </w:r>
    </w:p>
    <w:p w14:paraId="2159AB14" w14:textId="77777777" w:rsidR="003A0B79" w:rsidRPr="003A0B79" w:rsidRDefault="003A0B79" w:rsidP="003A0B79">
      <w:pPr>
        <w:spacing w:after="120"/>
        <w:jc w:val="both"/>
        <w:rPr>
          <w:sz w:val="21"/>
          <w:szCs w:val="21"/>
        </w:rPr>
      </w:pPr>
      <w:r>
        <w:rPr>
          <w:b/>
          <w:bCs/>
          <w:sz w:val="21"/>
          <w:szCs w:val="21"/>
        </w:rPr>
        <w:t>Acesso indevido a dados pessoais e funcionais.</w:t>
      </w:r>
      <w:r>
        <w:rPr>
          <w:sz w:val="21"/>
          <w:szCs w:val="21"/>
        </w:rPr>
        <w:t xml:space="preserve"> O servidor que consulta dados da vítima em sistemas corporativos, processos em que a vítima está envolvida, dados cadastrais, histórico funcional, sem motivação legítima relacionada ao trabalho </w:t>
      </w:r>
      <w:proofErr w:type="gramStart"/>
      <w:r>
        <w:rPr>
          <w:sz w:val="21"/>
          <w:szCs w:val="21"/>
        </w:rPr>
        <w:t>pratica</w:t>
      </w:r>
      <w:proofErr w:type="gramEnd"/>
      <w:r>
        <w:rPr>
          <w:sz w:val="21"/>
          <w:szCs w:val="21"/>
        </w:rPr>
        <w:t xml:space="preserve"> invasão da privacidade funcional que constitui meio de perseguição. Esse acesso é frequentemente rastreável nos logs dos sistemas, o que pode fornecer prova direta do comportamento persecutório.</w:t>
      </w:r>
    </w:p>
    <w:p w14:paraId="0804D438" w14:textId="77777777" w:rsidR="003A0B79" w:rsidRPr="003A0B79" w:rsidRDefault="003A0B79" w:rsidP="003A0B79">
      <w:pPr>
        <w:spacing w:after="120"/>
        <w:jc w:val="both"/>
        <w:rPr>
          <w:sz w:val="21"/>
          <w:szCs w:val="21"/>
        </w:rPr>
      </w:pPr>
      <w:r>
        <w:rPr>
          <w:b/>
          <w:bCs/>
          <w:sz w:val="21"/>
          <w:szCs w:val="21"/>
        </w:rPr>
        <w:t>Presença física repetida e não justificada.</w:t>
      </w:r>
      <w:r>
        <w:rPr>
          <w:sz w:val="21"/>
          <w:szCs w:val="21"/>
        </w:rPr>
        <w:t xml:space="preserve"> A presença repetida na área de trabalho da vítima, sem motivação funcional objetiva, após pedido de que o contato cessasse, é forma direta de perseguição física no ambiente de trabalho. A dificuldade probatória aqui é que a presença pode ser difícil de documentar sem testemunho de colegas, mas quando esse testemunho existe e confirma o padrão, é prova relevante.</w:t>
      </w:r>
    </w:p>
    <w:p w14:paraId="3C4E136E" w14:textId="77777777" w:rsidR="003A0B79" w:rsidRPr="003A0B79" w:rsidRDefault="003A0B79" w:rsidP="003A0B79">
      <w:pPr>
        <w:spacing w:after="120"/>
        <w:jc w:val="both"/>
        <w:rPr>
          <w:sz w:val="21"/>
          <w:szCs w:val="21"/>
        </w:rPr>
      </w:pPr>
      <w:r>
        <w:rPr>
          <w:b/>
          <w:bCs/>
          <w:sz w:val="21"/>
          <w:szCs w:val="21"/>
        </w:rPr>
        <w:t>Uso de terceiros como intermediários.</w:t>
      </w:r>
      <w:r>
        <w:rPr>
          <w:sz w:val="21"/>
          <w:szCs w:val="21"/>
        </w:rPr>
        <w:t xml:space="preserve"> O </w:t>
      </w:r>
      <w:r>
        <w:rPr>
          <w:i/>
          <w:sz w:val="21"/>
          <w:szCs w:val="21"/>
        </w:rPr>
        <w:t>stalker</w:t>
      </w:r>
      <w:r>
        <w:rPr>
          <w:sz w:val="21"/>
          <w:szCs w:val="21"/>
        </w:rPr>
        <w:t xml:space="preserve"> que usa colegas como intermediários para obter informações sobre a vítima, para transmitir mensagens ou para monitorar sua situação, sem o conhecimento da vítima, </w:t>
      </w:r>
      <w:proofErr w:type="gramStart"/>
      <w:r>
        <w:rPr>
          <w:sz w:val="21"/>
          <w:szCs w:val="21"/>
        </w:rPr>
        <w:t>pratica</w:t>
      </w:r>
      <w:proofErr w:type="gramEnd"/>
      <w:r>
        <w:rPr>
          <w:sz w:val="21"/>
          <w:szCs w:val="21"/>
        </w:rPr>
        <w:t xml:space="preserve"> </w:t>
      </w:r>
      <w:proofErr w:type="spellStart"/>
      <w:r>
        <w:rPr>
          <w:i/>
          <w:sz w:val="21"/>
          <w:szCs w:val="21"/>
        </w:rPr>
        <w:t>stalking</w:t>
      </w:r>
      <w:proofErr w:type="spellEnd"/>
      <w:r>
        <w:rPr>
          <w:sz w:val="21"/>
          <w:szCs w:val="21"/>
        </w:rPr>
        <w:t xml:space="preserve"> indireto que pode ser difícil de identificar, mas que, quando documentado, confirma a intencionalidade e a sistematicidade do comportamento.</w:t>
      </w:r>
    </w:p>
    <w:p w14:paraId="1A4C2773" w14:textId="77777777" w:rsidR="00287D58" w:rsidRDefault="003B78AF">
      <w:pPr>
        <w:pStyle w:val="Ttulo2"/>
        <w:keepNext/>
      </w:pPr>
      <w:bookmarkStart w:id="110" w:name="_Toc238022105"/>
      <w:r>
        <w:t xml:space="preserve">9.7 O dano específico do </w:t>
      </w:r>
      <w:proofErr w:type="spellStart"/>
      <w:r>
        <w:rPr>
          <w:i/>
          <w:iCs/>
        </w:rPr>
        <w:t>stalking</w:t>
      </w:r>
      <w:bookmarkEnd w:id="110"/>
      <w:proofErr w:type="spellEnd"/>
    </w:p>
    <w:p w14:paraId="76921B00" w14:textId="77777777" w:rsidR="00537F6A" w:rsidRPr="00537F6A" w:rsidRDefault="00537F6A" w:rsidP="00537F6A">
      <w:pPr>
        <w:spacing w:after="120"/>
        <w:jc w:val="both"/>
        <w:rPr>
          <w:sz w:val="21"/>
          <w:szCs w:val="21"/>
        </w:rPr>
      </w:pPr>
      <w:r>
        <w:rPr>
          <w:sz w:val="21"/>
          <w:szCs w:val="21"/>
        </w:rPr>
        <w:t xml:space="preserve">O dano causado pelo </w:t>
      </w:r>
      <w:proofErr w:type="spellStart"/>
      <w:r>
        <w:rPr>
          <w:i/>
          <w:sz w:val="21"/>
          <w:szCs w:val="21"/>
        </w:rPr>
        <w:t>stalking</w:t>
      </w:r>
      <w:proofErr w:type="spellEnd"/>
      <w:r>
        <w:rPr>
          <w:sz w:val="21"/>
          <w:szCs w:val="21"/>
        </w:rPr>
        <w:t xml:space="preserve"> não é a soma dos danos de cada episódio isolado, é um dano autônomo, qualitativa e quantitativamente diferente, que emerge do padrão como um todo. Compreender esse dano é essencial para avaliar a gravidade da conduta e para fundamentar o enquadramento no patamar correto.</w:t>
      </w:r>
    </w:p>
    <w:p w14:paraId="5E22BFFE" w14:textId="77777777" w:rsidR="00537F6A" w:rsidRPr="00537F6A" w:rsidRDefault="00537F6A" w:rsidP="00537F6A">
      <w:pPr>
        <w:spacing w:after="120"/>
        <w:jc w:val="both"/>
        <w:rPr>
          <w:sz w:val="21"/>
          <w:szCs w:val="21"/>
        </w:rPr>
      </w:pPr>
      <w:r>
        <w:rPr>
          <w:sz w:val="21"/>
          <w:szCs w:val="21"/>
        </w:rPr>
        <w:t xml:space="preserve">A pesquisa clínica sobre </w:t>
      </w:r>
      <w:proofErr w:type="spellStart"/>
      <w:r>
        <w:rPr>
          <w:i/>
          <w:sz w:val="21"/>
          <w:szCs w:val="21"/>
        </w:rPr>
        <w:t>stalking</w:t>
      </w:r>
      <w:proofErr w:type="spellEnd"/>
      <w:r>
        <w:rPr>
          <w:sz w:val="21"/>
          <w:szCs w:val="21"/>
        </w:rPr>
        <w:t xml:space="preserve"> documenta consistentemente uma síndrome de resposta que Pathé e Mullen (1997) descreveram com precisão: 83% das vítimas de </w:t>
      </w:r>
      <w:proofErr w:type="spellStart"/>
      <w:r>
        <w:rPr>
          <w:i/>
          <w:sz w:val="21"/>
          <w:szCs w:val="21"/>
        </w:rPr>
        <w:t>stalking</w:t>
      </w:r>
      <w:proofErr w:type="spellEnd"/>
      <w:r>
        <w:rPr>
          <w:sz w:val="21"/>
          <w:szCs w:val="21"/>
        </w:rPr>
        <w:t xml:space="preserve"> modificam suas rotinas em resposta à perseguição; 37% perdem o emprego ou abandonam seus estudos; 24% mudam de residência; 53% desenvolvem sintomas psicológicos significativos, ansiedade, insônia, estados depressivos, sintomas de estresse pós-traumático. A vítima de </w:t>
      </w:r>
      <w:proofErr w:type="spellStart"/>
      <w:r>
        <w:rPr>
          <w:i/>
          <w:sz w:val="21"/>
          <w:szCs w:val="21"/>
        </w:rPr>
        <w:t>stalking</w:t>
      </w:r>
      <w:proofErr w:type="spellEnd"/>
      <w:r>
        <w:rPr>
          <w:sz w:val="21"/>
          <w:szCs w:val="21"/>
        </w:rPr>
        <w:t xml:space="preserve"> não está apenas com medo de um ato específico: está vivendo em estado de alerta permanente que consome recursos cognitivos e emocionais que deveriam estar disponíveis para o trabalho, os relacionamentos e o autocuidado.</w:t>
      </w:r>
    </w:p>
    <w:p w14:paraId="762C49D0" w14:textId="77777777" w:rsidR="00537F6A" w:rsidRPr="00537F6A" w:rsidRDefault="00537F6A" w:rsidP="00537F6A">
      <w:pPr>
        <w:spacing w:after="120"/>
        <w:jc w:val="both"/>
        <w:rPr>
          <w:sz w:val="21"/>
          <w:szCs w:val="21"/>
        </w:rPr>
      </w:pPr>
      <w:r>
        <w:rPr>
          <w:sz w:val="21"/>
          <w:szCs w:val="21"/>
        </w:rPr>
        <w:t xml:space="preserve">No ambiente funcional, esses efeitos se traduzem diretamente em comprometimento da capacidade de trabalho: dificuldade de concentração, absenteísmo, redução de produtividade, deterioração das relações com colegas (que podem ser evitados por medo de que o </w:t>
      </w:r>
      <w:r>
        <w:rPr>
          <w:i/>
          <w:sz w:val="21"/>
          <w:szCs w:val="21"/>
        </w:rPr>
        <w:t>stalker</w:t>
      </w:r>
      <w:r>
        <w:rPr>
          <w:sz w:val="21"/>
          <w:szCs w:val="21"/>
        </w:rPr>
        <w:t xml:space="preserve"> os use como intermediários), e, nos casos mais graves, afastamento por licença médica. A organização também é afetada: o clima de trabalho se deteriora, colegas que testemunham o </w:t>
      </w:r>
      <w:proofErr w:type="spellStart"/>
      <w:r>
        <w:rPr>
          <w:i/>
          <w:sz w:val="21"/>
          <w:szCs w:val="21"/>
        </w:rPr>
        <w:t>stalking</w:t>
      </w:r>
      <w:proofErr w:type="spellEnd"/>
      <w:r>
        <w:rPr>
          <w:sz w:val="21"/>
          <w:szCs w:val="21"/>
        </w:rPr>
        <w:t xml:space="preserve"> ficam desconfortáveis e inseguros sobre como reagir, e a credibilidade institucional da chefia que tolera ou pratica o </w:t>
      </w:r>
      <w:proofErr w:type="spellStart"/>
      <w:r>
        <w:rPr>
          <w:i/>
          <w:sz w:val="21"/>
          <w:szCs w:val="21"/>
        </w:rPr>
        <w:t>stalking</w:t>
      </w:r>
      <w:proofErr w:type="spellEnd"/>
      <w:r>
        <w:rPr>
          <w:sz w:val="21"/>
          <w:szCs w:val="21"/>
        </w:rPr>
        <w:t xml:space="preserve"> é comprometida.</w:t>
      </w:r>
    </w:p>
    <w:p w14:paraId="1C18A8E6" w14:textId="77777777" w:rsidR="00537F6A" w:rsidRPr="00537F6A" w:rsidRDefault="00537F6A" w:rsidP="00537F6A">
      <w:pPr>
        <w:spacing w:after="120"/>
        <w:jc w:val="both"/>
        <w:rPr>
          <w:sz w:val="21"/>
          <w:szCs w:val="21"/>
        </w:rPr>
      </w:pPr>
      <w:r>
        <w:rPr>
          <w:sz w:val="21"/>
          <w:szCs w:val="21"/>
        </w:rPr>
        <w:t xml:space="preserve">O Transtorno de Estresse Pós-Traumático (TEPT) é o diagnóstico mais frequentemente associado a vítimas de </w:t>
      </w:r>
      <w:proofErr w:type="spellStart"/>
      <w:r>
        <w:rPr>
          <w:i/>
          <w:sz w:val="21"/>
          <w:szCs w:val="21"/>
        </w:rPr>
        <w:t>stalking</w:t>
      </w:r>
      <w:proofErr w:type="spellEnd"/>
      <w:r>
        <w:rPr>
          <w:sz w:val="21"/>
          <w:szCs w:val="21"/>
        </w:rPr>
        <w:t xml:space="preserve"> de longa duração. A permanência em estado de hipervigilância, que o </w:t>
      </w:r>
      <w:proofErr w:type="spellStart"/>
      <w:r>
        <w:rPr>
          <w:i/>
          <w:sz w:val="21"/>
          <w:szCs w:val="21"/>
        </w:rPr>
        <w:t>stalking</w:t>
      </w:r>
      <w:proofErr w:type="spellEnd"/>
      <w:r>
        <w:rPr>
          <w:sz w:val="21"/>
          <w:szCs w:val="21"/>
        </w:rPr>
        <w:t xml:space="preserve"> impõe à vítima, é o mecanismo que produz o TEPT: o sistema nervoso autônomo, mantido em estado de alerta </w:t>
      </w:r>
      <w:r>
        <w:rPr>
          <w:sz w:val="21"/>
          <w:szCs w:val="21"/>
        </w:rPr>
        <w:lastRenderedPageBreak/>
        <w:t>prolongado, gradualmente perde a capacidade de retornar ao estado basal de repouso. O dano não é apenas psicológico no sentido subjetivo: é neurobiológico, com consequências mensuráveis na arquitetura do sono, na regulação emocional e na função cognitiva.</w:t>
      </w:r>
    </w:p>
    <w:p w14:paraId="79144E9A" w14:textId="77777777" w:rsidR="00287D58" w:rsidRDefault="003B78AF">
      <w:pPr>
        <w:pStyle w:val="Ttulo2"/>
        <w:keepNext/>
      </w:pPr>
      <w:bookmarkStart w:id="111" w:name="_Toc238022106"/>
      <w:r>
        <w:t>9.8 O enquadramento disciplinar</w:t>
      </w:r>
      <w:bookmarkEnd w:id="111"/>
    </w:p>
    <w:p w14:paraId="1B185BFD" w14:textId="77777777" w:rsidR="005A41C3" w:rsidRDefault="005A41C3">
      <w:pPr>
        <w:spacing w:after="120"/>
        <w:jc w:val="both"/>
        <w:rPr>
          <w:sz w:val="21"/>
          <w:szCs w:val="21"/>
        </w:rPr>
      </w:pPr>
      <w:r>
        <w:rPr>
          <w:sz w:val="21"/>
          <w:szCs w:val="21"/>
        </w:rPr>
        <w:t xml:space="preserve">O que torna o </w:t>
      </w:r>
      <w:proofErr w:type="spellStart"/>
      <w:r>
        <w:rPr>
          <w:i/>
          <w:sz w:val="21"/>
          <w:szCs w:val="21"/>
        </w:rPr>
        <w:t>stalking</w:t>
      </w:r>
      <w:proofErr w:type="spellEnd"/>
      <w:r>
        <w:rPr>
          <w:sz w:val="21"/>
          <w:szCs w:val="21"/>
        </w:rPr>
        <w:t xml:space="preserve"> "funcional" não é o uso de ferramentas do trabalho, é o fato de que a relação entre agressor e vítima é uma relação funcional, e de que é essa relação que deu ao agressor o acesso, a oportunidade e frequentemente a motivação para a perseguição. O servidor que conheceu a vítima no trabalho, que a encontra todos os dias na repartição, que usa esse contato diário obrigatório como vetor da obsessão, </w:t>
      </w:r>
      <w:proofErr w:type="gramStart"/>
      <w:r>
        <w:rPr>
          <w:sz w:val="21"/>
          <w:szCs w:val="21"/>
        </w:rPr>
        <w:t>pratica</w:t>
      </w:r>
      <w:proofErr w:type="gramEnd"/>
      <w:r>
        <w:rPr>
          <w:sz w:val="21"/>
          <w:szCs w:val="21"/>
        </w:rPr>
        <w:t xml:space="preserve"> </w:t>
      </w:r>
      <w:proofErr w:type="spellStart"/>
      <w:r>
        <w:rPr>
          <w:i/>
          <w:sz w:val="21"/>
          <w:szCs w:val="21"/>
        </w:rPr>
        <w:t>stalking</w:t>
      </w:r>
      <w:proofErr w:type="spellEnd"/>
      <w:r>
        <w:rPr>
          <w:sz w:val="21"/>
          <w:szCs w:val="21"/>
        </w:rPr>
        <w:t xml:space="preserve"> funcional mesmo que os meios usados sejam inteiramente privados. A impossibilidade de a vítima simplesmente evitar o agressor, porque é obrigada a trabalhar com ele todos os dias, é o elemento que torna o </w:t>
      </w:r>
      <w:proofErr w:type="spellStart"/>
      <w:r>
        <w:rPr>
          <w:i/>
          <w:sz w:val="21"/>
          <w:szCs w:val="21"/>
        </w:rPr>
        <w:t>stalking</w:t>
      </w:r>
      <w:proofErr w:type="spellEnd"/>
      <w:r>
        <w:rPr>
          <w:sz w:val="21"/>
          <w:szCs w:val="21"/>
        </w:rPr>
        <w:t xml:space="preserve"> especialmente grave no contexto funcional, independentemente de quais canais o agressor usa nas horas fora do expediente.</w:t>
      </w:r>
    </w:p>
    <w:p w14:paraId="108DBE12" w14:textId="77777777" w:rsidR="00282DF9" w:rsidRPr="004F1517" w:rsidRDefault="00282DF9" w:rsidP="00282DF9">
      <w:pPr>
        <w:spacing w:after="120"/>
        <w:jc w:val="both"/>
        <w:rPr>
          <w:sz w:val="21"/>
          <w:szCs w:val="21"/>
        </w:rPr>
      </w:pPr>
      <w:r>
        <w:rPr>
          <w:sz w:val="21"/>
          <w:szCs w:val="21"/>
        </w:rPr>
        <w:t>O erro mais comum ao analisar este tema é usar os meios como critério principal de análise. A estrutura correta é:</w:t>
      </w:r>
    </w:p>
    <w:p w14:paraId="28C1851E" w14:textId="77777777" w:rsidR="00282DF9" w:rsidRPr="004F1517" w:rsidRDefault="00282DF9" w:rsidP="00282DF9">
      <w:pPr>
        <w:spacing w:after="120"/>
        <w:jc w:val="both"/>
        <w:rPr>
          <w:b/>
          <w:bCs/>
          <w:sz w:val="21"/>
          <w:szCs w:val="21"/>
        </w:rPr>
      </w:pPr>
      <w:r>
        <w:rPr>
          <w:b/>
          <w:bCs/>
          <w:sz w:val="21"/>
          <w:szCs w:val="21"/>
        </w:rPr>
        <w:t xml:space="preserve">O que define se há </w:t>
      </w:r>
      <w:proofErr w:type="spellStart"/>
      <w:r>
        <w:rPr>
          <w:b/>
          <w:bCs/>
          <w:sz w:val="21"/>
          <w:szCs w:val="21"/>
        </w:rPr>
        <w:t>stalking</w:t>
      </w:r>
      <w:proofErr w:type="spellEnd"/>
      <w:r>
        <w:rPr>
          <w:b/>
          <w:bCs/>
          <w:sz w:val="21"/>
          <w:szCs w:val="21"/>
        </w:rPr>
        <w:t xml:space="preserve"> disciplinarmente relevante:</w:t>
      </w:r>
    </w:p>
    <w:p w14:paraId="231C9BCE" w14:textId="77777777" w:rsidR="00282DF9" w:rsidRPr="004F1517" w:rsidRDefault="00282DF9">
      <w:pPr>
        <w:numPr>
          <w:ilvl w:val="0"/>
          <w:numId w:val="20"/>
        </w:numPr>
        <w:spacing w:after="120"/>
        <w:jc w:val="both"/>
        <w:rPr>
          <w:sz w:val="21"/>
          <w:szCs w:val="21"/>
        </w:rPr>
      </w:pPr>
      <w:r>
        <w:rPr>
          <w:sz w:val="21"/>
          <w:szCs w:val="21"/>
        </w:rPr>
        <w:t>Padrão reiterado de perseguição, monitoramento ou contato insistente</w:t>
      </w:r>
    </w:p>
    <w:p w14:paraId="1B91E164" w14:textId="77777777" w:rsidR="00282DF9" w:rsidRPr="004F1517" w:rsidRDefault="00282DF9">
      <w:pPr>
        <w:numPr>
          <w:ilvl w:val="0"/>
          <w:numId w:val="20"/>
        </w:numPr>
        <w:spacing w:after="120"/>
        <w:jc w:val="both"/>
        <w:rPr>
          <w:sz w:val="21"/>
          <w:szCs w:val="21"/>
        </w:rPr>
      </w:pPr>
      <w:proofErr w:type="spellStart"/>
      <w:r>
        <w:rPr>
          <w:sz w:val="21"/>
          <w:szCs w:val="21"/>
        </w:rPr>
        <w:t>Indesejabilidade</w:t>
      </w:r>
      <w:proofErr w:type="spellEnd"/>
      <w:r>
        <w:rPr>
          <w:sz w:val="21"/>
          <w:szCs w:val="21"/>
        </w:rPr>
        <w:t xml:space="preserve"> manifesta, a vítima sinalizou que o contato é indesejado</w:t>
      </w:r>
    </w:p>
    <w:p w14:paraId="46806B9B" w14:textId="77777777" w:rsidR="00282DF9" w:rsidRDefault="00282DF9">
      <w:pPr>
        <w:numPr>
          <w:ilvl w:val="0"/>
          <w:numId w:val="20"/>
        </w:numPr>
        <w:spacing w:after="120"/>
        <w:jc w:val="both"/>
        <w:rPr>
          <w:sz w:val="21"/>
          <w:szCs w:val="21"/>
        </w:rPr>
      </w:pPr>
      <w:r>
        <w:rPr>
          <w:sz w:val="21"/>
          <w:szCs w:val="21"/>
        </w:rPr>
        <w:t>Nexo com a relação funcional, a relação de trabalho é o contexto que une as partes ou que deu origem à perseguição</w:t>
      </w:r>
    </w:p>
    <w:p w14:paraId="47ACEE94" w14:textId="77777777" w:rsidR="00484197" w:rsidRPr="004F1517" w:rsidRDefault="00484197" w:rsidP="00484197">
      <w:pPr>
        <w:spacing w:after="120"/>
        <w:jc w:val="both"/>
        <w:rPr>
          <w:sz w:val="21"/>
          <w:szCs w:val="21"/>
        </w:rPr>
      </w:pPr>
      <w:r>
        <w:rPr>
          <w:sz w:val="21"/>
          <w:szCs w:val="21"/>
        </w:rPr>
        <w:t xml:space="preserve">O meio privado, portanto, não afasta o ilícito disciplinar, apenas tende a afastar o enquadramento no patamar mais grave (art. 117, IX), que exige uso instrumental de prerrogativa do cargo. Mas o art. 116, IX captura plenamente o </w:t>
      </w:r>
      <w:proofErr w:type="spellStart"/>
      <w:r>
        <w:rPr>
          <w:i/>
          <w:sz w:val="21"/>
          <w:szCs w:val="21"/>
        </w:rPr>
        <w:t>stalking</w:t>
      </w:r>
      <w:proofErr w:type="spellEnd"/>
      <w:r>
        <w:rPr>
          <w:sz w:val="21"/>
          <w:szCs w:val="21"/>
        </w:rPr>
        <w:t xml:space="preserve"> praticado por meios privados quando o nexo funcional está presente.</w:t>
      </w:r>
    </w:p>
    <w:p w14:paraId="5049725D" w14:textId="77777777" w:rsidR="002C0034" w:rsidRPr="004F1517" w:rsidRDefault="002C0034" w:rsidP="004F1517">
      <w:pPr>
        <w:spacing w:before="100" w:beforeAutospacing="1" w:after="100" w:afterAutospacing="1" w:line="240" w:lineRule="auto"/>
        <w:rPr>
          <w:b/>
          <w:bCs/>
          <w:sz w:val="21"/>
          <w:szCs w:val="21"/>
        </w:rPr>
      </w:pPr>
      <w:r>
        <w:rPr>
          <w:b/>
          <w:bCs/>
          <w:sz w:val="21"/>
          <w:szCs w:val="21"/>
        </w:rPr>
        <w:t>O que define qual resultado é produzido:</w:t>
      </w:r>
    </w:p>
    <w:tbl>
      <w:tblPr>
        <w:tblStyle w:val="TabeladeGrade4-nfase1"/>
        <w:tblW w:w="0" w:type="auto"/>
        <w:tblLook w:val="04A0" w:firstRow="1" w:lastRow="0" w:firstColumn="1" w:lastColumn="0" w:noHBand="0" w:noVBand="1"/>
      </w:tblPr>
      <w:tblGrid>
        <w:gridCol w:w="6152"/>
        <w:gridCol w:w="2909"/>
      </w:tblGrid>
      <w:tr w:rsidR="002C0034" w:rsidRPr="00C91E2E" w14:paraId="2DC7C937" w14:textId="77777777" w:rsidTr="004F15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54861" w14:textId="77777777" w:rsidR="002C0034" w:rsidRPr="004F1517" w:rsidRDefault="002C0034" w:rsidP="004F1517">
            <w:pPr>
              <w:spacing w:line="276" w:lineRule="auto"/>
              <w:rPr>
                <w:rFonts w:ascii="Barlow Condensed" w:eastAsia="Barlow Condensed" w:hAnsi="Barlow Condensed" w:cs="Barlow Condensed"/>
                <w:color w:val="FFFFFF"/>
              </w:rPr>
            </w:pPr>
            <w:r>
              <w:rPr>
                <w:rFonts w:ascii="Barlow Condensed" w:eastAsia="Barlow Condensed" w:hAnsi="Barlow Condensed" w:cs="Barlow Condensed"/>
                <w:color w:val="FFFFFF"/>
              </w:rPr>
              <w:t>Circunstância</w:t>
            </w:r>
          </w:p>
        </w:tc>
        <w:tc>
          <w:tcPr>
            <w:tcW w:w="0" w:type="auto"/>
            <w:hideMark/>
          </w:tcPr>
          <w:p w14:paraId="41A68EF9" w14:textId="77777777" w:rsidR="002C0034" w:rsidRPr="004F1517" w:rsidRDefault="002C0034" w:rsidP="004F1517">
            <w:pPr>
              <w:spacing w:line="276" w:lineRule="auto"/>
              <w:cnfStyle w:val="100000000000" w:firstRow="1" w:lastRow="0" w:firstColumn="0" w:lastColumn="0" w:oddVBand="0" w:evenVBand="0" w:oddHBand="0" w:evenHBand="0" w:firstRowFirstColumn="0" w:firstRowLastColumn="0" w:lastRowFirstColumn="0" w:lastRowLastColumn="0"/>
              <w:rPr>
                <w:rFonts w:ascii="Barlow Condensed" w:eastAsia="Barlow Condensed" w:hAnsi="Barlow Condensed" w:cs="Barlow Condensed"/>
                <w:color w:val="FFFFFF"/>
              </w:rPr>
            </w:pPr>
            <w:r>
              <w:rPr>
                <w:rFonts w:ascii="Barlow Condensed" w:eastAsia="Barlow Condensed" w:hAnsi="Barlow Condensed" w:cs="Barlow Condensed"/>
                <w:color w:val="FFFFFF"/>
              </w:rPr>
              <w:t>Resultado</w:t>
            </w:r>
          </w:p>
        </w:tc>
      </w:tr>
      <w:tr w:rsidR="002C0034" w:rsidRPr="004F1517" w14:paraId="606CA536" w14:textId="77777777" w:rsidTr="00D72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ECFF"/>
            <w:hideMark/>
          </w:tcPr>
          <w:p w14:paraId="647F05E4" w14:textId="77777777" w:rsidR="00D72CBE" w:rsidRPr="00D72CBE" w:rsidRDefault="00A45AEB" w:rsidP="00C91E2E">
            <w:pPr>
              <w:spacing w:line="252" w:lineRule="auto"/>
            </w:pPr>
            <w:proofErr w:type="spellStart"/>
            <w:r>
              <w:rPr>
                <w:b w:val="0"/>
                <w:bCs w:val="0"/>
              </w:rPr>
              <w:t>Stalking</w:t>
            </w:r>
            <w:proofErr w:type="spellEnd"/>
            <w:r>
              <w:rPr>
                <w:b w:val="0"/>
                <w:bCs w:val="0"/>
              </w:rPr>
              <w:t xml:space="preserve"> com uso de prerrogativas funcionais como instrumento, acesso ao sistema de ponto, poder hierárquico, dados corporativos, convocação de reuniões</w:t>
            </w:r>
          </w:p>
        </w:tc>
        <w:tc>
          <w:tcPr>
            <w:tcW w:w="0" w:type="auto"/>
            <w:shd w:val="clear" w:color="auto" w:fill="CCECFF"/>
            <w:hideMark/>
          </w:tcPr>
          <w:p w14:paraId="7811DD88" w14:textId="77777777" w:rsidR="002C0034" w:rsidRPr="00C91E2E" w:rsidRDefault="002C0034" w:rsidP="00C91E2E">
            <w:pPr>
              <w:spacing w:line="252" w:lineRule="auto"/>
              <w:cnfStyle w:val="000000100000" w:firstRow="0" w:lastRow="0" w:firstColumn="0" w:lastColumn="0" w:oddVBand="0" w:evenVBand="0" w:oddHBand="1" w:evenHBand="0" w:firstRowFirstColumn="0" w:firstRowLastColumn="0" w:lastRowFirstColumn="0" w:lastRowLastColumn="0"/>
            </w:pPr>
            <w:r>
              <w:t>Art. 117, IX, demissão</w:t>
            </w:r>
          </w:p>
        </w:tc>
      </w:tr>
      <w:tr w:rsidR="002C0034" w:rsidRPr="004F1517" w14:paraId="0CFA4BF1" w14:textId="77777777" w:rsidTr="004F1517">
        <w:tc>
          <w:tcPr>
            <w:cnfStyle w:val="001000000000" w:firstRow="0" w:lastRow="0" w:firstColumn="1" w:lastColumn="0" w:oddVBand="0" w:evenVBand="0" w:oddHBand="0" w:evenHBand="0" w:firstRowFirstColumn="0" w:firstRowLastColumn="0" w:lastRowFirstColumn="0" w:lastRowLastColumn="0"/>
            <w:tcW w:w="0" w:type="auto"/>
            <w:hideMark/>
          </w:tcPr>
          <w:p w14:paraId="430AFDBB" w14:textId="77777777" w:rsidR="002C0034" w:rsidRPr="00C91E2E" w:rsidRDefault="00A45AEB" w:rsidP="00C91E2E">
            <w:pPr>
              <w:spacing w:line="252" w:lineRule="auto"/>
              <w:rPr>
                <w:b w:val="0"/>
                <w:bCs w:val="0"/>
              </w:rPr>
            </w:pPr>
            <w:proofErr w:type="spellStart"/>
            <w:r>
              <w:rPr>
                <w:b w:val="0"/>
                <w:bCs w:val="0"/>
              </w:rPr>
              <w:t>Stalking</w:t>
            </w:r>
            <w:proofErr w:type="spellEnd"/>
            <w:r>
              <w:rPr>
                <w:b w:val="0"/>
                <w:bCs w:val="0"/>
              </w:rPr>
              <w:t xml:space="preserve"> por meios funcionais compartilhados, e-mail institucional, mensagens corporativas, presença na repartição, sem uso de prerrogativa específica do cargo</w:t>
            </w:r>
          </w:p>
        </w:tc>
        <w:tc>
          <w:tcPr>
            <w:tcW w:w="0" w:type="auto"/>
            <w:hideMark/>
          </w:tcPr>
          <w:p w14:paraId="17B4C51B" w14:textId="77777777" w:rsidR="002C0034" w:rsidRPr="00C91E2E" w:rsidRDefault="002C0034" w:rsidP="00C91E2E">
            <w:pPr>
              <w:spacing w:line="252" w:lineRule="auto"/>
              <w:cnfStyle w:val="000000000000" w:firstRow="0" w:lastRow="0" w:firstColumn="0" w:lastColumn="0" w:oddVBand="0" w:evenVBand="0" w:oddHBand="0" w:evenHBand="0" w:firstRowFirstColumn="0" w:firstRowLastColumn="0" w:lastRowFirstColumn="0" w:lastRowLastColumn="0"/>
            </w:pPr>
            <w:r>
              <w:t>Art. 116, IX, suspensão</w:t>
            </w:r>
          </w:p>
        </w:tc>
      </w:tr>
      <w:tr w:rsidR="002C0034" w:rsidRPr="004F1517" w14:paraId="7EAAA956" w14:textId="77777777" w:rsidTr="00D72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ECFF"/>
            <w:hideMark/>
          </w:tcPr>
          <w:p w14:paraId="794019B0" w14:textId="77777777" w:rsidR="002C0034" w:rsidRPr="00C91E2E" w:rsidRDefault="00A45AEB" w:rsidP="00C91E2E">
            <w:pPr>
              <w:spacing w:line="252" w:lineRule="auto"/>
              <w:rPr>
                <w:b w:val="0"/>
                <w:bCs w:val="0"/>
              </w:rPr>
            </w:pPr>
            <w:proofErr w:type="spellStart"/>
            <w:r>
              <w:rPr>
                <w:b w:val="0"/>
                <w:bCs w:val="0"/>
              </w:rPr>
              <w:t>Stalking</w:t>
            </w:r>
            <w:proofErr w:type="spellEnd"/>
            <w:r>
              <w:rPr>
                <w:b w:val="0"/>
                <w:bCs w:val="0"/>
              </w:rPr>
              <w:t xml:space="preserve"> por meios inteiramente privados, WhatsApp pessoal, redes sociais, seguimento físico fora do trabalho, mas com nexo funcional e repercussão no ambiente de trabalho</w:t>
            </w:r>
          </w:p>
        </w:tc>
        <w:tc>
          <w:tcPr>
            <w:tcW w:w="0" w:type="auto"/>
            <w:shd w:val="clear" w:color="auto" w:fill="CCECFF"/>
            <w:hideMark/>
          </w:tcPr>
          <w:p w14:paraId="2B267D89" w14:textId="77777777" w:rsidR="002C0034" w:rsidRPr="00C91E2E" w:rsidRDefault="002C0034" w:rsidP="00C91E2E">
            <w:pPr>
              <w:spacing w:line="252" w:lineRule="auto"/>
              <w:cnfStyle w:val="000000100000" w:firstRow="0" w:lastRow="0" w:firstColumn="0" w:lastColumn="0" w:oddVBand="0" w:evenVBand="0" w:oddHBand="1" w:evenHBand="0" w:firstRowFirstColumn="0" w:firstRowLastColumn="0" w:lastRowFirstColumn="0" w:lastRowLastColumn="0"/>
            </w:pPr>
            <w:r>
              <w:t>Art. 116, IX, suspensão</w:t>
            </w:r>
          </w:p>
        </w:tc>
      </w:tr>
      <w:tr w:rsidR="002C0034" w:rsidRPr="004F1517" w14:paraId="540BB66F" w14:textId="77777777" w:rsidTr="004F1517">
        <w:tc>
          <w:tcPr>
            <w:cnfStyle w:val="001000000000" w:firstRow="0" w:lastRow="0" w:firstColumn="1" w:lastColumn="0" w:oddVBand="0" w:evenVBand="0" w:oddHBand="0" w:evenHBand="0" w:firstRowFirstColumn="0" w:firstRowLastColumn="0" w:lastRowFirstColumn="0" w:lastRowLastColumn="0"/>
            <w:tcW w:w="0" w:type="auto"/>
            <w:hideMark/>
          </w:tcPr>
          <w:p w14:paraId="742F4DC3" w14:textId="77777777" w:rsidR="002C0034" w:rsidRPr="00C91E2E" w:rsidRDefault="00A45AEB" w:rsidP="00C91E2E">
            <w:pPr>
              <w:spacing w:line="252" w:lineRule="auto"/>
              <w:rPr>
                <w:b w:val="0"/>
                <w:bCs w:val="0"/>
              </w:rPr>
            </w:pPr>
            <w:proofErr w:type="spellStart"/>
            <w:r>
              <w:rPr>
                <w:b w:val="0"/>
                <w:bCs w:val="0"/>
              </w:rPr>
              <w:t>Stalking</w:t>
            </w:r>
            <w:proofErr w:type="spellEnd"/>
            <w:r>
              <w:rPr>
                <w:b w:val="0"/>
                <w:bCs w:val="0"/>
              </w:rPr>
              <w:t xml:space="preserve"> por meios privados sem qualquer nexo funcional identificável, agressor e vítima não têm relação de trabalho</w:t>
            </w:r>
          </w:p>
        </w:tc>
        <w:tc>
          <w:tcPr>
            <w:tcW w:w="0" w:type="auto"/>
            <w:hideMark/>
          </w:tcPr>
          <w:p w14:paraId="55C7260D" w14:textId="77777777" w:rsidR="002C0034" w:rsidRPr="00C91E2E" w:rsidRDefault="002C0034" w:rsidP="00C91E2E">
            <w:pPr>
              <w:spacing w:line="252" w:lineRule="auto"/>
              <w:cnfStyle w:val="000000000000" w:firstRow="0" w:lastRow="0" w:firstColumn="0" w:lastColumn="0" w:oddVBand="0" w:evenVBand="0" w:oddHBand="0" w:evenHBand="0" w:firstRowFirstColumn="0" w:firstRowLastColumn="0" w:lastRowFirstColumn="0" w:lastRowLastColumn="0"/>
            </w:pPr>
            <w:r>
              <w:t>Fora do âmbito disciplinar; comunicação ao MP pelo art. 147-A do CP</w:t>
            </w:r>
          </w:p>
        </w:tc>
      </w:tr>
    </w:tbl>
    <w:p w14:paraId="6062A7E0" w14:textId="77777777" w:rsidR="00282DF9" w:rsidRDefault="00282DF9">
      <w:pPr>
        <w:spacing w:after="120"/>
        <w:jc w:val="both"/>
        <w:rPr>
          <w:sz w:val="21"/>
          <w:szCs w:val="21"/>
        </w:rPr>
      </w:pPr>
    </w:p>
    <w:p w14:paraId="43CF1743" w14:textId="77777777" w:rsidR="00F2506F" w:rsidRPr="00F2506F" w:rsidRDefault="00F2506F" w:rsidP="00F2506F">
      <w:pPr>
        <w:spacing w:after="120"/>
        <w:jc w:val="both"/>
        <w:rPr>
          <w:sz w:val="21"/>
          <w:szCs w:val="21"/>
        </w:rPr>
      </w:pPr>
      <w:r>
        <w:rPr>
          <w:sz w:val="21"/>
          <w:szCs w:val="21"/>
        </w:rPr>
        <w:t xml:space="preserve">Quando o </w:t>
      </w:r>
      <w:proofErr w:type="spellStart"/>
      <w:r>
        <w:rPr>
          <w:i/>
          <w:sz w:val="21"/>
          <w:szCs w:val="21"/>
        </w:rPr>
        <w:t>stalking</w:t>
      </w:r>
      <w:proofErr w:type="spellEnd"/>
      <w:r>
        <w:rPr>
          <w:sz w:val="21"/>
          <w:szCs w:val="21"/>
        </w:rPr>
        <w:t xml:space="preserve"> usa meios inteiramente privados, a demonstração da </w:t>
      </w:r>
      <w:r>
        <w:rPr>
          <w:b/>
          <w:bCs/>
          <w:sz w:val="21"/>
          <w:szCs w:val="21"/>
        </w:rPr>
        <w:t xml:space="preserve">repercussão </w:t>
      </w:r>
      <w:proofErr w:type="gramStart"/>
      <w:r>
        <w:rPr>
          <w:b/>
          <w:bCs/>
          <w:sz w:val="21"/>
          <w:szCs w:val="21"/>
        </w:rPr>
        <w:t>funcional</w:t>
      </w:r>
      <w:r>
        <w:rPr>
          <w:sz w:val="21"/>
          <w:szCs w:val="21"/>
        </w:rPr>
        <w:t xml:space="preserve"> ,o</w:t>
      </w:r>
      <w:proofErr w:type="gramEnd"/>
      <w:r>
        <w:rPr>
          <w:sz w:val="21"/>
          <w:szCs w:val="21"/>
        </w:rPr>
        <w:t xml:space="preserve"> efeito do padrão sobre a capacidade da vítima de trabalhar, torna-se o elemento central da instrução. É ela que estabelece o nexo entre a conduta privada e o ambiente de trabalho protegido.</w:t>
      </w:r>
    </w:p>
    <w:p w14:paraId="7ABC4BD7" w14:textId="77777777" w:rsidR="00F2506F" w:rsidRPr="00F2506F" w:rsidRDefault="00F2506F" w:rsidP="00F2506F">
      <w:pPr>
        <w:spacing w:after="120"/>
        <w:jc w:val="both"/>
        <w:rPr>
          <w:sz w:val="21"/>
          <w:szCs w:val="21"/>
        </w:rPr>
      </w:pPr>
      <w:r>
        <w:rPr>
          <w:sz w:val="21"/>
          <w:szCs w:val="21"/>
        </w:rPr>
        <w:t>Repercussão funcional demonstrável:</w:t>
      </w:r>
    </w:p>
    <w:p w14:paraId="24B66387" w14:textId="77777777" w:rsidR="00F2506F" w:rsidRPr="00F2506F" w:rsidRDefault="00F2506F">
      <w:pPr>
        <w:numPr>
          <w:ilvl w:val="0"/>
          <w:numId w:val="21"/>
        </w:numPr>
        <w:spacing w:after="120"/>
        <w:jc w:val="both"/>
        <w:rPr>
          <w:sz w:val="21"/>
          <w:szCs w:val="21"/>
        </w:rPr>
      </w:pPr>
      <w:r>
        <w:rPr>
          <w:sz w:val="21"/>
          <w:szCs w:val="21"/>
        </w:rPr>
        <w:lastRenderedPageBreak/>
        <w:t>A vítima passou a evitar espaços da repartição por medo de encontrar o agressor</w:t>
      </w:r>
    </w:p>
    <w:p w14:paraId="04150598" w14:textId="77777777" w:rsidR="00F2506F" w:rsidRPr="00F2506F" w:rsidRDefault="00F2506F">
      <w:pPr>
        <w:numPr>
          <w:ilvl w:val="0"/>
          <w:numId w:val="21"/>
        </w:numPr>
        <w:spacing w:after="120"/>
        <w:jc w:val="both"/>
        <w:rPr>
          <w:sz w:val="21"/>
          <w:szCs w:val="21"/>
        </w:rPr>
      </w:pPr>
      <w:r>
        <w:rPr>
          <w:sz w:val="21"/>
          <w:szCs w:val="21"/>
        </w:rPr>
        <w:t>A vítima pediu transferência de setor ou unidade para escapar do contato diário obrigatório</w:t>
      </w:r>
    </w:p>
    <w:p w14:paraId="358439A3" w14:textId="77777777" w:rsidR="00F2506F" w:rsidRPr="00F2506F" w:rsidRDefault="00F2506F">
      <w:pPr>
        <w:numPr>
          <w:ilvl w:val="0"/>
          <w:numId w:val="21"/>
        </w:numPr>
        <w:spacing w:after="120"/>
        <w:jc w:val="both"/>
        <w:rPr>
          <w:sz w:val="21"/>
          <w:szCs w:val="21"/>
        </w:rPr>
      </w:pPr>
      <w:r>
        <w:rPr>
          <w:sz w:val="21"/>
          <w:szCs w:val="21"/>
        </w:rPr>
        <w:t>A vítima apresenta laudo psicológico documentando que o estado de hipervigilância afeta seu desempenho no trabalho</w:t>
      </w:r>
    </w:p>
    <w:p w14:paraId="2CA3FC81" w14:textId="77777777" w:rsidR="00F2506F" w:rsidRPr="00F2506F" w:rsidRDefault="00F2506F">
      <w:pPr>
        <w:numPr>
          <w:ilvl w:val="0"/>
          <w:numId w:val="21"/>
        </w:numPr>
        <w:spacing w:after="120"/>
        <w:jc w:val="both"/>
        <w:rPr>
          <w:sz w:val="21"/>
          <w:szCs w:val="21"/>
        </w:rPr>
      </w:pPr>
      <w:r>
        <w:rPr>
          <w:sz w:val="21"/>
          <w:szCs w:val="21"/>
        </w:rPr>
        <w:t>A vítima modificou seus horários de entrada e saída para reduzir o contato com o agressor na repartição</w:t>
      </w:r>
    </w:p>
    <w:p w14:paraId="2A1AB5FC" w14:textId="77777777" w:rsidR="00F2506F" w:rsidRPr="00F2506F" w:rsidRDefault="00F2506F">
      <w:pPr>
        <w:numPr>
          <w:ilvl w:val="0"/>
          <w:numId w:val="21"/>
        </w:numPr>
        <w:spacing w:after="120"/>
        <w:jc w:val="both"/>
        <w:rPr>
          <w:sz w:val="21"/>
          <w:szCs w:val="21"/>
        </w:rPr>
      </w:pPr>
      <w:r>
        <w:rPr>
          <w:sz w:val="21"/>
          <w:szCs w:val="21"/>
        </w:rPr>
        <w:t>A vítima passou a incluir sistematicamente terceiros em interações que antes seriam bilaterais, para não ficar a sós com o agressor no ambiente de trabalho</w:t>
      </w:r>
    </w:p>
    <w:p w14:paraId="5DC44535" w14:textId="77777777" w:rsidR="00F2506F" w:rsidRPr="00F2506F" w:rsidRDefault="00F2506F" w:rsidP="00F2506F">
      <w:pPr>
        <w:spacing w:after="120"/>
        <w:jc w:val="both"/>
        <w:rPr>
          <w:sz w:val="21"/>
          <w:szCs w:val="21"/>
        </w:rPr>
      </w:pPr>
      <w:r>
        <w:rPr>
          <w:sz w:val="21"/>
          <w:szCs w:val="21"/>
        </w:rPr>
        <w:t>Cada um desses elementos demonstra que a conduta praticada por meios privados produziu efeito sobre o ambiente de trabalho da vítima, conectando a perseguição privada ao espaço funcional protegido.</w:t>
      </w:r>
    </w:p>
    <w:p w14:paraId="4D9FF917" w14:textId="77777777" w:rsidR="00287D58" w:rsidRDefault="003B78AF">
      <w:pPr>
        <w:pStyle w:val="Ttulo2"/>
        <w:keepNext/>
      </w:pPr>
      <w:bookmarkStart w:id="112" w:name="_Toc238022107"/>
      <w:r>
        <w:t>9.9 A cumulatividade com outros eixos</w:t>
      </w:r>
      <w:bookmarkEnd w:id="112"/>
    </w:p>
    <w:p w14:paraId="0D23C458" w14:textId="77777777" w:rsidR="00287D58" w:rsidRDefault="00A45AEB">
      <w:pPr>
        <w:spacing w:after="120"/>
        <w:jc w:val="both"/>
        <w:rPr>
          <w:sz w:val="21"/>
          <w:szCs w:val="21"/>
        </w:rPr>
      </w:pPr>
      <w:proofErr w:type="spellStart"/>
      <w:r>
        <w:rPr>
          <w:i/>
          <w:iCs/>
          <w:sz w:val="21"/>
          <w:szCs w:val="21"/>
        </w:rPr>
        <w:t>Stalking</w:t>
      </w:r>
      <w:proofErr w:type="spellEnd"/>
      <w:r>
        <w:rPr>
          <w:sz w:val="21"/>
          <w:szCs w:val="21"/>
        </w:rPr>
        <w:t xml:space="preserve"> + assédio moral: a perseguição sistemática que degradou o ambiente e produziu sofrimento psicológico documentável pode configurar simultaneamente </w:t>
      </w:r>
      <w:proofErr w:type="spellStart"/>
      <w:r>
        <w:rPr>
          <w:i/>
          <w:iCs/>
          <w:sz w:val="21"/>
          <w:szCs w:val="21"/>
        </w:rPr>
        <w:t>stalking</w:t>
      </w:r>
      <w:proofErr w:type="spellEnd"/>
      <w:r>
        <w:rPr>
          <w:sz w:val="21"/>
          <w:szCs w:val="21"/>
        </w:rPr>
        <w:t xml:space="preserve"> (Eixo 8) e assédio moral (Eixo 5)</w:t>
      </w:r>
      <w:r>
        <w:rPr>
          <w:i/>
          <w:iCs/>
          <w:sz w:val="21"/>
          <w:szCs w:val="21"/>
        </w:rPr>
        <w:t xml:space="preserve">. </w:t>
      </w:r>
      <w:proofErr w:type="spellStart"/>
      <w:r>
        <w:rPr>
          <w:i/>
          <w:iCs/>
          <w:sz w:val="21"/>
          <w:szCs w:val="21"/>
        </w:rPr>
        <w:t>Stalking</w:t>
      </w:r>
      <w:proofErr w:type="spellEnd"/>
      <w:r>
        <w:rPr>
          <w:i/>
          <w:iCs/>
          <w:sz w:val="21"/>
          <w:szCs w:val="21"/>
        </w:rPr>
        <w:t xml:space="preserve"> </w:t>
      </w:r>
      <w:r>
        <w:rPr>
          <w:sz w:val="21"/>
          <w:szCs w:val="21"/>
        </w:rPr>
        <w:t xml:space="preserve">+ retaliação ao denunciante: quando a perseguição é praticada em resposta a denúncia do servidor-alvo. </w:t>
      </w:r>
      <w:proofErr w:type="spellStart"/>
      <w:r>
        <w:rPr>
          <w:i/>
          <w:iCs/>
          <w:sz w:val="21"/>
          <w:szCs w:val="21"/>
        </w:rPr>
        <w:t>Stalking</w:t>
      </w:r>
      <w:proofErr w:type="spellEnd"/>
      <w:r>
        <w:rPr>
          <w:sz w:val="21"/>
          <w:szCs w:val="21"/>
        </w:rPr>
        <w:t xml:space="preserve"> + discriminação: quando a escolha da vítima é motivada por característica pessoal protegida, o § 1º, II, do art. 147-A prevê aumento de pena por razão de condição de sexo feminino.</w:t>
      </w:r>
    </w:p>
    <w:p w14:paraId="30302768" w14:textId="77777777" w:rsidR="00413D58" w:rsidRDefault="00413D58" w:rsidP="00413D58">
      <w:pPr>
        <w:pStyle w:val="Ttulo2"/>
        <w:keepNext/>
      </w:pPr>
      <w:bookmarkStart w:id="113" w:name="_Toc238022108"/>
      <w:r>
        <w:t xml:space="preserve">9.10 Síntese operacional: o Eixo 8 da ferramenta </w:t>
      </w:r>
      <w:proofErr w:type="spellStart"/>
      <w:r>
        <w:t>Integritas</w:t>
      </w:r>
      <w:bookmarkEnd w:id="113"/>
      <w:proofErr w:type="spellEnd"/>
    </w:p>
    <w:p w14:paraId="4264868A" w14:textId="77777777" w:rsidR="009A115D" w:rsidRPr="009A115D" w:rsidRDefault="009A115D" w:rsidP="009A115D">
      <w:pPr>
        <w:spacing w:after="120"/>
        <w:jc w:val="both"/>
        <w:rPr>
          <w:sz w:val="21"/>
          <w:szCs w:val="21"/>
        </w:rPr>
      </w:pPr>
      <w:r>
        <w:rPr>
          <w:sz w:val="21"/>
          <w:szCs w:val="21"/>
        </w:rPr>
        <w:t xml:space="preserve">O Eixo 8 percorre duas bifurcações: (P1) há padrão reiterado de perseguição, monitoramento ou contato insistente indesejado com nexo funcional, por meios institucionais ou por meios privados com repercussão funcional </w:t>
      </w:r>
      <w:proofErr w:type="gramStart"/>
      <w:r>
        <w:rPr>
          <w:sz w:val="21"/>
          <w:szCs w:val="21"/>
        </w:rPr>
        <w:t>demonstrável?;</w:t>
      </w:r>
      <w:proofErr w:type="gramEnd"/>
      <w:r>
        <w:rPr>
          <w:sz w:val="21"/>
          <w:szCs w:val="21"/>
        </w:rPr>
        <w:t xml:space="preserve"> (P2) o agressor utilizou prerrogativas funcionais específicas como instrumento da perseguição?</w:t>
      </w:r>
    </w:p>
    <w:p w14:paraId="258A3A18" w14:textId="77777777" w:rsidR="009A115D" w:rsidRPr="009A115D" w:rsidRDefault="009A115D" w:rsidP="009A115D">
      <w:pPr>
        <w:spacing w:after="120"/>
        <w:jc w:val="both"/>
        <w:rPr>
          <w:sz w:val="21"/>
          <w:szCs w:val="21"/>
        </w:rPr>
      </w:pPr>
      <w:r>
        <w:rPr>
          <w:sz w:val="21"/>
          <w:szCs w:val="21"/>
        </w:rPr>
        <w:t>A estrutura compacta do eixo reflete a estrutura lógica do tipo: o elemento central é o nexo funcional do padrão reiterado (P1), que deve ser verificado com atenção aos indicadores de padrão descritos na seção 9.5, abrangendo tanto os meios institucionais quanto os meios privados com repercussão funcional demonstrável; e o uso de prerrogativas do cargo (P2) determina o patamar de enquadramento, suspensão ou demissão.</w:t>
      </w:r>
    </w:p>
    <w:p w14:paraId="42E37C04" w14:textId="77777777" w:rsidR="009A115D" w:rsidRPr="009A115D" w:rsidRDefault="009A115D" w:rsidP="009A115D">
      <w:pPr>
        <w:spacing w:after="120"/>
        <w:jc w:val="both"/>
        <w:rPr>
          <w:sz w:val="21"/>
          <w:szCs w:val="21"/>
        </w:rPr>
      </w:pPr>
      <w:r>
        <w:rPr>
          <w:sz w:val="21"/>
          <w:szCs w:val="21"/>
        </w:rPr>
        <w:t>O operador que percorre o Eixo 8 deve ter presentes três orientações fundamentais:</w:t>
      </w:r>
    </w:p>
    <w:p w14:paraId="2C19825E" w14:textId="77777777" w:rsidR="009A115D" w:rsidRPr="009A115D" w:rsidRDefault="009A115D" w:rsidP="009A115D">
      <w:pPr>
        <w:spacing w:after="120"/>
        <w:jc w:val="both"/>
        <w:rPr>
          <w:sz w:val="21"/>
          <w:szCs w:val="21"/>
        </w:rPr>
      </w:pPr>
      <w:r>
        <w:rPr>
          <w:sz w:val="21"/>
          <w:szCs w:val="21"/>
        </w:rPr>
        <w:t xml:space="preserve">Primeiro: a verificação do padrão reiterado exige análise do conjunto de fatos ao longo do tempo, não a avaliação isolada de episódios. Um único e-mail não solicitado é incômodo; cinquenta e-mails não solicitados ao longo de dois meses, após pedido de cessação, é </w:t>
      </w:r>
      <w:proofErr w:type="spellStart"/>
      <w:r>
        <w:rPr>
          <w:i/>
          <w:sz w:val="21"/>
          <w:szCs w:val="21"/>
        </w:rPr>
        <w:t>stalking</w:t>
      </w:r>
      <w:proofErr w:type="spellEnd"/>
      <w:r>
        <w:rPr>
          <w:sz w:val="21"/>
          <w:szCs w:val="21"/>
        </w:rPr>
        <w:t>. O operador deve solicitar o histórico completo dos episódios antes de responder P1.</w:t>
      </w:r>
    </w:p>
    <w:p w14:paraId="69AB0C9D" w14:textId="77777777" w:rsidR="009A115D" w:rsidRPr="009A115D" w:rsidRDefault="009A115D" w:rsidP="009A115D">
      <w:pPr>
        <w:spacing w:after="120"/>
        <w:jc w:val="both"/>
        <w:rPr>
          <w:sz w:val="21"/>
          <w:szCs w:val="21"/>
        </w:rPr>
      </w:pPr>
      <w:r>
        <w:rPr>
          <w:sz w:val="21"/>
          <w:szCs w:val="21"/>
        </w:rPr>
        <w:t xml:space="preserve">Segundo: a presença de meios funcionais não é apenas circunstância de enquadramento, é evidência: os sistemas corporativos registram logs de acesso, os e-mails institucionais são rastreáveis, o controle de ponto eletrônico documenta horários com precisão. O </w:t>
      </w:r>
      <w:proofErr w:type="spellStart"/>
      <w:r>
        <w:rPr>
          <w:i/>
          <w:sz w:val="21"/>
          <w:szCs w:val="21"/>
        </w:rPr>
        <w:t>stalking</w:t>
      </w:r>
      <w:proofErr w:type="spellEnd"/>
      <w:r>
        <w:rPr>
          <w:sz w:val="21"/>
          <w:szCs w:val="21"/>
        </w:rPr>
        <w:t xml:space="preserve"> funcional é, frequentemente, o tipo de conduta que deixa mais rastros documentáveis do que o </w:t>
      </w:r>
      <w:proofErr w:type="spellStart"/>
      <w:r>
        <w:rPr>
          <w:i/>
          <w:sz w:val="21"/>
          <w:szCs w:val="21"/>
        </w:rPr>
        <w:t>stalking</w:t>
      </w:r>
      <w:proofErr w:type="spellEnd"/>
      <w:r>
        <w:rPr>
          <w:sz w:val="21"/>
          <w:szCs w:val="21"/>
        </w:rPr>
        <w:t xml:space="preserve"> em contexto privado, porque o ambiente digital corporativo registra o que o </w:t>
      </w:r>
      <w:r>
        <w:rPr>
          <w:i/>
          <w:sz w:val="21"/>
          <w:szCs w:val="21"/>
        </w:rPr>
        <w:t>stalker</w:t>
      </w:r>
      <w:r>
        <w:rPr>
          <w:sz w:val="21"/>
          <w:szCs w:val="21"/>
        </w:rPr>
        <w:t xml:space="preserve"> fez.</w:t>
      </w:r>
    </w:p>
    <w:p w14:paraId="620FD347" w14:textId="77777777" w:rsidR="00954ACF" w:rsidRDefault="009A115D" w:rsidP="00954ACF">
      <w:pPr>
        <w:spacing w:after="120"/>
        <w:jc w:val="both"/>
        <w:rPr>
          <w:sz w:val="21"/>
          <w:szCs w:val="21"/>
        </w:rPr>
      </w:pPr>
      <w:r>
        <w:rPr>
          <w:sz w:val="21"/>
          <w:szCs w:val="21"/>
        </w:rPr>
        <w:lastRenderedPageBreak/>
        <w:t xml:space="preserve">Terceiro: a urgência da proteção da vítima deve orientar o ritmo da apuração. O </w:t>
      </w:r>
      <w:proofErr w:type="spellStart"/>
      <w:r>
        <w:rPr>
          <w:i/>
          <w:sz w:val="21"/>
          <w:szCs w:val="21"/>
        </w:rPr>
        <w:t>stalking</w:t>
      </w:r>
      <w:proofErr w:type="spellEnd"/>
      <w:r>
        <w:rPr>
          <w:sz w:val="21"/>
          <w:szCs w:val="21"/>
        </w:rPr>
        <w:t xml:space="preserve"> tende à escalada. A apuração que demora excessivamente enquanto a perseguição continua não apenas causa </w:t>
      </w:r>
      <w:proofErr w:type="spellStart"/>
      <w:r>
        <w:rPr>
          <w:sz w:val="21"/>
          <w:szCs w:val="21"/>
        </w:rPr>
        <w:t>dano</w:t>
      </w:r>
      <w:proofErr w:type="spellEnd"/>
      <w:r>
        <w:rPr>
          <w:sz w:val="21"/>
          <w:szCs w:val="21"/>
        </w:rPr>
        <w:t xml:space="preserve"> progressivo à vítima, em alguns casos documentados na literatura, o </w:t>
      </w:r>
      <w:proofErr w:type="spellStart"/>
      <w:r>
        <w:rPr>
          <w:i/>
          <w:sz w:val="21"/>
          <w:szCs w:val="21"/>
        </w:rPr>
        <w:t>stalking</w:t>
      </w:r>
      <w:proofErr w:type="spellEnd"/>
      <w:r>
        <w:rPr>
          <w:sz w:val="21"/>
          <w:szCs w:val="21"/>
        </w:rPr>
        <w:t xml:space="preserve"> não </w:t>
      </w:r>
      <w:proofErr w:type="gramStart"/>
      <w:r>
        <w:rPr>
          <w:sz w:val="21"/>
          <w:szCs w:val="21"/>
        </w:rPr>
        <w:t>interrompido escala</w:t>
      </w:r>
      <w:proofErr w:type="gramEnd"/>
      <w:r>
        <w:rPr>
          <w:sz w:val="21"/>
          <w:szCs w:val="21"/>
        </w:rPr>
        <w:t xml:space="preserve"> para violência física. A autoridade competente deve avaliar medidas cautelares de proteção desde o momento em que o padrão persecutório é identificado, sem aguardar a conclusão da apuração.</w:t>
      </w:r>
    </w:p>
    <w:p w14:paraId="14292862" w14:textId="77777777" w:rsidR="00287D58" w:rsidRDefault="003B78AF">
      <w:r>
        <w:br w:type="page"/>
      </w:r>
    </w:p>
    <w:p w14:paraId="09FEE610" w14:textId="77777777" w:rsidR="00287D58" w:rsidRDefault="003B78AF">
      <w:pPr>
        <w:spacing w:before="1200" w:after="120"/>
      </w:pPr>
      <w:r>
        <w:rPr>
          <w:rFonts w:ascii="Barlow Condensed" w:eastAsia="Barlow Condensed" w:hAnsi="Barlow Condensed" w:cs="Barlow Condensed"/>
          <w:b/>
          <w:bCs/>
          <w:color w:val="8C6E2C"/>
          <w:spacing w:val="40"/>
          <w:sz w:val="40"/>
          <w:szCs w:val="40"/>
        </w:rPr>
        <w:lastRenderedPageBreak/>
        <w:t>PARTE II</w:t>
      </w:r>
    </w:p>
    <w:p w14:paraId="12CC989B" w14:textId="77777777" w:rsidR="00287D58" w:rsidRDefault="003B78AF">
      <w:pPr>
        <w:pBdr>
          <w:bottom w:val="single" w:sz="16" w:space="8" w:color="C9A35C"/>
        </w:pBdr>
        <w:spacing w:before="60" w:after="100" w:line="680" w:lineRule="exact"/>
      </w:pPr>
      <w:r>
        <w:rPr>
          <w:rFonts w:ascii="Barlow Condensed" w:eastAsia="Barlow Condensed" w:hAnsi="Barlow Condensed" w:cs="Barlow Condensed"/>
          <w:b/>
          <w:bCs/>
          <w:color w:val="051A3D"/>
          <w:sz w:val="64"/>
          <w:szCs w:val="64"/>
        </w:rPr>
        <w:t>Uso Prático da Ferramenta</w:t>
      </w:r>
    </w:p>
    <w:p w14:paraId="4E072CE7" w14:textId="77777777" w:rsidR="00287D58" w:rsidRDefault="003B78AF">
      <w:pPr>
        <w:spacing w:after="120"/>
        <w:jc w:val="both"/>
      </w:pPr>
      <w:r>
        <w:rPr>
          <w:i/>
          <w:iCs/>
          <w:color w:val="5B6781"/>
          <w:sz w:val="22"/>
          <w:szCs w:val="22"/>
        </w:rPr>
        <w:t xml:space="preserve">Os oito eixos de análise do </w:t>
      </w:r>
      <w:proofErr w:type="spellStart"/>
      <w:r>
        <w:rPr>
          <w:i/>
          <w:iCs/>
          <w:color w:val="5B6781"/>
          <w:sz w:val="22"/>
          <w:szCs w:val="22"/>
        </w:rPr>
        <w:t>Integritas</w:t>
      </w:r>
      <w:proofErr w:type="spellEnd"/>
      <w:r>
        <w:rPr>
          <w:i/>
          <w:iCs/>
          <w:color w:val="5B6781"/>
          <w:sz w:val="22"/>
          <w:szCs w:val="22"/>
        </w:rPr>
        <w:t>, pergunta a pergunta: o que avaliar, como decidir e qual enquadramento orientativo cada caminho produz.</w:t>
      </w:r>
    </w:p>
    <w:p w14:paraId="04527569" w14:textId="77777777" w:rsidR="00287D58" w:rsidRDefault="003B78AF">
      <w:r>
        <w:br w:type="page"/>
      </w:r>
    </w:p>
    <w:p w14:paraId="6A6EE84D"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CAPÍTULO 10</w:t>
      </w:r>
    </w:p>
    <w:p w14:paraId="3BD2C3CA" w14:textId="77777777" w:rsidR="00287D58" w:rsidRDefault="003B78AF">
      <w:pPr>
        <w:pStyle w:val="Ttulo1"/>
        <w:keepNext/>
        <w:pBdr>
          <w:bottom w:val="single" w:sz="12" w:space="6" w:color="C9A35C"/>
        </w:pBdr>
        <w:spacing w:line="400" w:lineRule="exact"/>
      </w:pPr>
      <w:bookmarkStart w:id="114" w:name="_Toc238022109"/>
      <w:r>
        <w:t>10. COMO USAR A FERRAMENTA INTEGRITAS: GUIA PASSO A PASSO PARA O ANALISTA</w:t>
      </w:r>
      <w:bookmarkEnd w:id="114"/>
    </w:p>
    <w:p w14:paraId="1FADF2DA" w14:textId="77777777" w:rsidR="00287D58" w:rsidRDefault="003B78AF">
      <w:pPr>
        <w:pStyle w:val="Ttulo2"/>
        <w:keepNext/>
      </w:pPr>
      <w:bookmarkStart w:id="115" w:name="_Toc238022110"/>
      <w:r>
        <w:t>Antes de abrir a ferramenta: o que você precisa ter em mãos</w:t>
      </w:r>
      <w:bookmarkEnd w:id="115"/>
    </w:p>
    <w:p w14:paraId="6F4A6032" w14:textId="77777777" w:rsidR="00287D58" w:rsidRDefault="003B78AF">
      <w:pPr>
        <w:spacing w:after="120"/>
        <w:jc w:val="both"/>
      </w:pPr>
      <w:r>
        <w:rPr>
          <w:sz w:val="21"/>
          <w:szCs w:val="21"/>
        </w:rPr>
        <w:t>Reúna: (1) o número do processo no formato NNNNN.NNNNNN/YYYY-NN; (2) a data em que a autoridade competente tomou conhecimento do fato, essa data determina o prazo prescricional; (3) o relato dos fatos com o máximo de detalhes; (4) clareza sobre qual é a conduta principal que você quer analisar.</w:t>
      </w:r>
    </w:p>
    <w:p w14:paraId="1359578D" w14:textId="77777777" w:rsidR="00287D58" w:rsidRDefault="003B78AF">
      <w:pPr>
        <w:pStyle w:val="Ttulo2"/>
        <w:keepNext/>
      </w:pPr>
      <w:bookmarkStart w:id="116" w:name="_Toc238022111"/>
      <w:r>
        <w:t>PASSO 1, Tela de identificação do caso</w:t>
      </w:r>
      <w:bookmarkEnd w:id="116"/>
    </w:p>
    <w:p w14:paraId="65807996" w14:textId="77777777" w:rsidR="00287D58" w:rsidRDefault="003B78AF">
      <w:pPr>
        <w:spacing w:after="120"/>
        <w:jc w:val="both"/>
      </w:pPr>
      <w:r>
        <w:rPr>
          <w:sz w:val="21"/>
          <w:szCs w:val="21"/>
        </w:rPr>
        <w:t>A ferramenta abre com tela de identificação. O botão "Próximo" só fica habilitado quando o formato do número de processo está correto e o nome do analista preenchido. Todos os dados que você preencher aqui aparecem automaticamente no cabeçalho do relatório final. Um relatório sem identificação de processo e analista não serve como peça de fundamentação.</w:t>
      </w:r>
    </w:p>
    <w:p w14:paraId="0CC566A2" w14:textId="77777777" w:rsidR="00287D58" w:rsidRDefault="003B78AF">
      <w:pPr>
        <w:pStyle w:val="Ttulo2"/>
        <w:keepNext/>
      </w:pPr>
      <w:bookmarkStart w:id="117" w:name="_Toc238022112"/>
      <w:r>
        <w:t>PASSO 2, Descrição da conduta</w:t>
      </w:r>
      <w:bookmarkEnd w:id="117"/>
    </w:p>
    <w:p w14:paraId="0BFF00FD" w14:textId="77777777" w:rsidR="00287D58" w:rsidRDefault="003B78AF">
      <w:pPr>
        <w:spacing w:after="120"/>
        <w:jc w:val="both"/>
      </w:pPr>
      <w:r>
        <w:rPr>
          <w:sz w:val="21"/>
          <w:szCs w:val="21"/>
        </w:rPr>
        <w:t>Escreva o que ocorreu, não a conclusão jurídica. Errado: "servidor praticou assédio moral". Certo: "servidor X, chefe imediato de Y, teria, ao longo de seis meses, distribuído sistematicamente a Y as tarefas mais degradantes da equipe, excluído Y das reuniões de planejamento e feito comentários públicos depreciativos sobre o desempenho de Y em duas reuniões de equipe documentadas em ata". Essa descrição fica visível durante todo o percurso como âncora cognitiva e aparece no relatório final como "Conduta sob análise".</w:t>
      </w:r>
    </w:p>
    <w:p w14:paraId="50D59CDC" w14:textId="77777777" w:rsidR="00287D58" w:rsidRDefault="003B78AF">
      <w:pPr>
        <w:pStyle w:val="Ttulo2"/>
        <w:keepNext/>
      </w:pPr>
      <w:bookmarkStart w:id="118" w:name="_Toc238022113"/>
      <w:r>
        <w:t>PASSO 3, Seleção do eixo</w:t>
      </w:r>
      <w:bookmarkEnd w:id="1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0"/>
      </w:tblGrid>
      <w:tr w:rsidR="00287D58" w14:paraId="12D1751E" w14:textId="77777777">
        <w:trPr>
          <w:tblHeader/>
        </w:trPr>
        <w:tc>
          <w:tcPr>
            <w:tcW w:w="280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2DEF918B" w14:textId="77777777" w:rsidR="00287D58" w:rsidRDefault="003B78AF">
            <w:r>
              <w:rPr>
                <w:rFonts w:ascii="Barlow Condensed" w:eastAsia="Barlow Condensed" w:hAnsi="Barlow Condensed" w:cs="Barlow Condensed"/>
                <w:b/>
                <w:bCs/>
                <w:color w:val="FFFFFF"/>
              </w:rPr>
              <w:t>Eixo</w:t>
            </w:r>
          </w:p>
        </w:tc>
        <w:tc>
          <w:tcPr>
            <w:tcW w:w="627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5AAF515E" w14:textId="77777777" w:rsidR="00287D58" w:rsidRDefault="003B78AF">
            <w:r>
              <w:rPr>
                <w:rFonts w:ascii="Barlow Condensed" w:eastAsia="Barlow Condensed" w:hAnsi="Barlow Condensed" w:cs="Barlow Condensed"/>
                <w:b/>
                <w:bCs/>
                <w:color w:val="FFFFFF"/>
              </w:rPr>
              <w:t>Selecione quando</w:t>
            </w:r>
          </w:p>
        </w:tc>
      </w:tr>
      <w:tr w:rsidR="00287D58" w14:paraId="6B6D95D4" w14:textId="77777777">
        <w:tc>
          <w:tcPr>
            <w:tcW w:w="28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0886BDF1" w14:textId="77777777" w:rsidR="00287D58" w:rsidRDefault="003B78AF">
            <w:pPr>
              <w:spacing w:line="252" w:lineRule="auto"/>
            </w:pPr>
            <w:r>
              <w:t>1, Agressão física</w:t>
            </w:r>
          </w:p>
        </w:tc>
        <w:tc>
          <w:tcPr>
            <w:tcW w:w="62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34318950" w14:textId="77777777" w:rsidR="00287D58" w:rsidRDefault="003B78AF">
            <w:pPr>
              <w:spacing w:line="252" w:lineRule="auto"/>
            </w:pPr>
            <w:r>
              <w:t>Houve contato físico violento</w:t>
            </w:r>
          </w:p>
        </w:tc>
      </w:tr>
      <w:tr w:rsidR="00287D58" w14:paraId="59603E8F" w14:textId="77777777">
        <w:tc>
          <w:tcPr>
            <w:tcW w:w="28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6619E910" w14:textId="77777777" w:rsidR="00287D58" w:rsidRDefault="003B78AF">
            <w:pPr>
              <w:spacing w:line="252" w:lineRule="auto"/>
            </w:pPr>
            <w:r>
              <w:t>2, Ameaça</w:t>
            </w:r>
          </w:p>
        </w:tc>
        <w:tc>
          <w:tcPr>
            <w:tcW w:w="62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0B0EFF2E" w14:textId="77777777" w:rsidR="00287D58" w:rsidRDefault="003B78AF">
            <w:pPr>
              <w:spacing w:line="252" w:lineRule="auto"/>
            </w:pPr>
            <w:r>
              <w:t>Houve anúncio de mal futuro com intenção de intimidar</w:t>
            </w:r>
          </w:p>
        </w:tc>
      </w:tr>
      <w:tr w:rsidR="00287D58" w14:paraId="6045FCA9" w14:textId="77777777">
        <w:tc>
          <w:tcPr>
            <w:tcW w:w="28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5C4CCC4A" w14:textId="77777777" w:rsidR="00287D58" w:rsidRDefault="003B78AF">
            <w:pPr>
              <w:spacing w:line="252" w:lineRule="auto"/>
            </w:pPr>
            <w:r>
              <w:t>3, Assédio sexual</w:t>
            </w:r>
          </w:p>
        </w:tc>
        <w:tc>
          <w:tcPr>
            <w:tcW w:w="62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094612A5" w14:textId="77777777" w:rsidR="00287D58" w:rsidRDefault="003B78AF">
            <w:pPr>
              <w:spacing w:line="252" w:lineRule="auto"/>
            </w:pPr>
            <w:r>
              <w:t>A conduta tem conotação sexual</w:t>
            </w:r>
          </w:p>
        </w:tc>
      </w:tr>
      <w:tr w:rsidR="00287D58" w14:paraId="38E596F6" w14:textId="77777777">
        <w:tc>
          <w:tcPr>
            <w:tcW w:w="28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77FACC7D" w14:textId="77777777" w:rsidR="00287D58" w:rsidRDefault="003B78AF">
            <w:pPr>
              <w:spacing w:line="252" w:lineRule="auto"/>
            </w:pPr>
            <w:r>
              <w:t>4, Assédio moral</w:t>
            </w:r>
          </w:p>
        </w:tc>
        <w:tc>
          <w:tcPr>
            <w:tcW w:w="62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6B83C33B" w14:textId="77777777" w:rsidR="00287D58" w:rsidRDefault="003B78AF">
            <w:pPr>
              <w:spacing w:line="252" w:lineRule="auto"/>
            </w:pPr>
            <w:r>
              <w:t>Há padrão reiterado de condutas hostis ou humilhantes</w:t>
            </w:r>
          </w:p>
        </w:tc>
      </w:tr>
      <w:tr w:rsidR="00287D58" w14:paraId="53856699" w14:textId="77777777">
        <w:tc>
          <w:tcPr>
            <w:tcW w:w="28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5ADD1DD4" w14:textId="77777777" w:rsidR="00287D58" w:rsidRDefault="003B78AF">
            <w:pPr>
              <w:spacing w:line="252" w:lineRule="auto"/>
            </w:pPr>
            <w:r>
              <w:t>5, Discriminação</w:t>
            </w:r>
          </w:p>
        </w:tc>
        <w:tc>
          <w:tcPr>
            <w:tcW w:w="62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6FCE2C46" w14:textId="77777777" w:rsidR="00287D58" w:rsidRDefault="003B78AF">
            <w:pPr>
              <w:spacing w:line="252" w:lineRule="auto"/>
            </w:pPr>
            <w:r>
              <w:t>A conduta está motivada por característica pessoal da vítima</w:t>
            </w:r>
          </w:p>
        </w:tc>
      </w:tr>
      <w:tr w:rsidR="00287D58" w14:paraId="3FE40227" w14:textId="77777777">
        <w:tc>
          <w:tcPr>
            <w:tcW w:w="28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3FBDEE73" w14:textId="77777777" w:rsidR="00287D58" w:rsidRDefault="003B78AF">
            <w:pPr>
              <w:spacing w:line="252" w:lineRule="auto"/>
            </w:pPr>
            <w:r>
              <w:t>6, Retaliação ao denunciante</w:t>
            </w:r>
          </w:p>
        </w:tc>
        <w:tc>
          <w:tcPr>
            <w:tcW w:w="62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747176B5" w14:textId="77777777" w:rsidR="00287D58" w:rsidRDefault="003B78AF">
            <w:pPr>
              <w:spacing w:line="252" w:lineRule="auto"/>
            </w:pPr>
            <w:r>
              <w:t>O servidor sofreu represália após exercer direito protegido</w:t>
            </w:r>
          </w:p>
        </w:tc>
      </w:tr>
      <w:tr w:rsidR="00287D58" w14:paraId="27EF8EA2" w14:textId="77777777">
        <w:tc>
          <w:tcPr>
            <w:tcW w:w="28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29336A83" w14:textId="77777777" w:rsidR="00287D58" w:rsidRDefault="003B78AF">
            <w:pPr>
              <w:spacing w:line="252" w:lineRule="auto"/>
            </w:pPr>
            <w:r>
              <w:t>7, Violência verbal</w:t>
            </w:r>
          </w:p>
        </w:tc>
        <w:tc>
          <w:tcPr>
            <w:tcW w:w="62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3489DCFC" w14:textId="77777777" w:rsidR="00287D58" w:rsidRDefault="003B78AF">
            <w:pPr>
              <w:spacing w:line="252" w:lineRule="auto"/>
            </w:pPr>
            <w:r>
              <w:t xml:space="preserve">Houve insulto, xingamento ou humilhação sem conteúdo </w:t>
            </w:r>
            <w:proofErr w:type="spellStart"/>
            <w:r>
              <w:t>ameaçatório</w:t>
            </w:r>
            <w:proofErr w:type="spellEnd"/>
          </w:p>
        </w:tc>
      </w:tr>
      <w:tr w:rsidR="00287D58" w14:paraId="08A730BB" w14:textId="77777777">
        <w:tc>
          <w:tcPr>
            <w:tcW w:w="28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2C3FA396" w14:textId="77777777" w:rsidR="00287D58" w:rsidRDefault="003B78AF">
            <w:pPr>
              <w:spacing w:line="252" w:lineRule="auto"/>
            </w:pPr>
            <w:r>
              <w:t xml:space="preserve">8, </w:t>
            </w:r>
            <w:proofErr w:type="spellStart"/>
            <w:r>
              <w:rPr>
                <w:i/>
              </w:rPr>
              <w:t>Stalking</w:t>
            </w:r>
            <w:proofErr w:type="spellEnd"/>
            <w:r>
              <w:t xml:space="preserve"> funcional</w:t>
            </w:r>
          </w:p>
        </w:tc>
        <w:tc>
          <w:tcPr>
            <w:tcW w:w="62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207376F4" w14:textId="77777777" w:rsidR="00287D58" w:rsidRDefault="003B78AF">
            <w:pPr>
              <w:spacing w:line="252" w:lineRule="auto"/>
            </w:pPr>
            <w:r>
              <w:t>Há padrão reiterado de vigilância ou contato insistente indesejado</w:t>
            </w:r>
          </w:p>
        </w:tc>
      </w:tr>
    </w:tbl>
    <w:p w14:paraId="1105315B" w14:textId="77777777" w:rsidR="00287D58" w:rsidRDefault="003B78AF">
      <w:pPr>
        <w:spacing w:after="120"/>
        <w:jc w:val="both"/>
      </w:pPr>
      <w:r>
        <w:rPr>
          <w:sz w:val="21"/>
          <w:szCs w:val="21"/>
        </w:rPr>
        <w:t xml:space="preserve">Se não souber qual eixo escolher, use o mais específico que se aplique. A ferramenta redireciona para outros eixos quando a conduta tem características que pertencem a categoria diferente. Se o caso tiver múltiplas condutas, </w:t>
      </w:r>
      <w:proofErr w:type="gramStart"/>
      <w:r>
        <w:rPr>
          <w:sz w:val="21"/>
          <w:szCs w:val="21"/>
        </w:rPr>
        <w:t>analise</w:t>
      </w:r>
      <w:proofErr w:type="gramEnd"/>
      <w:r>
        <w:rPr>
          <w:sz w:val="21"/>
          <w:szCs w:val="21"/>
        </w:rPr>
        <w:t xml:space="preserve"> uma por vez usando o botão "Analisar outra conduta no mesmo caso" ao final de cada resultado.</w:t>
      </w:r>
    </w:p>
    <w:p w14:paraId="0F43251C" w14:textId="77777777" w:rsidR="00287D58" w:rsidRDefault="003B78AF">
      <w:pPr>
        <w:pStyle w:val="Ttulo2"/>
        <w:keepNext/>
      </w:pPr>
      <w:bookmarkStart w:id="119" w:name="_Toc238022114"/>
      <w:r>
        <w:lastRenderedPageBreak/>
        <w:t>PASSO 4, O percurso de perguntas</w:t>
      </w:r>
      <w:bookmarkEnd w:id="119"/>
    </w:p>
    <w:p w14:paraId="1DF36DBA" w14:textId="77777777" w:rsidR="00287D58" w:rsidRDefault="003B78AF">
      <w:pPr>
        <w:spacing w:after="120"/>
        <w:jc w:val="both"/>
        <w:rPr>
          <w:sz w:val="21"/>
          <w:szCs w:val="21"/>
        </w:rPr>
      </w:pPr>
      <w:r>
        <w:rPr>
          <w:sz w:val="21"/>
          <w:szCs w:val="21"/>
        </w:rPr>
        <w:t xml:space="preserve">Regra de ouro: responda com base nos fatos apurados, não na impressão sobre a gravidade do caso ou no resultado que você espera produzir. A ferramenta só é tão boa quanto a qualidade das respostas que recebe. O </w:t>
      </w:r>
      <w:proofErr w:type="spellStart"/>
      <w:r>
        <w:rPr>
          <w:sz w:val="21"/>
          <w:szCs w:val="21"/>
        </w:rPr>
        <w:t>breadcrumb</w:t>
      </w:r>
      <w:proofErr w:type="spellEnd"/>
      <w:r>
        <w:rPr>
          <w:sz w:val="21"/>
          <w:szCs w:val="21"/>
        </w:rPr>
        <w:t xml:space="preserve"> no topo registra cada resposta; o painel lateral exibe o fundamento normativo aplicável a cada pergunta.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CC"/>
        <w:tblCellMar>
          <w:left w:w="10" w:type="dxa"/>
          <w:right w:w="10" w:type="dxa"/>
        </w:tblCellMar>
        <w:tblLook w:val="0000" w:firstRow="0" w:lastRow="0" w:firstColumn="0" w:lastColumn="0" w:noHBand="0" w:noVBand="0"/>
      </w:tblPr>
      <w:tblGrid>
        <w:gridCol w:w="9070"/>
      </w:tblGrid>
      <w:tr w:rsidR="009440D6" w14:paraId="32421B4C" w14:textId="77777777" w:rsidTr="00B41A22">
        <w:tc>
          <w:tcPr>
            <w:tcW w:w="9070" w:type="dxa"/>
            <w:tcBorders>
              <w:left w:val="single" w:sz="24" w:space="0" w:color="C9A35C"/>
            </w:tcBorders>
            <w:shd w:val="clear" w:color="auto" w:fill="FFCCCC"/>
            <w:tcMar>
              <w:top w:w="120" w:type="dxa"/>
              <w:left w:w="200" w:type="dxa"/>
              <w:bottom w:w="120" w:type="dxa"/>
              <w:right w:w="160" w:type="dxa"/>
            </w:tcMar>
          </w:tcPr>
          <w:p w14:paraId="1EC54826" w14:textId="77777777" w:rsidR="009440D6" w:rsidRDefault="00B41A22" w:rsidP="00675C64">
            <w:pPr>
              <w:spacing w:after="40"/>
            </w:pPr>
            <w:r>
              <w:rPr>
                <w:rFonts w:ascii="Barlow Condensed" w:eastAsia="Barlow Condensed" w:hAnsi="Barlow Condensed" w:cs="Barlow Condensed"/>
                <w:b/>
                <w:bCs/>
                <w:color w:val="C00000"/>
                <w:spacing w:val="20"/>
                <w:sz w:val="16"/>
                <w:szCs w:val="16"/>
              </w:rPr>
              <w:t>ALERTA</w:t>
            </w:r>
          </w:p>
          <w:p w14:paraId="116D898A" w14:textId="77777777" w:rsidR="009440D6" w:rsidRDefault="00B41A22" w:rsidP="00675C64">
            <w:pPr>
              <w:spacing w:line="264" w:lineRule="auto"/>
              <w:jc w:val="both"/>
            </w:pPr>
            <w:r>
              <w:rPr>
                <w:b/>
                <w:bCs/>
                <w:sz w:val="21"/>
                <w:szCs w:val="21"/>
              </w:rPr>
              <w:t xml:space="preserve">Alertas de zona de fronteira. </w:t>
            </w:r>
            <w:r>
              <w:rPr>
                <w:sz w:val="21"/>
                <w:szCs w:val="21"/>
              </w:rPr>
              <w:t>Em determinados nós do percurso, a ferramenta exibe um banner identificado como "Zona de fronteira entre eixos". Esse aviso indica que a pergunta em que você está é ponto de sobreposição conceitual entre dois ou mais eixos, situação em que o mesmo fato pode ter enquadramento em categorias distintas. O banner não interrompe o percurso: você responde normalmente. O que ele pede é que você tome nota do cruzamento identificado e, ao concluir a análise do eixo principal, avalie se os fatos sustentam análise complementar pelo eixo indicado. Use o botão "Analisar outra conduta no mesmo caso" para isso.</w:t>
            </w:r>
          </w:p>
        </w:tc>
      </w:tr>
    </w:tbl>
    <w:p w14:paraId="2D1DF3E0" w14:textId="77777777" w:rsidR="009440D6" w:rsidRDefault="009440D6">
      <w:pPr>
        <w:spacing w:after="120"/>
        <w:jc w:val="both"/>
      </w:pPr>
    </w:p>
    <w:p w14:paraId="712193DE" w14:textId="77777777" w:rsidR="00287D58" w:rsidRDefault="003B78AF">
      <w:pPr>
        <w:pStyle w:val="Ttulo2"/>
        <w:keepNext/>
      </w:pPr>
      <w:bookmarkStart w:id="120" w:name="_Toc238022115"/>
      <w:r>
        <w:t xml:space="preserve">PASSO 5, O </w:t>
      </w:r>
      <w:proofErr w:type="spellStart"/>
      <w:r>
        <w:t>gate</w:t>
      </w:r>
      <w:proofErr w:type="spellEnd"/>
      <w:r>
        <w:t xml:space="preserve"> de confirmação demissória</w:t>
      </w:r>
      <w:bookmarkEnd w:id="120"/>
    </w:p>
    <w:p w14:paraId="30328E08" w14:textId="77777777" w:rsidR="00287D58" w:rsidRDefault="003B78AF">
      <w:pPr>
        <w:spacing w:after="120"/>
        <w:jc w:val="both"/>
      </w:pPr>
      <w:r>
        <w:rPr>
          <w:sz w:val="21"/>
          <w:szCs w:val="21"/>
        </w:rPr>
        <w:t xml:space="preserve">Quando o percurso leva a resultado de demissão, a ferramenta exibe tela de confirmação com o dispositivo legal, o texto da Súmula 650/STJ e três perguntas de verificação: (1) há prova de autoria e </w:t>
      </w:r>
      <w:proofErr w:type="gramStart"/>
      <w:r>
        <w:rPr>
          <w:sz w:val="21"/>
          <w:szCs w:val="21"/>
        </w:rPr>
        <w:t>materialidade?;</w:t>
      </w:r>
      <w:proofErr w:type="gramEnd"/>
      <w:r>
        <w:rPr>
          <w:sz w:val="21"/>
          <w:szCs w:val="21"/>
        </w:rPr>
        <w:t xml:space="preserve"> (2) os fatos satisfazem todos os elementos do </w:t>
      </w:r>
      <w:proofErr w:type="gramStart"/>
      <w:r>
        <w:rPr>
          <w:sz w:val="21"/>
          <w:szCs w:val="21"/>
        </w:rPr>
        <w:t>tipo?;</w:t>
      </w:r>
      <w:proofErr w:type="gramEnd"/>
      <w:r>
        <w:rPr>
          <w:sz w:val="21"/>
          <w:szCs w:val="21"/>
        </w:rPr>
        <w:t xml:space="preserve"> (3) a penalidade é proporcional? Se confirmar, o resultado é exibido normalmente. Se quiser revisar, o botão retorna à última pergunta.</w:t>
      </w:r>
    </w:p>
    <w:p w14:paraId="1E7F8F6B" w14:textId="77777777" w:rsidR="00287D58" w:rsidRDefault="003B78AF">
      <w:pPr>
        <w:pStyle w:val="Ttulo2"/>
        <w:keepNext/>
      </w:pPr>
      <w:bookmarkStart w:id="121" w:name="_Toc238022116"/>
      <w:r>
        <w:t>PASSO 6, O resultado e o bloco de prescrição</w:t>
      </w:r>
      <w:bookmarkEnd w:id="121"/>
    </w:p>
    <w:p w14:paraId="1EADAC6D" w14:textId="77777777" w:rsidR="00287D58" w:rsidRDefault="003B78AF">
      <w:pPr>
        <w:spacing w:after="120"/>
        <w:jc w:val="both"/>
      </w:pPr>
      <w:r>
        <w:rPr>
          <w:sz w:val="21"/>
          <w:szCs w:val="21"/>
        </w:rPr>
        <w:t>A tela de resultado exibe o dispositivo legal, o texto de fundamentação, alertas de cumulatividade e o bloco de prescrição. Informe a data de conhecimento do fato e o calculador exibe: verde (prazo confortável), âmbar (menos de 30 dias), vermelho (prescrito). Se o status for vermelho, avalie se os fatos permitem enquadramento em penalidade mais grave com fundamento nos critérios do art. 128. Se âmbar: aja imediatamente.</w:t>
      </w:r>
    </w:p>
    <w:p w14:paraId="07BCA00D" w14:textId="77777777" w:rsidR="00287D58" w:rsidRDefault="003B78AF">
      <w:pPr>
        <w:pStyle w:val="Ttulo2"/>
        <w:keepNext/>
      </w:pPr>
      <w:bookmarkStart w:id="122" w:name="_Toc238022117"/>
      <w:r>
        <w:t>PASSO 7, O relatório</w:t>
      </w:r>
      <w:bookmarkEnd w:id="122"/>
    </w:p>
    <w:p w14:paraId="6A54CD04" w14:textId="77777777" w:rsidR="00287D58" w:rsidRDefault="003B78AF">
      <w:pPr>
        <w:spacing w:after="120"/>
        <w:jc w:val="both"/>
      </w:pPr>
      <w:r>
        <w:rPr>
          <w:sz w:val="21"/>
          <w:szCs w:val="21"/>
        </w:rPr>
        <w:t>O botão "Gerar Relatório" produz documento com cabeçalho de sessão (processo, analista, data, conduta), percurso completo de respostas, resultado com fundamentação e prazo prescricional. É peça de fundamentação, não decisão. Pode ser invocado em despachos e pareceres (STJ, Súmula 674). Três opções de saída: imprimir, PDF ou copiar.</w:t>
      </w:r>
    </w:p>
    <w:p w14:paraId="5249F86E" w14:textId="77777777" w:rsidR="00287D58" w:rsidRDefault="003B78AF">
      <w:pPr>
        <w:pStyle w:val="Ttulo2"/>
        <w:keepNext/>
      </w:pPr>
      <w:bookmarkStart w:id="123" w:name="_Toc238022118"/>
      <w:r>
        <w:t>PASSO 8, Múltiplas condutas no mesmo caso</w:t>
      </w:r>
      <w:bookmarkEnd w:id="123"/>
    </w:p>
    <w:p w14:paraId="7ACC75F7" w14:textId="77777777" w:rsidR="00287D58" w:rsidRDefault="003B78AF">
      <w:pPr>
        <w:spacing w:after="120"/>
        <w:jc w:val="both"/>
      </w:pPr>
      <w:r>
        <w:rPr>
          <w:sz w:val="21"/>
          <w:szCs w:val="21"/>
        </w:rPr>
        <w:t>Conclua a primeira análise, clique em "Analisar outra conduta no mesmo caso", percorra o segundo eixo e repita para cada conduta. O "Relatório consolidado" gera documento único com seção por conduta, quadro-resumo e alerta de cumulatividade. Cumulatividade não significa somar penalidades: a dosimetria conjunta é tarefa da autoridade julgadora.</w:t>
      </w:r>
    </w:p>
    <w:p w14:paraId="10D6750D" w14:textId="77777777" w:rsidR="00287D58" w:rsidRDefault="003B78AF">
      <w:pPr>
        <w:pStyle w:val="Ttulo2"/>
        <w:keepNext/>
      </w:pPr>
      <w:bookmarkStart w:id="124" w:name="_Toc238022119"/>
      <w:r>
        <w:lastRenderedPageBreak/>
        <w:t>PASSO 9, Retomada de sessão</w:t>
      </w:r>
      <w:bookmarkEnd w:id="124"/>
    </w:p>
    <w:p w14:paraId="0E5531FE" w14:textId="77777777" w:rsidR="00287D58" w:rsidRDefault="003B78AF">
      <w:pPr>
        <w:spacing w:after="120"/>
        <w:jc w:val="both"/>
      </w:pPr>
      <w:r>
        <w:rPr>
          <w:sz w:val="21"/>
          <w:szCs w:val="21"/>
        </w:rPr>
        <w:t>A ferramenta salva automaticamente o estado a cada resposta. Ao reabrir com análise em andamento, um banner oferece retomada ou início de nova análise. Ao retomar, confirme que os fatos que motivaram as respostas anteriores permanecem os mesmos. Se a instrução probatória trouxe novos elementos relevantes, pode valer iniciar nova análise.</w:t>
      </w:r>
    </w:p>
    <w:p w14:paraId="756B8E93" w14:textId="77777777" w:rsidR="00287D58" w:rsidRDefault="003B78AF">
      <w:pPr>
        <w:pStyle w:val="Ttulo2"/>
        <w:keepNext/>
      </w:pPr>
      <w:bookmarkStart w:id="125" w:name="_Toc238022120"/>
      <w:r>
        <w:t>Referência rápida: o que fazer em cada situação</w:t>
      </w:r>
      <w:bookmarkEnd w:id="12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287D58" w14:paraId="18FAD958" w14:textId="77777777">
        <w:trPr>
          <w:tblHeader/>
        </w:trPr>
        <w:tc>
          <w:tcPr>
            <w:tcW w:w="300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3A498B2C" w14:textId="77777777" w:rsidR="00287D58" w:rsidRDefault="003B78AF">
            <w:r>
              <w:rPr>
                <w:rFonts w:ascii="Barlow Condensed" w:eastAsia="Barlow Condensed" w:hAnsi="Barlow Condensed" w:cs="Barlow Condensed"/>
                <w:b/>
                <w:bCs/>
                <w:color w:val="FFFFFF"/>
              </w:rPr>
              <w:t>Situação</w:t>
            </w:r>
          </w:p>
        </w:tc>
        <w:tc>
          <w:tcPr>
            <w:tcW w:w="6070" w:type="dxa"/>
            <w:tcBorders>
              <w:top w:val="single" w:sz="2" w:space="0" w:color="C9CFDD"/>
              <w:left w:val="single" w:sz="2" w:space="0" w:color="C9CFDD"/>
              <w:bottom w:val="single" w:sz="2" w:space="0" w:color="C9CFDD"/>
              <w:right w:val="single" w:sz="2" w:space="0" w:color="C9CFDD"/>
            </w:tcBorders>
            <w:shd w:val="clear" w:color="auto" w:fill="0B2C5F"/>
            <w:tcMar>
              <w:top w:w="70" w:type="dxa"/>
              <w:left w:w="110" w:type="dxa"/>
              <w:bottom w:w="70" w:type="dxa"/>
              <w:right w:w="110" w:type="dxa"/>
            </w:tcMar>
            <w:vAlign w:val="center"/>
          </w:tcPr>
          <w:p w14:paraId="326CF4DF" w14:textId="77777777" w:rsidR="00287D58" w:rsidRDefault="003B78AF">
            <w:r>
              <w:rPr>
                <w:rFonts w:ascii="Barlow Condensed" w:eastAsia="Barlow Condensed" w:hAnsi="Barlow Condensed" w:cs="Barlow Condensed"/>
                <w:b/>
                <w:bCs/>
                <w:color w:val="FFFFFF"/>
              </w:rPr>
              <w:t>O que fazer</w:t>
            </w:r>
          </w:p>
        </w:tc>
      </w:tr>
      <w:tr w:rsidR="00287D58" w14:paraId="51F73DE2" w14:textId="77777777">
        <w:tc>
          <w:tcPr>
            <w:tcW w:w="30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6A70BFA3" w14:textId="77777777" w:rsidR="00287D58" w:rsidRDefault="003B78AF">
            <w:pPr>
              <w:spacing w:line="252" w:lineRule="auto"/>
            </w:pPr>
            <w:r>
              <w:t>Não sei qual eixo escolher</w:t>
            </w:r>
          </w:p>
        </w:tc>
        <w:tc>
          <w:tcPr>
            <w:tcW w:w="60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0274B2AD" w14:textId="77777777" w:rsidR="00287D58" w:rsidRDefault="003B78AF">
            <w:pPr>
              <w:spacing w:line="252" w:lineRule="auto"/>
            </w:pPr>
            <w:r>
              <w:t>Escolha o mais específico. A ferramenta redireciona quando necessário.</w:t>
            </w:r>
          </w:p>
        </w:tc>
      </w:tr>
      <w:tr w:rsidR="00287D58" w14:paraId="2871FDDC" w14:textId="77777777">
        <w:tc>
          <w:tcPr>
            <w:tcW w:w="30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150DF94C" w14:textId="77777777" w:rsidR="00287D58" w:rsidRDefault="003B78AF">
            <w:pPr>
              <w:spacing w:line="252" w:lineRule="auto"/>
            </w:pPr>
            <w:r>
              <w:t>Gate demissório apareceu</w:t>
            </w:r>
          </w:p>
        </w:tc>
        <w:tc>
          <w:tcPr>
            <w:tcW w:w="60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54219C32" w14:textId="77777777" w:rsidR="00287D58" w:rsidRDefault="003B78AF">
            <w:pPr>
              <w:spacing w:line="252" w:lineRule="auto"/>
            </w:pPr>
            <w:r>
              <w:t>Pause. Verifique autoria, materialidade e elementos do tipo antes de confirmar.</w:t>
            </w:r>
          </w:p>
        </w:tc>
      </w:tr>
      <w:tr w:rsidR="00287D58" w14:paraId="7DE966FD" w14:textId="77777777">
        <w:tc>
          <w:tcPr>
            <w:tcW w:w="30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3824B6A4" w14:textId="77777777" w:rsidR="00287D58" w:rsidRDefault="003B78AF">
            <w:pPr>
              <w:spacing w:line="252" w:lineRule="auto"/>
            </w:pPr>
            <w:r>
              <w:t>Calculador mostra vermelho</w:t>
            </w:r>
          </w:p>
        </w:tc>
        <w:tc>
          <w:tcPr>
            <w:tcW w:w="60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737F839F" w14:textId="77777777" w:rsidR="00287D58" w:rsidRDefault="003B78AF">
            <w:pPr>
              <w:spacing w:line="252" w:lineRule="auto"/>
            </w:pPr>
            <w:r>
              <w:t>Avalie enquadramento em penalidade mais grave se os fatos justificarem.</w:t>
            </w:r>
          </w:p>
        </w:tc>
      </w:tr>
      <w:tr w:rsidR="00287D58" w14:paraId="12A56368" w14:textId="77777777">
        <w:tc>
          <w:tcPr>
            <w:tcW w:w="30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7E20FE67" w14:textId="77777777" w:rsidR="00287D58" w:rsidRDefault="003B78AF">
            <w:pPr>
              <w:spacing w:line="252" w:lineRule="auto"/>
            </w:pPr>
            <w:r>
              <w:t>Calculador mostra âmbar</w:t>
            </w:r>
          </w:p>
        </w:tc>
        <w:tc>
          <w:tcPr>
            <w:tcW w:w="60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52CCB76B" w14:textId="77777777" w:rsidR="00287D58" w:rsidRDefault="003B78AF">
            <w:pPr>
              <w:spacing w:line="252" w:lineRule="auto"/>
            </w:pPr>
            <w:r>
              <w:t>Priorize. Menos de 30 dias para prescrever.</w:t>
            </w:r>
          </w:p>
        </w:tc>
      </w:tr>
      <w:tr w:rsidR="00287D58" w14:paraId="24480FA4" w14:textId="77777777">
        <w:tc>
          <w:tcPr>
            <w:tcW w:w="30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6DE356F5" w14:textId="77777777" w:rsidR="00287D58" w:rsidRDefault="003B78AF">
            <w:pPr>
              <w:spacing w:line="252" w:lineRule="auto"/>
            </w:pPr>
            <w:r>
              <w:t>Ferramenta sugere outro eixo</w:t>
            </w:r>
          </w:p>
        </w:tc>
        <w:tc>
          <w:tcPr>
            <w:tcW w:w="60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458BEE76" w14:textId="77777777" w:rsidR="00287D58" w:rsidRDefault="003B78AF">
            <w:pPr>
              <w:spacing w:line="252" w:lineRule="auto"/>
            </w:pPr>
            <w:r>
              <w:t>Percorra o eixo indicado de forma independente após concluir o atual.</w:t>
            </w:r>
          </w:p>
        </w:tc>
      </w:tr>
      <w:tr w:rsidR="00287D58" w14:paraId="1F206B0A" w14:textId="77777777">
        <w:tc>
          <w:tcPr>
            <w:tcW w:w="300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7B8CDA32" w14:textId="77777777" w:rsidR="00287D58" w:rsidRDefault="003B78AF">
            <w:pPr>
              <w:spacing w:line="252" w:lineRule="auto"/>
            </w:pPr>
            <w:r>
              <w:t>Cumulatividade detectada</w:t>
            </w:r>
          </w:p>
        </w:tc>
        <w:tc>
          <w:tcPr>
            <w:tcW w:w="6070" w:type="dxa"/>
            <w:tcBorders>
              <w:top w:val="single" w:sz="2" w:space="0" w:color="C9CFDD"/>
              <w:left w:val="single" w:sz="2" w:space="0" w:color="C9CFDD"/>
              <w:bottom w:val="single" w:sz="2" w:space="0" w:color="C9CFDD"/>
              <w:right w:val="single" w:sz="2" w:space="0" w:color="C9CFDD"/>
            </w:tcBorders>
            <w:shd w:val="clear" w:color="auto" w:fill="FFFFFF"/>
            <w:tcMar>
              <w:top w:w="60" w:type="dxa"/>
              <w:left w:w="110" w:type="dxa"/>
              <w:bottom w:w="60" w:type="dxa"/>
              <w:right w:w="110" w:type="dxa"/>
            </w:tcMar>
            <w:vAlign w:val="center"/>
          </w:tcPr>
          <w:p w14:paraId="659BA546" w14:textId="77777777" w:rsidR="00287D58" w:rsidRDefault="003B78AF">
            <w:pPr>
              <w:spacing w:line="252" w:lineRule="auto"/>
            </w:pPr>
            <w:r>
              <w:t>Note no despacho. A dosimetria conjunta é da autoridade julgadora.</w:t>
            </w:r>
          </w:p>
        </w:tc>
      </w:tr>
      <w:tr w:rsidR="00287D58" w14:paraId="7174EB07" w14:textId="77777777">
        <w:tc>
          <w:tcPr>
            <w:tcW w:w="300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39B714BB" w14:textId="77777777" w:rsidR="00287D58" w:rsidRDefault="003B78AF">
            <w:pPr>
              <w:spacing w:line="252" w:lineRule="auto"/>
            </w:pPr>
            <w:r>
              <w:t>Sessão interrompida</w:t>
            </w:r>
          </w:p>
        </w:tc>
        <w:tc>
          <w:tcPr>
            <w:tcW w:w="6070" w:type="dxa"/>
            <w:tcBorders>
              <w:top w:val="single" w:sz="2" w:space="0" w:color="C9CFDD"/>
              <w:left w:val="single" w:sz="2" w:space="0" w:color="C9CFDD"/>
              <w:bottom w:val="single" w:sz="2" w:space="0" w:color="C9CFDD"/>
              <w:right w:val="single" w:sz="2" w:space="0" w:color="C9CFDD"/>
            </w:tcBorders>
            <w:shd w:val="clear" w:color="auto" w:fill="EEF3FB"/>
            <w:tcMar>
              <w:top w:w="60" w:type="dxa"/>
              <w:left w:w="110" w:type="dxa"/>
              <w:bottom w:w="60" w:type="dxa"/>
              <w:right w:w="110" w:type="dxa"/>
            </w:tcMar>
            <w:vAlign w:val="center"/>
          </w:tcPr>
          <w:p w14:paraId="3FA32951" w14:textId="77777777" w:rsidR="00287D58" w:rsidRDefault="003B78AF">
            <w:pPr>
              <w:spacing w:line="252" w:lineRule="auto"/>
            </w:pPr>
            <w:r>
              <w:t>Ao reabrir, confirme que os fatos não mudaram antes de retomar.</w:t>
            </w:r>
          </w:p>
        </w:tc>
      </w:tr>
    </w:tbl>
    <w:p w14:paraId="2D696D3F" w14:textId="77777777" w:rsidR="00946685" w:rsidRDefault="00946685" w:rsidP="003E076A"/>
    <w:p w14:paraId="4090CD8C" w14:textId="77777777" w:rsidR="00946685" w:rsidRDefault="00946685" w:rsidP="003E076A"/>
    <w:p w14:paraId="0E2A4E87" w14:textId="77777777" w:rsidR="00946685" w:rsidRDefault="00946685">
      <w:r>
        <w:br w:type="page"/>
      </w:r>
    </w:p>
    <w:p w14:paraId="08133C48" w14:textId="77777777" w:rsidR="001D5E73" w:rsidRDefault="001D5E73">
      <w:pPr>
        <w:pBdr>
          <w:left w:val="single" w:sz="12" w:space="6" w:color="C9A35C"/>
        </w:pBdr>
        <w:spacing w:before="320" w:after="40"/>
      </w:pPr>
      <w:r>
        <w:rPr>
          <w:rFonts w:ascii="Barlow Condensed" w:eastAsia="Barlow Condensed" w:hAnsi="Barlow Condensed" w:cs="Barlow Condensed"/>
          <w:b/>
          <w:bCs/>
          <w:color w:val="8C6E2C"/>
          <w:sz w:val="18"/>
          <w:szCs w:val="18"/>
        </w:rPr>
        <w:lastRenderedPageBreak/>
        <w:t>▍ EIXO 1</w:t>
      </w:r>
    </w:p>
    <w:p w14:paraId="64FC4236" w14:textId="77777777" w:rsidR="001D5E73" w:rsidRDefault="001D5E73">
      <w:pPr>
        <w:pStyle w:val="Ttulo1"/>
      </w:pPr>
      <w:bookmarkStart w:id="126" w:name="_Toc238022121"/>
      <w:r>
        <w:t>11. EIXO 1: AGRESSÃO FÍSICA (ART. 132, VII), GUIA DE USO</w:t>
      </w:r>
      <w:bookmarkEnd w:id="126"/>
    </w:p>
    <w:p w14:paraId="3C850A54" w14:textId="77777777" w:rsidR="001D5E73" w:rsidRDefault="001D5E73">
      <w:pPr>
        <w:pStyle w:val="Ttulo3"/>
        <w:keepNext/>
      </w:pPr>
      <w:r>
        <w:t>O que este eixo analisa</w:t>
      </w:r>
    </w:p>
    <w:p w14:paraId="56EA03E4" w14:textId="77777777" w:rsidR="001D5E73" w:rsidRDefault="001D5E73">
      <w:pPr>
        <w:spacing w:after="120"/>
        <w:jc w:val="both"/>
      </w:pPr>
      <w:r>
        <w:t>Condutas que envolvem contato físico violento, soco, tapa, empurrão com força, chute, mordida, arremesso de objeto que atinja o corpo da vítima. Use este eixo quando houver violência corporal direta, independentemente da gravidade das lesões. Ameaças verbais, gestos intimidatórios e contato de mínima intensidade não configuram 'ofensa física' para fins deste eixo, pertencem ao Eixo 2 (ameaça) ou ao Eixo 7 (violência verbal), conforme o caso.</w:t>
      </w:r>
    </w:p>
    <w:p w14:paraId="6AA437B0" w14:textId="77777777" w:rsidR="001D5E73" w:rsidRDefault="001D5E73">
      <w:pPr>
        <w:spacing w:after="120"/>
        <w:jc w:val="both"/>
      </w:pPr>
      <w:r>
        <w:t>Este eixo tem cinco perguntas e pode produzir sete resultados distintos, dependendo do nexo funcional, da repercussão funcional em contexto privado, do elemento subjetivo do contato físico, da presença de legítima defesa e da extensão do excesso.</w:t>
      </w:r>
    </w:p>
    <w:p w14:paraId="38F9506D" w14:textId="77777777" w:rsidR="001D5E73" w:rsidRDefault="001D5E73">
      <w:pPr>
        <w:spacing w:after="120"/>
        <w:jc w:val="both"/>
      </w:pPr>
      <w:r>
        <w:rPr>
          <w:b/>
          <w:bCs/>
        </w:rPr>
        <w:t>Lembre antes de começar:</w:t>
      </w:r>
      <w:r>
        <w:t xml:space="preserve"> o art. 132, VII, exige que a agressão tenha ocorrido 'em serviço', esse elemento é condição necessária para o enquadramento demissório. Sem nexo funcional, a demissão com base neste inciso não é cabível, por mais grave que tenha sido a agressão.</w:t>
      </w:r>
    </w:p>
    <w:p w14:paraId="4F8F383E" w14:textId="77777777" w:rsidR="001D5E73" w:rsidRDefault="001D5E73">
      <w:pPr>
        <w:spacing w:after="120"/>
        <w:jc w:val="both"/>
      </w:pPr>
      <w:r>
        <w:t>A Convenção nº 190 da Organização Internacional do Trabalho, ainda não ratificada pelo Brasil e aqui invocada como referência principiológica e vetor hermenêutico, oferece parâmetro interpretativo que amplia o conceito de ambiente de trabalho para além das paredes da repartição: inclui viagens de trabalho, treinamentos, eventos institucionais, deslocamentos custeados pela Administração e comunicações funcionais por qualquer canal. Agressão ocorrida nesses contextos satisfaz o nexo funcional.</w:t>
      </w:r>
    </w:p>
    <w:p w14:paraId="446D89C6" w14:textId="77777777" w:rsidR="001D5E73" w:rsidRDefault="001D5E73">
      <w:pPr>
        <w:spacing w:before="80"/>
      </w:pPr>
    </w:p>
    <w:p w14:paraId="394B564F" w14:textId="77777777" w:rsidR="001D5E73" w:rsidRDefault="001D5E73">
      <w:pPr>
        <w:pStyle w:val="Ttulo3"/>
        <w:keepNext/>
      </w:pPr>
      <w:r>
        <w:t>Fluxo completo do Eixo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rsidRPr="00C50480" w14:paraId="64DE075C"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1A3AE553"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P1, A agressão ocorreu em serviço ou em contexto diretamente</w:t>
            </w:r>
          </w:p>
          <w:p w14:paraId="607C65B6"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relacionado ao serviço?</w:t>
            </w:r>
          </w:p>
          <w:p w14:paraId="1F56D8AD"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P1-B</w:t>
            </w:r>
          </w:p>
          <w:p w14:paraId="61C32B5A"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P2</w:t>
            </w:r>
          </w:p>
          <w:p w14:paraId="176318FA" w14:textId="77777777" w:rsidR="001D5E73" w:rsidRPr="00C50480" w:rsidRDefault="001D5E73">
            <w:pPr>
              <w:rPr>
                <w:rFonts w:eastAsia="Courier New" w:cs="Courier New"/>
                <w:color w:val="0B2C5F"/>
                <w:sz w:val="20"/>
                <w:szCs w:val="20"/>
              </w:rPr>
            </w:pPr>
          </w:p>
          <w:p w14:paraId="4FC1FD45"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P1-B, A agressão praticada fora do contexto funcional produziu</w:t>
            </w:r>
          </w:p>
          <w:p w14:paraId="601E20B9"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repercussão funcional concreta?</w:t>
            </w:r>
          </w:p>
          <w:p w14:paraId="7EDA3F2E"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Resultado A, agressão sem nexo funcional com repercussão</w:t>
            </w:r>
          </w:p>
          <w:p w14:paraId="15B6D015"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(art. 116, IX, adv./</w:t>
            </w:r>
            <w:proofErr w:type="spellStart"/>
            <w:r>
              <w:rPr>
                <w:rFonts w:eastAsia="Courier New" w:cs="Courier New"/>
                <w:color w:val="0B2C5F"/>
                <w:sz w:val="20"/>
                <w:szCs w:val="20"/>
              </w:rPr>
              <w:t>susp</w:t>
            </w:r>
            <w:proofErr w:type="spellEnd"/>
            <w:r>
              <w:rPr>
                <w:rFonts w:eastAsia="Courier New" w:cs="Courier New"/>
                <w:color w:val="0B2C5F"/>
                <w:sz w:val="20"/>
                <w:szCs w:val="20"/>
              </w:rPr>
              <w:t>.)</w:t>
            </w:r>
          </w:p>
          <w:p w14:paraId="21597F96"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Resultado G, agressão fora do âmbito disciplinar</w:t>
            </w:r>
          </w:p>
          <w:p w14:paraId="01805BB0"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(arquivamento)</w:t>
            </w:r>
          </w:p>
          <w:p w14:paraId="344A1946" w14:textId="77777777" w:rsidR="001D5E73" w:rsidRPr="00C50480" w:rsidRDefault="001D5E73">
            <w:pPr>
              <w:rPr>
                <w:rFonts w:eastAsia="Courier New" w:cs="Courier New"/>
                <w:color w:val="0B2C5F"/>
                <w:sz w:val="20"/>
                <w:szCs w:val="20"/>
              </w:rPr>
            </w:pPr>
          </w:p>
          <w:p w14:paraId="19B85DF6"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P2, O contato físico foi intencional?</w:t>
            </w:r>
          </w:p>
          <w:p w14:paraId="50F968F1"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Resultado F, contato físico sem dolo (arquivamento)</w:t>
            </w:r>
          </w:p>
          <w:p w14:paraId="0B3BBB16"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P3</w:t>
            </w:r>
          </w:p>
          <w:p w14:paraId="0D84E867" w14:textId="77777777" w:rsidR="001D5E73" w:rsidRPr="00C50480" w:rsidRDefault="001D5E73">
            <w:pPr>
              <w:rPr>
                <w:rFonts w:eastAsia="Courier New" w:cs="Courier New"/>
                <w:color w:val="0B2C5F"/>
                <w:sz w:val="20"/>
                <w:szCs w:val="20"/>
              </w:rPr>
            </w:pPr>
          </w:p>
          <w:p w14:paraId="3ED46DBE"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P3, A agressão ocorreu em legítima defesa própria ou de outrem?</w:t>
            </w:r>
          </w:p>
          <w:p w14:paraId="7682DFF2"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GATE → Resultado B, ofensa física em serviço</w:t>
            </w:r>
          </w:p>
          <w:p w14:paraId="15D64386"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(art. 132, VII, demissão)</w:t>
            </w:r>
          </w:p>
          <w:p w14:paraId="57E921DA"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P4</w:t>
            </w:r>
          </w:p>
          <w:p w14:paraId="25C48E8D" w14:textId="77777777" w:rsidR="001D5E73" w:rsidRPr="00C50480" w:rsidRDefault="001D5E73">
            <w:pPr>
              <w:rPr>
                <w:rFonts w:eastAsia="Courier New" w:cs="Courier New"/>
                <w:color w:val="0B2C5F"/>
                <w:sz w:val="20"/>
                <w:szCs w:val="20"/>
              </w:rPr>
            </w:pPr>
          </w:p>
          <w:p w14:paraId="009D6F59"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P4, </w:t>
            </w:r>
            <w:proofErr w:type="gramStart"/>
            <w:r>
              <w:rPr>
                <w:rFonts w:eastAsia="Courier New" w:cs="Courier New"/>
                <w:color w:val="0B2C5F"/>
                <w:sz w:val="20"/>
                <w:szCs w:val="20"/>
              </w:rPr>
              <w:t>Houve</w:t>
            </w:r>
            <w:proofErr w:type="gramEnd"/>
            <w:r>
              <w:rPr>
                <w:rFonts w:eastAsia="Courier New" w:cs="Courier New"/>
                <w:color w:val="0B2C5F"/>
                <w:sz w:val="20"/>
                <w:szCs w:val="20"/>
              </w:rPr>
              <w:t xml:space="preserve"> excesso na reação defensiva?</w:t>
            </w:r>
          </w:p>
          <w:p w14:paraId="32C55EAF" w14:textId="77777777" w:rsidR="001D5E73" w:rsidRPr="00C50480" w:rsidRDefault="001D5E73">
            <w:pPr>
              <w:rPr>
                <w:rFonts w:eastAsia="Courier New" w:cs="Courier New"/>
                <w:color w:val="0B2C5F"/>
                <w:sz w:val="20"/>
                <w:szCs w:val="20"/>
              </w:rPr>
            </w:pPr>
            <w:r>
              <w:rPr>
                <w:rFonts w:eastAsia="Courier New" w:cs="Courier New"/>
                <w:color w:val="0B2C5F"/>
                <w:sz w:val="20"/>
                <w:szCs w:val="20"/>
              </w:rPr>
              <w:lastRenderedPageBreak/>
              <w:t xml:space="preserve">  NÃO          → Resultado C, sem ilícito disciplinar</w:t>
            </w:r>
          </w:p>
          <w:p w14:paraId="58CE1FA3"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(legítima defesa integral)</w:t>
            </w:r>
          </w:p>
          <w:p w14:paraId="76A0A12B"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w:t>
            </w:r>
            <w:proofErr w:type="gramStart"/>
            <w:r>
              <w:rPr>
                <w:rFonts w:eastAsia="Courier New" w:cs="Courier New"/>
                <w:color w:val="0B2C5F"/>
                <w:sz w:val="20"/>
                <w:szCs w:val="20"/>
              </w:rPr>
              <w:t>doloso  →</w:t>
            </w:r>
            <w:proofErr w:type="gramEnd"/>
            <w:r>
              <w:rPr>
                <w:rFonts w:eastAsia="Courier New" w:cs="Courier New"/>
                <w:color w:val="0B2C5F"/>
                <w:sz w:val="20"/>
                <w:szCs w:val="20"/>
              </w:rPr>
              <w:t xml:space="preserve"> GATE → Resultado D, excesso doloso</w:t>
            </w:r>
          </w:p>
          <w:p w14:paraId="0B53D4D4"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(art. 132, VII / art. 116, IX)</w:t>
            </w:r>
          </w:p>
          <w:p w14:paraId="2A187334"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culposo → Resultado E, excesso culposo</w:t>
            </w:r>
          </w:p>
          <w:p w14:paraId="07084F7C"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(art. 116, IX, suspensão)</w:t>
            </w:r>
          </w:p>
        </w:tc>
      </w:tr>
    </w:tbl>
    <w:p w14:paraId="34CD40EB" w14:textId="77777777" w:rsidR="001D5E73" w:rsidRDefault="001D5E73">
      <w:pPr>
        <w:spacing w:before="200"/>
      </w:pPr>
    </w:p>
    <w:p w14:paraId="414051CF" w14:textId="77777777" w:rsidR="001D5E73" w:rsidRDefault="001D5E73">
      <w:pPr>
        <w:pStyle w:val="Ttulo2"/>
        <w:keepNext/>
        <w:pBdr>
          <w:left w:val="single" w:sz="10" w:space="6" w:color="C9A35C"/>
        </w:pBdr>
      </w:pPr>
      <w:bookmarkStart w:id="127" w:name="_Toc238022122"/>
      <w:r>
        <w:t>P1, A agressão ocorreu durante o exercício das funções ou em contexto diretamente relacionado ao serviço?</w:t>
      </w:r>
      <w:bookmarkEnd w:id="127"/>
    </w:p>
    <w:p w14:paraId="5B8F5541" w14:textId="77777777" w:rsidR="001D5E73" w:rsidRDefault="001D5E73">
      <w:pPr>
        <w:pStyle w:val="Ttulo3"/>
        <w:keepNext/>
      </w:pPr>
      <w:r>
        <w:t>O que avaliar</w:t>
      </w:r>
    </w:p>
    <w:p w14:paraId="24C67D66" w14:textId="77777777" w:rsidR="001D5E73" w:rsidRDefault="001D5E73">
      <w:pPr>
        <w:spacing w:after="120"/>
        <w:jc w:val="both"/>
      </w:pPr>
      <w:r>
        <w:t xml:space="preserve">A pergunta central é: </w:t>
      </w:r>
      <w:r>
        <w:rPr>
          <w:b/>
          <w:bCs/>
        </w:rPr>
        <w:t>esta agressão teria ocorrido se não fosse pela relação funcional entre as partes?</w:t>
      </w:r>
      <w:r>
        <w:t xml:space="preserve"> Se a resposta for não, se o serviço foi a causa ou o contexto determinante da situação, o nexo funcional está presente.</w:t>
      </w:r>
    </w:p>
    <w:p w14:paraId="6DC58346" w14:textId="77777777" w:rsidR="001D5E73" w:rsidRDefault="001D5E73">
      <w:pPr>
        <w:spacing w:after="120"/>
        <w:jc w:val="both"/>
      </w:pPr>
      <w:r>
        <w:t>O elemento 'em serviço' não exige que a agressão ocorra fisicamente dentro da repartição. Exige que o servidor esteja no exercício de suas atribuições ou que a conduta decorra, direta ou indiretamente, desse exercício. Servidor de folga, em férias ou em licença que agride colega em contexto completamente privado não satisfaz esse elemento, ainda que ambos trabalhem na mesma unidade.</w:t>
      </w:r>
    </w:p>
    <w:p w14:paraId="4D4A10BC" w14:textId="77777777" w:rsidR="001D5E73" w:rsidRDefault="001D5E73">
      <w:pPr>
        <w:spacing w:after="120"/>
        <w:jc w:val="both"/>
      </w:pPr>
      <w:proofErr w:type="spellStart"/>
      <w:r>
        <w:t>Lembre</w:t>
      </w:r>
      <w:proofErr w:type="spellEnd"/>
      <w:r>
        <w:t xml:space="preserve"> que o conceito de ambiente de trabalho, à luz do parâmetro interpretativo oferecido pela Convenção nº 190 da Organização Internacional do Trabalho, alcança diligências externas, viagens institucionais, treinamentos, eventos sociais ligados ao cargo e comunicações funcionais por qualquer canal.</w:t>
      </w:r>
    </w:p>
    <w:p w14:paraId="2D70E353" w14:textId="77777777" w:rsidR="001D5E73" w:rsidRDefault="001D5E73">
      <w:pPr>
        <w:pStyle w:val="Ttulo3"/>
        <w:keepNext/>
      </w:pPr>
      <w:r>
        <w:t>Satisfaz a condição, responda SIM</w:t>
      </w:r>
    </w:p>
    <w:p w14:paraId="5ECDB7A0" w14:textId="77777777" w:rsidR="001D5E73" w:rsidRDefault="001D5E73">
      <w:pPr>
        <w:pStyle w:val="PargrafodaLista"/>
        <w:numPr>
          <w:ilvl w:val="0"/>
          <w:numId w:val="24"/>
        </w:numPr>
        <w:spacing w:after="80" w:line="240" w:lineRule="auto"/>
        <w:jc w:val="both"/>
      </w:pPr>
      <w:r>
        <w:t>Agressão ocorrida na repartição durante o expediente, ainda que motivada por questão pessoal entre os servidores</w:t>
      </w:r>
    </w:p>
    <w:p w14:paraId="150A521D" w14:textId="77777777" w:rsidR="001D5E73" w:rsidRDefault="001D5E73">
      <w:pPr>
        <w:pStyle w:val="PargrafodaLista"/>
        <w:numPr>
          <w:ilvl w:val="0"/>
          <w:numId w:val="24"/>
        </w:numPr>
        <w:spacing w:after="80" w:line="240" w:lineRule="auto"/>
        <w:jc w:val="both"/>
      </w:pPr>
      <w:r>
        <w:t>Agressão durante diligência externa, visita fiscal ou deslocamento a serviço</w:t>
      </w:r>
    </w:p>
    <w:p w14:paraId="47FCE5F8" w14:textId="77777777" w:rsidR="001D5E73" w:rsidRDefault="001D5E73">
      <w:pPr>
        <w:pStyle w:val="PargrafodaLista"/>
        <w:numPr>
          <w:ilvl w:val="0"/>
          <w:numId w:val="24"/>
        </w:numPr>
        <w:spacing w:after="80" w:line="240" w:lineRule="auto"/>
        <w:jc w:val="both"/>
      </w:pPr>
      <w:r>
        <w:t>Agressão decorrente diretamente de conflito funcional, discussão sobre escala, atribuição de tarefas, avaliação de desempenho</w:t>
      </w:r>
    </w:p>
    <w:p w14:paraId="4C0F4737" w14:textId="77777777" w:rsidR="001D5E73" w:rsidRDefault="001D5E73">
      <w:pPr>
        <w:pStyle w:val="PargrafodaLista"/>
        <w:numPr>
          <w:ilvl w:val="0"/>
          <w:numId w:val="24"/>
        </w:numPr>
        <w:spacing w:after="80" w:line="240" w:lineRule="auto"/>
        <w:jc w:val="both"/>
      </w:pPr>
      <w:r>
        <w:t>Agressão em treinamento, capacitação ou evento institucional</w:t>
      </w:r>
    </w:p>
    <w:p w14:paraId="012BE6F2" w14:textId="77777777" w:rsidR="001D5E73" w:rsidRDefault="001D5E73">
      <w:pPr>
        <w:pStyle w:val="PargrafodaLista"/>
        <w:numPr>
          <w:ilvl w:val="0"/>
          <w:numId w:val="24"/>
        </w:numPr>
        <w:spacing w:after="80" w:line="240" w:lineRule="auto"/>
        <w:jc w:val="both"/>
      </w:pPr>
      <w:r>
        <w:t>Agressão em deslocamento custeado pela Administração</w:t>
      </w:r>
    </w:p>
    <w:p w14:paraId="0C477CDA" w14:textId="77777777" w:rsidR="001D5E73" w:rsidRDefault="001D5E73">
      <w:pPr>
        <w:pStyle w:val="PargrafodaLista"/>
        <w:numPr>
          <w:ilvl w:val="0"/>
          <w:numId w:val="24"/>
        </w:numPr>
        <w:spacing w:after="80" w:line="240" w:lineRule="auto"/>
        <w:jc w:val="both"/>
      </w:pPr>
      <w:r>
        <w:t>Agressão praticada contra usuário do serviço, prestador ou visitante no ambiente da repartição</w:t>
      </w:r>
    </w:p>
    <w:p w14:paraId="2D8D6DBF" w14:textId="77777777" w:rsidR="001D5E73" w:rsidRDefault="001D5E73">
      <w:pPr>
        <w:pStyle w:val="Ttulo3"/>
        <w:keepNext/>
      </w:pPr>
      <w:r>
        <w:t>Não satisfaz a condição, responda NÃO</w:t>
      </w:r>
    </w:p>
    <w:p w14:paraId="25B8005B" w14:textId="77777777" w:rsidR="001D5E73" w:rsidRDefault="001D5E73">
      <w:pPr>
        <w:pStyle w:val="PargrafodaLista"/>
        <w:numPr>
          <w:ilvl w:val="0"/>
          <w:numId w:val="24"/>
        </w:numPr>
        <w:spacing w:after="80" w:line="240" w:lineRule="auto"/>
        <w:jc w:val="both"/>
      </w:pPr>
      <w:r>
        <w:t>Servidor em férias ou licença que agride colega em contexto privado, sem vínculo com atribuições funcionais</w:t>
      </w:r>
    </w:p>
    <w:p w14:paraId="1EF27B97" w14:textId="77777777" w:rsidR="001D5E73" w:rsidRDefault="001D5E73">
      <w:pPr>
        <w:pStyle w:val="PargrafodaLista"/>
        <w:numPr>
          <w:ilvl w:val="0"/>
          <w:numId w:val="24"/>
        </w:numPr>
        <w:spacing w:after="80" w:line="240" w:lineRule="auto"/>
        <w:jc w:val="both"/>
      </w:pPr>
      <w:r>
        <w:t>Agressão em ambiente doméstico, ainda que entre colegas de trabalho, sem relação com o serviço</w:t>
      </w:r>
    </w:p>
    <w:p w14:paraId="577C077D" w14:textId="77777777" w:rsidR="001D5E73" w:rsidRDefault="001D5E73">
      <w:pPr>
        <w:pStyle w:val="PargrafodaLista"/>
        <w:numPr>
          <w:ilvl w:val="0"/>
          <w:numId w:val="24"/>
        </w:numPr>
        <w:spacing w:after="80" w:line="240" w:lineRule="auto"/>
        <w:jc w:val="both"/>
      </w:pPr>
      <w:r>
        <w:t>Conflito iniciado e encerrado em contexto completamente alheio à função pública</w:t>
      </w:r>
    </w:p>
    <w:p w14:paraId="4C382E5F" w14:textId="77777777" w:rsidR="001D5E73" w:rsidRDefault="001D5E73">
      <w:pPr>
        <w:pStyle w:val="PargrafodaLista"/>
        <w:numPr>
          <w:ilvl w:val="0"/>
          <w:numId w:val="24"/>
        </w:numPr>
        <w:spacing w:after="80" w:line="240" w:lineRule="auto"/>
        <w:jc w:val="both"/>
      </w:pPr>
      <w:r>
        <w:t>Agressão em evento social particular, sem patrocínio ou convocação institucional</w:t>
      </w:r>
    </w:p>
    <w:p w14:paraId="2257E082" w14:textId="77777777" w:rsidR="001D5E73" w:rsidRDefault="001D5E73">
      <w:pPr>
        <w:pStyle w:val="Ttulo3"/>
        <w:keepNext/>
      </w:pPr>
      <w:r>
        <w:t>O que buscar nos autos</w:t>
      </w:r>
    </w:p>
    <w:p w14:paraId="204CA795" w14:textId="77777777" w:rsidR="001D5E73" w:rsidRDefault="001D5E73">
      <w:pPr>
        <w:pStyle w:val="PargrafodaLista"/>
        <w:numPr>
          <w:ilvl w:val="0"/>
          <w:numId w:val="24"/>
        </w:numPr>
        <w:spacing w:after="80" w:line="240" w:lineRule="auto"/>
        <w:jc w:val="both"/>
      </w:pPr>
      <w:r>
        <w:t>Registro de ponto ou ata de reunião confirmando que o servidor estava em serviço no momento dos fatos</w:t>
      </w:r>
    </w:p>
    <w:p w14:paraId="37C5B621" w14:textId="77777777" w:rsidR="001D5E73" w:rsidRDefault="001D5E73">
      <w:pPr>
        <w:pStyle w:val="PargrafodaLista"/>
        <w:numPr>
          <w:ilvl w:val="0"/>
          <w:numId w:val="24"/>
        </w:numPr>
        <w:spacing w:after="80" w:line="240" w:lineRule="auto"/>
        <w:jc w:val="both"/>
      </w:pPr>
      <w:r>
        <w:t>Convocação para diligência, portaria de designação ou ordem de serviço, quando a agressão ocorreu em atividade externa</w:t>
      </w:r>
    </w:p>
    <w:p w14:paraId="36E8CFE7" w14:textId="77777777" w:rsidR="001D5E73" w:rsidRDefault="001D5E73">
      <w:pPr>
        <w:pStyle w:val="PargrafodaLista"/>
        <w:numPr>
          <w:ilvl w:val="0"/>
          <w:numId w:val="24"/>
        </w:numPr>
        <w:spacing w:after="80" w:line="240" w:lineRule="auto"/>
        <w:jc w:val="both"/>
      </w:pPr>
      <w:r>
        <w:t>Imagens de câmeras de segurança, o elemento probatório mais valioso para situar o contexto</w:t>
      </w:r>
    </w:p>
    <w:p w14:paraId="1C7CA870" w14:textId="77777777" w:rsidR="001D5E73" w:rsidRDefault="001D5E73">
      <w:pPr>
        <w:pStyle w:val="PargrafodaLista"/>
        <w:numPr>
          <w:ilvl w:val="0"/>
          <w:numId w:val="24"/>
        </w:numPr>
        <w:spacing w:after="80" w:line="240" w:lineRule="auto"/>
        <w:jc w:val="both"/>
      </w:pPr>
      <w:r>
        <w:t>Relato inicial da vítima descrevendo o contexto imediatamente anterior à agressão</w:t>
      </w:r>
    </w:p>
    <w:p w14:paraId="75568A28" w14:textId="77777777" w:rsidR="001D5E73" w:rsidRDefault="001D5E73">
      <w:pPr>
        <w:pStyle w:val="PargrafodaLista"/>
        <w:numPr>
          <w:ilvl w:val="0"/>
          <w:numId w:val="24"/>
        </w:numPr>
        <w:spacing w:after="80" w:line="240" w:lineRule="auto"/>
        <w:jc w:val="both"/>
      </w:pPr>
      <w:r>
        <w:lastRenderedPageBreak/>
        <w:t>Boletim de ocorrência policial, quando registrado</w:t>
      </w:r>
    </w:p>
    <w:p w14:paraId="13FF0696" w14:textId="77777777" w:rsidR="001D5E73" w:rsidRDefault="001D5E73">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269B7063"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39AC6B41" w14:textId="77777777" w:rsidR="001D5E73" w:rsidRDefault="001D5E73">
            <w:pPr>
              <w:jc w:val="both"/>
            </w:pPr>
            <w:r>
              <w:rPr>
                <w:b/>
                <w:bCs/>
                <w:color w:val="0B2C5F"/>
                <w:sz w:val="20"/>
                <w:szCs w:val="20"/>
              </w:rPr>
              <w:t xml:space="preserve">Alerta, nexo funcional em contextos externos: </w:t>
            </w:r>
            <w:r>
              <w:rPr>
                <w:sz w:val="20"/>
                <w:szCs w:val="20"/>
              </w:rPr>
              <w:t xml:space="preserve">não </w:t>
            </w:r>
            <w:proofErr w:type="spellStart"/>
            <w:r>
              <w:rPr>
                <w:sz w:val="20"/>
                <w:szCs w:val="20"/>
              </w:rPr>
              <w:t>archive</w:t>
            </w:r>
            <w:proofErr w:type="spellEnd"/>
            <w:r>
              <w:rPr>
                <w:sz w:val="20"/>
                <w:szCs w:val="20"/>
              </w:rPr>
              <w:t xml:space="preserve"> por ausência de nexo sem antes verificar se a agressão ocorreu em atividade que se enquadra no conceito ampliado da Convenção nº 190/OIT. Viagens a serviço e treinamentos institucionais estão cobertos mesmo quando realizados fora da sede da unidade.</w:t>
            </w:r>
          </w:p>
        </w:tc>
      </w:tr>
    </w:tbl>
    <w:p w14:paraId="34333C4A" w14:textId="77777777" w:rsidR="001D5E73" w:rsidRDefault="001D5E73">
      <w:pPr>
        <w:spacing w:before="100"/>
      </w:pPr>
    </w:p>
    <w:p w14:paraId="2C9CB0CF" w14:textId="77777777" w:rsidR="001D5E73" w:rsidRDefault="001D5E73">
      <w:pPr>
        <w:spacing w:before="80" w:after="60"/>
      </w:pPr>
      <w:r>
        <w:rPr>
          <w:b/>
          <w:bCs/>
          <w:color w:val="1F7A4C"/>
        </w:rPr>
        <w:t xml:space="preserve">SIM → </w:t>
      </w:r>
      <w:r>
        <w:t>P2</w:t>
      </w:r>
    </w:p>
    <w:p w14:paraId="1237CB72" w14:textId="77777777" w:rsidR="001D5E73" w:rsidRDefault="001D5E73">
      <w:pPr>
        <w:spacing w:before="80" w:after="60"/>
      </w:pPr>
      <w:r>
        <w:rPr>
          <w:b/>
        </w:rPr>
        <w:t xml:space="preserve">NÃO → </w:t>
      </w:r>
      <w:r>
        <w:t>P1-B</w:t>
      </w:r>
    </w:p>
    <w:p w14:paraId="01848A84" w14:textId="77777777" w:rsidR="007F53FD" w:rsidRDefault="007F53FD"/>
    <w:p w14:paraId="54C2A2F9" w14:textId="77777777" w:rsidR="007F53FD" w:rsidRDefault="00A47804">
      <w:pPr>
        <w:pStyle w:val="Ttulo2"/>
      </w:pPr>
      <w:bookmarkStart w:id="128" w:name="_Toc238022123"/>
      <w:r>
        <w:t>P1-B, A agressão praticada fora do contexto funcional produziu repercussão funcional concreta?</w:t>
      </w:r>
      <w:bookmarkEnd w:id="128"/>
    </w:p>
    <w:p w14:paraId="49F30D10" w14:textId="77777777" w:rsidR="007F53FD" w:rsidRDefault="00A47804">
      <w:pPr>
        <w:pStyle w:val="Ttulo3"/>
      </w:pPr>
      <w:r>
        <w:t>O que avaliar</w:t>
      </w:r>
    </w:p>
    <w:p w14:paraId="0C49059E" w14:textId="77777777" w:rsidR="007F53FD" w:rsidRDefault="00A47804">
      <w:r>
        <w:t>A pergunta central é: o episódio produziu efeito verificável sobre a relação de trabalho? Afastado o elemento locativo-funcional do art. 132, VII, da Lei nº 8.112, de 11 de dezembro de 1990, a conduta só ingressa no âmbito disciplinar se houver reflexo sobre o serviço. Sem repercussão, o fato pertence exclusivamente às esferas penal e cível, e a Administração não tem interesse apuratório.</w:t>
      </w:r>
    </w:p>
    <w:p w14:paraId="686939F7" w14:textId="77777777" w:rsidR="007F53FD" w:rsidRDefault="00A47804">
      <w:r>
        <w:t>A distinção decisiva é entre repercussão funcional e gravidade do fato. São categorias independentes. Uma agressão grave entre servidores, praticada em contexto integralmente privado e sem qualquer desdobramento sobre o trabalho, não repercute funcionalmente. Uma agressão de menor intensidade que se torna conhecida na unidade e inviabiliza a convivência entre as partes repercute. O critério não é a intensidade da violência nem a extensão das lesões.</w:t>
      </w:r>
    </w:p>
    <w:p w14:paraId="27E1A215" w14:textId="77777777" w:rsidR="007F53FD" w:rsidRDefault="00A47804">
      <w:r>
        <w:t>Esta pergunta substitui a formulação anterior do Manual, que atribuía ao Resultado A um enquadramento condicional, art. 116, IX, "caso produza repercussão funcional concreta". A condicionalidade transferia ao leitor do relatório uma decisão que compete à comissão. Cada desfecho passa a ter resultado próprio, com dispositivo, penalidade e prazo determinados.</w:t>
      </w:r>
    </w:p>
    <w:p w14:paraId="1613C1F1" w14:textId="77777777" w:rsidR="007F53FD" w:rsidRDefault="00A47804">
      <w:pPr>
        <w:pStyle w:val="Ttulo3"/>
      </w:pPr>
      <w:r>
        <w:t>Satisfaz a condição, responda SIM</w:t>
      </w:r>
    </w:p>
    <w:p w14:paraId="0F040AE1" w14:textId="77777777" w:rsidR="007F53FD" w:rsidRDefault="00A47804">
      <w:pPr>
        <w:pStyle w:val="PargrafodaLista"/>
      </w:pPr>
      <w:r>
        <w:t>O episódio tornou-se conhecido na unidade e afetou o ambiente de trabalho</w:t>
      </w:r>
    </w:p>
    <w:p w14:paraId="2922026D" w14:textId="77777777" w:rsidR="007F53FD" w:rsidRDefault="00A47804">
      <w:pPr>
        <w:pStyle w:val="PargrafodaLista"/>
      </w:pPr>
      <w:r>
        <w:t>A convivência entre agressor e vítima no mesmo espaço funcional tornou-se inviável ou gravemente comprometida</w:t>
      </w:r>
    </w:p>
    <w:p w14:paraId="18C3DB47" w14:textId="77777777" w:rsidR="007F53FD" w:rsidRDefault="00A47804">
      <w:pPr>
        <w:pStyle w:val="PargrafodaLista"/>
      </w:pPr>
      <w:r>
        <w:t>Houve conhecimento do fato por usuários, imprensa ou terceiros com vínculo institucional, com prejuízo à imagem da Administração</w:t>
      </w:r>
    </w:p>
    <w:p w14:paraId="2CBFF7CE" w14:textId="77777777" w:rsidR="007F53FD" w:rsidRDefault="00A47804">
      <w:pPr>
        <w:pStyle w:val="PargrafodaLista"/>
      </w:pPr>
      <w:r>
        <w:t>A vítima requereu remoção, alteração de escala ou mudança de subordinação em razão do episódio</w:t>
      </w:r>
    </w:p>
    <w:p w14:paraId="5B92587A" w14:textId="77777777" w:rsidR="007F53FD" w:rsidRDefault="00A47804">
      <w:pPr>
        <w:pStyle w:val="PargrafodaLista"/>
      </w:pPr>
      <w:r>
        <w:t>Há registro de queda de desempenho, afastamento ou alteração de rotina funcional de qualquer das partes</w:t>
      </w:r>
    </w:p>
    <w:p w14:paraId="18591478" w14:textId="77777777" w:rsidR="007F53FD" w:rsidRDefault="00A47804">
      <w:pPr>
        <w:pStyle w:val="Ttulo3"/>
      </w:pPr>
      <w:r>
        <w:t>Não satisfaz a condição, responda NÃO</w:t>
      </w:r>
    </w:p>
    <w:p w14:paraId="2C72F266" w14:textId="77777777" w:rsidR="007F53FD" w:rsidRDefault="00A47804">
      <w:pPr>
        <w:pStyle w:val="PargrafodaLista"/>
      </w:pPr>
      <w:r>
        <w:t>O episódio permaneceu circunscrito ao âmbito privado, sem conhecimento na unidade</w:t>
      </w:r>
    </w:p>
    <w:p w14:paraId="50C9EC60" w14:textId="77777777" w:rsidR="007F53FD" w:rsidRDefault="00A47804">
      <w:pPr>
        <w:pStyle w:val="PargrafodaLista"/>
      </w:pPr>
      <w:r>
        <w:t>Agressor e vítima não mantêm interação funcional que a convivência possa comprometer</w:t>
      </w:r>
    </w:p>
    <w:p w14:paraId="6D7DF6FD" w14:textId="77777777" w:rsidR="007F53FD" w:rsidRDefault="00A47804">
      <w:pPr>
        <w:pStyle w:val="PargrafodaLista"/>
      </w:pPr>
      <w:r>
        <w:t>Não há elemento nos autos que demonstre efeito sobre o serviço, apenas a gravidade do fato em si</w:t>
      </w:r>
    </w:p>
    <w:p w14:paraId="14793921" w14:textId="77777777" w:rsidR="007F53FD" w:rsidRDefault="00A47804">
      <w:pPr>
        <w:pStyle w:val="PargrafodaLista"/>
      </w:pPr>
      <w:r>
        <w:t>A única conexão com o serviço é a circunstância de ambos serem servidores</w:t>
      </w:r>
    </w:p>
    <w:p w14:paraId="09916C27" w14:textId="77777777" w:rsidR="007F53FD" w:rsidRDefault="00A47804">
      <w:pPr>
        <w:pStyle w:val="Ttulo3"/>
      </w:pPr>
      <w:r>
        <w:t>O que buscar nos autos</w:t>
      </w:r>
    </w:p>
    <w:p w14:paraId="2AEEBA62" w14:textId="77777777" w:rsidR="007F53FD" w:rsidRDefault="00A47804">
      <w:pPr>
        <w:pStyle w:val="PargrafodaLista"/>
      </w:pPr>
      <w:r>
        <w:t>Requerimentos de remoção, de alteração de lotação ou de escala protocolados após o episódio</w:t>
      </w:r>
    </w:p>
    <w:p w14:paraId="23710D82" w14:textId="77777777" w:rsidR="007F53FD" w:rsidRDefault="00A47804">
      <w:pPr>
        <w:pStyle w:val="PargrafodaLista"/>
      </w:pPr>
      <w:r>
        <w:t>Registros de afastamento, de queda de desempenho ou de alteração de rotina</w:t>
      </w:r>
    </w:p>
    <w:p w14:paraId="431FE7C7" w14:textId="77777777" w:rsidR="007F53FD" w:rsidRDefault="00A47804">
      <w:pPr>
        <w:pStyle w:val="PargrafodaLista"/>
      </w:pPr>
      <w:r>
        <w:lastRenderedPageBreak/>
        <w:t>Manifestações de colegas, da chefia ou de usuários sobre o conhecimento e o efeito do episódio</w:t>
      </w:r>
    </w:p>
    <w:p w14:paraId="3A0B95EF" w14:textId="77777777" w:rsidR="007F53FD" w:rsidRDefault="00A47804">
      <w:pPr>
        <w:pStyle w:val="PargrafodaLista"/>
      </w:pPr>
      <w:r>
        <w:t>Repercussão externa documentada, quando houver</w:t>
      </w:r>
    </w:p>
    <w:p w14:paraId="6983C717" w14:textId="77777777" w:rsidR="007F53FD" w:rsidRDefault="007F53FD"/>
    <w:p w14:paraId="7F79B251" w14:textId="77777777" w:rsidR="007F53FD" w:rsidRDefault="00A47804">
      <w:r>
        <w:rPr>
          <w:b/>
        </w:rPr>
        <w:t xml:space="preserve">Alerta, repercussão não se presume da gravidade: </w:t>
      </w:r>
      <w:r>
        <w:t>a agressão pode ter sido grave e ainda assim não repercutir funcionalmente. Responda SIM apenas com base em elemento objetivo dos autos.</w:t>
      </w:r>
    </w:p>
    <w:p w14:paraId="7ABABC04" w14:textId="77777777" w:rsidR="007F53FD" w:rsidRDefault="007F53FD"/>
    <w:p w14:paraId="68CBE98D" w14:textId="77777777" w:rsidR="007F53FD" w:rsidRDefault="00A47804">
      <w:r>
        <w:rPr>
          <w:b/>
        </w:rPr>
        <w:t xml:space="preserve">Alerta, o arquivamento não é juízo sobre a vítima: </w:t>
      </w:r>
      <w:r>
        <w:t>a conclusão pelo Resultado G não encerra juízo sobre a gravidade da conduta nem sobre a veracidade do relato. Registre isso expressamente e oriente a vítima quanto às vias penal e cível, integralmente disponíveis e independentes do desfecho disciplinar (art. 125, da Lei nº 8.112, de 1990).</w:t>
      </w:r>
    </w:p>
    <w:p w14:paraId="71CBA90D" w14:textId="77777777" w:rsidR="007F53FD" w:rsidRDefault="007F53FD"/>
    <w:p w14:paraId="2D2147F7" w14:textId="77777777" w:rsidR="007F53FD" w:rsidRDefault="00A47804">
      <w:r>
        <w:rPr>
          <w:b/>
        </w:rPr>
        <w:t xml:space="preserve">SIM → </w:t>
      </w:r>
      <w:r>
        <w:t>Resultado A, agressão sem nexo funcional com repercussão funcional, art. 116, IX</w:t>
      </w:r>
    </w:p>
    <w:p w14:paraId="70D2AC77" w14:textId="77777777" w:rsidR="007F53FD" w:rsidRDefault="00A47804">
      <w:r>
        <w:rPr>
          <w:b/>
        </w:rPr>
        <w:t xml:space="preserve">NÃO → </w:t>
      </w:r>
      <w:r>
        <w:t>Resultado G, agressão fora do âmbito disciplinar</w:t>
      </w:r>
    </w:p>
    <w:p w14:paraId="5D2F33FC" w14:textId="77777777" w:rsidR="007F53FD" w:rsidRDefault="007F53FD"/>
    <w:p w14:paraId="76EA33F8" w14:textId="77777777" w:rsidR="001D5E73" w:rsidRDefault="001D5E73">
      <w:pPr>
        <w:pBdr>
          <w:bottom w:val="single" w:sz="4" w:space="1" w:color="C9A35C"/>
        </w:pBdr>
        <w:spacing w:before="200" w:after="200"/>
      </w:pPr>
    </w:p>
    <w:p w14:paraId="11D8A0BD" w14:textId="77777777" w:rsidR="001D5E73" w:rsidRDefault="001D5E73">
      <w:pPr>
        <w:pStyle w:val="Ttulo2"/>
        <w:keepNext/>
        <w:pBdr>
          <w:left w:val="single" w:sz="10" w:space="6" w:color="C9A35C"/>
        </w:pBdr>
      </w:pPr>
      <w:bookmarkStart w:id="129" w:name="_Toc233912962_c202"/>
      <w:bookmarkStart w:id="130" w:name="_Toc238022124"/>
      <w:r>
        <w:t>P2, O contato físico foi intencional?</w:t>
      </w:r>
      <w:bookmarkEnd w:id="129"/>
      <w:bookmarkEnd w:id="130"/>
    </w:p>
    <w:p w14:paraId="3E9B3F03" w14:textId="77777777" w:rsidR="001D5E73" w:rsidRDefault="001D5E73">
      <w:pPr>
        <w:pStyle w:val="Ttulo3"/>
        <w:keepNext/>
      </w:pPr>
      <w:r>
        <w:t>O que avaliar</w:t>
      </w:r>
    </w:p>
    <w:p w14:paraId="64CD3373" w14:textId="77777777" w:rsidR="001D5E73" w:rsidRDefault="001D5E73">
      <w:pPr>
        <w:spacing w:after="120"/>
        <w:jc w:val="both"/>
      </w:pPr>
      <w:r>
        <w:t xml:space="preserve">A pergunta central é: </w:t>
      </w:r>
      <w:r>
        <w:rPr>
          <w:b/>
          <w:bCs/>
        </w:rPr>
        <w:t>houve vontade dirigida ao contato ofensivo, ou o contato decorreu de circunstância acidental?</w:t>
      </w:r>
      <w:r>
        <w:t xml:space="preserve"> O art. 132, VII, da Lei nº 8.112, de 1990, pressupõe conduta comissiva dolosa. O contato físico involuntário não é agressão, ainda que produza lesão e ainda que a vítima o tenha percebido como ofensivo.</w:t>
      </w:r>
    </w:p>
    <w:p w14:paraId="2F3BA90E" w14:textId="77777777" w:rsidR="001D5E73" w:rsidRDefault="001D5E73">
      <w:pPr>
        <w:spacing w:after="120"/>
        <w:jc w:val="both"/>
      </w:pPr>
      <w:r>
        <w:t>Esta pergunta antecede a análise da legítima defesa por razão de método: a excludente de ilicitude só faz sentido diante de conduta típica. Verificar primeiro a tipicidade subjetiva evita que a comissão discuta proporcionalidade de reação em episódio que sequer configura agressão.</w:t>
      </w:r>
    </w:p>
    <w:p w14:paraId="1ED1559B" w14:textId="77777777" w:rsidR="001D5E73" w:rsidRDefault="001D5E73">
      <w:pPr>
        <w:spacing w:after="120"/>
        <w:jc w:val="both"/>
      </w:pPr>
      <w:r>
        <w:t>A distinção não se confunde com a do excesso culposo, examinada em P4. Ali, há dolo no contato inicial e culpa apenas na medida da reação. Aqui, não há dolo em momento algum.</w:t>
      </w:r>
    </w:p>
    <w:p w14:paraId="5FCDD4C7" w14:textId="77777777" w:rsidR="001D5E73" w:rsidRDefault="001D5E73">
      <w:pPr>
        <w:pStyle w:val="Ttulo3"/>
        <w:keepNext/>
      </w:pPr>
      <w:r>
        <w:t>Satisfaz a condição, responda SIM</w:t>
      </w:r>
    </w:p>
    <w:p w14:paraId="7668BC58" w14:textId="77777777" w:rsidR="001D5E73" w:rsidRDefault="001D5E73">
      <w:pPr>
        <w:pStyle w:val="PargrafodaLista"/>
        <w:numPr>
          <w:ilvl w:val="0"/>
          <w:numId w:val="24"/>
        </w:numPr>
        <w:spacing w:after="80" w:line="240" w:lineRule="auto"/>
        <w:jc w:val="both"/>
      </w:pPr>
      <w:r>
        <w:t>Golpe, empurrão, tapa ou arremesso de objeto dirigido conscientemente à pessoa da vítima</w:t>
      </w:r>
    </w:p>
    <w:p w14:paraId="2B0E64F2" w14:textId="77777777" w:rsidR="001D5E73" w:rsidRDefault="001D5E73">
      <w:pPr>
        <w:pStyle w:val="PargrafodaLista"/>
        <w:numPr>
          <w:ilvl w:val="0"/>
          <w:numId w:val="24"/>
        </w:numPr>
        <w:spacing w:after="80" w:line="240" w:lineRule="auto"/>
        <w:jc w:val="both"/>
      </w:pPr>
      <w:r>
        <w:t>Contato físico praticado no curso de discussão, ainda que o servidor alegue descontrole emocional, o descontrole não afasta a vontade dirigida ao ato</w:t>
      </w:r>
    </w:p>
    <w:p w14:paraId="62435DD2" w14:textId="77777777" w:rsidR="001D5E73" w:rsidRDefault="001D5E73">
      <w:pPr>
        <w:pStyle w:val="PargrafodaLista"/>
        <w:numPr>
          <w:ilvl w:val="0"/>
          <w:numId w:val="24"/>
        </w:numPr>
        <w:spacing w:after="80" w:line="240" w:lineRule="auto"/>
        <w:jc w:val="both"/>
      </w:pPr>
      <w:r>
        <w:t>Contato cuja intensidade e direção são incompatíveis com movimento involuntário</w:t>
      </w:r>
    </w:p>
    <w:p w14:paraId="4D732D2F" w14:textId="77777777" w:rsidR="001D5E73" w:rsidRDefault="001D5E73">
      <w:pPr>
        <w:pStyle w:val="Ttulo3"/>
        <w:keepNext/>
      </w:pPr>
      <w:r>
        <w:t>Não satisfaz a condição, responda NÃO</w:t>
      </w:r>
    </w:p>
    <w:p w14:paraId="5699537E" w14:textId="77777777" w:rsidR="001D5E73" w:rsidRDefault="001D5E73">
      <w:pPr>
        <w:pStyle w:val="PargrafodaLista"/>
        <w:numPr>
          <w:ilvl w:val="0"/>
          <w:numId w:val="24"/>
        </w:numPr>
        <w:spacing w:after="80" w:line="240" w:lineRule="auto"/>
        <w:jc w:val="both"/>
      </w:pPr>
      <w:r>
        <w:t>Esbarrão em corredor, porta ou espaço de circulação estreito</w:t>
      </w:r>
    </w:p>
    <w:p w14:paraId="5324E66F" w14:textId="77777777" w:rsidR="001D5E73" w:rsidRDefault="001D5E73">
      <w:pPr>
        <w:pStyle w:val="PargrafodaLista"/>
        <w:numPr>
          <w:ilvl w:val="0"/>
          <w:numId w:val="24"/>
        </w:numPr>
        <w:spacing w:after="80" w:line="240" w:lineRule="auto"/>
        <w:jc w:val="both"/>
      </w:pPr>
      <w:r>
        <w:t>Contato decorrente de gesticulação ampla durante conversa, sem direção à vítima</w:t>
      </w:r>
    </w:p>
    <w:p w14:paraId="49A90C1C" w14:textId="77777777" w:rsidR="001D5E73" w:rsidRDefault="001D5E73">
      <w:pPr>
        <w:pStyle w:val="PargrafodaLista"/>
        <w:numPr>
          <w:ilvl w:val="0"/>
          <w:numId w:val="24"/>
        </w:numPr>
        <w:spacing w:after="80" w:line="240" w:lineRule="auto"/>
        <w:jc w:val="both"/>
      </w:pPr>
      <w:r>
        <w:t>Reflexo involuntário, tropeço, perda de equilíbrio</w:t>
      </w:r>
    </w:p>
    <w:p w14:paraId="75427B90" w14:textId="77777777" w:rsidR="001D5E73" w:rsidRDefault="001D5E73">
      <w:pPr>
        <w:pStyle w:val="PargrafodaLista"/>
        <w:numPr>
          <w:ilvl w:val="0"/>
          <w:numId w:val="24"/>
        </w:numPr>
        <w:spacing w:after="80" w:line="240" w:lineRule="auto"/>
        <w:jc w:val="both"/>
      </w:pPr>
      <w:r>
        <w:t>Contato ocorrido no curso de manobra de separação de terceiros em conflito</w:t>
      </w:r>
    </w:p>
    <w:p w14:paraId="128B4B03" w14:textId="77777777" w:rsidR="001D5E73" w:rsidRDefault="001D5E73">
      <w:pPr>
        <w:pStyle w:val="Ttulo3"/>
        <w:keepNext/>
      </w:pPr>
      <w:r>
        <w:t>O que buscar nos autos</w:t>
      </w:r>
    </w:p>
    <w:p w14:paraId="04C963C5" w14:textId="77777777" w:rsidR="001D5E73" w:rsidRDefault="001D5E73">
      <w:pPr>
        <w:pStyle w:val="PargrafodaLista"/>
        <w:numPr>
          <w:ilvl w:val="0"/>
          <w:numId w:val="24"/>
        </w:numPr>
        <w:spacing w:after="80" w:line="240" w:lineRule="auto"/>
        <w:jc w:val="both"/>
      </w:pPr>
      <w:r>
        <w:t>Imagens de câmeras de segurança, elemento decisivo para aferir direção e intencionalidade do movimento</w:t>
      </w:r>
    </w:p>
    <w:p w14:paraId="3D054074" w14:textId="77777777" w:rsidR="001D5E73" w:rsidRDefault="001D5E73">
      <w:pPr>
        <w:pStyle w:val="PargrafodaLista"/>
        <w:numPr>
          <w:ilvl w:val="0"/>
          <w:numId w:val="24"/>
        </w:numPr>
        <w:spacing w:after="80" w:line="240" w:lineRule="auto"/>
        <w:jc w:val="both"/>
      </w:pPr>
      <w:r>
        <w:t>Descrição do contexto imediatamente anterior ao contato, especialmente a existência ou não de conflito prévio entre as partes</w:t>
      </w:r>
    </w:p>
    <w:p w14:paraId="0D866B59" w14:textId="77777777" w:rsidR="001D5E73" w:rsidRDefault="001D5E73">
      <w:pPr>
        <w:pStyle w:val="PargrafodaLista"/>
        <w:numPr>
          <w:ilvl w:val="0"/>
          <w:numId w:val="24"/>
        </w:numPr>
        <w:spacing w:after="80" w:line="240" w:lineRule="auto"/>
        <w:jc w:val="both"/>
      </w:pPr>
      <w:r>
        <w:t>Depoimentos de testemunhas com foco na sequência gestual, não apenas no resultado</w:t>
      </w:r>
    </w:p>
    <w:p w14:paraId="78D0FA90" w14:textId="77777777" w:rsidR="001D5E73" w:rsidRDefault="001D5E73">
      <w:pPr>
        <w:pStyle w:val="PargrafodaLista"/>
        <w:numPr>
          <w:ilvl w:val="0"/>
          <w:numId w:val="24"/>
        </w:numPr>
        <w:spacing w:after="80" w:line="240" w:lineRule="auto"/>
        <w:jc w:val="both"/>
      </w:pPr>
      <w:r>
        <w:t>Laudo médico, quando houver lesão, para aferir a compatibilidade entre o mecanismo alegado e o dano verificado</w:t>
      </w:r>
    </w:p>
    <w:p w14:paraId="0429603A" w14:textId="77777777" w:rsidR="001D5E73" w:rsidRDefault="001D5E73">
      <w:pPr>
        <w:pBdr>
          <w:bottom w:val="single" w:sz="4" w:space="1" w:color="C9A35C"/>
        </w:pBdr>
        <w:spacing w:before="200"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0C699F93"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425D3290" w14:textId="77777777" w:rsidR="001D5E73" w:rsidRDefault="001D5E73">
            <w:pPr>
              <w:jc w:val="both"/>
            </w:pPr>
            <w:r>
              <w:rPr>
                <w:b/>
                <w:bCs/>
                <w:color w:val="0B2C5F"/>
                <w:sz w:val="20"/>
                <w:szCs w:val="20"/>
              </w:rPr>
              <w:t xml:space="preserve">Alerta, ausência de dolo não encerra necessariamente o caso: </w:t>
            </w:r>
            <w:r>
              <w:rPr>
                <w:sz w:val="20"/>
                <w:szCs w:val="20"/>
              </w:rPr>
              <w:t>o afastamento da tipificação de agressão física não impede que o episódio, por sua repercussão funcional, comporte tratamento administrativo não disciplinar. Registre expressamente nos autos o fundamento do reconhecimento da ausência de dolo.</w:t>
            </w:r>
          </w:p>
        </w:tc>
      </w:tr>
    </w:tbl>
    <w:p w14:paraId="4B1B7509" w14:textId="77777777" w:rsidR="001D5E73" w:rsidRDefault="001D5E73">
      <w:pPr>
        <w:pBdr>
          <w:bottom w:val="single" w:sz="4" w:space="1" w:color="C9A35C"/>
        </w:pBdr>
        <w:spacing w:before="200"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15C3B070"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7765C1AB" w14:textId="77777777" w:rsidR="001D5E73" w:rsidRDefault="001D5E73">
            <w:pPr>
              <w:jc w:val="both"/>
            </w:pPr>
            <w:r>
              <w:rPr>
                <w:b/>
                <w:bCs/>
                <w:color w:val="0B2C5F"/>
                <w:sz w:val="20"/>
                <w:szCs w:val="20"/>
              </w:rPr>
              <w:t xml:space="preserve">Alerta, na dúvida responda SIM: </w:t>
            </w:r>
            <w:r>
              <w:rPr>
                <w:sz w:val="20"/>
                <w:szCs w:val="20"/>
              </w:rPr>
              <w:t xml:space="preserve">a alegação de acidentalidade é a estratégia defensiva padrão em episódios de agressão sem testemunhas. Responda NÃO apenas quando os elementos objetivos dos autos, e não a versão do servidor, sustentarem a </w:t>
            </w:r>
            <w:proofErr w:type="spellStart"/>
            <w:r>
              <w:rPr>
                <w:sz w:val="20"/>
                <w:szCs w:val="20"/>
              </w:rPr>
              <w:t>involuntariedade</w:t>
            </w:r>
            <w:proofErr w:type="spellEnd"/>
            <w:r>
              <w:rPr>
                <w:sz w:val="20"/>
                <w:szCs w:val="20"/>
              </w:rPr>
              <w:t>.</w:t>
            </w:r>
          </w:p>
        </w:tc>
      </w:tr>
    </w:tbl>
    <w:p w14:paraId="0F548125" w14:textId="77777777" w:rsidR="001D5E73" w:rsidRDefault="001D5E73">
      <w:pPr>
        <w:pBdr>
          <w:bottom w:val="single" w:sz="4" w:space="1" w:color="C9A35C"/>
        </w:pBdr>
        <w:spacing w:before="200" w:after="200"/>
      </w:pPr>
    </w:p>
    <w:p w14:paraId="37EB34B8" w14:textId="77777777" w:rsidR="001D5E73" w:rsidRDefault="001D5E73">
      <w:pPr>
        <w:spacing w:before="80" w:after="60"/>
      </w:pPr>
      <w:r>
        <w:rPr>
          <w:b/>
          <w:bCs/>
          <w:color w:val="1F7A4C"/>
        </w:rPr>
        <w:t xml:space="preserve">SIM → </w:t>
      </w:r>
      <w:r>
        <w:t>P3</w:t>
      </w:r>
    </w:p>
    <w:p w14:paraId="55524D3C" w14:textId="77777777" w:rsidR="001D5E73" w:rsidRDefault="001D5E73">
      <w:pPr>
        <w:spacing w:before="80" w:after="60"/>
      </w:pPr>
      <w:r>
        <w:rPr>
          <w:b/>
          <w:bCs/>
          <w:color w:val="1F7A4C"/>
        </w:rPr>
        <w:t xml:space="preserve">NÃO → </w:t>
      </w:r>
      <w:r>
        <w:t>Resultado F, contato físico sem dolo, ausência de agressão</w:t>
      </w:r>
    </w:p>
    <w:p w14:paraId="5169E132" w14:textId="77777777" w:rsidR="001D5E73" w:rsidRDefault="001D5E73">
      <w:pPr>
        <w:pBdr>
          <w:bottom w:val="single" w:sz="4" w:space="1" w:color="C9A35C"/>
        </w:pBdr>
        <w:spacing w:before="200" w:after="200"/>
      </w:pPr>
    </w:p>
    <w:p w14:paraId="65F1124E" w14:textId="77777777" w:rsidR="001D5E73" w:rsidRDefault="001D5E73">
      <w:pPr>
        <w:pStyle w:val="Ttulo2"/>
        <w:keepNext/>
        <w:pBdr>
          <w:left w:val="single" w:sz="10" w:space="6" w:color="C9A35C"/>
        </w:pBdr>
      </w:pPr>
      <w:bookmarkStart w:id="131" w:name="_Toc238022125"/>
      <w:r>
        <w:t>P3, A agressão ocorreu em legítima defesa própria ou de outrem?</w:t>
      </w:r>
      <w:bookmarkEnd w:id="131"/>
    </w:p>
    <w:p w14:paraId="6C581DB0" w14:textId="77777777" w:rsidR="001D5E73" w:rsidRDefault="001D5E73">
      <w:pPr>
        <w:pStyle w:val="Ttulo3"/>
        <w:keepNext/>
      </w:pPr>
      <w:r>
        <w:t>O que avaliar</w:t>
      </w:r>
    </w:p>
    <w:p w14:paraId="0B77E399" w14:textId="77777777" w:rsidR="001D5E73" w:rsidRDefault="001D5E73">
      <w:pPr>
        <w:spacing w:after="120"/>
        <w:jc w:val="both"/>
      </w:pPr>
      <w:r>
        <w:t xml:space="preserve">A pergunta central é: </w:t>
      </w:r>
      <w:r>
        <w:rPr>
          <w:b/>
          <w:bCs/>
        </w:rPr>
        <w:t>o servidor estava repelindo agressão injusta, atual ou iminente, de forma proporcional ao perigo?</w:t>
      </w:r>
      <w:r>
        <w:t xml:space="preserve"> Os quatro requisitos da legítima defesa são cumulativos, todos precisam estar presentes para que a excludente seja reconhecida.</w:t>
      </w:r>
    </w:p>
    <w:p w14:paraId="11632566" w14:textId="77777777" w:rsidR="001D5E73" w:rsidRDefault="001D5E73">
      <w:pPr>
        <w:spacing w:after="120"/>
        <w:jc w:val="both"/>
      </w:pPr>
      <w:r>
        <w:rPr>
          <w:b/>
          <w:bCs/>
        </w:rPr>
        <w:t>Requisito 1, agressão injusta:</w:t>
      </w:r>
      <w:r>
        <w:t xml:space="preserve"> o que o servidor repeliu era ilegítimo. A resistência a ato funcional legítimo não configura 'agressão injusta', ainda que o servidor a considere abusiva.</w:t>
      </w:r>
    </w:p>
    <w:p w14:paraId="239E721A" w14:textId="77777777" w:rsidR="001D5E73" w:rsidRDefault="001D5E73">
      <w:pPr>
        <w:spacing w:after="120"/>
        <w:jc w:val="both"/>
      </w:pPr>
      <w:r>
        <w:rPr>
          <w:b/>
          <w:bCs/>
        </w:rPr>
        <w:t>Requisito 2, atualidade ou iminência:</w:t>
      </w:r>
      <w:r>
        <w:t xml:space="preserve"> a agressão estava em curso ou era iminente no momento da reação. Reação a agressão passada, já encerrada, não configura legítima defesa, é revide.</w:t>
      </w:r>
    </w:p>
    <w:p w14:paraId="108C2431" w14:textId="77777777" w:rsidR="001D5E73" w:rsidRDefault="001D5E73">
      <w:pPr>
        <w:spacing w:after="120"/>
        <w:jc w:val="both"/>
      </w:pPr>
      <w:r>
        <w:rPr>
          <w:b/>
          <w:bCs/>
        </w:rPr>
        <w:t>Requisito 3, uso moderado dos meios necessários:</w:t>
      </w:r>
      <w:r>
        <w:t xml:space="preserve"> a reação foi proporcional à ameaça. Esse requisito é examinado com maior profundidade em P4.</w:t>
      </w:r>
    </w:p>
    <w:p w14:paraId="6B552FFC" w14:textId="77777777" w:rsidR="001D5E73" w:rsidRDefault="001D5E73">
      <w:pPr>
        <w:spacing w:after="120"/>
        <w:jc w:val="both"/>
      </w:pPr>
      <w:r>
        <w:rPr>
          <w:b/>
          <w:bCs/>
        </w:rPr>
        <w:t>Requisito 4, defesa de direito próprio ou de outrem:</w:t>
      </w:r>
      <w:r>
        <w:t xml:space="preserve"> a excludente cobre também a defesa de terceiro presente.</w:t>
      </w:r>
    </w:p>
    <w:p w14:paraId="3E1EBBA0" w14:textId="77777777" w:rsidR="001D5E73" w:rsidRDefault="001D5E73">
      <w:pPr>
        <w:pStyle w:val="Ttulo3"/>
        <w:keepNext/>
      </w:pPr>
      <w:r>
        <w:t>Satisfaz a condição, responda SIM</w:t>
      </w:r>
    </w:p>
    <w:p w14:paraId="3C10C450" w14:textId="77777777" w:rsidR="001D5E73" w:rsidRDefault="001D5E73">
      <w:pPr>
        <w:pStyle w:val="PargrafodaLista"/>
        <w:numPr>
          <w:ilvl w:val="0"/>
          <w:numId w:val="24"/>
        </w:numPr>
        <w:spacing w:after="80" w:line="240" w:lineRule="auto"/>
        <w:jc w:val="both"/>
      </w:pPr>
      <w:r>
        <w:t>Servidor que reage a soco, tapa ou empurrão iniciado pela outra parte</w:t>
      </w:r>
    </w:p>
    <w:p w14:paraId="6A480D12" w14:textId="77777777" w:rsidR="001D5E73" w:rsidRDefault="001D5E73">
      <w:pPr>
        <w:pStyle w:val="PargrafodaLista"/>
        <w:numPr>
          <w:ilvl w:val="0"/>
          <w:numId w:val="24"/>
        </w:numPr>
        <w:spacing w:after="80" w:line="240" w:lineRule="auto"/>
        <w:jc w:val="both"/>
      </w:pPr>
      <w:r>
        <w:t>Servidor que intervém para defender colega ou usuário que está sendo agredido</w:t>
      </w:r>
    </w:p>
    <w:p w14:paraId="692A6DD6" w14:textId="77777777" w:rsidR="001D5E73" w:rsidRDefault="001D5E73">
      <w:pPr>
        <w:pStyle w:val="PargrafodaLista"/>
        <w:numPr>
          <w:ilvl w:val="0"/>
          <w:numId w:val="24"/>
        </w:numPr>
        <w:spacing w:after="80" w:line="240" w:lineRule="auto"/>
        <w:jc w:val="both"/>
      </w:pPr>
      <w:r>
        <w:t>Reação a agressão em curso, com meios que guardam proporção com a violência sofrida</w:t>
      </w:r>
    </w:p>
    <w:p w14:paraId="1BC4A614" w14:textId="77777777" w:rsidR="001D5E73" w:rsidRDefault="001D5E73">
      <w:pPr>
        <w:pStyle w:val="PargrafodaLista"/>
        <w:numPr>
          <w:ilvl w:val="0"/>
          <w:numId w:val="24"/>
        </w:numPr>
        <w:spacing w:after="80" w:line="240" w:lineRule="auto"/>
        <w:jc w:val="both"/>
      </w:pPr>
      <w:r>
        <w:t>Imagens ou testemunhos indicam claramente que o servidor foi o agredido, não o agressor inicial</w:t>
      </w:r>
    </w:p>
    <w:p w14:paraId="6223FFFE" w14:textId="77777777" w:rsidR="001D5E73" w:rsidRDefault="001D5E73">
      <w:pPr>
        <w:pStyle w:val="Ttulo3"/>
        <w:keepNext/>
      </w:pPr>
      <w:r>
        <w:t>Não satisfaz a condição, responda NÃO</w:t>
      </w:r>
    </w:p>
    <w:p w14:paraId="1A208BFE" w14:textId="77777777" w:rsidR="001D5E73" w:rsidRDefault="001D5E73">
      <w:pPr>
        <w:pStyle w:val="PargrafodaLista"/>
        <w:numPr>
          <w:ilvl w:val="0"/>
          <w:numId w:val="24"/>
        </w:numPr>
        <w:spacing w:after="80" w:line="240" w:lineRule="auto"/>
        <w:jc w:val="both"/>
      </w:pPr>
      <w:r>
        <w:t>Servidor que inicia a agressão, ainda que após provocação verbal ou desentendimento</w:t>
      </w:r>
    </w:p>
    <w:p w14:paraId="6DA74525" w14:textId="77777777" w:rsidR="001D5E73" w:rsidRDefault="001D5E73">
      <w:pPr>
        <w:pStyle w:val="PargrafodaLista"/>
        <w:numPr>
          <w:ilvl w:val="0"/>
          <w:numId w:val="24"/>
        </w:numPr>
        <w:spacing w:after="80" w:line="240" w:lineRule="auto"/>
        <w:jc w:val="both"/>
      </w:pPr>
      <w:r>
        <w:t>Reação desproporcional a contato físico de mínima intensidade</w:t>
      </w:r>
    </w:p>
    <w:p w14:paraId="45148D49" w14:textId="77777777" w:rsidR="001D5E73" w:rsidRDefault="001D5E73">
      <w:pPr>
        <w:pStyle w:val="PargrafodaLista"/>
        <w:numPr>
          <w:ilvl w:val="0"/>
          <w:numId w:val="24"/>
        </w:numPr>
        <w:spacing w:after="80" w:line="240" w:lineRule="auto"/>
        <w:jc w:val="both"/>
      </w:pPr>
      <w:r>
        <w:t>Revide praticado após o encerramento da agressão sofrida</w:t>
      </w:r>
    </w:p>
    <w:p w14:paraId="407CF246" w14:textId="77777777" w:rsidR="001D5E73" w:rsidRDefault="001D5E73">
      <w:pPr>
        <w:pStyle w:val="PargrafodaLista"/>
        <w:numPr>
          <w:ilvl w:val="0"/>
          <w:numId w:val="24"/>
        </w:numPr>
        <w:spacing w:after="80" w:line="240" w:lineRule="auto"/>
        <w:jc w:val="both"/>
      </w:pPr>
      <w:r>
        <w:t>Resistência a abordagem funcional legítima (fiscalização, diligência, condução)</w:t>
      </w:r>
    </w:p>
    <w:p w14:paraId="14674F95" w14:textId="77777777" w:rsidR="001D5E73" w:rsidRDefault="001D5E73">
      <w:pPr>
        <w:pStyle w:val="PargrafodaLista"/>
        <w:numPr>
          <w:ilvl w:val="0"/>
          <w:numId w:val="24"/>
        </w:numPr>
        <w:spacing w:after="80" w:line="240" w:lineRule="auto"/>
        <w:jc w:val="both"/>
      </w:pPr>
      <w:r>
        <w:t>Ausência de qualquer ameaça física imediata, apenas conflito verbal ou tensão</w:t>
      </w:r>
    </w:p>
    <w:p w14:paraId="5A64CD09" w14:textId="77777777" w:rsidR="001D5E73" w:rsidRDefault="001D5E73">
      <w:pPr>
        <w:pStyle w:val="Ttulo3"/>
        <w:keepNext/>
      </w:pPr>
      <w:r>
        <w:lastRenderedPageBreak/>
        <w:t>O que buscar nos autos</w:t>
      </w:r>
    </w:p>
    <w:p w14:paraId="681ABE2A" w14:textId="77777777" w:rsidR="001D5E73" w:rsidRDefault="001D5E73">
      <w:pPr>
        <w:pStyle w:val="PargrafodaLista"/>
        <w:numPr>
          <w:ilvl w:val="0"/>
          <w:numId w:val="24"/>
        </w:numPr>
        <w:spacing w:after="80" w:line="240" w:lineRule="auto"/>
        <w:jc w:val="both"/>
      </w:pPr>
      <w:r>
        <w:t>Imagens de câmeras de segurança, documenta quem iniciou a agressão e a sequência dos acontecimentos</w:t>
      </w:r>
    </w:p>
    <w:p w14:paraId="64FE40AD" w14:textId="77777777" w:rsidR="001D5E73" w:rsidRDefault="001D5E73">
      <w:pPr>
        <w:pStyle w:val="PargrafodaLista"/>
        <w:numPr>
          <w:ilvl w:val="0"/>
          <w:numId w:val="24"/>
        </w:numPr>
        <w:spacing w:after="80" w:line="240" w:lineRule="auto"/>
        <w:jc w:val="both"/>
      </w:pPr>
      <w:r>
        <w:t>Laudos médicos de ambas as partes, lesões consistentes com papel de agredido ajudam a identificar quem iniciou</w:t>
      </w:r>
    </w:p>
    <w:p w14:paraId="09040A83" w14:textId="77777777" w:rsidR="001D5E73" w:rsidRDefault="001D5E73">
      <w:pPr>
        <w:pStyle w:val="PargrafodaLista"/>
        <w:numPr>
          <w:ilvl w:val="0"/>
          <w:numId w:val="24"/>
        </w:numPr>
        <w:spacing w:after="80" w:line="240" w:lineRule="auto"/>
        <w:jc w:val="both"/>
      </w:pPr>
      <w:r>
        <w:t>Depoimentos de testemunhas presentes, com atenção sobre quem deu o primeiro golpe</w:t>
      </w:r>
    </w:p>
    <w:p w14:paraId="7B13F903" w14:textId="77777777" w:rsidR="001D5E73" w:rsidRDefault="001D5E73">
      <w:pPr>
        <w:pStyle w:val="PargrafodaLista"/>
        <w:numPr>
          <w:ilvl w:val="0"/>
          <w:numId w:val="24"/>
        </w:numPr>
        <w:spacing w:after="80" w:line="240" w:lineRule="auto"/>
        <w:jc w:val="both"/>
      </w:pPr>
      <w:r>
        <w:t>Boletim de ocorrência policial</w:t>
      </w:r>
    </w:p>
    <w:p w14:paraId="4844D57C" w14:textId="77777777" w:rsidR="001D5E73" w:rsidRDefault="001D5E73">
      <w:pPr>
        <w:pStyle w:val="PargrafodaLista"/>
        <w:numPr>
          <w:ilvl w:val="0"/>
          <w:numId w:val="24"/>
        </w:numPr>
        <w:spacing w:after="80" w:line="240" w:lineRule="auto"/>
        <w:jc w:val="both"/>
      </w:pPr>
      <w:r>
        <w:t>Histórico de conflitos anteriores entre as partes</w:t>
      </w:r>
    </w:p>
    <w:p w14:paraId="13BED762" w14:textId="77777777" w:rsidR="001D5E73" w:rsidRDefault="001D5E73">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52FEBA2B"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1B597C35" w14:textId="77777777" w:rsidR="001D5E73" w:rsidRDefault="001D5E73">
            <w:pPr>
              <w:jc w:val="both"/>
            </w:pPr>
            <w:r>
              <w:rPr>
                <w:b/>
                <w:bCs/>
                <w:color w:val="0B2C5F"/>
                <w:sz w:val="20"/>
                <w:szCs w:val="20"/>
              </w:rPr>
              <w:t xml:space="preserve">Alerta: </w:t>
            </w:r>
            <w:r>
              <w:rPr>
                <w:sz w:val="20"/>
                <w:szCs w:val="20"/>
              </w:rPr>
              <w:t>a sentença penal que reconhecer categoricamente a legítima defesa projeta eficácia sobre o PAD. Verifique se há ação penal em curso antes de concluir o enquadramento.</w:t>
            </w:r>
          </w:p>
        </w:tc>
      </w:tr>
    </w:tbl>
    <w:p w14:paraId="1138F750" w14:textId="77777777" w:rsidR="001D5E73" w:rsidRDefault="001D5E7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7CE940CC"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51747CEC" w14:textId="77777777" w:rsidR="001D5E73" w:rsidRDefault="001D5E73">
            <w:pPr>
              <w:jc w:val="both"/>
            </w:pPr>
            <w:r>
              <w:rPr>
                <w:b/>
                <w:bCs/>
                <w:color w:val="0B2C5F"/>
                <w:sz w:val="20"/>
                <w:szCs w:val="20"/>
              </w:rPr>
              <w:t xml:space="preserve">Alerta, resistência a ato legítimo: </w:t>
            </w:r>
            <w:r>
              <w:rPr>
                <w:sz w:val="20"/>
                <w:szCs w:val="20"/>
              </w:rPr>
              <w:t>não confunda resistência a ordem funcional com defesa contra agressão injusta. O servidor que empurra o fiscal que o está abordando regularmente não está em legítima defesa.</w:t>
            </w:r>
          </w:p>
        </w:tc>
      </w:tr>
    </w:tbl>
    <w:p w14:paraId="1B67D4DD" w14:textId="77777777" w:rsidR="001D5E73" w:rsidRDefault="001D5E73">
      <w:pPr>
        <w:spacing w:before="100"/>
      </w:pPr>
    </w:p>
    <w:p w14:paraId="795DD469" w14:textId="77777777" w:rsidR="001D5E73" w:rsidRDefault="001D5E73">
      <w:pPr>
        <w:spacing w:before="80" w:after="60"/>
      </w:pPr>
      <w:r>
        <w:rPr>
          <w:b/>
          <w:bCs/>
          <w:color w:val="1F7A4C"/>
        </w:rPr>
        <w:t xml:space="preserve">SIM → </w:t>
      </w:r>
      <w:r>
        <w:t>P4</w:t>
      </w:r>
    </w:p>
    <w:p w14:paraId="1FAAADD8" w14:textId="77777777" w:rsidR="001D5E73" w:rsidRDefault="001D5E73">
      <w:pPr>
        <w:spacing w:before="80" w:after="60"/>
      </w:pPr>
      <w:r>
        <w:rPr>
          <w:b/>
          <w:bCs/>
          <w:color w:val="0B2C5F"/>
        </w:rPr>
        <w:t xml:space="preserve">NÃO → </w:t>
      </w:r>
      <w:r>
        <w:t>GATE → Resultado B, ofensa física em serviço, art. 132, VII, demissão (ato vinculado, Súmula 650/STJ)</w:t>
      </w:r>
    </w:p>
    <w:p w14:paraId="71DBE7F2" w14:textId="77777777" w:rsidR="001D5E73" w:rsidRDefault="001D5E73">
      <w:pPr>
        <w:pBdr>
          <w:bottom w:val="single" w:sz="4" w:space="1" w:color="C9A35C"/>
        </w:pBdr>
        <w:spacing w:before="200" w:after="200"/>
      </w:pPr>
    </w:p>
    <w:p w14:paraId="1C5E1CC3" w14:textId="77777777" w:rsidR="001D5E73" w:rsidRDefault="001D5E73">
      <w:pPr>
        <w:pStyle w:val="Ttulo2"/>
        <w:keepNext/>
        <w:pBdr>
          <w:left w:val="single" w:sz="10" w:space="6" w:color="C9A35C"/>
        </w:pBdr>
      </w:pPr>
      <w:bookmarkStart w:id="132" w:name="_Toc238022126"/>
      <w:r>
        <w:t xml:space="preserve">P4, </w:t>
      </w:r>
      <w:proofErr w:type="gramStart"/>
      <w:r>
        <w:t>Houve</w:t>
      </w:r>
      <w:proofErr w:type="gramEnd"/>
      <w:r>
        <w:t xml:space="preserve"> excesso na reação defensiva?</w:t>
      </w:r>
      <w:bookmarkEnd w:id="132"/>
    </w:p>
    <w:p w14:paraId="61822367" w14:textId="77777777" w:rsidR="001D5E73" w:rsidRDefault="001D5E73">
      <w:pPr>
        <w:pStyle w:val="Ttulo3"/>
        <w:keepNext/>
      </w:pPr>
      <w:r>
        <w:t>O que avaliar</w:t>
      </w:r>
    </w:p>
    <w:p w14:paraId="589519F5" w14:textId="77777777" w:rsidR="001D5E73" w:rsidRDefault="001D5E73">
      <w:pPr>
        <w:spacing w:after="120"/>
        <w:jc w:val="both"/>
      </w:pPr>
      <w:r>
        <w:t xml:space="preserve">A pergunta central é: </w:t>
      </w:r>
      <w:r>
        <w:rPr>
          <w:b/>
          <w:bCs/>
        </w:rPr>
        <w:t>o servidor parou de reagir quando a agressão sofrida cessou?</w:t>
      </w:r>
      <w:r>
        <w:t xml:space="preserve"> O excesso ocorre quando a reação prossegue além do estritamente necessário para repelir a agressão.</w:t>
      </w:r>
    </w:p>
    <w:p w14:paraId="6B11A94A" w14:textId="77777777" w:rsidR="001D5E73" w:rsidRDefault="001D5E73">
      <w:pPr>
        <w:spacing w:after="120"/>
        <w:jc w:val="both"/>
      </w:pPr>
      <w:r>
        <w:t>O marco temporal decisivo é o momento em que a agressão sofrida cessou. A partir desse ponto, a legítima defesa não autoriza mais nenhuma reação.</w:t>
      </w:r>
    </w:p>
    <w:p w14:paraId="1F985B32" w14:textId="77777777" w:rsidR="001D5E73" w:rsidRDefault="001D5E73">
      <w:pPr>
        <w:spacing w:after="120"/>
        <w:jc w:val="both"/>
      </w:pPr>
      <w:r>
        <w:t>A distinção entre excesso doloso e culposo importa para a penalidade. O excesso doloso pode atrair o art. 132, VII (demissão). O excesso culposo enquadra-se no art. 116, IX, com penalidade de advertência ou suspensão.</w:t>
      </w:r>
    </w:p>
    <w:p w14:paraId="32EF4270" w14:textId="77777777" w:rsidR="001D5E73" w:rsidRDefault="001D5E73">
      <w:pPr>
        <w:pStyle w:val="Ttulo3"/>
        <w:keepNext/>
      </w:pPr>
      <w:r>
        <w:t>Satisfaz a condição, responda SIM (excesso presente)</w:t>
      </w:r>
    </w:p>
    <w:p w14:paraId="1FD4A226" w14:textId="77777777" w:rsidR="001D5E73" w:rsidRDefault="001D5E73">
      <w:pPr>
        <w:pStyle w:val="PargrafodaLista"/>
        <w:numPr>
          <w:ilvl w:val="0"/>
          <w:numId w:val="24"/>
        </w:numPr>
        <w:spacing w:after="80" w:line="240" w:lineRule="auto"/>
        <w:jc w:val="both"/>
      </w:pPr>
      <w:r>
        <w:t>Servidor que continua desferindo golpes após a outra parte ter cessado a agressão e se afastado</w:t>
      </w:r>
    </w:p>
    <w:p w14:paraId="3B5D4F04" w14:textId="77777777" w:rsidR="001D5E73" w:rsidRDefault="001D5E73">
      <w:pPr>
        <w:pStyle w:val="PargrafodaLista"/>
        <w:numPr>
          <w:ilvl w:val="0"/>
          <w:numId w:val="24"/>
        </w:numPr>
        <w:spacing w:after="80" w:line="240" w:lineRule="auto"/>
        <w:jc w:val="both"/>
      </w:pPr>
      <w:r>
        <w:t>Imagens mostram o agressor inicial recuado ou caído, com o servidor prosseguindo na violência</w:t>
      </w:r>
    </w:p>
    <w:p w14:paraId="05AD23AC" w14:textId="77777777" w:rsidR="001D5E73" w:rsidRDefault="001D5E73">
      <w:pPr>
        <w:pStyle w:val="PargrafodaLista"/>
        <w:numPr>
          <w:ilvl w:val="0"/>
          <w:numId w:val="24"/>
        </w:numPr>
        <w:spacing w:after="80" w:line="240" w:lineRule="auto"/>
        <w:jc w:val="both"/>
      </w:pPr>
      <w:r>
        <w:t>Laudos indicam lesões na 'vítima inicial' claramente desproporcionais à agressão que ela teria praticado</w:t>
      </w:r>
    </w:p>
    <w:p w14:paraId="5E3E4171" w14:textId="77777777" w:rsidR="001D5E73" w:rsidRDefault="001D5E73">
      <w:pPr>
        <w:pStyle w:val="PargrafodaLista"/>
        <w:numPr>
          <w:ilvl w:val="0"/>
          <w:numId w:val="24"/>
        </w:numPr>
        <w:spacing w:after="80" w:line="240" w:lineRule="auto"/>
        <w:jc w:val="both"/>
      </w:pPr>
      <w:r>
        <w:t>Servidor que, ao ser separado, retorna para agredir novamente, excesso doloso</w:t>
      </w:r>
    </w:p>
    <w:p w14:paraId="15618297" w14:textId="77777777" w:rsidR="001D5E73" w:rsidRDefault="001D5E73">
      <w:pPr>
        <w:pStyle w:val="PargrafodaLista"/>
        <w:numPr>
          <w:ilvl w:val="0"/>
          <w:numId w:val="24"/>
        </w:numPr>
        <w:spacing w:after="80" w:line="240" w:lineRule="auto"/>
        <w:jc w:val="both"/>
      </w:pPr>
      <w:r>
        <w:t>Servidor que, por descontrole visivelmente emocional, prolonga a reação por poucos segundos, excesso culposo</w:t>
      </w:r>
    </w:p>
    <w:p w14:paraId="58DB9BF8" w14:textId="77777777" w:rsidR="001D5E73" w:rsidRDefault="001D5E73">
      <w:pPr>
        <w:pStyle w:val="Ttulo3"/>
        <w:keepNext/>
      </w:pPr>
      <w:r>
        <w:t>Não satisfaz a condição, responda NÃO</w:t>
      </w:r>
    </w:p>
    <w:p w14:paraId="7BFB4D03" w14:textId="77777777" w:rsidR="001D5E73" w:rsidRDefault="001D5E73">
      <w:pPr>
        <w:pStyle w:val="PargrafodaLista"/>
        <w:numPr>
          <w:ilvl w:val="0"/>
          <w:numId w:val="24"/>
        </w:numPr>
        <w:spacing w:after="80" w:line="240" w:lineRule="auto"/>
        <w:jc w:val="both"/>
      </w:pPr>
      <w:r>
        <w:t>Reação que cessa imediatamente quando a agressão sofrida cessa</w:t>
      </w:r>
    </w:p>
    <w:p w14:paraId="72C656B6" w14:textId="77777777" w:rsidR="001D5E73" w:rsidRDefault="001D5E73">
      <w:pPr>
        <w:pStyle w:val="PargrafodaLista"/>
        <w:numPr>
          <w:ilvl w:val="0"/>
          <w:numId w:val="24"/>
        </w:numPr>
        <w:spacing w:after="80" w:line="240" w:lineRule="auto"/>
        <w:jc w:val="both"/>
      </w:pPr>
      <w:r>
        <w:t>Servidor que recua assim que a outra parte se afasta ou é separada</w:t>
      </w:r>
    </w:p>
    <w:p w14:paraId="3DF9703D" w14:textId="77777777" w:rsidR="001D5E73" w:rsidRDefault="001D5E73">
      <w:pPr>
        <w:pStyle w:val="PargrafodaLista"/>
        <w:numPr>
          <w:ilvl w:val="0"/>
          <w:numId w:val="24"/>
        </w:numPr>
        <w:spacing w:after="80" w:line="240" w:lineRule="auto"/>
        <w:jc w:val="both"/>
      </w:pPr>
      <w:r>
        <w:t>Impossível delimitar com precisão quando a agressão cessou, na dúvida, responda NÃO</w:t>
      </w:r>
    </w:p>
    <w:p w14:paraId="2553B232" w14:textId="77777777" w:rsidR="001D5E73" w:rsidRDefault="001D5E73">
      <w:pPr>
        <w:pStyle w:val="Ttulo3"/>
        <w:keepNext/>
      </w:pPr>
      <w:r>
        <w:lastRenderedPageBreak/>
        <w:t>O que buscar nos autos</w:t>
      </w:r>
    </w:p>
    <w:p w14:paraId="16E8006F" w14:textId="77777777" w:rsidR="001D5E73" w:rsidRDefault="001D5E73">
      <w:pPr>
        <w:pStyle w:val="PargrafodaLista"/>
        <w:numPr>
          <w:ilvl w:val="0"/>
          <w:numId w:val="24"/>
        </w:numPr>
        <w:spacing w:after="80" w:line="240" w:lineRule="auto"/>
        <w:jc w:val="both"/>
      </w:pPr>
      <w:r>
        <w:t>Imagens de câmeras de segurança, para delimitar o momento exato em que a agressão sofrida cessou</w:t>
      </w:r>
    </w:p>
    <w:p w14:paraId="5D6554C0" w14:textId="77777777" w:rsidR="001D5E73" w:rsidRDefault="001D5E73">
      <w:pPr>
        <w:pStyle w:val="PargrafodaLista"/>
        <w:numPr>
          <w:ilvl w:val="0"/>
          <w:numId w:val="24"/>
        </w:numPr>
        <w:spacing w:after="80" w:line="240" w:lineRule="auto"/>
        <w:jc w:val="both"/>
      </w:pPr>
      <w:r>
        <w:t>Laudos médicos comparativos das lesões de ambas as partes</w:t>
      </w:r>
    </w:p>
    <w:p w14:paraId="13712CF5" w14:textId="77777777" w:rsidR="001D5E73" w:rsidRDefault="001D5E73">
      <w:pPr>
        <w:pStyle w:val="PargrafodaLista"/>
        <w:numPr>
          <w:ilvl w:val="0"/>
          <w:numId w:val="24"/>
        </w:numPr>
        <w:spacing w:after="80" w:line="240" w:lineRule="auto"/>
        <w:jc w:val="both"/>
      </w:pPr>
      <w:r>
        <w:t xml:space="preserve">Depoimentos focados </w:t>
      </w:r>
      <w:proofErr w:type="gramStart"/>
      <w:r>
        <w:t>no momento em que</w:t>
      </w:r>
      <w:proofErr w:type="gramEnd"/>
      <w:r>
        <w:t xml:space="preserve"> a sequência de violência cessou</w:t>
      </w:r>
    </w:p>
    <w:p w14:paraId="77D6795C" w14:textId="77777777" w:rsidR="001D5E73" w:rsidRDefault="001D5E73">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20E90F0C"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79FAADC3" w14:textId="77777777" w:rsidR="001D5E73" w:rsidRDefault="001D5E73">
            <w:pPr>
              <w:jc w:val="both"/>
            </w:pPr>
            <w:r>
              <w:rPr>
                <w:b/>
                <w:bCs/>
                <w:color w:val="0B2C5F"/>
                <w:sz w:val="20"/>
                <w:szCs w:val="20"/>
              </w:rPr>
              <w:t xml:space="preserve">Alerta, excesso culposo não é ausência de ilícito: </w:t>
            </w:r>
            <w:r>
              <w:rPr>
                <w:sz w:val="20"/>
                <w:szCs w:val="20"/>
              </w:rPr>
              <w:t>o descontrole emocional afasta o dolo, mas não afasta a responsabilidade disciplinar. Excesso culposo configura art. 116, IX.</w:t>
            </w:r>
          </w:p>
        </w:tc>
      </w:tr>
    </w:tbl>
    <w:p w14:paraId="27F306EB" w14:textId="77777777" w:rsidR="001D5E73" w:rsidRDefault="001D5E73">
      <w:pPr>
        <w:spacing w:before="100"/>
      </w:pPr>
    </w:p>
    <w:p w14:paraId="315D2AC2" w14:textId="77777777" w:rsidR="001D5E73" w:rsidRDefault="001D5E73">
      <w:pPr>
        <w:spacing w:before="80" w:after="60"/>
      </w:pPr>
      <w:r>
        <w:rPr>
          <w:b/>
          <w:bCs/>
          <w:color w:val="0B2C5F"/>
        </w:rPr>
        <w:t xml:space="preserve">NÃO → </w:t>
      </w:r>
      <w:r>
        <w:t>Resultado C, sem ilícito disciplinar, legítima defesa integral reconhecida</w:t>
      </w:r>
    </w:p>
    <w:p w14:paraId="5E3E0F98" w14:textId="77777777" w:rsidR="001D5E73" w:rsidRDefault="001D5E73">
      <w:pPr>
        <w:spacing w:before="80" w:after="60"/>
      </w:pPr>
      <w:r>
        <w:rPr>
          <w:b/>
          <w:bCs/>
          <w:color w:val="1F7A4C"/>
        </w:rPr>
        <w:t xml:space="preserve">SIM, doloso → </w:t>
      </w:r>
      <w:r>
        <w:t>GATE → Resultado D, excesso doloso, art. 132, VII / art. 116, IX</w:t>
      </w:r>
    </w:p>
    <w:p w14:paraId="0DE92020" w14:textId="77777777" w:rsidR="001D5E73" w:rsidRDefault="001D5E73">
      <w:pPr>
        <w:spacing w:before="80" w:after="60"/>
      </w:pPr>
      <w:r>
        <w:rPr>
          <w:b/>
          <w:bCs/>
          <w:color w:val="1F7A4C"/>
        </w:rPr>
        <w:t xml:space="preserve">SIM, culposo → </w:t>
      </w:r>
      <w:r>
        <w:t>Resultado E, excesso culposo, art. 116, IX, suspensão</w:t>
      </w:r>
    </w:p>
    <w:p w14:paraId="4382204D" w14:textId="77777777" w:rsidR="001D5E73" w:rsidRDefault="001D5E73">
      <w:pPr>
        <w:pBdr>
          <w:bottom w:val="single" w:sz="4" w:space="1" w:color="C9A35C"/>
        </w:pBdr>
        <w:spacing w:before="200" w:after="200"/>
      </w:pPr>
    </w:p>
    <w:p w14:paraId="721DF80C" w14:textId="77777777" w:rsidR="001D5E73" w:rsidRDefault="001D5E73">
      <w:pPr>
        <w:pStyle w:val="Ttulo3"/>
        <w:keepNext/>
      </w:pPr>
      <w:r>
        <w:t>Os resultados possíveis do Eixo 1</w:t>
      </w:r>
    </w:p>
    <w:p w14:paraId="02C1C88B" w14:textId="77777777" w:rsidR="001D5E73" w:rsidRDefault="001D5E7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65E111B2"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5F372A6D" w14:textId="77777777" w:rsidR="001D5E73" w:rsidRDefault="001D5E73">
            <w:pPr>
              <w:spacing w:after="80"/>
            </w:pPr>
            <w:r>
              <w:rPr>
                <w:b/>
              </w:rPr>
              <w:t>Resultado A, Agressão sem nexo funcional, com repercussão funcional</w:t>
            </w:r>
          </w:p>
          <w:p w14:paraId="62637EB3" w14:textId="77777777" w:rsidR="001D5E73" w:rsidRDefault="001D5E73">
            <w:pPr>
              <w:spacing w:after="40"/>
            </w:pPr>
            <w:r>
              <w:rPr>
                <w:b/>
              </w:rPr>
              <w:t xml:space="preserve">Dispositivo: </w:t>
            </w:r>
            <w:r>
              <w:t>art. 116, IX, dever de manter conduta compatível com a moralidade administrativa</w:t>
            </w:r>
          </w:p>
          <w:p w14:paraId="1E008779" w14:textId="77777777" w:rsidR="001D5E73" w:rsidRDefault="001D5E73">
            <w:pPr>
              <w:spacing w:after="40"/>
            </w:pPr>
            <w:r>
              <w:rPr>
                <w:b/>
              </w:rPr>
              <w:t xml:space="preserve">Penalidade: </w:t>
            </w:r>
            <w:r>
              <w:t>Advertência ou suspensão, conforme a gravidade da agressão e a extensão da repercussão apurada</w:t>
            </w:r>
          </w:p>
          <w:p w14:paraId="1559FCC2" w14:textId="77777777" w:rsidR="001D5E73" w:rsidRDefault="001D5E73">
            <w:pPr>
              <w:spacing w:after="40"/>
            </w:pPr>
            <w:r>
              <w:rPr>
                <w:b/>
              </w:rPr>
              <w:t xml:space="preserve">Prazo prescricional: </w:t>
            </w:r>
            <w:r>
              <w:t>2 anos (art. 142, II)</w:t>
            </w:r>
          </w:p>
          <w:p w14:paraId="3842631D" w14:textId="77777777" w:rsidR="001D5E73" w:rsidRDefault="001D5E73">
            <w:pPr>
              <w:jc w:val="both"/>
            </w:pPr>
            <w:r>
              <w:rPr>
                <w:b/>
              </w:rPr>
              <w:t xml:space="preserve">O que fazer: </w:t>
            </w:r>
            <w:r>
              <w:t xml:space="preserve">Registrar no relatório, de forma destacada, o elemento objetivo que demonstra a repercussão funcional — ela é </w:t>
            </w:r>
            <w:proofErr w:type="gramStart"/>
            <w:r>
              <w:t>pressuposto</w:t>
            </w:r>
            <w:proofErr w:type="gramEnd"/>
            <w:r>
              <w:t xml:space="preserve"> do enquadramento e não pode ser presumida da gravidade da agressão. Delimitar expressamente os motivos pelos quais o elemento locativo-funcional do art. 132, VII, não se configurou. Avaliar medidas administrativas de separação funcional entre as partes quando a convivência for, ela própria, a repercussão apurada. Aplicar a dosimetria do art. 128, da Lei nº 8.112, de 1990.</w:t>
            </w:r>
          </w:p>
        </w:tc>
      </w:tr>
    </w:tbl>
    <w:p w14:paraId="0670C26B"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19D3BE95"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2EDF33CD" w14:textId="77777777" w:rsidR="001D5E73" w:rsidRDefault="001D5E73">
            <w:pPr>
              <w:spacing w:after="80"/>
            </w:pPr>
            <w:r>
              <w:rPr>
                <w:rFonts w:ascii="Barlow Condensed" w:eastAsia="Barlow Condensed" w:hAnsi="Barlow Condensed" w:cs="Barlow Condensed"/>
                <w:b/>
                <w:bCs/>
                <w:color w:val="B42318"/>
                <w:sz w:val="24"/>
                <w:szCs w:val="24"/>
              </w:rPr>
              <w:t xml:space="preserve">Resultado B, </w:t>
            </w:r>
            <w:r>
              <w:rPr>
                <w:rFonts w:ascii="Barlow Condensed" w:eastAsia="Barlow Condensed" w:hAnsi="Barlow Condensed" w:cs="Barlow Condensed"/>
                <w:b/>
                <w:bCs/>
                <w:color w:val="0B2C5F"/>
                <w:sz w:val="24"/>
                <w:szCs w:val="24"/>
              </w:rPr>
              <w:t>Ofensa física em serviço</w:t>
            </w:r>
          </w:p>
          <w:p w14:paraId="43D30A67" w14:textId="77777777" w:rsidR="001D5E73" w:rsidRDefault="001D5E73">
            <w:pPr>
              <w:spacing w:after="40"/>
            </w:pPr>
            <w:r>
              <w:rPr>
                <w:b/>
                <w:bCs/>
                <w:color w:val="0B2C5F"/>
                <w:sz w:val="20"/>
                <w:szCs w:val="20"/>
              </w:rPr>
              <w:t xml:space="preserve">Dispositivo: </w:t>
            </w:r>
            <w:r>
              <w:rPr>
                <w:sz w:val="20"/>
                <w:szCs w:val="20"/>
              </w:rPr>
              <w:t>art. 132, VII, demissão</w:t>
            </w:r>
          </w:p>
          <w:p w14:paraId="1242DD79" w14:textId="77777777" w:rsidR="001D5E73" w:rsidRDefault="001D5E73">
            <w:pPr>
              <w:spacing w:after="40"/>
            </w:pPr>
            <w:r>
              <w:rPr>
                <w:b/>
                <w:bCs/>
                <w:color w:val="0B2C5F"/>
                <w:sz w:val="20"/>
                <w:szCs w:val="20"/>
              </w:rPr>
              <w:t xml:space="preserve">Penalidade: </w:t>
            </w:r>
            <w:r>
              <w:rPr>
                <w:sz w:val="20"/>
                <w:szCs w:val="20"/>
              </w:rPr>
              <w:t>Demissão, ato vinculado, sem margem de discricionariedade (Súmula 650/STJ)</w:t>
            </w:r>
          </w:p>
          <w:p w14:paraId="2A372C72" w14:textId="77777777" w:rsidR="001D5E73" w:rsidRDefault="001D5E73">
            <w:pPr>
              <w:spacing w:after="40"/>
            </w:pPr>
            <w:r>
              <w:rPr>
                <w:b/>
                <w:bCs/>
                <w:color w:val="0B2C5F"/>
                <w:sz w:val="20"/>
                <w:szCs w:val="20"/>
              </w:rPr>
              <w:t xml:space="preserve">Prazo prescricional: </w:t>
            </w:r>
            <w:r>
              <w:rPr>
                <w:sz w:val="20"/>
                <w:szCs w:val="20"/>
              </w:rPr>
              <w:t>5 anos (art. 142, I)</w:t>
            </w:r>
          </w:p>
          <w:p w14:paraId="21B0E1D0" w14:textId="77777777" w:rsidR="001D5E73" w:rsidRDefault="001D5E73">
            <w:pPr>
              <w:jc w:val="both"/>
            </w:pPr>
            <w:r>
              <w:rPr>
                <w:b/>
                <w:bCs/>
                <w:color w:val="0B2C5F"/>
                <w:sz w:val="20"/>
                <w:szCs w:val="20"/>
              </w:rPr>
              <w:t xml:space="preserve">O que fazer: </w:t>
            </w:r>
            <w:r>
              <w:rPr>
                <w:sz w:val="20"/>
                <w:szCs w:val="20"/>
              </w:rPr>
              <w:t xml:space="preserve">Acionar o </w:t>
            </w:r>
            <w:proofErr w:type="spellStart"/>
            <w:r>
              <w:rPr>
                <w:sz w:val="20"/>
                <w:szCs w:val="20"/>
              </w:rPr>
              <w:t>gate</w:t>
            </w:r>
            <w:proofErr w:type="spellEnd"/>
            <w:r>
              <w:rPr>
                <w:sz w:val="20"/>
                <w:szCs w:val="20"/>
              </w:rPr>
              <w:t xml:space="preserve"> de confirmação demissória. Verificar autoria, materialidade e os três elementos do tipo antes de confirmar.</w:t>
            </w:r>
          </w:p>
        </w:tc>
      </w:tr>
    </w:tbl>
    <w:p w14:paraId="6B4321AF"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1CEF2485"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09702253" w14:textId="77777777" w:rsidR="001D5E73" w:rsidRDefault="001D5E73">
            <w:pPr>
              <w:spacing w:after="80"/>
            </w:pPr>
            <w:r>
              <w:rPr>
                <w:rFonts w:ascii="Barlow Condensed" w:eastAsia="Barlow Condensed" w:hAnsi="Barlow Condensed" w:cs="Barlow Condensed"/>
                <w:b/>
                <w:bCs/>
                <w:color w:val="1F7A4C"/>
                <w:sz w:val="24"/>
                <w:szCs w:val="24"/>
              </w:rPr>
              <w:t xml:space="preserve">Resultado C, </w:t>
            </w:r>
            <w:proofErr w:type="gramStart"/>
            <w:r>
              <w:rPr>
                <w:rFonts w:ascii="Barlow Condensed" w:eastAsia="Barlow Condensed" w:hAnsi="Barlow Condensed" w:cs="Barlow Condensed"/>
                <w:b/>
                <w:bCs/>
                <w:color w:val="0B2C5F"/>
                <w:sz w:val="24"/>
                <w:szCs w:val="24"/>
              </w:rPr>
              <w:t>Sem</w:t>
            </w:r>
            <w:proofErr w:type="gramEnd"/>
            <w:r>
              <w:rPr>
                <w:rFonts w:ascii="Barlow Condensed" w:eastAsia="Barlow Condensed" w:hAnsi="Barlow Condensed" w:cs="Barlow Condensed"/>
                <w:b/>
                <w:bCs/>
                <w:color w:val="0B2C5F"/>
                <w:sz w:val="24"/>
                <w:szCs w:val="24"/>
              </w:rPr>
              <w:t xml:space="preserve"> ilícito disciplinar</w:t>
            </w:r>
          </w:p>
          <w:p w14:paraId="2DE1856C" w14:textId="77777777" w:rsidR="001D5E73" w:rsidRDefault="001D5E73">
            <w:pPr>
              <w:spacing w:after="40"/>
            </w:pPr>
            <w:r>
              <w:rPr>
                <w:b/>
                <w:bCs/>
                <w:color w:val="0B2C5F"/>
                <w:sz w:val="20"/>
                <w:szCs w:val="20"/>
              </w:rPr>
              <w:t xml:space="preserve">Dispositivo: </w:t>
            </w:r>
            <w:r>
              <w:rPr>
                <w:sz w:val="20"/>
                <w:szCs w:val="20"/>
              </w:rPr>
              <w:t>Nenhum, excludente de ilicitude reconhecida</w:t>
            </w:r>
          </w:p>
          <w:p w14:paraId="3FC84DB6" w14:textId="77777777" w:rsidR="001D5E73" w:rsidRDefault="001D5E73">
            <w:pPr>
              <w:spacing w:after="40"/>
            </w:pPr>
            <w:r>
              <w:rPr>
                <w:b/>
                <w:bCs/>
                <w:color w:val="0B2C5F"/>
                <w:sz w:val="20"/>
                <w:szCs w:val="20"/>
              </w:rPr>
              <w:t xml:space="preserve">Penalidade: </w:t>
            </w:r>
            <w:r>
              <w:rPr>
                <w:sz w:val="20"/>
                <w:szCs w:val="20"/>
              </w:rPr>
              <w:t>Nenhuma</w:t>
            </w:r>
          </w:p>
          <w:p w14:paraId="025A11EB" w14:textId="77777777" w:rsidR="001D5E73" w:rsidRDefault="001D5E73">
            <w:pPr>
              <w:spacing w:after="40"/>
            </w:pPr>
            <w:r>
              <w:rPr>
                <w:b/>
                <w:bCs/>
                <w:color w:val="0B2C5F"/>
                <w:sz w:val="20"/>
                <w:szCs w:val="20"/>
              </w:rPr>
              <w:t xml:space="preserve">Prazo prescricional: </w:t>
            </w:r>
            <w:r>
              <w:rPr>
                <w:sz w:val="20"/>
                <w:szCs w:val="20"/>
              </w:rPr>
              <w:t>Não aplicável</w:t>
            </w:r>
          </w:p>
          <w:p w14:paraId="546E0CD5" w14:textId="77777777" w:rsidR="001D5E73" w:rsidRDefault="001D5E73">
            <w:pPr>
              <w:jc w:val="both"/>
            </w:pPr>
            <w:r>
              <w:rPr>
                <w:b/>
                <w:bCs/>
                <w:color w:val="0B2C5F"/>
                <w:sz w:val="20"/>
                <w:szCs w:val="20"/>
              </w:rPr>
              <w:t xml:space="preserve">O que fazer: </w:t>
            </w:r>
            <w:r>
              <w:rPr>
                <w:sz w:val="20"/>
                <w:szCs w:val="20"/>
              </w:rPr>
              <w:t>Registrar expressamente nos autos o reconhecimento da legítima defesa. Verificar se o agressor inicial é servidor, se for, ele é objeto de PAD autônomo pelo art. 132, VII.</w:t>
            </w:r>
          </w:p>
        </w:tc>
      </w:tr>
    </w:tbl>
    <w:p w14:paraId="1D58C455"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1CAEA751"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7170A553" w14:textId="77777777" w:rsidR="001D5E73" w:rsidRDefault="001D5E73">
            <w:pPr>
              <w:spacing w:after="80"/>
            </w:pPr>
            <w:r>
              <w:rPr>
                <w:rFonts w:ascii="Barlow Condensed" w:eastAsia="Barlow Condensed" w:hAnsi="Barlow Condensed" w:cs="Barlow Condensed"/>
                <w:b/>
                <w:bCs/>
                <w:color w:val="B42318"/>
                <w:sz w:val="24"/>
                <w:szCs w:val="24"/>
              </w:rPr>
              <w:t xml:space="preserve">Resultado D, </w:t>
            </w:r>
            <w:r>
              <w:rPr>
                <w:rFonts w:ascii="Barlow Condensed" w:eastAsia="Barlow Condensed" w:hAnsi="Barlow Condensed" w:cs="Barlow Condensed"/>
                <w:b/>
                <w:bCs/>
                <w:color w:val="0B2C5F"/>
                <w:sz w:val="24"/>
                <w:szCs w:val="24"/>
              </w:rPr>
              <w:t>Excesso doloso na legítima defesa</w:t>
            </w:r>
          </w:p>
          <w:p w14:paraId="0983670E" w14:textId="77777777" w:rsidR="001D5E73" w:rsidRDefault="001D5E73">
            <w:pPr>
              <w:spacing w:after="40"/>
            </w:pPr>
            <w:r>
              <w:rPr>
                <w:b/>
                <w:bCs/>
                <w:color w:val="0B2C5F"/>
                <w:sz w:val="20"/>
                <w:szCs w:val="20"/>
              </w:rPr>
              <w:t xml:space="preserve">Dispositivo: </w:t>
            </w:r>
            <w:r>
              <w:rPr>
                <w:sz w:val="20"/>
                <w:szCs w:val="20"/>
              </w:rPr>
              <w:t>art. 132, VII / art. 116, IX, conforme a intensidade do excesso</w:t>
            </w:r>
          </w:p>
          <w:p w14:paraId="111527FB" w14:textId="77777777" w:rsidR="001D5E73" w:rsidRDefault="001D5E73">
            <w:pPr>
              <w:spacing w:after="40"/>
            </w:pPr>
            <w:r>
              <w:rPr>
                <w:b/>
                <w:bCs/>
                <w:color w:val="0B2C5F"/>
                <w:sz w:val="20"/>
                <w:szCs w:val="20"/>
              </w:rPr>
              <w:t xml:space="preserve">Penalidade: </w:t>
            </w:r>
            <w:r>
              <w:rPr>
                <w:sz w:val="20"/>
                <w:szCs w:val="20"/>
              </w:rPr>
              <w:t>Demissão (se configurado o art. 132, VII) ou suspensão (se art. 116, IX)</w:t>
            </w:r>
          </w:p>
          <w:p w14:paraId="73AB7BE2" w14:textId="77777777" w:rsidR="001D5E73" w:rsidRDefault="001D5E73">
            <w:pPr>
              <w:spacing w:after="40"/>
            </w:pPr>
            <w:r>
              <w:rPr>
                <w:b/>
                <w:bCs/>
                <w:color w:val="0B2C5F"/>
                <w:sz w:val="20"/>
                <w:szCs w:val="20"/>
              </w:rPr>
              <w:t xml:space="preserve">Prazo prescricional: </w:t>
            </w:r>
            <w:r>
              <w:rPr>
                <w:sz w:val="20"/>
                <w:szCs w:val="20"/>
              </w:rPr>
              <w:t>5 anos (art. 142, I)</w:t>
            </w:r>
          </w:p>
          <w:p w14:paraId="14BC73AE" w14:textId="77777777" w:rsidR="001D5E73" w:rsidRDefault="001D5E73">
            <w:pPr>
              <w:jc w:val="both"/>
            </w:pPr>
            <w:r>
              <w:rPr>
                <w:b/>
                <w:bCs/>
                <w:color w:val="0B2C5F"/>
                <w:sz w:val="20"/>
                <w:szCs w:val="20"/>
              </w:rPr>
              <w:t xml:space="preserve">O que fazer: </w:t>
            </w:r>
            <w:r>
              <w:rPr>
                <w:sz w:val="20"/>
                <w:szCs w:val="20"/>
              </w:rPr>
              <w:t xml:space="preserve">Acionar o </w:t>
            </w:r>
            <w:proofErr w:type="spellStart"/>
            <w:r>
              <w:rPr>
                <w:sz w:val="20"/>
                <w:szCs w:val="20"/>
              </w:rPr>
              <w:t>gate</w:t>
            </w:r>
            <w:proofErr w:type="spellEnd"/>
            <w:r>
              <w:rPr>
                <w:sz w:val="20"/>
                <w:szCs w:val="20"/>
              </w:rPr>
              <w:t xml:space="preserve"> de confirmação demissória. Delimitar com precisão o momento em que a excludente cessou.</w:t>
            </w:r>
          </w:p>
        </w:tc>
      </w:tr>
    </w:tbl>
    <w:p w14:paraId="73557E61"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678CF7E9"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31DE32AB" w14:textId="77777777" w:rsidR="001D5E73" w:rsidRDefault="001D5E73">
            <w:pPr>
              <w:spacing w:after="80"/>
            </w:pPr>
            <w:r>
              <w:rPr>
                <w:rFonts w:ascii="Barlow Condensed" w:eastAsia="Barlow Condensed" w:hAnsi="Barlow Condensed" w:cs="Barlow Condensed"/>
                <w:b/>
                <w:bCs/>
                <w:color w:val="1F7A4C"/>
                <w:sz w:val="24"/>
                <w:szCs w:val="24"/>
              </w:rPr>
              <w:t xml:space="preserve">Resultado E, </w:t>
            </w:r>
            <w:r>
              <w:rPr>
                <w:rFonts w:ascii="Barlow Condensed" w:eastAsia="Barlow Condensed" w:hAnsi="Barlow Condensed" w:cs="Barlow Condensed"/>
                <w:b/>
                <w:bCs/>
                <w:color w:val="0B2C5F"/>
                <w:sz w:val="24"/>
                <w:szCs w:val="24"/>
              </w:rPr>
              <w:t>Excesso culposo na legítima defesa</w:t>
            </w:r>
          </w:p>
          <w:p w14:paraId="344AA576" w14:textId="77777777" w:rsidR="001D5E73" w:rsidRDefault="001D5E73">
            <w:pPr>
              <w:spacing w:after="40"/>
            </w:pPr>
            <w:r>
              <w:rPr>
                <w:b/>
                <w:bCs/>
                <w:color w:val="0B2C5F"/>
                <w:sz w:val="20"/>
                <w:szCs w:val="20"/>
              </w:rPr>
              <w:t xml:space="preserve">Dispositivo: </w:t>
            </w:r>
            <w:r>
              <w:rPr>
                <w:sz w:val="20"/>
                <w:szCs w:val="20"/>
              </w:rPr>
              <w:t>art. 116, IX, manter conduta compatível com a moralidade administrativa</w:t>
            </w:r>
          </w:p>
          <w:p w14:paraId="2EBA6374" w14:textId="77777777" w:rsidR="001D5E73" w:rsidRDefault="001D5E73">
            <w:pPr>
              <w:spacing w:after="40"/>
            </w:pPr>
            <w:r>
              <w:rPr>
                <w:b/>
                <w:bCs/>
                <w:color w:val="0B2C5F"/>
                <w:sz w:val="20"/>
                <w:szCs w:val="20"/>
              </w:rPr>
              <w:t xml:space="preserve">Penalidade: </w:t>
            </w:r>
            <w:r>
              <w:rPr>
                <w:sz w:val="20"/>
                <w:szCs w:val="20"/>
              </w:rPr>
              <w:t>Suspensão, conforme a gravidade do excesso e o dano causado</w:t>
            </w:r>
          </w:p>
          <w:p w14:paraId="3F862CD6" w14:textId="77777777" w:rsidR="001D5E73" w:rsidRDefault="001D5E73">
            <w:pPr>
              <w:spacing w:after="40"/>
            </w:pPr>
            <w:r>
              <w:rPr>
                <w:b/>
                <w:bCs/>
                <w:color w:val="0B2C5F"/>
                <w:sz w:val="20"/>
                <w:szCs w:val="20"/>
              </w:rPr>
              <w:t xml:space="preserve">Prazo prescricional: </w:t>
            </w:r>
            <w:r>
              <w:rPr>
                <w:sz w:val="20"/>
                <w:szCs w:val="20"/>
              </w:rPr>
              <w:t>2 anos (art. 142, II)</w:t>
            </w:r>
          </w:p>
          <w:p w14:paraId="1972E376" w14:textId="77777777" w:rsidR="001D5E73" w:rsidRDefault="001D5E73">
            <w:pPr>
              <w:jc w:val="both"/>
            </w:pPr>
            <w:r>
              <w:rPr>
                <w:b/>
                <w:bCs/>
                <w:color w:val="0B2C5F"/>
                <w:sz w:val="20"/>
                <w:szCs w:val="20"/>
              </w:rPr>
              <w:t xml:space="preserve">O que fazer: </w:t>
            </w:r>
            <w:r>
              <w:rPr>
                <w:sz w:val="20"/>
                <w:szCs w:val="20"/>
              </w:rPr>
              <w:t>Registrar que a legítima defesa inicial é reconhecida. Aplicar dosimetria do art. 128 para fixar a extensão da suspensão.</w:t>
            </w:r>
          </w:p>
        </w:tc>
      </w:tr>
    </w:tbl>
    <w:p w14:paraId="260FA1E1" w14:textId="77777777" w:rsidR="001D5E73" w:rsidRDefault="001D5E73">
      <w:pPr>
        <w:pBdr>
          <w:bottom w:val="single" w:sz="4" w:space="1" w:color="C9A35C"/>
        </w:pBdr>
        <w:spacing w:before="200"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22D50C04"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40C1EE5C" w14:textId="77777777" w:rsidR="001D5E73" w:rsidRDefault="001D5E73">
            <w:pPr>
              <w:spacing w:after="80"/>
            </w:pPr>
            <w:r>
              <w:rPr>
                <w:rFonts w:ascii="Barlow Condensed" w:eastAsia="Barlow Condensed" w:hAnsi="Barlow Condensed" w:cs="Barlow Condensed"/>
                <w:b/>
                <w:bCs/>
                <w:color w:val="1F7A4C"/>
                <w:sz w:val="24"/>
                <w:szCs w:val="24"/>
              </w:rPr>
              <w:t>Resultado F, Contato físico sem dolo, ausência de agressão</w:t>
            </w:r>
          </w:p>
          <w:p w14:paraId="6AE20D0C" w14:textId="77777777" w:rsidR="001D5E73" w:rsidRDefault="001D5E73">
            <w:pPr>
              <w:spacing w:after="40"/>
            </w:pPr>
            <w:r>
              <w:rPr>
                <w:b/>
                <w:bCs/>
                <w:color w:val="0B2C5F"/>
                <w:sz w:val="20"/>
                <w:szCs w:val="20"/>
              </w:rPr>
              <w:t xml:space="preserve">Dispositivo: </w:t>
            </w:r>
            <w:r>
              <w:rPr>
                <w:sz w:val="20"/>
                <w:szCs w:val="20"/>
              </w:rPr>
              <w:t>Nenhum, ausência de tipicidade subjetiva</w:t>
            </w:r>
          </w:p>
          <w:p w14:paraId="7D1B6617" w14:textId="77777777" w:rsidR="001D5E73" w:rsidRDefault="001D5E73">
            <w:pPr>
              <w:spacing w:after="40"/>
            </w:pPr>
            <w:r>
              <w:rPr>
                <w:b/>
                <w:bCs/>
                <w:color w:val="0B2C5F"/>
                <w:sz w:val="20"/>
                <w:szCs w:val="20"/>
              </w:rPr>
              <w:t xml:space="preserve">Penalidade: </w:t>
            </w:r>
            <w:r>
              <w:rPr>
                <w:sz w:val="20"/>
                <w:szCs w:val="20"/>
              </w:rPr>
              <w:t>Nenhuma</w:t>
            </w:r>
          </w:p>
          <w:p w14:paraId="1F286D61" w14:textId="77777777" w:rsidR="001D5E73" w:rsidRDefault="001D5E73">
            <w:pPr>
              <w:spacing w:after="40"/>
            </w:pPr>
            <w:r>
              <w:rPr>
                <w:b/>
                <w:bCs/>
                <w:color w:val="0B2C5F"/>
                <w:sz w:val="20"/>
                <w:szCs w:val="20"/>
              </w:rPr>
              <w:t xml:space="preserve">Prazo prescricional: </w:t>
            </w:r>
            <w:r>
              <w:rPr>
                <w:sz w:val="20"/>
                <w:szCs w:val="20"/>
              </w:rPr>
              <w:t>Não aplicável</w:t>
            </w:r>
          </w:p>
          <w:p w14:paraId="6CF8E0CD" w14:textId="77777777" w:rsidR="001D5E73" w:rsidRDefault="001D5E73">
            <w:pPr>
              <w:spacing w:after="40"/>
            </w:pPr>
            <w:r>
              <w:rPr>
                <w:b/>
                <w:bCs/>
                <w:color w:val="0B2C5F"/>
                <w:sz w:val="20"/>
                <w:szCs w:val="20"/>
              </w:rPr>
              <w:t xml:space="preserve">O que fazer: </w:t>
            </w:r>
            <w:r>
              <w:rPr>
                <w:sz w:val="20"/>
                <w:szCs w:val="20"/>
              </w:rPr>
              <w:t xml:space="preserve">Registrar expressamente nos autos os elementos objetivos que fundamentam o reconhecimento da </w:t>
            </w:r>
            <w:proofErr w:type="spellStart"/>
            <w:r>
              <w:rPr>
                <w:sz w:val="20"/>
                <w:szCs w:val="20"/>
              </w:rPr>
              <w:t>involuntariedade</w:t>
            </w:r>
            <w:proofErr w:type="spellEnd"/>
            <w:r>
              <w:rPr>
                <w:sz w:val="20"/>
                <w:szCs w:val="20"/>
              </w:rPr>
              <w:t xml:space="preserve"> do contato. Avaliar se o episódio, ainda que sem dolo, produziu repercussão funcional relevante — mal-estar duradouro entre as partes, necessidade de mediação — que justifique tratamento administrativo não disciplinar, sem instauração de procedimento punitivo.</w:t>
            </w:r>
          </w:p>
        </w:tc>
      </w:tr>
    </w:tbl>
    <w:p w14:paraId="623AAC86" w14:textId="77777777" w:rsidR="001D5E73" w:rsidRDefault="001D5E73">
      <w:pPr>
        <w:pBdr>
          <w:bottom w:val="single" w:sz="4" w:space="1" w:color="C9A35C"/>
        </w:pBdr>
        <w:spacing w:before="200" w:after="200"/>
      </w:pPr>
    </w:p>
    <w:p w14:paraId="7FF97DEC" w14:textId="77777777" w:rsidR="007F53FD" w:rsidRDefault="00A47804">
      <w:r>
        <w:rPr>
          <w:b/>
        </w:rPr>
        <w:t>Resultado G, Agressão fora do âmbito disciplinar</w:t>
      </w:r>
    </w:p>
    <w:p w14:paraId="2160C07F" w14:textId="77777777" w:rsidR="007F53FD" w:rsidRDefault="00A47804">
      <w:r>
        <w:rPr>
          <w:b/>
        </w:rPr>
        <w:t xml:space="preserve">Dispositivo: </w:t>
      </w:r>
      <w:r>
        <w:t>Nenhum. Ausentes o nexo funcional e a repercussão funcional</w:t>
      </w:r>
    </w:p>
    <w:p w14:paraId="17C5820F" w14:textId="77777777" w:rsidR="007F53FD" w:rsidRDefault="00A47804">
      <w:r>
        <w:rPr>
          <w:b/>
        </w:rPr>
        <w:t xml:space="preserve">Penalidade: </w:t>
      </w:r>
      <w:r>
        <w:t>Nenhuma</w:t>
      </w:r>
    </w:p>
    <w:p w14:paraId="0F1B3C97" w14:textId="77777777" w:rsidR="007F53FD" w:rsidRDefault="00A47804">
      <w:r>
        <w:rPr>
          <w:b/>
        </w:rPr>
        <w:t xml:space="preserve">Prazo prescricional: </w:t>
      </w:r>
      <w:r>
        <w:t>Não aplicável no plano disciplinar</w:t>
      </w:r>
    </w:p>
    <w:p w14:paraId="22F016BE" w14:textId="77777777" w:rsidR="007F53FD" w:rsidRDefault="00A47804">
      <w:r>
        <w:rPr>
          <w:b/>
        </w:rPr>
        <w:t xml:space="preserve">O que fazer: </w:t>
      </w:r>
      <w:r>
        <w:t>Arquivar por ausência de interesse disciplinar, registrando expressamente os motivos pelos quais o nexo funcional e a repercussão não se configuraram, com a delimitação fática que sustenta cada conclusão. Orientar a vítima quanto às vias penal e cível. Determinar a reavaliação do enquadramento caso sobrevenham elementos que demonstrem repercussão funcional superveniente. Não confundir esta conclusão com juízo sobre a gravidade da conduta ou sobre a veracidade do relato.</w:t>
      </w:r>
    </w:p>
    <w:p w14:paraId="6FA53F1A" w14:textId="77777777" w:rsidR="007F53FD" w:rsidRDefault="007F53FD"/>
    <w:p w14:paraId="3172BE9C" w14:textId="77777777" w:rsidR="001D5E73" w:rsidRDefault="001D5E73">
      <w:pPr>
        <w:pStyle w:val="Ttulo3"/>
        <w:keepNext/>
      </w:pPr>
      <w:r>
        <w:t>Checklist do Eixo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rsidRPr="00C50480" w14:paraId="384417AC"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1A072B62" w14:textId="77777777" w:rsidR="001D5E73" w:rsidRPr="00C50480" w:rsidRDefault="001D5E73">
            <w:pPr>
              <w:rPr>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Identifiquei contato físico ofensivo, não apenas ameaça verbal ou gestual</w:t>
            </w:r>
          </w:p>
          <w:p w14:paraId="201817BC" w14:textId="77777777" w:rsidR="001D5E73" w:rsidRPr="00C50480" w:rsidRDefault="001D5E73">
            <w:pPr>
              <w:rPr>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Verifiquei o elemento subjetivo do contato antes de examinar a legítima defesa</w:t>
            </w:r>
          </w:p>
          <w:p w14:paraId="57534590" w14:textId="77777777" w:rsidR="001D5E73" w:rsidRPr="00C50480" w:rsidRDefault="001D5E73">
            <w:pPr>
              <w:rPr>
                <w:sz w:val="20"/>
                <w:szCs w:val="20"/>
              </w:rPr>
            </w:pPr>
            <w:proofErr w:type="gramStart"/>
            <w:r>
              <w:rPr>
                <w:rFonts w:eastAsia="Courier New" w:cs="Courier New"/>
                <w:color w:val="0B2C5F"/>
                <w:sz w:val="20"/>
                <w:szCs w:val="20"/>
              </w:rPr>
              <w:lastRenderedPageBreak/>
              <w:t>[ ]</w:t>
            </w:r>
            <w:proofErr w:type="gramEnd"/>
            <w:r>
              <w:rPr>
                <w:rFonts w:eastAsia="Courier New" w:cs="Courier New"/>
                <w:color w:val="0B2C5F"/>
                <w:sz w:val="20"/>
                <w:szCs w:val="20"/>
              </w:rPr>
              <w:t xml:space="preserve"> Verifiquei o nexo funcional: a agressão ocorreu em serviço ou em contexto</w:t>
            </w:r>
          </w:p>
          <w:p w14:paraId="30A07CFB" w14:textId="77777777" w:rsidR="001D5E73" w:rsidRPr="00C50480" w:rsidRDefault="001D5E73">
            <w:pPr>
              <w:rPr>
                <w:sz w:val="20"/>
                <w:szCs w:val="20"/>
              </w:rPr>
            </w:pPr>
            <w:r>
              <w:rPr>
                <w:rFonts w:eastAsia="Courier New" w:cs="Courier New"/>
                <w:color w:val="0B2C5F"/>
                <w:sz w:val="20"/>
                <w:szCs w:val="20"/>
              </w:rPr>
              <w:t xml:space="preserve">    alcançado pelo parâmetro interpretativo da Convenção nº 190/OIT</w:t>
            </w:r>
          </w:p>
          <w:p w14:paraId="17E77098" w14:textId="77777777" w:rsidR="001D5E73" w:rsidRPr="00C50480" w:rsidRDefault="001D5E73">
            <w:pPr>
              <w:rPr>
                <w:sz w:val="20"/>
                <w:szCs w:val="20"/>
              </w:rPr>
            </w:pPr>
            <w:proofErr w:type="gramStart"/>
            <w:r>
              <w:t>[ ]</w:t>
            </w:r>
            <w:proofErr w:type="gramEnd"/>
            <w:r>
              <w:t xml:space="preserve"> Ausente o nexo funcional, verifiquei a repercussão funcional concreta com base em elemento objetivo, e não na gravidade do episódio</w:t>
            </w:r>
          </w:p>
          <w:p w14:paraId="24D72EAB" w14:textId="77777777" w:rsidR="001D5E73" w:rsidRPr="00C50480" w:rsidRDefault="001D5E73">
            <w:pPr>
              <w:rPr>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Analisei os quatro requisitos cumulativos da legítima defesa</w:t>
            </w:r>
          </w:p>
          <w:p w14:paraId="6E26197B" w14:textId="77777777" w:rsidR="001D5E73" w:rsidRPr="00C50480" w:rsidRDefault="001D5E73">
            <w:pPr>
              <w:rPr>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confundi resistência a ato funcional legítimo com defesa contra agressão injusta</w:t>
            </w:r>
          </w:p>
          <w:p w14:paraId="46AC68D6" w14:textId="77777777" w:rsidR="001D5E73" w:rsidRPr="00C50480" w:rsidRDefault="001D5E73">
            <w:pPr>
              <w:rPr>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Se reconheci a legítima defesa, verifiquei o excesso em P4</w:t>
            </w:r>
          </w:p>
          <w:p w14:paraId="5F3EBBF9" w14:textId="77777777" w:rsidR="001D5E73" w:rsidRPr="00C50480" w:rsidRDefault="001D5E73">
            <w:pPr>
              <w:rPr>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Delimitei com base nas provas o momento em que a agressão sofrida cessou</w:t>
            </w:r>
          </w:p>
          <w:p w14:paraId="04BE1E52" w14:textId="77777777" w:rsidR="001D5E73" w:rsidRPr="00C50480" w:rsidRDefault="001D5E73">
            <w:pPr>
              <w:rPr>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Distingui excesso doloso de culposo para fins de penalidade</w:t>
            </w:r>
          </w:p>
          <w:p w14:paraId="0C9DE19F" w14:textId="77777777" w:rsidR="001D5E73" w:rsidRPr="00C50480" w:rsidRDefault="001D5E73">
            <w:pPr>
              <w:rPr>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apliquei a Súmula 650/STJ antes de confirmar todos os elementos do tipo</w:t>
            </w:r>
          </w:p>
          <w:p w14:paraId="1FE53C39" w14:textId="77777777" w:rsidR="001D5E73" w:rsidRPr="00C50480" w:rsidRDefault="001D5E73">
            <w:pPr>
              <w:rPr>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Verifiquei se o agressor inicial é servidor, se for, instaurei PAD autônomo</w:t>
            </w:r>
          </w:p>
        </w:tc>
      </w:tr>
    </w:tbl>
    <w:p w14:paraId="274CE778" w14:textId="77777777" w:rsidR="001D5E73" w:rsidRDefault="001D5E73">
      <w:pPr>
        <w:pBdr>
          <w:bottom w:val="single" w:sz="4" w:space="1" w:color="C9A35C"/>
        </w:pBdr>
        <w:spacing w:before="200" w:after="200"/>
      </w:pPr>
    </w:p>
    <w:p w14:paraId="4C58B318" w14:textId="77777777" w:rsidR="001D5E73" w:rsidRDefault="001D5E73">
      <w:pPr>
        <w:pStyle w:val="Ttulo3"/>
        <w:keepNext/>
      </w:pPr>
      <w:r>
        <w:t>Erros mais frequentes no Eixo 1</w:t>
      </w:r>
    </w:p>
    <w:p w14:paraId="01DB8B05" w14:textId="77777777" w:rsidR="001D5E73" w:rsidRDefault="001D5E73">
      <w:pPr>
        <w:spacing w:after="120"/>
        <w:jc w:val="both"/>
      </w:pPr>
      <w:r>
        <w:rPr>
          <w:b/>
          <w:bCs/>
        </w:rPr>
        <w:t>1. Ignorar o nexo funcional e aplicar o art. 132, VII a agressão em contexto privado.</w:t>
      </w:r>
      <w:r>
        <w:t xml:space="preserve"> O art. 132, VII exige expressamente a condição 'em serviço'. Agressão em contexto completamente privado não se enquadra nesse inciso.</w:t>
      </w:r>
    </w:p>
    <w:p w14:paraId="5E70F67D" w14:textId="77777777" w:rsidR="001D5E73" w:rsidRDefault="001D5E73">
      <w:pPr>
        <w:spacing w:after="120"/>
        <w:jc w:val="both"/>
      </w:pPr>
      <w:r>
        <w:rPr>
          <w:b/>
          <w:bCs/>
        </w:rPr>
        <w:t>2. Examinar a legítima defesa sem antes verificar o dolo no contato.</w:t>
      </w:r>
      <w:r>
        <w:t xml:space="preserve"> A excludente de ilicitude pressupõe conduta típica. Discutir proporcionalidade de reação em episódio de contato acidental inverte a ordem lógica da análise e produz fundamentação frágil.</w:t>
      </w:r>
    </w:p>
    <w:p w14:paraId="2EACF1AE" w14:textId="77777777" w:rsidR="001D5E73" w:rsidRDefault="001D5E73">
      <w:pPr>
        <w:spacing w:after="120"/>
        <w:jc w:val="both"/>
      </w:pPr>
      <w:r>
        <w:rPr>
          <w:b/>
          <w:bCs/>
        </w:rPr>
        <w:t>3. Reconhecer a legítima defesa sem examinar o excesso.</w:t>
      </w:r>
      <w:r>
        <w:t xml:space="preserve"> A legítima defesa integral afasta qualquer sanção disciplinar, mas apenas se não houver excesso. Encerrar a análise sem examinar P3 pode resultar em arquivamento indevido.</w:t>
      </w:r>
    </w:p>
    <w:p w14:paraId="3BC069A4" w14:textId="77777777" w:rsidR="001D5E73" w:rsidRDefault="001D5E73">
      <w:pPr>
        <w:spacing w:after="120"/>
        <w:jc w:val="both"/>
      </w:pPr>
      <w:r>
        <w:rPr>
          <w:b/>
          <w:bCs/>
        </w:rPr>
        <w:t>4. Confundir resistência a ato funcional legítimo com agressão injusta.</w:t>
      </w:r>
      <w:r>
        <w:t xml:space="preserve"> O servidor que usa força para impedir abordagem ou diligência não está em legítima defesa.</w:t>
      </w:r>
    </w:p>
    <w:p w14:paraId="5FA192B7" w14:textId="77777777" w:rsidR="001D5E73" w:rsidRDefault="001D5E73">
      <w:pPr>
        <w:spacing w:after="120"/>
        <w:jc w:val="both"/>
      </w:pPr>
      <w:r>
        <w:rPr>
          <w:b/>
          <w:bCs/>
        </w:rPr>
        <w:t>5. Tratar o excesso culposo como ausência de ilícito.</w:t>
      </w:r>
      <w:r>
        <w:t xml:space="preserve"> O descontrole emocional é circunstância atenuante na dosimetria, não causa de exclusão de ilicitude.</w:t>
      </w:r>
    </w:p>
    <w:p w14:paraId="54866406" w14:textId="77777777" w:rsidR="001D5E73" w:rsidRDefault="001D5E73">
      <w:pPr>
        <w:spacing w:after="120"/>
        <w:jc w:val="both"/>
      </w:pPr>
      <w:r>
        <w:rPr>
          <w:b/>
          <w:bCs/>
        </w:rPr>
        <w:t>6. Desconsiderar a extensão do conceito de 'em serviço'.</w:t>
      </w:r>
      <w:r>
        <w:t xml:space="preserve"> Treinamentos, viagens institucionais e eventos patrocinados pela Administração estão cobertos pela Convenção nº 190/OIT.</w:t>
      </w:r>
    </w:p>
    <w:p w14:paraId="42B82973" w14:textId="77777777" w:rsidR="007F53FD" w:rsidRDefault="00A47804">
      <w:r>
        <w:rPr>
          <w:b/>
        </w:rPr>
        <w:t>7. Presumir a repercussão funcional a partir da gravidade da agressão.</w:t>
      </w:r>
      <w:r>
        <w:t xml:space="preserve"> São categorias independentes. A agressão grave em contexto integralmente privado, sem desdobramento sobre o trabalho, não repercute funcionalmente e não comporta apuração disciplinar. A agressão de menor intensidade que inviabiliza a convivência entre as partes repercute. Enquadrar no art. 116, IX sem elemento objetivo de repercussão produz fundamentação frágil.</w:t>
      </w:r>
    </w:p>
    <w:p w14:paraId="2E1AF081" w14:textId="77777777" w:rsidR="001D5E73" w:rsidRDefault="001D5E73">
      <w:r>
        <w:br w:type="page"/>
      </w:r>
    </w:p>
    <w:p w14:paraId="5A894287" w14:textId="77777777" w:rsidR="001D5E73" w:rsidRDefault="001D5E73">
      <w:pPr>
        <w:pBdr>
          <w:left w:val="single" w:sz="12" w:space="6" w:color="C9A35C"/>
        </w:pBdr>
        <w:spacing w:before="320" w:after="40"/>
      </w:pPr>
      <w:r>
        <w:rPr>
          <w:rFonts w:ascii="Barlow Condensed" w:eastAsia="Barlow Condensed" w:hAnsi="Barlow Condensed" w:cs="Barlow Condensed"/>
          <w:b/>
          <w:bCs/>
          <w:color w:val="8C6E2C"/>
          <w:sz w:val="18"/>
          <w:szCs w:val="18"/>
        </w:rPr>
        <w:lastRenderedPageBreak/>
        <w:t>▍ EIXO 2</w:t>
      </w:r>
    </w:p>
    <w:p w14:paraId="5ECA21B0" w14:textId="77777777" w:rsidR="001D5E73" w:rsidRDefault="001D5E73">
      <w:pPr>
        <w:pStyle w:val="Ttulo1"/>
      </w:pPr>
      <w:bookmarkStart w:id="133" w:name="_Toc238022127"/>
      <w:r>
        <w:t>12. EIXO 2: AMEAÇA (NT Nº 544/2024), GUIA DE USO</w:t>
      </w:r>
      <w:bookmarkEnd w:id="133"/>
    </w:p>
    <w:p w14:paraId="0B7B4551" w14:textId="77777777" w:rsidR="001D5E73" w:rsidRDefault="001D5E73">
      <w:pPr>
        <w:pStyle w:val="Ttulo3"/>
        <w:keepNext/>
      </w:pPr>
      <w:r>
        <w:t>O que este eixo analisa</w:t>
      </w:r>
    </w:p>
    <w:p w14:paraId="131EE8E1" w14:textId="77777777" w:rsidR="001D5E73" w:rsidRDefault="001D5E73">
      <w:pPr>
        <w:spacing w:after="120"/>
        <w:jc w:val="both"/>
      </w:pPr>
      <w:r>
        <w:t>Condutas que consistem em anúncio de mal futuro e injusto dirigido a servidor ou particular, com a finalidade de intimidar, coagir ou causar temor, seja de forma verbal, escrita ou gestual, direta ou indireta. Use este eixo quando a conduta tiver conteúdo prospectivo: há uma promessa de que algo ruim acontecerá.</w:t>
      </w:r>
    </w:p>
    <w:p w14:paraId="23D8B8E9" w14:textId="77777777" w:rsidR="001D5E73" w:rsidRDefault="001D5E73">
      <w:pPr>
        <w:spacing w:after="120"/>
        <w:jc w:val="both"/>
      </w:pPr>
      <w:r>
        <w:t>Este eixo tem três perguntas (P1, P2 e P3, com duas ramificações em P3) e pode produzir quatro resultados distintos, dependendo do uso do cargo e da gravidade da ameaça.</w:t>
      </w:r>
    </w:p>
    <w:p w14:paraId="4C3A8CD3" w14:textId="77777777" w:rsidR="001D5E73" w:rsidRDefault="001D5E73">
      <w:pPr>
        <w:spacing w:after="120"/>
        <w:jc w:val="both"/>
      </w:pPr>
      <w:r>
        <w:rPr>
          <w:b/>
          <w:bCs/>
        </w:rPr>
        <w:t>Lembre antes de começar:</w:t>
      </w:r>
      <w:r>
        <w:t xml:space="preserve"> a ameaça é anúncio de mal futuro. A ofensa que age no presente, o insulto, o xingamento, não é ameaça: pertence ao Eixo 7 (Violência Verbal). Se houver dúvida entre os dois eixos, o critério decisivo é a presença ou ausência de conteúdo prospectivo.</w:t>
      </w:r>
    </w:p>
    <w:p w14:paraId="7D394DBF" w14:textId="77777777" w:rsidR="001D5E73" w:rsidRDefault="001D5E73">
      <w:pPr>
        <w:spacing w:after="120"/>
        <w:jc w:val="both"/>
      </w:pPr>
      <w:r>
        <w:rPr>
          <w:b/>
          <w:bCs/>
        </w:rPr>
        <w:t>Urgência prescricional:</w:t>
      </w:r>
      <w:r>
        <w:t xml:space="preserve"> verifique o prazo prescricional antes de qualquer outra providência. A ameaça leve enquadra-se como advertência, prazo de apenas 180 dias a partir da data em que a autoridade competente tomou conhecimento do fato (art. 142, III).</w:t>
      </w:r>
    </w:p>
    <w:p w14:paraId="1A688316" w14:textId="77777777" w:rsidR="001D5E73" w:rsidRDefault="001D5E73">
      <w:pPr>
        <w:spacing w:before="80"/>
      </w:pPr>
    </w:p>
    <w:p w14:paraId="3679AFA5" w14:textId="77777777" w:rsidR="001D5E73" w:rsidRDefault="001D5E73">
      <w:pPr>
        <w:pStyle w:val="Ttulo3"/>
        <w:keepNext/>
      </w:pPr>
      <w:r>
        <w:t>Fluxo completo do Eixo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rsidRPr="00C50480" w14:paraId="5E1E63C7"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75541FCF"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P1, A conduta consistiu em ameaça, anúncio de mal futuro com intenção de intimidar?</w:t>
            </w:r>
          </w:p>
          <w:p w14:paraId="3755445B"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ofensa verbal sem conteúdo prospectivo → Eixo 7 (Violência Verbal)</w:t>
            </w:r>
          </w:p>
          <w:p w14:paraId="5D2C3026"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conduta com conotação sexual           → Eixo 3 (Assédio Sexual)</w:t>
            </w:r>
          </w:p>
          <w:p w14:paraId="033FFA86"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P2</w:t>
            </w:r>
          </w:p>
          <w:p w14:paraId="487A9C8E" w14:textId="77777777" w:rsidR="001D5E73" w:rsidRPr="00C50480" w:rsidRDefault="001D5E73">
            <w:pPr>
              <w:rPr>
                <w:rFonts w:eastAsia="Courier New" w:cs="Courier New"/>
                <w:color w:val="0B2C5F"/>
                <w:sz w:val="20"/>
                <w:szCs w:val="20"/>
              </w:rPr>
            </w:pPr>
          </w:p>
          <w:p w14:paraId="22D4BE12"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P2, </w:t>
            </w:r>
            <w:proofErr w:type="gramStart"/>
            <w:r>
              <w:rPr>
                <w:rFonts w:eastAsia="Courier New" w:cs="Courier New"/>
                <w:color w:val="0B2C5F"/>
                <w:sz w:val="20"/>
                <w:szCs w:val="20"/>
              </w:rPr>
              <w:t>Houve</w:t>
            </w:r>
            <w:proofErr w:type="gramEnd"/>
            <w:r>
              <w:rPr>
                <w:rFonts w:eastAsia="Courier New" w:cs="Courier New"/>
                <w:color w:val="0B2C5F"/>
                <w:sz w:val="20"/>
                <w:szCs w:val="20"/>
              </w:rPr>
              <w:t xml:space="preserve"> uso do cargo, hierarquia ou poder funcional como instrumento da ameaça?</w:t>
            </w:r>
          </w:p>
          <w:p w14:paraId="568C71C9"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P3-A (gravidade com uso do cargo)</w:t>
            </w:r>
          </w:p>
          <w:p w14:paraId="64F5FD2A"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P3-B (gravidade sem uso do cargo)</w:t>
            </w:r>
          </w:p>
          <w:p w14:paraId="4BFE2998" w14:textId="77777777" w:rsidR="001D5E73" w:rsidRPr="00C50480" w:rsidRDefault="001D5E73">
            <w:pPr>
              <w:rPr>
                <w:rFonts w:eastAsia="Courier New" w:cs="Courier New"/>
                <w:color w:val="0B2C5F"/>
                <w:sz w:val="20"/>
                <w:szCs w:val="20"/>
              </w:rPr>
            </w:pPr>
          </w:p>
          <w:p w14:paraId="708E974A"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P3-A, Qual a gravidade da ameaça? (com uso do cargo)</w:t>
            </w:r>
          </w:p>
          <w:p w14:paraId="294EE161"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GRAVE    → GATE → Resultado A, ameaça grave (art. 132, V, demissão)</w:t>
            </w:r>
          </w:p>
          <w:p w14:paraId="52290481"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MODERADA → GATE → Resultado B, ameaça moderada com cargo (art. 117, IX, demissão)</w:t>
            </w:r>
          </w:p>
          <w:p w14:paraId="0A9EA088"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LEVE     → Resultado C, ameaça leve (art. 116, XI, advertência) [prazo 180 dias]</w:t>
            </w:r>
          </w:p>
          <w:p w14:paraId="028148D1" w14:textId="77777777" w:rsidR="001D5E73" w:rsidRPr="00C50480" w:rsidRDefault="001D5E73">
            <w:pPr>
              <w:rPr>
                <w:rFonts w:eastAsia="Courier New" w:cs="Courier New"/>
                <w:color w:val="0B2C5F"/>
                <w:sz w:val="20"/>
                <w:szCs w:val="20"/>
              </w:rPr>
            </w:pPr>
          </w:p>
          <w:p w14:paraId="34D33160"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P3-B, Qual a gravidade da ameaça? (sem uso do cargo)</w:t>
            </w:r>
          </w:p>
          <w:p w14:paraId="2519F33D"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GRAVE    → GATE → Resultado A, ameaça grave (art. 132, V, demissão)</w:t>
            </w:r>
          </w:p>
          <w:p w14:paraId="6F9540F3"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MODERADA → Resultado D, ameaça moderada sem cargo (art. 116, IX, suspensão)</w:t>
            </w:r>
          </w:p>
          <w:p w14:paraId="4BE9A9A8"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LEVE     → Resultado C, ameaça leve (art. 116, XI, advertência) [prazo 180 dias]</w:t>
            </w:r>
          </w:p>
        </w:tc>
      </w:tr>
    </w:tbl>
    <w:p w14:paraId="4EE6A9A6" w14:textId="77777777" w:rsidR="001D5E73" w:rsidRDefault="001D5E73">
      <w:pPr>
        <w:spacing w:before="200"/>
      </w:pPr>
    </w:p>
    <w:p w14:paraId="020735C7" w14:textId="77777777" w:rsidR="001D5E73" w:rsidRDefault="001D5E73">
      <w:pPr>
        <w:pStyle w:val="Ttulo2"/>
        <w:keepNext/>
        <w:pBdr>
          <w:left w:val="single" w:sz="10" w:space="6" w:color="C9A35C"/>
        </w:pBdr>
      </w:pPr>
      <w:bookmarkStart w:id="134" w:name="_Toc238022128"/>
      <w:r>
        <w:t>P1, A conduta consistiu em ameaça, anúncio de mal futuro com intenção de intimidar?</w:t>
      </w:r>
      <w:bookmarkEnd w:id="134"/>
    </w:p>
    <w:p w14:paraId="69A6B90E" w14:textId="77777777" w:rsidR="001D5E73" w:rsidRDefault="001D5E73">
      <w:pPr>
        <w:pStyle w:val="Ttulo3"/>
        <w:keepNext/>
      </w:pPr>
      <w:r>
        <w:t>O que avaliar</w:t>
      </w:r>
    </w:p>
    <w:p w14:paraId="3C163CE8" w14:textId="77777777" w:rsidR="001D5E73" w:rsidRDefault="001D5E73">
      <w:pPr>
        <w:spacing w:after="120"/>
        <w:jc w:val="both"/>
      </w:pPr>
      <w:r>
        <w:t xml:space="preserve">A pergunta central é: </w:t>
      </w:r>
      <w:r>
        <w:rPr>
          <w:b/>
          <w:bCs/>
        </w:rPr>
        <w:t>há uma promessa de que algo ruim acontecerá?</w:t>
      </w:r>
      <w:r>
        <w:t xml:space="preserve"> A conduta deve conter dois elementos: o anúncio de um mal futuro e a intenção de intimidar, coagir ou causar temor. O mal prometido deve ser ilegítimo, </w:t>
      </w:r>
      <w:r>
        <w:lastRenderedPageBreak/>
        <w:t>a comunicação de medidas funcionalmente legítimas (representação à ouvidoria, instauração de PAD) não configura ameaça.</w:t>
      </w:r>
    </w:p>
    <w:p w14:paraId="3C2B7390" w14:textId="77777777" w:rsidR="001D5E73" w:rsidRDefault="001D5E73">
      <w:pPr>
        <w:spacing w:after="120"/>
        <w:jc w:val="both"/>
      </w:pPr>
      <w:r>
        <w:t>A forma da ameaça é irrelevante para a configuração: pode ser verbal, escrita, gestual, direta ou transmitida por intermediário. Ameaça por mensagem de texto, aplicativo ou e-mail institucional satisfaz o tipo com a mesma plenitude que a ameaça presencial.</w:t>
      </w:r>
    </w:p>
    <w:p w14:paraId="69FD28A3" w14:textId="77777777" w:rsidR="001D5E73" w:rsidRDefault="001D5E73">
      <w:pPr>
        <w:pStyle w:val="Ttulo3"/>
        <w:keepNext/>
      </w:pPr>
      <w:r>
        <w:t>Satisfaz a condição, responda SIM</w:t>
      </w:r>
    </w:p>
    <w:p w14:paraId="300CE070" w14:textId="77777777" w:rsidR="001D5E73" w:rsidRDefault="001D5E73">
      <w:pPr>
        <w:pStyle w:val="PargrafodaLista"/>
        <w:numPr>
          <w:ilvl w:val="0"/>
          <w:numId w:val="24"/>
        </w:numPr>
        <w:spacing w:after="80" w:line="240" w:lineRule="auto"/>
        <w:jc w:val="both"/>
      </w:pPr>
      <w:r>
        <w:t>Servidor que anuncia que vai agredir fisicamente o colega caso este não recue</w:t>
      </w:r>
    </w:p>
    <w:p w14:paraId="790AFFC0" w14:textId="77777777" w:rsidR="001D5E73" w:rsidRDefault="001D5E73">
      <w:pPr>
        <w:pStyle w:val="PargrafodaLista"/>
        <w:numPr>
          <w:ilvl w:val="0"/>
          <w:numId w:val="24"/>
        </w:numPr>
        <w:spacing w:after="80" w:line="240" w:lineRule="auto"/>
        <w:jc w:val="both"/>
      </w:pPr>
      <w:r>
        <w:t>Superior que declara que vai prejudicar a progressão funcional do subordinado se ele não ceder</w:t>
      </w:r>
    </w:p>
    <w:p w14:paraId="36026B80" w14:textId="77777777" w:rsidR="001D5E73" w:rsidRDefault="001D5E73">
      <w:pPr>
        <w:pStyle w:val="PargrafodaLista"/>
        <w:numPr>
          <w:ilvl w:val="0"/>
          <w:numId w:val="24"/>
        </w:numPr>
        <w:spacing w:after="80" w:line="240" w:lineRule="auto"/>
        <w:jc w:val="both"/>
      </w:pPr>
      <w:r>
        <w:t>Ameaça de morte, ainda que em contexto de conflito momentâneo</w:t>
      </w:r>
    </w:p>
    <w:p w14:paraId="15E2E5FE" w14:textId="77777777" w:rsidR="001D5E73" w:rsidRDefault="001D5E73">
      <w:pPr>
        <w:pStyle w:val="PargrafodaLista"/>
        <w:numPr>
          <w:ilvl w:val="0"/>
          <w:numId w:val="24"/>
        </w:numPr>
        <w:spacing w:after="80" w:line="240" w:lineRule="auto"/>
        <w:jc w:val="both"/>
      </w:pPr>
      <w:r>
        <w:t>Ameaça transmitida por mensagem eletrônica, aplicativo ou intermediário</w:t>
      </w:r>
    </w:p>
    <w:p w14:paraId="3C9E089B" w14:textId="77777777" w:rsidR="001D5E73" w:rsidRDefault="001D5E73">
      <w:pPr>
        <w:pStyle w:val="PargrafodaLista"/>
        <w:numPr>
          <w:ilvl w:val="0"/>
          <w:numId w:val="24"/>
        </w:numPr>
        <w:spacing w:after="80" w:line="240" w:lineRule="auto"/>
        <w:jc w:val="both"/>
      </w:pPr>
      <w:r>
        <w:t>Ameaça de expor fatos constrangedores da vida privada da vítima com objetivo de coagi-la</w:t>
      </w:r>
    </w:p>
    <w:p w14:paraId="15BCF927" w14:textId="77777777" w:rsidR="001D5E73" w:rsidRDefault="001D5E73">
      <w:pPr>
        <w:pStyle w:val="Ttulo3"/>
        <w:keepNext/>
      </w:pPr>
      <w:r>
        <w:t>Não satisfaz a condição, responda NÃO</w:t>
      </w:r>
    </w:p>
    <w:p w14:paraId="0DAF14A7" w14:textId="77777777" w:rsidR="001D5E73" w:rsidRDefault="001D5E73">
      <w:pPr>
        <w:pStyle w:val="PargrafodaLista"/>
        <w:numPr>
          <w:ilvl w:val="0"/>
          <w:numId w:val="24"/>
        </w:numPr>
        <w:spacing w:after="80" w:line="240" w:lineRule="auto"/>
        <w:jc w:val="both"/>
      </w:pPr>
      <w:r>
        <w:t>Comunicação de que será representado à ouvidoria, CGU ou MP, exercício legítimo de direito funcional</w:t>
      </w:r>
    </w:p>
    <w:p w14:paraId="10B80916" w14:textId="77777777" w:rsidR="001D5E73" w:rsidRDefault="001D5E73">
      <w:pPr>
        <w:pStyle w:val="PargrafodaLista"/>
        <w:numPr>
          <w:ilvl w:val="0"/>
          <w:numId w:val="24"/>
        </w:numPr>
        <w:spacing w:after="80" w:line="240" w:lineRule="auto"/>
        <w:jc w:val="both"/>
      </w:pPr>
      <w:r>
        <w:t>Anúncio de que será instaurada sindicância ou PAD, providência administrativa regular</w:t>
      </w:r>
    </w:p>
    <w:p w14:paraId="7F41503A" w14:textId="77777777" w:rsidR="001D5E73" w:rsidRDefault="001D5E73">
      <w:pPr>
        <w:pStyle w:val="PargrafodaLista"/>
        <w:numPr>
          <w:ilvl w:val="0"/>
          <w:numId w:val="24"/>
        </w:numPr>
        <w:spacing w:after="80" w:line="240" w:lineRule="auto"/>
        <w:jc w:val="both"/>
      </w:pPr>
      <w:r>
        <w:t>Insulto, xingamento ou humilhação sem conteúdo prospectivo, redirecionar ao Eixo 7</w:t>
      </w:r>
    </w:p>
    <w:p w14:paraId="07AFCCF7" w14:textId="77777777" w:rsidR="001D5E73" w:rsidRDefault="001D5E73">
      <w:pPr>
        <w:pStyle w:val="PargrafodaLista"/>
        <w:numPr>
          <w:ilvl w:val="0"/>
          <w:numId w:val="24"/>
        </w:numPr>
        <w:spacing w:after="80" w:line="240" w:lineRule="auto"/>
        <w:jc w:val="both"/>
      </w:pPr>
      <w:r>
        <w:t>Conduta com conotação sexual, redirecionar ao Eixo 3</w:t>
      </w:r>
    </w:p>
    <w:p w14:paraId="7E56D800" w14:textId="77777777" w:rsidR="001D5E73" w:rsidRDefault="001D5E73">
      <w:pPr>
        <w:pStyle w:val="Ttulo3"/>
        <w:keepNext/>
      </w:pPr>
      <w:r>
        <w:t>O que buscar nos autos</w:t>
      </w:r>
    </w:p>
    <w:p w14:paraId="64A961A6" w14:textId="77777777" w:rsidR="001D5E73" w:rsidRDefault="001D5E73">
      <w:pPr>
        <w:pStyle w:val="PargrafodaLista"/>
        <w:numPr>
          <w:ilvl w:val="0"/>
          <w:numId w:val="24"/>
        </w:numPr>
        <w:spacing w:after="80" w:line="240" w:lineRule="auto"/>
        <w:jc w:val="both"/>
      </w:pPr>
      <w:r>
        <w:t>Conteúdo exato da comunicação: transcrição literal do que foi dito, escrito ou gesticulado</w:t>
      </w:r>
    </w:p>
    <w:p w14:paraId="5113FBA4" w14:textId="77777777" w:rsidR="001D5E73" w:rsidRDefault="001D5E73">
      <w:pPr>
        <w:pStyle w:val="PargrafodaLista"/>
        <w:numPr>
          <w:ilvl w:val="0"/>
          <w:numId w:val="24"/>
        </w:numPr>
        <w:spacing w:after="80" w:line="240" w:lineRule="auto"/>
        <w:jc w:val="both"/>
      </w:pPr>
      <w:r>
        <w:t>Registros eletrônicos: mensagens, e-mails, capturas de tela, logs de sistema, preservar antes de qualquer diligência</w:t>
      </w:r>
    </w:p>
    <w:p w14:paraId="06A9905C" w14:textId="77777777" w:rsidR="001D5E73" w:rsidRDefault="001D5E73">
      <w:pPr>
        <w:pStyle w:val="PargrafodaLista"/>
        <w:numPr>
          <w:ilvl w:val="0"/>
          <w:numId w:val="24"/>
        </w:numPr>
        <w:spacing w:after="80" w:line="240" w:lineRule="auto"/>
        <w:jc w:val="both"/>
      </w:pPr>
      <w:r>
        <w:t>Relato da vítima com identificação do canal, data, local e testemunhas presentes</w:t>
      </w:r>
    </w:p>
    <w:p w14:paraId="3213BB5E" w14:textId="77777777" w:rsidR="001D5E73" w:rsidRDefault="001D5E73">
      <w:pPr>
        <w:pStyle w:val="PargrafodaLista"/>
        <w:numPr>
          <w:ilvl w:val="0"/>
          <w:numId w:val="24"/>
        </w:numPr>
        <w:spacing w:after="80" w:line="240" w:lineRule="auto"/>
        <w:jc w:val="both"/>
      </w:pPr>
      <w:r>
        <w:t>Depoimentos de testemunhas que presenciaram ou ouviram a conduta</w:t>
      </w:r>
    </w:p>
    <w:p w14:paraId="3A07C37D" w14:textId="77777777" w:rsidR="001D5E73" w:rsidRDefault="001D5E7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6E749CA4"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56E3710B" w14:textId="77777777" w:rsidR="001D5E73" w:rsidRDefault="001D5E73">
            <w:pPr>
              <w:jc w:val="both"/>
            </w:pPr>
            <w:r>
              <w:rPr>
                <w:b/>
                <w:bCs/>
                <w:color w:val="0B2C5F"/>
                <w:sz w:val="20"/>
                <w:szCs w:val="20"/>
              </w:rPr>
              <w:t xml:space="preserve">Urgência prescricional: </w:t>
            </w:r>
            <w:r>
              <w:rPr>
                <w:sz w:val="20"/>
                <w:szCs w:val="20"/>
              </w:rPr>
              <w:t>antes de qualquer outra providência, calcule o prazo a partir da data de conhecimento do fato pela autoridade competente. Se a conduta puder ser enquadrada como advertência (ameaça leve, 180 dias), o prazo pode já ter escoado.</w:t>
            </w:r>
          </w:p>
        </w:tc>
      </w:tr>
    </w:tbl>
    <w:p w14:paraId="0AAA4421" w14:textId="77777777" w:rsidR="001D5E73" w:rsidRDefault="001D5E73">
      <w:pPr>
        <w:spacing w:before="80"/>
      </w:pPr>
    </w:p>
    <w:p w14:paraId="410465E7" w14:textId="77777777" w:rsidR="001D5E73" w:rsidRDefault="001D5E73">
      <w:pPr>
        <w:spacing w:after="120"/>
        <w:jc w:val="both"/>
      </w:pPr>
      <w:r>
        <w:rPr>
          <w:b/>
          <w:bCs/>
        </w:rPr>
        <w:t>Regra de prevalência:</w:t>
      </w:r>
      <w:r>
        <w:t xml:space="preserve"> quando a mesma conduta combina ofensa presente e anúncio de mal futuro, responda SIM. Prevalece a análise pelo Eixo 2, e o conteúdo ofensivo é tratado como circunstância de agravamento na dosimetria do art. 128, da Lei nº 8.112, de 1990, sem enquadramento autônomo pelo Eixo 7. A mesma regra está enunciada no cap. 17, de modo que o operador chega à mesma conclusão por qualquer das duas entradas.</w:t>
      </w:r>
    </w:p>
    <w:p w14:paraId="60C6266F" w14:textId="77777777" w:rsidR="001D5E73" w:rsidRDefault="001D5E73">
      <w:pPr>
        <w:spacing w:before="80" w:after="60"/>
      </w:pPr>
      <w:r>
        <w:rPr>
          <w:b/>
          <w:bCs/>
          <w:color w:val="1F7A4C"/>
        </w:rPr>
        <w:t xml:space="preserve">SIM → </w:t>
      </w:r>
      <w:r>
        <w:t>P2</w:t>
      </w:r>
    </w:p>
    <w:p w14:paraId="2CBD5029" w14:textId="77777777" w:rsidR="001D5E73" w:rsidRDefault="001D5E73">
      <w:pPr>
        <w:spacing w:before="80" w:after="60"/>
      </w:pPr>
      <w:r>
        <w:rPr>
          <w:b/>
          <w:bCs/>
          <w:color w:val="0B2C5F"/>
        </w:rPr>
        <w:t xml:space="preserve">NÃO, ofensa verbal → </w:t>
      </w:r>
      <w:r>
        <w:t>Eixo 7 (Violência Verbal)</w:t>
      </w:r>
    </w:p>
    <w:p w14:paraId="75B8F495" w14:textId="77777777" w:rsidR="001D5E73" w:rsidRDefault="001D5E73">
      <w:pPr>
        <w:spacing w:before="80" w:after="60"/>
      </w:pPr>
      <w:r>
        <w:rPr>
          <w:b/>
          <w:bCs/>
          <w:color w:val="0B2C5F"/>
        </w:rPr>
        <w:t xml:space="preserve">NÃO, conotação sexual → </w:t>
      </w:r>
      <w:r>
        <w:t>Eixo 3 (Assédio Sexual). Respondida negativamente a verificação de conotação sexual, o fluxo prossegue automaticamente para os Eixos 4 e 5.</w:t>
      </w:r>
    </w:p>
    <w:p w14:paraId="538BE11A" w14:textId="77777777" w:rsidR="001D5E73" w:rsidRDefault="001D5E73">
      <w:pPr>
        <w:pBdr>
          <w:bottom w:val="single" w:sz="4" w:space="1" w:color="C9A35C"/>
        </w:pBdr>
        <w:spacing w:before="200" w:after="200"/>
      </w:pPr>
    </w:p>
    <w:p w14:paraId="38478EB8" w14:textId="77777777" w:rsidR="001D5E73" w:rsidRDefault="001D5E73">
      <w:pPr>
        <w:pStyle w:val="Ttulo2"/>
        <w:keepNext/>
        <w:pBdr>
          <w:left w:val="single" w:sz="10" w:space="6" w:color="C9A35C"/>
        </w:pBdr>
      </w:pPr>
      <w:bookmarkStart w:id="135" w:name="_Toc238022129"/>
      <w:r>
        <w:lastRenderedPageBreak/>
        <w:t xml:space="preserve">P2, </w:t>
      </w:r>
      <w:proofErr w:type="gramStart"/>
      <w:r>
        <w:t>Houve</w:t>
      </w:r>
      <w:proofErr w:type="gramEnd"/>
      <w:r>
        <w:t xml:space="preserve"> uso do cargo, hierarquia ou poder funcional como instrumento da ameaça?</w:t>
      </w:r>
      <w:bookmarkEnd w:id="135"/>
    </w:p>
    <w:p w14:paraId="2C3AEE61" w14:textId="77777777" w:rsidR="001D5E73" w:rsidRDefault="001D5E73">
      <w:pPr>
        <w:pStyle w:val="Ttulo3"/>
        <w:keepNext/>
      </w:pPr>
      <w:r>
        <w:t>O que avaliar</w:t>
      </w:r>
    </w:p>
    <w:p w14:paraId="6BD7C84B" w14:textId="77777777" w:rsidR="001D5E73" w:rsidRDefault="001D5E73">
      <w:pPr>
        <w:spacing w:after="120"/>
        <w:jc w:val="both"/>
      </w:pPr>
      <w:r>
        <w:t xml:space="preserve">A pergunta central é: </w:t>
      </w:r>
      <w:r>
        <w:rPr>
          <w:b/>
          <w:bCs/>
        </w:rPr>
        <w:t>a ameaça seria igualmente intimidatória se viesse de alguém sem cargo?</w:t>
      </w:r>
      <w:r>
        <w:t xml:space="preserve"> O cargo deve ser o instrumento da ameaça, não apenas o contexto da relação entre as partes. A mera existência de hierarquia entre agressor e vítima não satisfaz este elemento.</w:t>
      </w:r>
    </w:p>
    <w:p w14:paraId="502BC2E8" w14:textId="77777777" w:rsidR="001D5E73" w:rsidRDefault="001D5E73">
      <w:pPr>
        <w:pStyle w:val="Ttulo3"/>
        <w:keepNext/>
      </w:pPr>
      <w:r>
        <w:t>Satisfaz a condição, responda SIM</w:t>
      </w:r>
    </w:p>
    <w:p w14:paraId="39E11A38" w14:textId="77777777" w:rsidR="001D5E73" w:rsidRDefault="001D5E73">
      <w:pPr>
        <w:pStyle w:val="PargrafodaLista"/>
        <w:numPr>
          <w:ilvl w:val="0"/>
          <w:numId w:val="24"/>
        </w:numPr>
        <w:spacing w:after="80" w:line="240" w:lineRule="auto"/>
        <w:jc w:val="both"/>
      </w:pPr>
      <w:r>
        <w:t>Superior que ameaça prejudicar a avaliação de desempenho do subordinado caso este não ceda</w:t>
      </w:r>
    </w:p>
    <w:p w14:paraId="0BB7AB51" w14:textId="77777777" w:rsidR="001D5E73" w:rsidRDefault="001D5E73">
      <w:pPr>
        <w:pStyle w:val="PargrafodaLista"/>
        <w:numPr>
          <w:ilvl w:val="0"/>
          <w:numId w:val="24"/>
        </w:numPr>
        <w:spacing w:after="80" w:line="240" w:lineRule="auto"/>
        <w:jc w:val="both"/>
      </w:pPr>
      <w:r>
        <w:t>Chefia que anuncia remoção ou designação para função indesejada como represália</w:t>
      </w:r>
    </w:p>
    <w:p w14:paraId="2033F528" w14:textId="77777777" w:rsidR="001D5E73" w:rsidRDefault="001D5E73">
      <w:pPr>
        <w:pStyle w:val="PargrafodaLista"/>
        <w:numPr>
          <w:ilvl w:val="0"/>
          <w:numId w:val="24"/>
        </w:numPr>
        <w:spacing w:after="80" w:line="240" w:lineRule="auto"/>
        <w:jc w:val="both"/>
      </w:pPr>
      <w:r>
        <w:t>Ameaça em que a executabilidade do mal prometido depende das prerrogativas do cargo</w:t>
      </w:r>
    </w:p>
    <w:p w14:paraId="0450B1E3" w14:textId="77777777" w:rsidR="001D5E73" w:rsidRDefault="001D5E73">
      <w:pPr>
        <w:pStyle w:val="Ttulo3"/>
        <w:keepNext/>
      </w:pPr>
      <w:r>
        <w:t>Não satisfaz a condição, responda NÃO</w:t>
      </w:r>
    </w:p>
    <w:p w14:paraId="26C50757" w14:textId="77777777" w:rsidR="001D5E73" w:rsidRDefault="001D5E73">
      <w:pPr>
        <w:pStyle w:val="PargrafodaLista"/>
        <w:numPr>
          <w:ilvl w:val="0"/>
          <w:numId w:val="24"/>
        </w:numPr>
        <w:spacing w:after="80" w:line="240" w:lineRule="auto"/>
        <w:jc w:val="both"/>
      </w:pPr>
      <w:r>
        <w:t>Ameaça de violência física cujo conteúdo independe de qualquer prerrogativa funcional</w:t>
      </w:r>
    </w:p>
    <w:p w14:paraId="6FB75F15" w14:textId="77777777" w:rsidR="001D5E73" w:rsidRDefault="001D5E73">
      <w:pPr>
        <w:pStyle w:val="PargrafodaLista"/>
        <w:numPr>
          <w:ilvl w:val="0"/>
          <w:numId w:val="24"/>
        </w:numPr>
        <w:spacing w:after="80" w:line="240" w:lineRule="auto"/>
        <w:jc w:val="both"/>
      </w:pPr>
      <w:r>
        <w:t>Mera existência de relação hierárquica entre agressor e vítima</w:t>
      </w:r>
    </w:p>
    <w:p w14:paraId="68C79798" w14:textId="77777777" w:rsidR="001D5E73" w:rsidRDefault="001D5E73">
      <w:pPr>
        <w:pStyle w:val="PargrafodaLista"/>
        <w:numPr>
          <w:ilvl w:val="0"/>
          <w:numId w:val="24"/>
        </w:numPr>
        <w:spacing w:after="80" w:line="240" w:lineRule="auto"/>
        <w:jc w:val="both"/>
      </w:pPr>
      <w:r>
        <w:t>Ameaça praticada fora do contexto funcional</w:t>
      </w:r>
    </w:p>
    <w:p w14:paraId="4C0FA2DF" w14:textId="77777777" w:rsidR="001D5E73" w:rsidRDefault="001D5E73">
      <w:pPr>
        <w:pStyle w:val="Ttulo3"/>
        <w:keepNext/>
      </w:pPr>
      <w:r>
        <w:t>O que buscar nos autos</w:t>
      </w:r>
    </w:p>
    <w:p w14:paraId="0EE81A22" w14:textId="77777777" w:rsidR="001D5E73" w:rsidRDefault="001D5E73">
      <w:pPr>
        <w:pStyle w:val="PargrafodaLista"/>
        <w:numPr>
          <w:ilvl w:val="0"/>
          <w:numId w:val="24"/>
        </w:numPr>
        <w:spacing w:after="80" w:line="240" w:lineRule="auto"/>
        <w:jc w:val="both"/>
      </w:pPr>
      <w:r>
        <w:t>Identificação precisa de qual prerrogativa funcional foi empregada na ameaça</w:t>
      </w:r>
    </w:p>
    <w:p w14:paraId="793F4B03" w14:textId="77777777" w:rsidR="001D5E73" w:rsidRDefault="001D5E73">
      <w:pPr>
        <w:pStyle w:val="PargrafodaLista"/>
        <w:numPr>
          <w:ilvl w:val="0"/>
          <w:numId w:val="24"/>
        </w:numPr>
        <w:spacing w:after="80" w:line="240" w:lineRule="auto"/>
        <w:jc w:val="both"/>
      </w:pPr>
      <w:r>
        <w:t>Declarações ou registros do agressor que referenciem o exercício do cargo</w:t>
      </w:r>
    </w:p>
    <w:p w14:paraId="0C2DA8EE" w14:textId="77777777" w:rsidR="001D5E73" w:rsidRDefault="001D5E7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46EFF42B"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4EB6693C" w14:textId="77777777" w:rsidR="001D5E73" w:rsidRDefault="001D5E73">
            <w:pPr>
              <w:jc w:val="both"/>
            </w:pPr>
            <w:r>
              <w:rPr>
                <w:b/>
                <w:bCs/>
                <w:color w:val="0B2C5F"/>
                <w:sz w:val="20"/>
                <w:szCs w:val="20"/>
              </w:rPr>
              <w:t xml:space="preserve">Alerta, hierarquia não é sinônimo de valimento do cargo: </w:t>
            </w:r>
            <w:r>
              <w:rPr>
                <w:sz w:val="20"/>
                <w:szCs w:val="20"/>
              </w:rPr>
              <w:t>não marque SIM apenas porque o agressor é chefe da vítima. O valimento exige uso ativo das prerrogativas do cargo como meio de intimidação.</w:t>
            </w:r>
          </w:p>
        </w:tc>
      </w:tr>
    </w:tbl>
    <w:p w14:paraId="7E76F97F" w14:textId="77777777" w:rsidR="001D5E73" w:rsidRDefault="001D5E73">
      <w:pPr>
        <w:spacing w:before="80"/>
      </w:pPr>
    </w:p>
    <w:p w14:paraId="354E8236" w14:textId="77777777" w:rsidR="001D5E73" w:rsidRDefault="001D5E73">
      <w:pPr>
        <w:spacing w:before="80" w:after="60"/>
      </w:pPr>
      <w:r>
        <w:rPr>
          <w:b/>
          <w:bCs/>
          <w:color w:val="1F7A4C"/>
        </w:rPr>
        <w:t xml:space="preserve">SIM → </w:t>
      </w:r>
      <w:r>
        <w:t>P3-A</w:t>
      </w:r>
    </w:p>
    <w:p w14:paraId="1FE61BE0" w14:textId="77777777" w:rsidR="001D5E73" w:rsidRDefault="001D5E73">
      <w:pPr>
        <w:spacing w:before="80" w:after="60"/>
      </w:pPr>
      <w:r>
        <w:rPr>
          <w:b/>
          <w:bCs/>
          <w:color w:val="0B2C5F"/>
        </w:rPr>
        <w:t xml:space="preserve">NÃO → </w:t>
      </w:r>
      <w:r>
        <w:t>P3-B</w:t>
      </w:r>
    </w:p>
    <w:p w14:paraId="59C81413" w14:textId="77777777" w:rsidR="001D5E73" w:rsidRDefault="001D5E73">
      <w:pPr>
        <w:pBdr>
          <w:bottom w:val="single" w:sz="4" w:space="1" w:color="C9A35C"/>
        </w:pBdr>
        <w:spacing w:before="200" w:after="200"/>
      </w:pPr>
    </w:p>
    <w:p w14:paraId="6BB7037A" w14:textId="77777777" w:rsidR="001D5E73" w:rsidRDefault="001D5E73">
      <w:pPr>
        <w:pStyle w:val="Ttulo3"/>
        <w:keepNext/>
      </w:pPr>
      <w:r>
        <w:t>Os resultados possíveis do Eixo 2</w:t>
      </w:r>
    </w:p>
    <w:p w14:paraId="670D52B5" w14:textId="77777777" w:rsidR="001D5E73" w:rsidRDefault="001D5E7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4B7FE1FE"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052ADF78" w14:textId="77777777" w:rsidR="001D5E73" w:rsidRDefault="001D5E73">
            <w:pPr>
              <w:spacing w:after="80"/>
            </w:pPr>
            <w:r>
              <w:rPr>
                <w:rFonts w:ascii="Barlow Condensed" w:eastAsia="Barlow Condensed" w:hAnsi="Barlow Condensed" w:cs="Barlow Condensed"/>
                <w:b/>
                <w:bCs/>
                <w:color w:val="B42318"/>
                <w:sz w:val="24"/>
                <w:szCs w:val="24"/>
              </w:rPr>
              <w:t xml:space="preserve">Resultado A, </w:t>
            </w:r>
            <w:r>
              <w:rPr>
                <w:rFonts w:ascii="Barlow Condensed" w:eastAsia="Barlow Condensed" w:hAnsi="Barlow Condensed" w:cs="Barlow Condensed"/>
                <w:b/>
                <w:bCs/>
                <w:color w:val="0B2C5F"/>
                <w:sz w:val="24"/>
                <w:szCs w:val="24"/>
              </w:rPr>
              <w:t>Ameaça grave</w:t>
            </w:r>
          </w:p>
          <w:p w14:paraId="58CBBFC8" w14:textId="77777777" w:rsidR="001D5E73" w:rsidRDefault="001D5E73">
            <w:pPr>
              <w:spacing w:after="40"/>
            </w:pPr>
            <w:r>
              <w:rPr>
                <w:b/>
                <w:bCs/>
                <w:color w:val="0B2C5F"/>
                <w:sz w:val="20"/>
                <w:szCs w:val="20"/>
              </w:rPr>
              <w:t xml:space="preserve">Dispositivo: </w:t>
            </w:r>
            <w:r>
              <w:rPr>
                <w:sz w:val="20"/>
                <w:szCs w:val="20"/>
              </w:rPr>
              <w:t>art. 132, V, incontinência pública e conduta escandalosa</w:t>
            </w:r>
          </w:p>
          <w:p w14:paraId="1B89368C" w14:textId="77777777" w:rsidR="001D5E73" w:rsidRDefault="001D5E73">
            <w:pPr>
              <w:spacing w:after="40"/>
            </w:pPr>
            <w:r>
              <w:rPr>
                <w:b/>
                <w:bCs/>
                <w:color w:val="0B2C5F"/>
                <w:sz w:val="20"/>
                <w:szCs w:val="20"/>
              </w:rPr>
              <w:t xml:space="preserve">Penalidade: </w:t>
            </w:r>
            <w:r>
              <w:rPr>
                <w:sz w:val="20"/>
                <w:szCs w:val="20"/>
              </w:rPr>
              <w:t>Demissão, ato vinculado (Súmula 650/STJ)</w:t>
            </w:r>
          </w:p>
          <w:p w14:paraId="79FE58FF" w14:textId="77777777" w:rsidR="001D5E73" w:rsidRDefault="001D5E73">
            <w:pPr>
              <w:spacing w:after="40"/>
            </w:pPr>
            <w:r>
              <w:rPr>
                <w:b/>
                <w:bCs/>
                <w:color w:val="0B2C5F"/>
                <w:sz w:val="20"/>
                <w:szCs w:val="20"/>
              </w:rPr>
              <w:t xml:space="preserve">Prazo prescricional: </w:t>
            </w:r>
            <w:r>
              <w:rPr>
                <w:sz w:val="20"/>
                <w:szCs w:val="20"/>
              </w:rPr>
              <w:t>5 anos (art. 142, I)</w:t>
            </w:r>
          </w:p>
          <w:p w14:paraId="2DA91B0F" w14:textId="77777777" w:rsidR="001D5E73" w:rsidRDefault="001D5E73">
            <w:pPr>
              <w:jc w:val="both"/>
            </w:pPr>
            <w:r>
              <w:rPr>
                <w:b/>
                <w:bCs/>
                <w:color w:val="0B2C5F"/>
                <w:sz w:val="20"/>
                <w:szCs w:val="20"/>
              </w:rPr>
              <w:t xml:space="preserve">O que fazer: </w:t>
            </w:r>
            <w:r>
              <w:rPr>
                <w:sz w:val="20"/>
                <w:szCs w:val="20"/>
              </w:rPr>
              <w:t xml:space="preserve">Acionar o </w:t>
            </w:r>
            <w:proofErr w:type="spellStart"/>
            <w:r>
              <w:rPr>
                <w:sz w:val="20"/>
                <w:szCs w:val="20"/>
              </w:rPr>
              <w:t>gate</w:t>
            </w:r>
            <w:proofErr w:type="spellEnd"/>
            <w:r>
              <w:rPr>
                <w:sz w:val="20"/>
                <w:szCs w:val="20"/>
              </w:rPr>
              <w:t xml:space="preserve"> de confirmação demissória. Verificar conteúdo da ameaça, intensidade da coação e impacto. Avaliar cumulatividade com Eixo 5 se a ameaça se insere em padrão de assédio.</w:t>
            </w:r>
          </w:p>
        </w:tc>
      </w:tr>
    </w:tbl>
    <w:p w14:paraId="040DBB6C"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61F853EF"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1DDBD229" w14:textId="77777777" w:rsidR="001D5E73" w:rsidRDefault="001D5E73">
            <w:pPr>
              <w:spacing w:after="80"/>
            </w:pPr>
            <w:r>
              <w:rPr>
                <w:rFonts w:ascii="Barlow Condensed" w:eastAsia="Barlow Condensed" w:hAnsi="Barlow Condensed" w:cs="Barlow Condensed"/>
                <w:b/>
                <w:bCs/>
                <w:color w:val="B42318"/>
                <w:sz w:val="24"/>
                <w:szCs w:val="24"/>
              </w:rPr>
              <w:t xml:space="preserve">Resultado B, </w:t>
            </w:r>
            <w:r>
              <w:rPr>
                <w:rFonts w:ascii="Barlow Condensed" w:eastAsia="Barlow Condensed" w:hAnsi="Barlow Condensed" w:cs="Barlow Condensed"/>
                <w:b/>
                <w:bCs/>
                <w:color w:val="0B2C5F"/>
                <w:sz w:val="24"/>
                <w:szCs w:val="24"/>
              </w:rPr>
              <w:t>Ameaça moderada com valimento do cargo</w:t>
            </w:r>
          </w:p>
          <w:p w14:paraId="151A4404" w14:textId="77777777" w:rsidR="001D5E73" w:rsidRDefault="001D5E73">
            <w:pPr>
              <w:spacing w:after="40"/>
            </w:pPr>
            <w:r>
              <w:rPr>
                <w:b/>
                <w:bCs/>
                <w:color w:val="0B2C5F"/>
                <w:sz w:val="20"/>
                <w:szCs w:val="20"/>
              </w:rPr>
              <w:t xml:space="preserve">Dispositivo: </w:t>
            </w:r>
            <w:r>
              <w:rPr>
                <w:sz w:val="20"/>
                <w:szCs w:val="20"/>
              </w:rPr>
              <w:t>art. 117, IX, demissão por força do art. 132, XIII</w:t>
            </w:r>
          </w:p>
          <w:p w14:paraId="2BB00E1E" w14:textId="77777777" w:rsidR="001D5E73" w:rsidRDefault="001D5E73">
            <w:pPr>
              <w:spacing w:after="40"/>
            </w:pPr>
            <w:r>
              <w:rPr>
                <w:b/>
                <w:bCs/>
                <w:color w:val="0B2C5F"/>
                <w:sz w:val="20"/>
                <w:szCs w:val="20"/>
              </w:rPr>
              <w:t xml:space="preserve">Penalidade: </w:t>
            </w:r>
            <w:r>
              <w:rPr>
                <w:sz w:val="20"/>
                <w:szCs w:val="20"/>
              </w:rPr>
              <w:t>Demissão, ato vinculado (Súmula 650/STJ)</w:t>
            </w:r>
          </w:p>
          <w:p w14:paraId="1C1A6560" w14:textId="77777777" w:rsidR="001D5E73" w:rsidRDefault="001D5E73">
            <w:pPr>
              <w:spacing w:after="40"/>
            </w:pPr>
            <w:r>
              <w:rPr>
                <w:b/>
                <w:bCs/>
                <w:color w:val="0B2C5F"/>
                <w:sz w:val="20"/>
                <w:szCs w:val="20"/>
              </w:rPr>
              <w:lastRenderedPageBreak/>
              <w:t xml:space="preserve">Prazo prescricional: </w:t>
            </w:r>
            <w:r>
              <w:rPr>
                <w:sz w:val="20"/>
                <w:szCs w:val="20"/>
              </w:rPr>
              <w:t>5 anos (art. 142, I)</w:t>
            </w:r>
          </w:p>
          <w:p w14:paraId="3BAFCA80" w14:textId="77777777" w:rsidR="001D5E73" w:rsidRDefault="001D5E73">
            <w:pPr>
              <w:jc w:val="both"/>
            </w:pPr>
            <w:r>
              <w:rPr>
                <w:b/>
                <w:bCs/>
                <w:color w:val="0B2C5F"/>
                <w:sz w:val="20"/>
                <w:szCs w:val="20"/>
              </w:rPr>
              <w:t xml:space="preserve">O que fazer: </w:t>
            </w:r>
            <w:r>
              <w:rPr>
                <w:sz w:val="20"/>
                <w:szCs w:val="20"/>
              </w:rPr>
              <w:t xml:space="preserve">Acionar o </w:t>
            </w:r>
            <w:proofErr w:type="spellStart"/>
            <w:r>
              <w:rPr>
                <w:sz w:val="20"/>
                <w:szCs w:val="20"/>
              </w:rPr>
              <w:t>gate</w:t>
            </w:r>
            <w:proofErr w:type="spellEnd"/>
            <w:r>
              <w:rPr>
                <w:sz w:val="20"/>
                <w:szCs w:val="20"/>
              </w:rPr>
              <w:t xml:space="preserve"> de confirmação demissória. Fundamentar expressamente os três elementos do art. 117, IX. Se não demonstrados, reconsiderar para Resultado D com agravante de dosimetria.</w:t>
            </w:r>
          </w:p>
        </w:tc>
      </w:tr>
    </w:tbl>
    <w:p w14:paraId="0EB8E3F3"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7B55A767"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660D98DF" w14:textId="77777777" w:rsidR="001D5E73" w:rsidRDefault="001D5E73">
            <w:pPr>
              <w:spacing w:after="80"/>
            </w:pPr>
            <w:r>
              <w:rPr>
                <w:rFonts w:ascii="Barlow Condensed" w:eastAsia="Barlow Condensed" w:hAnsi="Barlow Condensed" w:cs="Barlow Condensed"/>
                <w:b/>
                <w:bCs/>
                <w:color w:val="1F7A4C"/>
                <w:sz w:val="24"/>
                <w:szCs w:val="24"/>
              </w:rPr>
              <w:t xml:space="preserve">Resultado C, </w:t>
            </w:r>
            <w:r>
              <w:rPr>
                <w:rFonts w:ascii="Barlow Condensed" w:eastAsia="Barlow Condensed" w:hAnsi="Barlow Condensed" w:cs="Barlow Condensed"/>
                <w:b/>
                <w:bCs/>
                <w:color w:val="0B2C5F"/>
                <w:sz w:val="24"/>
                <w:szCs w:val="24"/>
              </w:rPr>
              <w:t>Ameaça leve</w:t>
            </w:r>
          </w:p>
          <w:p w14:paraId="32AE9AAC" w14:textId="77777777" w:rsidR="001D5E73" w:rsidRDefault="001D5E73">
            <w:pPr>
              <w:spacing w:after="40"/>
            </w:pPr>
            <w:r>
              <w:rPr>
                <w:b/>
                <w:bCs/>
                <w:color w:val="0B2C5F"/>
                <w:sz w:val="20"/>
                <w:szCs w:val="20"/>
              </w:rPr>
              <w:t xml:space="preserve">Dispositivo: </w:t>
            </w:r>
            <w:r>
              <w:rPr>
                <w:sz w:val="20"/>
                <w:szCs w:val="20"/>
              </w:rPr>
              <w:t>art. 116, XI, dever de urbanidade; ou art. 117, V</w:t>
            </w:r>
          </w:p>
          <w:p w14:paraId="6F709565" w14:textId="77777777" w:rsidR="001D5E73" w:rsidRDefault="001D5E73">
            <w:pPr>
              <w:spacing w:after="40"/>
            </w:pPr>
            <w:r>
              <w:rPr>
                <w:b/>
                <w:bCs/>
                <w:color w:val="0B2C5F"/>
                <w:sz w:val="20"/>
                <w:szCs w:val="20"/>
              </w:rPr>
              <w:t xml:space="preserve">Penalidade: </w:t>
            </w:r>
            <w:r>
              <w:rPr>
                <w:sz w:val="20"/>
                <w:szCs w:val="20"/>
              </w:rPr>
              <w:t>Advertência</w:t>
            </w:r>
          </w:p>
          <w:p w14:paraId="4D202685" w14:textId="77777777" w:rsidR="001D5E73" w:rsidRDefault="001D5E73">
            <w:pPr>
              <w:spacing w:after="40"/>
            </w:pPr>
            <w:r>
              <w:rPr>
                <w:b/>
                <w:bCs/>
                <w:color w:val="0B2C5F"/>
                <w:sz w:val="20"/>
                <w:szCs w:val="20"/>
              </w:rPr>
              <w:t xml:space="preserve">Prazo prescricional: </w:t>
            </w:r>
            <w:r>
              <w:rPr>
                <w:sz w:val="20"/>
                <w:szCs w:val="20"/>
              </w:rPr>
              <w:t>180 dias (art. 142, III), prazo crítico, verificar imediatamente</w:t>
            </w:r>
          </w:p>
          <w:p w14:paraId="6572ACA2" w14:textId="77777777" w:rsidR="001D5E73" w:rsidRDefault="001D5E73">
            <w:pPr>
              <w:jc w:val="both"/>
            </w:pPr>
            <w:r>
              <w:rPr>
                <w:b/>
                <w:bCs/>
                <w:color w:val="0B2C5F"/>
                <w:sz w:val="20"/>
                <w:szCs w:val="20"/>
              </w:rPr>
              <w:t xml:space="preserve">O que fazer: </w:t>
            </w:r>
            <w:r>
              <w:rPr>
                <w:sz w:val="20"/>
                <w:szCs w:val="20"/>
              </w:rPr>
              <w:t>Calcular o prazo antes de qualquer outro ato. Avaliar cumulatividade com Eixo 5 se integra padrão reiterado.</w:t>
            </w:r>
          </w:p>
        </w:tc>
      </w:tr>
    </w:tbl>
    <w:p w14:paraId="2004117B"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3941CB99"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571F6749" w14:textId="77777777" w:rsidR="001D5E73" w:rsidRDefault="001D5E73">
            <w:pPr>
              <w:spacing w:after="80"/>
            </w:pPr>
            <w:r>
              <w:rPr>
                <w:rFonts w:ascii="Barlow Condensed" w:eastAsia="Barlow Condensed" w:hAnsi="Barlow Condensed" w:cs="Barlow Condensed"/>
                <w:b/>
                <w:bCs/>
                <w:color w:val="1F7A4C"/>
                <w:sz w:val="24"/>
                <w:szCs w:val="24"/>
              </w:rPr>
              <w:t xml:space="preserve">Resultado D, </w:t>
            </w:r>
            <w:r>
              <w:rPr>
                <w:rFonts w:ascii="Barlow Condensed" w:eastAsia="Barlow Condensed" w:hAnsi="Barlow Condensed" w:cs="Barlow Condensed"/>
                <w:b/>
                <w:bCs/>
                <w:color w:val="0B2C5F"/>
                <w:sz w:val="24"/>
                <w:szCs w:val="24"/>
              </w:rPr>
              <w:t>Ameaça moderada sem uso do cargo</w:t>
            </w:r>
          </w:p>
          <w:p w14:paraId="6ACA3FEC" w14:textId="77777777" w:rsidR="001D5E73" w:rsidRDefault="001D5E73">
            <w:pPr>
              <w:spacing w:after="40"/>
            </w:pPr>
            <w:r>
              <w:rPr>
                <w:b/>
                <w:bCs/>
                <w:color w:val="0B2C5F"/>
                <w:sz w:val="20"/>
                <w:szCs w:val="20"/>
              </w:rPr>
              <w:t xml:space="preserve">Dispositivo: </w:t>
            </w:r>
            <w:r>
              <w:rPr>
                <w:sz w:val="20"/>
                <w:szCs w:val="20"/>
              </w:rPr>
              <w:t>art. 116, IX, manter conduta compatível com a moralidade administrativa</w:t>
            </w:r>
          </w:p>
          <w:p w14:paraId="6C0329DB" w14:textId="77777777" w:rsidR="001D5E73" w:rsidRDefault="001D5E73">
            <w:pPr>
              <w:spacing w:after="40"/>
            </w:pPr>
            <w:r>
              <w:rPr>
                <w:b/>
                <w:bCs/>
                <w:color w:val="0B2C5F"/>
                <w:sz w:val="20"/>
                <w:szCs w:val="20"/>
              </w:rPr>
              <w:t xml:space="preserve">Penalidade: </w:t>
            </w:r>
            <w:r>
              <w:rPr>
                <w:sz w:val="20"/>
                <w:szCs w:val="20"/>
              </w:rPr>
              <w:t>Suspensão</w:t>
            </w:r>
          </w:p>
          <w:p w14:paraId="5069B0C4" w14:textId="77777777" w:rsidR="001D5E73" w:rsidRDefault="001D5E73">
            <w:pPr>
              <w:spacing w:after="40"/>
            </w:pPr>
            <w:r>
              <w:rPr>
                <w:b/>
                <w:bCs/>
                <w:color w:val="0B2C5F"/>
                <w:sz w:val="20"/>
                <w:szCs w:val="20"/>
              </w:rPr>
              <w:t xml:space="preserve">Prazo prescricional: </w:t>
            </w:r>
            <w:r>
              <w:rPr>
                <w:sz w:val="20"/>
                <w:szCs w:val="20"/>
              </w:rPr>
              <w:t>2 anos (art. 142, II)</w:t>
            </w:r>
          </w:p>
          <w:p w14:paraId="01AF32F0" w14:textId="77777777" w:rsidR="001D5E73" w:rsidRDefault="001D5E73">
            <w:pPr>
              <w:jc w:val="both"/>
            </w:pPr>
            <w:r>
              <w:rPr>
                <w:b/>
                <w:bCs/>
                <w:color w:val="0B2C5F"/>
                <w:sz w:val="20"/>
                <w:szCs w:val="20"/>
              </w:rPr>
              <w:t xml:space="preserve">O que fazer: </w:t>
            </w:r>
            <w:r>
              <w:rPr>
                <w:sz w:val="20"/>
                <w:szCs w:val="20"/>
              </w:rPr>
              <w:t>Aplicar dosimetria do art. 128. Avaliar cumulatividade com Eixo 5 se integra padrão reiterado de condutas hostis.</w:t>
            </w:r>
          </w:p>
        </w:tc>
      </w:tr>
    </w:tbl>
    <w:p w14:paraId="2C2C7F15" w14:textId="77777777" w:rsidR="001D5E73" w:rsidRDefault="001D5E73">
      <w:pPr>
        <w:pBdr>
          <w:bottom w:val="single" w:sz="4" w:space="1" w:color="C9A35C"/>
        </w:pBdr>
        <w:spacing w:before="200" w:after="200"/>
      </w:pPr>
    </w:p>
    <w:p w14:paraId="42141295" w14:textId="77777777" w:rsidR="001D5E73" w:rsidRDefault="001D5E73">
      <w:pPr>
        <w:pStyle w:val="Ttulo3"/>
        <w:keepNext/>
      </w:pPr>
      <w:r>
        <w:t>Checklist do Eixo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rsidRPr="00C50480" w14:paraId="69994F7D"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1719C2AF"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Verifiquei que a conduta tem conteúdo prospectivo, anúncio de mal futuro</w:t>
            </w:r>
          </w:p>
          <w:p w14:paraId="524E8445"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Calculei o prazo prescricional ANTES de qualquer outra providência</w:t>
            </w:r>
          </w:p>
          <w:p w14:paraId="29353CF6"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confundi exercício legítimo de poder diretivo com ameaça</w:t>
            </w:r>
          </w:p>
          <w:p w14:paraId="7A706070"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Distingui a ameaça (Eixo 2) da violência verbal (Eixo 7) pelo critério temporal</w:t>
            </w:r>
          </w:p>
          <w:p w14:paraId="443095EF"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Verifiquei o uso do cargo como instrumento, não apenas existência de hierarquia</w:t>
            </w:r>
          </w:p>
          <w:p w14:paraId="16F4C55F"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Se adotei art. 117, IX, fundamentei os três elementos do tipo nos autos</w:t>
            </w:r>
          </w:p>
          <w:p w14:paraId="4744954B"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Graduei a gravidade com base no conteúdo do mal prometido</w:t>
            </w:r>
          </w:p>
          <w:p w14:paraId="2D203889"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cumulatividade com Eixo 5 quando a ameaça integra padrão reiterado</w:t>
            </w:r>
          </w:p>
          <w:p w14:paraId="4825B4E3"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Preservei registros eletrônicos antes de qualquer diligência</w:t>
            </w:r>
          </w:p>
        </w:tc>
      </w:tr>
    </w:tbl>
    <w:p w14:paraId="398B653F" w14:textId="77777777" w:rsidR="001D5E73" w:rsidRDefault="001D5E73">
      <w:pPr>
        <w:pBdr>
          <w:bottom w:val="single" w:sz="4" w:space="1" w:color="C9A35C"/>
        </w:pBdr>
        <w:spacing w:before="200" w:after="200"/>
      </w:pPr>
    </w:p>
    <w:p w14:paraId="33B7FEE0" w14:textId="77777777" w:rsidR="001D5E73" w:rsidRDefault="001D5E73">
      <w:pPr>
        <w:pStyle w:val="Ttulo3"/>
        <w:keepNext/>
      </w:pPr>
      <w:r>
        <w:t>Erros mais frequentes</w:t>
      </w:r>
    </w:p>
    <w:p w14:paraId="34B99AD0" w14:textId="77777777" w:rsidR="001D5E73" w:rsidRDefault="001D5E73">
      <w:pPr>
        <w:spacing w:after="120"/>
        <w:jc w:val="both"/>
      </w:pPr>
      <w:r>
        <w:rPr>
          <w:b/>
          <w:bCs/>
        </w:rPr>
        <w:t>1. Não verificar o prazo prescricional antes de qualquer outra providência.</w:t>
      </w:r>
      <w:r>
        <w:t xml:space="preserve"> A ameaça leve tem prazo de 180 dias, o mais curto de todos os enquadramentos.</w:t>
      </w:r>
    </w:p>
    <w:p w14:paraId="4F74E352" w14:textId="77777777" w:rsidR="001D5E73" w:rsidRDefault="001D5E73">
      <w:pPr>
        <w:spacing w:after="120"/>
        <w:jc w:val="both"/>
      </w:pPr>
      <w:r>
        <w:rPr>
          <w:b/>
          <w:bCs/>
        </w:rPr>
        <w:t>2. Confundir anúncio de medida legítima com ameaça.</w:t>
      </w:r>
      <w:r>
        <w:t xml:space="preserve"> Informar sobre instauração de sindicância ou PAD não é ameaça, é exercício regular de poder diretivo.</w:t>
      </w:r>
    </w:p>
    <w:p w14:paraId="52419EC0" w14:textId="77777777" w:rsidR="001D5E73" w:rsidRDefault="001D5E73">
      <w:pPr>
        <w:spacing w:after="120"/>
        <w:jc w:val="both"/>
      </w:pPr>
      <w:r>
        <w:rPr>
          <w:b/>
          <w:bCs/>
        </w:rPr>
        <w:t>3. Tratar a existência de hierarquia como suficiente para o valimento do cargo.</w:t>
      </w:r>
      <w:r>
        <w:t xml:space="preserve"> É preciso que as prerrogativas do cargo tenham sido ativamente empregadas na intimidação.</w:t>
      </w:r>
    </w:p>
    <w:p w14:paraId="3A73FD0C" w14:textId="77777777" w:rsidR="001D5E73" w:rsidRDefault="001D5E73">
      <w:pPr>
        <w:spacing w:after="120"/>
        <w:jc w:val="both"/>
      </w:pPr>
      <w:r>
        <w:rPr>
          <w:b/>
          <w:bCs/>
        </w:rPr>
        <w:lastRenderedPageBreak/>
        <w:t>4. Aplicar automaticamente o art. 117, IX à ameaça moderada com presença hierárquica.</w:t>
      </w:r>
      <w:r>
        <w:t xml:space="preserve"> Esse enquadramento exige demonstração rigorosa de três elementos cumulativos.</w:t>
      </w:r>
    </w:p>
    <w:p w14:paraId="0EBF9246" w14:textId="77777777" w:rsidR="001D5E73" w:rsidRDefault="001D5E73">
      <w:pPr>
        <w:spacing w:after="120"/>
        <w:jc w:val="both"/>
      </w:pPr>
      <w:r>
        <w:rPr>
          <w:b/>
          <w:bCs/>
        </w:rPr>
        <w:t>5. Não avaliar cumulatividade com o Eixo 5.</w:t>
      </w:r>
      <w:r>
        <w:t xml:space="preserve"> A ameaça reiterada contra a mesma vítima pode configurar simultaneamente assédio moral.</w:t>
      </w:r>
    </w:p>
    <w:p w14:paraId="665B43E5" w14:textId="77777777" w:rsidR="001D5E73" w:rsidRDefault="001D5E73"/>
    <w:p w14:paraId="5648986F" w14:textId="77777777" w:rsidR="00946685" w:rsidRDefault="00946685" w:rsidP="00946685">
      <w:pPr>
        <w:ind w:firstLine="708"/>
      </w:pPr>
    </w:p>
    <w:p w14:paraId="3A0CB7E9" w14:textId="77777777" w:rsidR="001D5E73" w:rsidRDefault="003B78AF">
      <w:pPr>
        <w:pBdr>
          <w:left w:val="single" w:sz="12" w:space="6" w:color="C9A35C"/>
        </w:pBdr>
        <w:spacing w:before="320" w:after="40"/>
      </w:pPr>
      <w:r>
        <w:br w:type="page"/>
      </w:r>
      <w:r>
        <w:rPr>
          <w:rFonts w:ascii="Barlow Condensed" w:eastAsia="Barlow Condensed" w:hAnsi="Barlow Condensed" w:cs="Barlow Condensed"/>
          <w:b/>
          <w:bCs/>
          <w:color w:val="8C6E2C"/>
          <w:sz w:val="18"/>
          <w:szCs w:val="18"/>
        </w:rPr>
        <w:lastRenderedPageBreak/>
        <w:t>▍ EIXO 3</w:t>
      </w:r>
    </w:p>
    <w:p w14:paraId="14F83A77" w14:textId="77777777" w:rsidR="001D5E73" w:rsidRDefault="001D5E73">
      <w:pPr>
        <w:pStyle w:val="Ttulo1"/>
      </w:pPr>
      <w:bookmarkStart w:id="136" w:name="_Toc238022130"/>
      <w:r>
        <w:rPr>
          <w:caps/>
          <w:color w:val="0B2C5F"/>
          <w:sz w:val="40"/>
          <w:szCs w:val="40"/>
        </w:rPr>
        <w:t>13. EIXO 3: ASSÉDIO SEXUAL E ATOS DE CONOTAÇÃO SEXUAL (NT Nº 3285/2023), GUIA DE USO</w:t>
      </w:r>
      <w:bookmarkEnd w:id="136"/>
    </w:p>
    <w:p w14:paraId="11E7B263" w14:textId="77777777" w:rsidR="001D5E73" w:rsidRDefault="001D5E73">
      <w:pPr>
        <w:pStyle w:val="Ttulo3"/>
        <w:keepNext/>
      </w:pPr>
      <w:r>
        <w:rPr>
          <w:rFonts w:ascii="Calibri" w:eastAsia="Calibri" w:hAnsi="Calibri" w:cs="Calibri"/>
        </w:rPr>
        <w:t>O que este eixo analisa</w:t>
      </w:r>
    </w:p>
    <w:p w14:paraId="00B33A90" w14:textId="77777777" w:rsidR="001D5E73" w:rsidRDefault="001D5E73">
      <w:pPr>
        <w:spacing w:after="120"/>
        <w:jc w:val="both"/>
      </w:pPr>
      <w:r>
        <w:rPr>
          <w:rFonts w:ascii="Calibri" w:eastAsia="Calibri" w:hAnsi="Calibri" w:cs="Calibri"/>
          <w:color w:val="051A3D"/>
          <w:sz w:val="22"/>
          <w:szCs w:val="22"/>
        </w:rPr>
        <w:t>Condutas de natureza ou conotação sexual praticadas no ambiente de trabalho ou com repercussão sobre ele, comentários sobre o corpo com teor sexual, piadas sexuais, envio de imagens sexualizadas, toques físicos indesejados, convites e insinuações sexuais, criação de ambiente com material pornográfico, pressão por encontros, promessas de tratamento diferenciado condicionadas a favores sexuais. Inclui tanto o assédio sexual com finalidade de favorecimento (quid pro quo) quanto os atos de conotação sexual sem essa finalidade (assédio ambiental).</w:t>
      </w:r>
    </w:p>
    <w:p w14:paraId="76DA5B6F" w14:textId="77777777" w:rsidR="001D5E73" w:rsidRDefault="00AB5A02">
      <w:pPr>
        <w:spacing w:after="120"/>
        <w:jc w:val="both"/>
      </w:pPr>
      <w:r>
        <w:rPr>
          <w:rFonts w:ascii="Calibri" w:eastAsia="Calibri" w:hAnsi="Calibri" w:cs="Calibri"/>
          <w:color w:val="051A3D"/>
          <w:sz w:val="22"/>
          <w:szCs w:val="22"/>
        </w:rPr>
        <w:t>Este eixo tem onze perguntas organizadas em duas rotas (Rota A, com favorecimento; Rota B, sem favorecimento) e pode produzir dez resultados distintos, dependendo da finalidade da conduta, da correspondência a crime sexual, do consentimento, da existência de relação hierárquica entre os envolvidos, do impacto sobre a vítima e do uso do cargo.</w:t>
      </w:r>
    </w:p>
    <w:p w14:paraId="31F2A936" w14:textId="77777777" w:rsidR="001D5E73" w:rsidRDefault="001D5E73">
      <w:pPr>
        <w:spacing w:after="120"/>
        <w:jc w:val="both"/>
      </w:pPr>
      <w:r>
        <w:rPr>
          <w:rFonts w:ascii="Calibri" w:eastAsia="Calibri" w:hAnsi="Calibri" w:cs="Calibri"/>
          <w:b/>
          <w:bCs/>
          <w:color w:val="051A3D"/>
          <w:sz w:val="22"/>
          <w:szCs w:val="22"/>
        </w:rPr>
        <w:t>Lembre antes de começar:</w:t>
      </w:r>
      <w:r>
        <w:rPr>
          <w:rFonts w:ascii="Calibri" w:eastAsia="Calibri" w:hAnsi="Calibri" w:cs="Calibri"/>
          <w:color w:val="051A3D"/>
          <w:sz w:val="22"/>
          <w:szCs w:val="22"/>
        </w:rPr>
        <w:t xml:space="preserve"> a intenção do agressor é irrelevante para o enquadramento. A alegação de que a conduta era 'brincadeira', 'elogio' ou que 'não havia intenção de ofender' não afasta a caracterização do ilícito quando o impacto sobre a vítima está demonstrado nos autos. O critério adotado pelo Parecer JM-03 e pela NT nº 3285/2023 é o efeito produzido, não a intenção declarada.</w:t>
      </w:r>
    </w:p>
    <w:p w14:paraId="4552539C" w14:textId="77777777" w:rsidR="001D5E73" w:rsidRDefault="001D5E73">
      <w:pPr>
        <w:spacing w:after="120"/>
        <w:jc w:val="both"/>
        <w:rPr>
          <w:rFonts w:ascii="Calibri" w:eastAsia="Calibri" w:hAnsi="Calibri" w:cs="Calibri"/>
          <w:color w:val="051A3D"/>
          <w:sz w:val="22"/>
          <w:szCs w:val="22"/>
        </w:rPr>
      </w:pPr>
      <w:proofErr w:type="spellStart"/>
      <w:r>
        <w:rPr>
          <w:rFonts w:ascii="Calibri" w:eastAsia="Calibri" w:hAnsi="Calibri" w:cs="Calibri"/>
          <w:b/>
          <w:bCs/>
          <w:color w:val="051A3D"/>
          <w:sz w:val="22"/>
          <w:szCs w:val="22"/>
        </w:rPr>
        <w:t>Lembre</w:t>
      </w:r>
      <w:proofErr w:type="spellEnd"/>
      <w:r>
        <w:rPr>
          <w:rFonts w:ascii="Calibri" w:eastAsia="Calibri" w:hAnsi="Calibri" w:cs="Calibri"/>
          <w:b/>
          <w:bCs/>
          <w:color w:val="051A3D"/>
          <w:sz w:val="22"/>
          <w:szCs w:val="22"/>
        </w:rPr>
        <w:t xml:space="preserve"> também:</w:t>
      </w:r>
      <w:r>
        <w:rPr>
          <w:rFonts w:ascii="Calibri" w:eastAsia="Calibri" w:hAnsi="Calibri" w:cs="Calibri"/>
          <w:color w:val="051A3D"/>
          <w:sz w:val="22"/>
          <w:szCs w:val="22"/>
        </w:rPr>
        <w:t xml:space="preserve"> um único ato pode ser suficiente para o enquadramento mais grave, quando produz impacto grave sobre a vítima. A ausência de reiteração não é argumento para afastar o ilícito.</w:t>
      </w:r>
    </w:p>
    <w:p w14:paraId="025E5D18" w14:textId="77777777" w:rsidR="001D5E73" w:rsidRDefault="0040637D" w:rsidP="0040637D">
      <w:pPr>
        <w:spacing w:after="120"/>
        <w:jc w:val="both"/>
      </w:pPr>
      <w:r>
        <w:rPr>
          <w:b/>
          <w:bCs/>
        </w:rPr>
        <w:t>Lembre ainda:</w:t>
      </w:r>
      <w:r>
        <w:t xml:space="preserve"> na Rota B, antes de avaliar os qualificadores ambientais, verifique se a conduta corresponde, em seus elementos objetivos, a um crime contra a dignidade sexual (Título VI do CP). Se corresponder, o enquadramento é demissório e há comunicação obrigatória ao Ministério Público — não a processe como conduta imprópria só porque não houve escândalo público nem laudo.</w:t>
      </w:r>
    </w:p>
    <w:p w14:paraId="792617E4" w14:textId="77777777" w:rsidR="001D5E73" w:rsidRDefault="001D5E73">
      <w:pPr>
        <w:pStyle w:val="Ttulo3"/>
        <w:keepNext/>
      </w:pPr>
      <w:r>
        <w:rPr>
          <w:rFonts w:ascii="Calibri" w:eastAsia="Calibri" w:hAnsi="Calibri" w:cs="Calibri"/>
        </w:rPr>
        <w:t>Fluxo completo do Eixo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rsidRPr="00C50480" w14:paraId="1113EBAB"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456F6C2F"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P1, A conduta tem conotação sexual objetivamente identificável?</w:t>
            </w:r>
          </w:p>
          <w:p w14:paraId="5E961646"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Eixo 4 (Discriminação) ou Eixo 5 (Assédio Moral)</w:t>
            </w:r>
          </w:p>
          <w:p w14:paraId="3EE1550B"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P2</w:t>
            </w:r>
          </w:p>
          <w:p w14:paraId="65886A20" w14:textId="77777777" w:rsidR="001D5E73" w:rsidRPr="00C50480" w:rsidRDefault="001D5E73">
            <w:pPr>
              <w:rPr>
                <w:rFonts w:eastAsia="Courier New" w:cs="Courier New"/>
                <w:color w:val="0B2C5F"/>
                <w:sz w:val="20"/>
                <w:szCs w:val="20"/>
              </w:rPr>
            </w:pPr>
          </w:p>
          <w:p w14:paraId="3D5C3361"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P2, A conduta visava obter favorecimento ou vantagem sexual?</w:t>
            </w:r>
          </w:p>
          <w:p w14:paraId="152BDD58"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ROTA A (assédio sexual quid pro quo) → P3-A</w:t>
            </w:r>
          </w:p>
          <w:p w14:paraId="4ED728EC"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ROTA B (ato de conotação sexual ambiental) → P3-B</w:t>
            </w:r>
          </w:p>
          <w:p w14:paraId="2F49C92A" w14:textId="77777777" w:rsidR="001D5E73" w:rsidRPr="00C50480" w:rsidRDefault="001D5E73">
            <w:pPr>
              <w:rPr>
                <w:rFonts w:eastAsia="Courier New" w:cs="Courier New"/>
                <w:color w:val="0B2C5F"/>
                <w:sz w:val="20"/>
                <w:szCs w:val="20"/>
              </w:rPr>
            </w:pPr>
          </w:p>
          <w:p w14:paraId="3CB72B85" w14:textId="77777777" w:rsidR="001D5E73" w:rsidRPr="00C50480" w:rsidRDefault="001D5E73">
            <w:pPr>
              <w:rPr>
                <w:rFonts w:eastAsia="Courier New" w:cs="Courier New"/>
                <w:color w:val="0B2C5F"/>
                <w:sz w:val="20"/>
                <w:szCs w:val="20"/>
              </w:rPr>
            </w:pPr>
            <w:r>
              <w:rPr>
                <w:rFonts w:ascii="Times New Roman" w:eastAsia="Courier New" w:hAnsi="Times New Roman" w:cs="Times New Roman"/>
                <w:color w:val="0B2C5F"/>
                <w:sz w:val="20"/>
                <w:szCs w:val="20"/>
              </w:rPr>
              <w:t>══</w:t>
            </w:r>
            <w:r>
              <w:rPr>
                <w:rFonts w:eastAsia="Courier New" w:cs="Courier New"/>
                <w:color w:val="0B2C5F"/>
                <w:sz w:val="20"/>
                <w:szCs w:val="20"/>
              </w:rPr>
              <w:t xml:space="preserve"> ROTA A </w:t>
            </w:r>
            <w:r>
              <w:rPr>
                <w:rFonts w:ascii="Times New Roman" w:eastAsia="Courier New" w:hAnsi="Times New Roman" w:cs="Times New Roman"/>
                <w:color w:val="0B2C5F"/>
                <w:sz w:val="20"/>
                <w:szCs w:val="20"/>
              </w:rPr>
              <w:t>══════════════════════════════════════════════</w:t>
            </w:r>
          </w:p>
          <w:p w14:paraId="5A0D704C" w14:textId="77777777" w:rsidR="001D5E73" w:rsidRPr="00C50480" w:rsidRDefault="001D5E73">
            <w:pPr>
              <w:rPr>
                <w:rFonts w:eastAsia="Courier New" w:cs="Courier New"/>
                <w:color w:val="0B2C5F"/>
                <w:sz w:val="20"/>
                <w:szCs w:val="20"/>
              </w:rPr>
            </w:pPr>
          </w:p>
          <w:p w14:paraId="5099EB6D"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P3-A, A conduta foi consentida?</w:t>
            </w:r>
          </w:p>
          <w:p w14:paraId="3BE989F1"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P4-A (escândalo/moralidade mesmo com consentimento)</w:t>
            </w:r>
          </w:p>
          <w:p w14:paraId="095DB81F" w14:textId="77777777" w:rsidR="001D5E73" w:rsidRPr="00C50480" w:rsidRDefault="001D5E73">
            <w:pPr>
              <w:rPr>
                <w:rFonts w:eastAsia="Courier New" w:cs="Courier New"/>
                <w:color w:val="0B2C5F"/>
                <w:sz w:val="20"/>
                <w:szCs w:val="20"/>
              </w:rPr>
            </w:pPr>
            <w:r>
              <w:rPr>
                <w:rFonts w:eastAsia="Courier New" w:cs="Courier New"/>
                <w:color w:val="0B2C5F"/>
                <w:sz w:val="20"/>
                <w:szCs w:val="20"/>
              </w:rPr>
              <w:lastRenderedPageBreak/>
              <w:t xml:space="preserve">  NÃO → P5-A (impacto grave à vítima)</w:t>
            </w:r>
          </w:p>
          <w:p w14:paraId="6B6D415F" w14:textId="77777777" w:rsidR="001D5E73" w:rsidRPr="00C50480" w:rsidRDefault="001D5E73">
            <w:pPr>
              <w:rPr>
                <w:rFonts w:eastAsia="Courier New" w:cs="Courier New"/>
                <w:color w:val="0B2C5F"/>
                <w:sz w:val="20"/>
                <w:szCs w:val="20"/>
              </w:rPr>
            </w:pPr>
          </w:p>
          <w:p w14:paraId="5971B79F"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P4-A, A conduta consentida causou escândalo ou ofendeu</w:t>
            </w:r>
          </w:p>
          <w:p w14:paraId="7A9E2DFE"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ostensivamente a moralidade administrativa?</w:t>
            </w:r>
          </w:p>
          <w:p w14:paraId="2157644F"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Resultado A, assédio sexual consentido com escândalo (art. 116, IX)</w:t>
            </w:r>
          </w:p>
          <w:p w14:paraId="30AFE811"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P4-A-bis</w:t>
            </w:r>
          </w:p>
          <w:p w14:paraId="6766A4F2" w14:textId="77777777" w:rsidR="001D5E73" w:rsidRPr="00C50480" w:rsidRDefault="001D5E73">
            <w:pPr>
              <w:rPr>
                <w:rFonts w:eastAsia="Courier New" w:cs="Courier New"/>
                <w:color w:val="0B2C5F"/>
                <w:sz w:val="20"/>
                <w:szCs w:val="20"/>
              </w:rPr>
            </w:pPr>
          </w:p>
          <w:p w14:paraId="67D2D0C5"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P4-A-bis, </w:t>
            </w:r>
            <w:proofErr w:type="gramStart"/>
            <w:r>
              <w:rPr>
                <w:rFonts w:eastAsia="Courier New" w:cs="Courier New"/>
                <w:color w:val="0B2C5F"/>
                <w:sz w:val="20"/>
                <w:szCs w:val="20"/>
              </w:rPr>
              <w:t>Há</w:t>
            </w:r>
            <w:proofErr w:type="gramEnd"/>
            <w:r>
              <w:rPr>
                <w:rFonts w:eastAsia="Courier New" w:cs="Courier New"/>
                <w:color w:val="0B2C5F"/>
                <w:sz w:val="20"/>
                <w:szCs w:val="20"/>
              </w:rPr>
              <w:t xml:space="preserve"> relação hierárquica direta entre os envolvidos</w:t>
            </w:r>
          </w:p>
          <w:p w14:paraId="1DA0153F"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na conduta consentida?</w:t>
            </w:r>
          </w:p>
          <w:p w14:paraId="215BD925"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Resultado B-1, sem ilícito disciplinar, com alerta</w:t>
            </w:r>
          </w:p>
          <w:p w14:paraId="5BA63050"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de impedimento funcional</w:t>
            </w:r>
          </w:p>
          <w:p w14:paraId="11985F08"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Resultado B, sem ilícito disciplinar</w:t>
            </w:r>
          </w:p>
          <w:p w14:paraId="1D8273F3" w14:textId="77777777" w:rsidR="001D5E73" w:rsidRPr="00C50480" w:rsidRDefault="001D5E73">
            <w:pPr>
              <w:rPr>
                <w:rFonts w:eastAsia="Courier New" w:cs="Courier New"/>
                <w:color w:val="0B2C5F"/>
                <w:sz w:val="20"/>
                <w:szCs w:val="20"/>
              </w:rPr>
            </w:pPr>
          </w:p>
          <w:p w14:paraId="30A6F40A"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P5-A, </w:t>
            </w:r>
            <w:proofErr w:type="gramStart"/>
            <w:r>
              <w:rPr>
                <w:rFonts w:eastAsia="Courier New" w:cs="Courier New"/>
                <w:color w:val="0B2C5F"/>
                <w:sz w:val="20"/>
                <w:szCs w:val="20"/>
              </w:rPr>
              <w:t>Houve</w:t>
            </w:r>
            <w:proofErr w:type="gramEnd"/>
            <w:r>
              <w:rPr>
                <w:rFonts w:eastAsia="Courier New" w:cs="Courier New"/>
                <w:color w:val="0B2C5F"/>
                <w:sz w:val="20"/>
                <w:szCs w:val="20"/>
              </w:rPr>
              <w:t xml:space="preserve"> grave impacto à dignidade ou liberdade da vítima?</w:t>
            </w:r>
          </w:p>
          <w:p w14:paraId="0FECF768"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GATE → Resultado C, impacto grave (art. 132, V, demissão)</w:t>
            </w:r>
          </w:p>
          <w:p w14:paraId="10DC071C"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P6-A (uso do cargo)</w:t>
            </w:r>
          </w:p>
          <w:p w14:paraId="640964BB" w14:textId="77777777" w:rsidR="001D5E73" w:rsidRPr="00C50480" w:rsidRDefault="001D5E73">
            <w:pPr>
              <w:rPr>
                <w:rFonts w:eastAsia="Courier New" w:cs="Courier New"/>
                <w:color w:val="0B2C5F"/>
                <w:sz w:val="20"/>
                <w:szCs w:val="20"/>
              </w:rPr>
            </w:pPr>
          </w:p>
          <w:p w14:paraId="576A568A"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P6-A, </w:t>
            </w:r>
            <w:proofErr w:type="gramStart"/>
            <w:r>
              <w:rPr>
                <w:rFonts w:eastAsia="Courier New" w:cs="Courier New"/>
                <w:color w:val="0B2C5F"/>
                <w:sz w:val="20"/>
                <w:szCs w:val="20"/>
              </w:rPr>
              <w:t>Houve</w:t>
            </w:r>
            <w:proofErr w:type="gramEnd"/>
            <w:r>
              <w:rPr>
                <w:rFonts w:eastAsia="Courier New" w:cs="Courier New"/>
                <w:color w:val="0B2C5F"/>
                <w:sz w:val="20"/>
                <w:szCs w:val="20"/>
              </w:rPr>
              <w:t xml:space="preserve"> uso do cargo ou ascendência funcional?</w:t>
            </w:r>
          </w:p>
          <w:p w14:paraId="2586C899"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GATE → Resultado D, valimento do cargo (art. 117, IX, demissão)</w:t>
            </w:r>
          </w:p>
          <w:p w14:paraId="3ECA4E9A"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Resultado E, conduta imprópria (art. 116, II e IX, adv./</w:t>
            </w:r>
            <w:proofErr w:type="spellStart"/>
            <w:r>
              <w:rPr>
                <w:rFonts w:eastAsia="Courier New" w:cs="Courier New"/>
                <w:color w:val="0B2C5F"/>
                <w:sz w:val="20"/>
                <w:szCs w:val="20"/>
              </w:rPr>
              <w:t>susp</w:t>
            </w:r>
            <w:proofErr w:type="spellEnd"/>
            <w:r>
              <w:rPr>
                <w:rFonts w:eastAsia="Courier New" w:cs="Courier New"/>
                <w:color w:val="0B2C5F"/>
                <w:sz w:val="20"/>
                <w:szCs w:val="20"/>
              </w:rPr>
              <w:t>.)</w:t>
            </w:r>
          </w:p>
          <w:p w14:paraId="72364C8C" w14:textId="77777777" w:rsidR="001D5E73" w:rsidRPr="00C50480" w:rsidRDefault="001D5E73">
            <w:pPr>
              <w:rPr>
                <w:rFonts w:eastAsia="Courier New" w:cs="Courier New"/>
                <w:color w:val="0B2C5F"/>
                <w:sz w:val="20"/>
                <w:szCs w:val="20"/>
              </w:rPr>
            </w:pPr>
          </w:p>
          <w:p w14:paraId="28239890" w14:textId="77777777" w:rsidR="001D5E73" w:rsidRPr="00C50480" w:rsidRDefault="001D5E73">
            <w:pPr>
              <w:rPr>
                <w:rFonts w:eastAsia="Courier New" w:cs="Courier New"/>
                <w:color w:val="0B2C5F"/>
                <w:sz w:val="20"/>
                <w:szCs w:val="20"/>
              </w:rPr>
            </w:pPr>
            <w:r>
              <w:rPr>
                <w:rFonts w:ascii="Times New Roman" w:eastAsia="Courier New" w:hAnsi="Times New Roman" w:cs="Times New Roman"/>
                <w:color w:val="0B2C5F"/>
                <w:sz w:val="20"/>
                <w:szCs w:val="20"/>
              </w:rPr>
              <w:t>══</w:t>
            </w:r>
            <w:r>
              <w:rPr>
                <w:rFonts w:eastAsia="Courier New" w:cs="Courier New"/>
                <w:color w:val="0B2C5F"/>
                <w:sz w:val="20"/>
                <w:szCs w:val="20"/>
              </w:rPr>
              <w:t xml:space="preserve"> ROTA B </w:t>
            </w:r>
            <w:r>
              <w:rPr>
                <w:rFonts w:ascii="Times New Roman" w:eastAsia="Courier New" w:hAnsi="Times New Roman" w:cs="Times New Roman"/>
                <w:color w:val="0B2C5F"/>
                <w:sz w:val="20"/>
                <w:szCs w:val="20"/>
              </w:rPr>
              <w:t>══════════════════════════════════════════════</w:t>
            </w:r>
          </w:p>
          <w:p w14:paraId="78A08FF8" w14:textId="77777777" w:rsidR="001F2E1B" w:rsidRDefault="00057971">
            <w:pPr>
              <w:rPr>
                <w:rFonts w:eastAsia="Courier New" w:cs="Courier New"/>
                <w:color w:val="0B2C5F"/>
                <w:sz w:val="20"/>
                <w:szCs w:val="20"/>
              </w:rPr>
            </w:pPr>
            <w:r>
              <w:rPr>
                <w:rFonts w:eastAsia="Courier New" w:cs="Courier New"/>
                <w:color w:val="0B2C5F"/>
                <w:sz w:val="20"/>
                <w:szCs w:val="20"/>
              </w:rPr>
              <w:t xml:space="preserve">P3-B, </w:t>
            </w:r>
            <w:proofErr w:type="gramStart"/>
            <w:r>
              <w:rPr>
                <w:rFonts w:eastAsia="Courier New" w:cs="Courier New"/>
                <w:color w:val="0B2C5F"/>
                <w:sz w:val="20"/>
                <w:szCs w:val="20"/>
              </w:rPr>
              <w:t>Os</w:t>
            </w:r>
            <w:proofErr w:type="gramEnd"/>
            <w:r>
              <w:rPr>
                <w:rFonts w:eastAsia="Courier New" w:cs="Courier New"/>
                <w:color w:val="0B2C5F"/>
                <w:sz w:val="20"/>
                <w:szCs w:val="20"/>
              </w:rPr>
              <w:t xml:space="preserve"> fatos correspondem, em elementos objetivos, a tipo penal do Título VI do CP (crime sexual)? </w:t>
            </w:r>
          </w:p>
          <w:p w14:paraId="42C01E1F" w14:textId="77777777" w:rsidR="001F2E1B" w:rsidRDefault="001F2E1B">
            <w:pPr>
              <w:rPr>
                <w:rFonts w:eastAsia="Courier New" w:cs="Courier New"/>
                <w:color w:val="0B2C5F"/>
                <w:sz w:val="20"/>
                <w:szCs w:val="20"/>
              </w:rPr>
            </w:pPr>
            <w:r>
              <w:rPr>
                <w:rFonts w:eastAsia="Courier New" w:cs="Courier New"/>
                <w:color w:val="0B2C5F"/>
                <w:sz w:val="20"/>
                <w:szCs w:val="20"/>
              </w:rPr>
              <w:t xml:space="preserve">  SIM → GATE → Resultado I, conotação sexual com decorrência penal (art. 132, V, demissão + comunicação ao Ministério Público)</w:t>
            </w:r>
          </w:p>
          <w:p w14:paraId="5F505D02" w14:textId="77777777" w:rsidR="00057971" w:rsidRDefault="001F2E1B">
            <w:pPr>
              <w:rPr>
                <w:rFonts w:eastAsia="Courier New" w:cs="Courier New"/>
                <w:color w:val="0B2C5F"/>
                <w:sz w:val="20"/>
                <w:szCs w:val="20"/>
              </w:rPr>
            </w:pPr>
            <w:r>
              <w:rPr>
                <w:rFonts w:eastAsia="Courier New" w:cs="Courier New"/>
                <w:color w:val="0B2C5F"/>
                <w:sz w:val="20"/>
                <w:szCs w:val="20"/>
              </w:rPr>
              <w:t xml:space="preserve">  NÃO → P4-B</w:t>
            </w:r>
          </w:p>
          <w:p w14:paraId="290CF616" w14:textId="77777777" w:rsidR="001F2E1B" w:rsidRDefault="001F2E1B">
            <w:pPr>
              <w:rPr>
                <w:rFonts w:eastAsia="Courier New" w:cs="Courier New"/>
                <w:color w:val="0B2C5F"/>
                <w:sz w:val="20"/>
                <w:szCs w:val="20"/>
              </w:rPr>
            </w:pPr>
          </w:p>
          <w:p w14:paraId="71497418"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[Três qualificadores verificados em sequência, cada um isoladamente suficiente]</w:t>
            </w:r>
          </w:p>
          <w:p w14:paraId="29F7AF36" w14:textId="77777777" w:rsidR="001D5E73" w:rsidRPr="00C50480" w:rsidRDefault="001D5E73">
            <w:pPr>
              <w:rPr>
                <w:rFonts w:eastAsia="Courier New" w:cs="Courier New"/>
                <w:color w:val="0B2C5F"/>
                <w:sz w:val="20"/>
                <w:szCs w:val="20"/>
              </w:rPr>
            </w:pPr>
          </w:p>
          <w:p w14:paraId="1E097313"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P4-B, O ato causou escândalo ou ofensa ostensiva à moralidade?</w:t>
            </w:r>
          </w:p>
          <w:p w14:paraId="6B906C2D"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Resultado </w:t>
            </w:r>
            <w:proofErr w:type="gramStart"/>
            <w:r>
              <w:rPr>
                <w:rFonts w:eastAsia="Courier New" w:cs="Courier New"/>
                <w:color w:val="0B2C5F"/>
                <w:sz w:val="20"/>
                <w:szCs w:val="20"/>
              </w:rPr>
              <w:t>F  /</w:t>
            </w:r>
            <w:proofErr w:type="gramEnd"/>
            <w:r>
              <w:rPr>
                <w:rFonts w:eastAsia="Courier New" w:cs="Courier New"/>
                <w:color w:val="0B2C5F"/>
                <w:sz w:val="20"/>
                <w:szCs w:val="20"/>
              </w:rPr>
              <w:t xml:space="preserve">  NÃO → P5-B</w:t>
            </w:r>
          </w:p>
          <w:p w14:paraId="1E92F71B" w14:textId="77777777" w:rsidR="001D5E73" w:rsidRPr="00C50480" w:rsidRDefault="001D5E73">
            <w:pPr>
              <w:rPr>
                <w:rFonts w:eastAsia="Courier New" w:cs="Courier New"/>
                <w:color w:val="0B2C5F"/>
                <w:sz w:val="20"/>
                <w:szCs w:val="20"/>
              </w:rPr>
            </w:pPr>
          </w:p>
          <w:p w14:paraId="071E8AEC"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P5-B, </w:t>
            </w:r>
            <w:proofErr w:type="gramStart"/>
            <w:r>
              <w:rPr>
                <w:rFonts w:eastAsia="Courier New" w:cs="Courier New"/>
                <w:color w:val="0B2C5F"/>
                <w:sz w:val="20"/>
                <w:szCs w:val="20"/>
              </w:rPr>
              <w:t>Houve</w:t>
            </w:r>
            <w:proofErr w:type="gramEnd"/>
            <w:r>
              <w:rPr>
                <w:rFonts w:eastAsia="Courier New" w:cs="Courier New"/>
                <w:color w:val="0B2C5F"/>
                <w:sz w:val="20"/>
                <w:szCs w:val="20"/>
              </w:rPr>
              <w:t xml:space="preserve"> grave impacto à dignidade da vítima?</w:t>
            </w:r>
          </w:p>
          <w:p w14:paraId="39C4377B"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Resultado </w:t>
            </w:r>
            <w:proofErr w:type="gramStart"/>
            <w:r>
              <w:rPr>
                <w:rFonts w:eastAsia="Courier New" w:cs="Courier New"/>
                <w:color w:val="0B2C5F"/>
                <w:sz w:val="20"/>
                <w:szCs w:val="20"/>
              </w:rPr>
              <w:t>F  /</w:t>
            </w:r>
            <w:proofErr w:type="gramEnd"/>
            <w:r>
              <w:rPr>
                <w:rFonts w:eastAsia="Courier New" w:cs="Courier New"/>
                <w:color w:val="0B2C5F"/>
                <w:sz w:val="20"/>
                <w:szCs w:val="20"/>
              </w:rPr>
              <w:t xml:space="preserve">  NÃO → P6-B</w:t>
            </w:r>
          </w:p>
          <w:p w14:paraId="379148EB" w14:textId="77777777" w:rsidR="001D5E73" w:rsidRPr="00C50480" w:rsidRDefault="001D5E73">
            <w:pPr>
              <w:rPr>
                <w:rFonts w:eastAsia="Courier New" w:cs="Courier New"/>
                <w:color w:val="0B2C5F"/>
                <w:sz w:val="20"/>
                <w:szCs w:val="20"/>
              </w:rPr>
            </w:pPr>
          </w:p>
          <w:p w14:paraId="5BA7340A"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P6-B, </w:t>
            </w:r>
            <w:proofErr w:type="gramStart"/>
            <w:r>
              <w:rPr>
                <w:rFonts w:eastAsia="Courier New" w:cs="Courier New"/>
                <w:color w:val="0B2C5F"/>
                <w:sz w:val="20"/>
                <w:szCs w:val="20"/>
              </w:rPr>
              <w:t>Houve</w:t>
            </w:r>
            <w:proofErr w:type="gramEnd"/>
            <w:r>
              <w:rPr>
                <w:rFonts w:eastAsia="Courier New" w:cs="Courier New"/>
                <w:color w:val="0B2C5F"/>
                <w:sz w:val="20"/>
                <w:szCs w:val="20"/>
              </w:rPr>
              <w:t xml:space="preserve"> uso do cargo ou ascendência funcional?</w:t>
            </w:r>
          </w:p>
          <w:p w14:paraId="38844737"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SIM → GATE → Resultado G, valimento do cargo (art. 117, IX, demissão)</w:t>
            </w:r>
          </w:p>
          <w:p w14:paraId="45ACCBD1"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 Resultado H, conduta imprópria (art. 116, II e XI, adv./</w:t>
            </w:r>
            <w:proofErr w:type="spellStart"/>
            <w:r>
              <w:rPr>
                <w:rFonts w:eastAsia="Courier New" w:cs="Courier New"/>
                <w:color w:val="0B2C5F"/>
                <w:sz w:val="20"/>
                <w:szCs w:val="20"/>
              </w:rPr>
              <w:t>susp</w:t>
            </w:r>
            <w:proofErr w:type="spellEnd"/>
            <w:r>
              <w:rPr>
                <w:rFonts w:eastAsia="Courier New" w:cs="Courier New"/>
                <w:color w:val="0B2C5F"/>
                <w:sz w:val="20"/>
                <w:szCs w:val="20"/>
              </w:rPr>
              <w:t>.)</w:t>
            </w:r>
          </w:p>
        </w:tc>
      </w:tr>
    </w:tbl>
    <w:p w14:paraId="4444B153" w14:textId="77777777" w:rsidR="001D5E73" w:rsidRDefault="001D5E73">
      <w:pPr>
        <w:spacing w:before="200"/>
      </w:pPr>
    </w:p>
    <w:p w14:paraId="1A538B74" w14:textId="77777777" w:rsidR="001D5E73" w:rsidRDefault="001D5E73">
      <w:pPr>
        <w:pStyle w:val="Ttulo2"/>
        <w:keepNext/>
        <w:pBdr>
          <w:left w:val="single" w:sz="10" w:space="6" w:color="C9A35C"/>
        </w:pBdr>
      </w:pPr>
      <w:bookmarkStart w:id="137" w:name="_Toc238022131"/>
      <w:r>
        <w:lastRenderedPageBreak/>
        <w:t>P1, A conduta possui conotação sexual objetivamente identificável?</w:t>
      </w:r>
      <w:bookmarkEnd w:id="137"/>
    </w:p>
    <w:p w14:paraId="1219B3DD" w14:textId="77777777" w:rsidR="001D5E73" w:rsidRDefault="001D5E73">
      <w:pPr>
        <w:pStyle w:val="Ttulo3"/>
        <w:keepNext/>
      </w:pPr>
      <w:r>
        <w:rPr>
          <w:rFonts w:ascii="Calibri" w:eastAsia="Calibri" w:hAnsi="Calibri" w:cs="Calibri"/>
        </w:rPr>
        <w:t>O que avaliar</w:t>
      </w:r>
    </w:p>
    <w:p w14:paraId="7F15ED23" w14:textId="77777777" w:rsidR="001D5E73" w:rsidRDefault="001D5E73">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um observador razoável, analisando a conduta, reconheceria nela conteúdo ou caráter sexual?</w:t>
      </w:r>
      <w:r>
        <w:rPr>
          <w:rFonts w:ascii="Calibri" w:eastAsia="Calibri" w:hAnsi="Calibri" w:cs="Calibri"/>
          <w:color w:val="051A3D"/>
          <w:sz w:val="22"/>
          <w:szCs w:val="22"/>
        </w:rPr>
        <w:t xml:space="preserve"> O critério é objetivo, não depende de como o agressor descreve a conduta nem de como a vítima a nomeou na denúncia.</w:t>
      </w:r>
    </w:p>
    <w:p w14:paraId="07375F57" w14:textId="77777777" w:rsidR="001D5E73" w:rsidRDefault="001D5E73">
      <w:pPr>
        <w:spacing w:after="120"/>
        <w:jc w:val="both"/>
      </w:pPr>
      <w:r>
        <w:rPr>
          <w:rFonts w:ascii="Calibri" w:eastAsia="Calibri" w:hAnsi="Calibri" w:cs="Calibri"/>
          <w:color w:val="051A3D"/>
          <w:sz w:val="22"/>
          <w:szCs w:val="22"/>
        </w:rPr>
        <w:t>A conotação sexual pode se manifestar em qualquer forma: verbal (comentários, piadas, insinuações), escrita (mensagens, e-mails), gestual, visual (exibição de material), física (toque indesejado), ou por criação de ambiente (exposição sistemática a conteúdo sexualizado).</w:t>
      </w:r>
    </w:p>
    <w:p w14:paraId="72513763" w14:textId="77777777" w:rsidR="001D5E73" w:rsidRDefault="001D5E73">
      <w:pPr>
        <w:spacing w:after="120"/>
        <w:jc w:val="both"/>
      </w:pPr>
      <w:r>
        <w:rPr>
          <w:rFonts w:ascii="Calibri" w:eastAsia="Calibri" w:hAnsi="Calibri" w:cs="Calibri"/>
          <w:color w:val="051A3D"/>
          <w:sz w:val="22"/>
          <w:szCs w:val="22"/>
        </w:rPr>
        <w:t>O fato de a conduta ser 'velada' ou disfarçada de 'elogio' não afasta a conotação sexual objetiva. O fato de outros colegas não terem se sentido ofendidos também não, a percepção da vítima é o parâmetro primário, desde que objetivamente plausível.</w:t>
      </w:r>
    </w:p>
    <w:p w14:paraId="30C6C64E" w14:textId="77777777" w:rsidR="001D5E73" w:rsidRDefault="001D5E73">
      <w:pPr>
        <w:pStyle w:val="Ttulo3"/>
        <w:keepNext/>
      </w:pPr>
      <w:r>
        <w:rPr>
          <w:rFonts w:ascii="Calibri" w:eastAsia="Calibri" w:hAnsi="Calibri" w:cs="Calibri"/>
        </w:rPr>
        <w:t>Satisfaz a condição, responda SIM</w:t>
      </w:r>
    </w:p>
    <w:p w14:paraId="54B26332"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Comentários sobre o corpo da vítima com conotação ou interesse sexual</w:t>
      </w:r>
    </w:p>
    <w:p w14:paraId="5A944C3B"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Piadas, insinuações ou 'elogios' de teor sexual, ainda que velados ou formulados como humor</w:t>
      </w:r>
    </w:p>
    <w:p w14:paraId="063D4FD3"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Envio de imagens, vídeos ou mensagens com conteúdo sexualizado por qualquer canal</w:t>
      </w:r>
    </w:p>
    <w:p w14:paraId="792C03B4"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Toque físico não solicitado de natureza sexual, colo, abraço forçado com contato íntimo, carícia</w:t>
      </w:r>
    </w:p>
    <w:p w14:paraId="2896F71E"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Perguntas sobre a vida íntima ou sexual da vítima</w:t>
      </w:r>
    </w:p>
    <w:p w14:paraId="429314F0"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Convites reiterados para encontros ou situações de natureza íntima, especialmente após recusa</w:t>
      </w:r>
    </w:p>
    <w:p w14:paraId="1F970944"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Exibição de material pornográfico ou criação de ambiente com conteúdo sexualizado</w:t>
      </w:r>
    </w:p>
    <w:p w14:paraId="004B3386"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Pressão por favores sexuais com promessa de tratamento diferenciado ou ameaça de represália</w:t>
      </w:r>
    </w:p>
    <w:p w14:paraId="60044989" w14:textId="77777777" w:rsidR="001D5E73" w:rsidRDefault="001D5E73">
      <w:pPr>
        <w:pStyle w:val="Ttulo3"/>
        <w:keepNext/>
      </w:pPr>
      <w:r>
        <w:rPr>
          <w:rFonts w:ascii="Calibri" w:eastAsia="Calibri" w:hAnsi="Calibri" w:cs="Calibri"/>
        </w:rPr>
        <w:t>Não satisfaz a condição, responda NÃO</w:t>
      </w:r>
    </w:p>
    <w:p w14:paraId="1F85ECE8"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Conduta hostil, humilhante ou discriminatória sem qualquer conteúdo sexualizado, avalie Eixo 5 ou Eixo 4</w:t>
      </w:r>
    </w:p>
    <w:p w14:paraId="6FDE43DD"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Elogio à aparência sem conotação sexual objetiva ('você está bem hoje')</w:t>
      </w:r>
    </w:p>
    <w:p w14:paraId="3CDE6F58"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Contato físico funcional ou social de mínima intensidade e sem caráter sexual</w:t>
      </w:r>
    </w:p>
    <w:p w14:paraId="3C6258C3"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Conduta com motivação de gênero ou identidade de gênero sem conteúdo sexual, avalie Eixo 4</w:t>
      </w:r>
    </w:p>
    <w:p w14:paraId="23F409DB" w14:textId="77777777" w:rsidR="001D5E73" w:rsidRDefault="001D5E73">
      <w:pPr>
        <w:pStyle w:val="Ttulo3"/>
        <w:keepNext/>
      </w:pPr>
      <w:r>
        <w:rPr>
          <w:rFonts w:ascii="Calibri" w:eastAsia="Calibri" w:hAnsi="Calibri" w:cs="Calibri"/>
        </w:rPr>
        <w:t>O que buscar nos autos</w:t>
      </w:r>
    </w:p>
    <w:p w14:paraId="642AE84E"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Relato da vítima com a descrição objetiva da conduta, palavras exatas, gestos, conteúdo enviado</w:t>
      </w:r>
    </w:p>
    <w:p w14:paraId="5D1ED8B1"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Registros eletrônicos: mensagens, e-mails, prints de conversas, preservar antes de qualquer outra diligência</w:t>
      </w:r>
    </w:p>
    <w:p w14:paraId="036BEEC6"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Depoimentos de testemunhas que presenciaram ou ouviram a conduta</w:t>
      </w:r>
    </w:p>
    <w:p w14:paraId="5EB3C7B1"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Histórico de episódios anteriores entre as partes, quando existente</w:t>
      </w:r>
    </w:p>
    <w:p w14:paraId="3200C01F" w14:textId="77777777" w:rsidR="001D5E73" w:rsidRDefault="001D5E7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17945187"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61D73189" w14:textId="77777777" w:rsidR="001D5E73" w:rsidRDefault="001D5E73">
            <w:pPr>
              <w:jc w:val="both"/>
            </w:pPr>
            <w:r>
              <w:rPr>
                <w:rFonts w:ascii="Calibri" w:eastAsia="Calibri" w:hAnsi="Calibri" w:cs="Calibri"/>
                <w:b/>
                <w:bCs/>
                <w:color w:val="0B2C5F"/>
                <w:sz w:val="20"/>
                <w:szCs w:val="20"/>
              </w:rPr>
              <w:t>Alerta, negativa de intenção não afasta a conotação:</w:t>
            </w:r>
            <w:r>
              <w:rPr>
                <w:rFonts w:ascii="Calibri" w:eastAsia="Calibri" w:hAnsi="Calibri" w:cs="Calibri"/>
                <w:color w:val="051A3D"/>
                <w:sz w:val="20"/>
                <w:szCs w:val="20"/>
              </w:rPr>
              <w:t xml:space="preserve"> a declaração do agressor de que 'não pretendia ofender', 'era brincadeira' ou 'foi um elogio' não é fundamento suficiente para responder NÃO a esta pergunta. O critério é objetivo: a conduta tem conotação sexual identificável por observador razoável?</w:t>
            </w:r>
          </w:p>
        </w:tc>
      </w:tr>
    </w:tbl>
    <w:p w14:paraId="30086C14" w14:textId="77777777" w:rsidR="001D5E73" w:rsidRDefault="001D5E73">
      <w:pPr>
        <w:spacing w:before="80"/>
      </w:pPr>
    </w:p>
    <w:p w14:paraId="4E271268" w14:textId="77777777" w:rsidR="001D5E73" w:rsidRDefault="001D5E73">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P2</w:t>
      </w:r>
    </w:p>
    <w:p w14:paraId="4BFA0323" w14:textId="77777777" w:rsidR="001D5E73" w:rsidRDefault="001D5E73">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Eixo 4 (se houver motivação discriminatória) ou Eixo 5 (se houver padrão de condutas hostis)</w:t>
      </w:r>
    </w:p>
    <w:p w14:paraId="51572A02" w14:textId="77777777" w:rsidR="001D5E73" w:rsidRDefault="001D5E73">
      <w:pPr>
        <w:pBdr>
          <w:bottom w:val="single" w:sz="4" w:space="1" w:color="C9A35C"/>
        </w:pBdr>
        <w:spacing w:before="200" w:after="200"/>
      </w:pPr>
    </w:p>
    <w:p w14:paraId="17F375D5" w14:textId="77777777" w:rsidR="001D5E73" w:rsidRDefault="001D5E73">
      <w:pPr>
        <w:pStyle w:val="Ttulo2"/>
        <w:keepNext/>
        <w:pBdr>
          <w:left w:val="single" w:sz="10" w:space="6" w:color="C9A35C"/>
        </w:pBdr>
      </w:pPr>
      <w:bookmarkStart w:id="138" w:name="_Toc238022132"/>
      <w:r>
        <w:t>P2, A conduta visava obter favorecimento ou vantagem sexual?</w:t>
      </w:r>
      <w:bookmarkEnd w:id="138"/>
    </w:p>
    <w:p w14:paraId="71FC1D74" w14:textId="77777777" w:rsidR="001D5E73" w:rsidRDefault="001D5E73">
      <w:pPr>
        <w:pStyle w:val="Ttulo3"/>
        <w:keepNext/>
      </w:pPr>
      <w:r>
        <w:rPr>
          <w:rFonts w:ascii="Calibri" w:eastAsia="Calibri" w:hAnsi="Calibri" w:cs="Calibri"/>
        </w:rPr>
        <w:t>O que avaliar</w:t>
      </w:r>
    </w:p>
    <w:p w14:paraId="7002EA5E" w14:textId="77777777" w:rsidR="001D5E73" w:rsidRDefault="001D5E73">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havia uma condicionalidade, explícita ou implícita, entre a conduta sexual e alguma vantagem ou desvantagem funcional?</w:t>
      </w:r>
      <w:r>
        <w:rPr>
          <w:rFonts w:ascii="Calibri" w:eastAsia="Calibri" w:hAnsi="Calibri" w:cs="Calibri"/>
          <w:color w:val="051A3D"/>
          <w:sz w:val="22"/>
          <w:szCs w:val="22"/>
        </w:rPr>
        <w:t xml:space="preserve"> Essa condicionalidade é o elemento que define o assédio sexual quid pro quo e abre a Rota A. Quando não há essa finalidade, a conduta é ato de conotação sexual ambiental e segue a Rota B.</w:t>
      </w:r>
    </w:p>
    <w:p w14:paraId="3AE60279" w14:textId="77777777" w:rsidR="001D5E73" w:rsidRDefault="001D5E73">
      <w:pPr>
        <w:spacing w:after="120"/>
        <w:jc w:val="both"/>
      </w:pPr>
      <w:r>
        <w:rPr>
          <w:rFonts w:ascii="Calibri" w:eastAsia="Calibri" w:hAnsi="Calibri" w:cs="Calibri"/>
          <w:color w:val="051A3D"/>
          <w:sz w:val="22"/>
          <w:szCs w:val="22"/>
        </w:rPr>
        <w:t>A condicionalidade raramente é explícita. Identifica-se pelos indicadores: o agressor tem poder funcional sobre a carreira da vítima; há padrão de tratamento favorável quando a vítima não resiste e adverso quando resiste; a vítima relata ter percebido a expectativa mesmo sem que ela fosse declarada.</w:t>
      </w:r>
    </w:p>
    <w:p w14:paraId="24F9AC35" w14:textId="77777777" w:rsidR="001D5E73" w:rsidRDefault="001D5E73">
      <w:pPr>
        <w:pStyle w:val="Ttulo3"/>
        <w:keepNext/>
      </w:pPr>
      <w:r>
        <w:rPr>
          <w:rFonts w:ascii="Calibri" w:eastAsia="Calibri" w:hAnsi="Calibri" w:cs="Calibri"/>
        </w:rPr>
        <w:t>Satisfaz a condição, responda SIM (Rota A)</w:t>
      </w:r>
    </w:p>
    <w:p w14:paraId="19503556"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Servidor que condiciona, explicitamente ou implicitamente, a progressão funcional a favores sexuais</w:t>
      </w:r>
    </w:p>
    <w:p w14:paraId="351AF40B"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Conduta sexual acompanhada de promessa de benefício funcional</w:t>
      </w:r>
    </w:p>
    <w:p w14:paraId="66110EA1"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Padrão documentado de tratamento favorável quando a vítima cede e adverso quando resiste</w:t>
      </w:r>
    </w:p>
    <w:p w14:paraId="376B1F04"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Vítima relata ter percebido a expectativa de favorecimento sexual como condição implícita da relação</w:t>
      </w:r>
    </w:p>
    <w:p w14:paraId="23919ED7" w14:textId="77777777" w:rsidR="001D5E73" w:rsidRDefault="001D5E73">
      <w:pPr>
        <w:pStyle w:val="Ttulo3"/>
        <w:keepNext/>
      </w:pPr>
      <w:r>
        <w:rPr>
          <w:rFonts w:ascii="Calibri" w:eastAsia="Calibri" w:hAnsi="Calibri" w:cs="Calibri"/>
        </w:rPr>
        <w:t>Não satisfaz a condição, responda NÃO (Rota B)</w:t>
      </w:r>
    </w:p>
    <w:p w14:paraId="24877566"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Conduta sexualizada sem qualquer vínculo com benefício ou prejuízo funcional</w:t>
      </w:r>
    </w:p>
    <w:p w14:paraId="7BAF94FB"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Criação de ambiente sexualizado sem que o agressor busque vantagem sexual específica da vítima</w:t>
      </w:r>
    </w:p>
    <w:p w14:paraId="19F3539A"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Conduta recorrente sem evidência de condicionalidade funcional</w:t>
      </w:r>
    </w:p>
    <w:p w14:paraId="26DAFC82" w14:textId="77777777" w:rsidR="001D5E73" w:rsidRDefault="001D5E7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74093F1D"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3A15DE98" w14:textId="77777777" w:rsidR="001D5E73" w:rsidRDefault="001D5E73">
            <w:pPr>
              <w:jc w:val="both"/>
            </w:pPr>
            <w:r>
              <w:rPr>
                <w:rFonts w:ascii="Calibri" w:eastAsia="Calibri" w:hAnsi="Calibri" w:cs="Calibri"/>
                <w:b/>
                <w:bCs/>
                <w:color w:val="0B2C5F"/>
                <w:sz w:val="20"/>
                <w:szCs w:val="20"/>
              </w:rPr>
              <w:t>Alerta, condicionalidade implícita:</w:t>
            </w:r>
            <w:r>
              <w:rPr>
                <w:rFonts w:ascii="Calibri" w:eastAsia="Calibri" w:hAnsi="Calibri" w:cs="Calibri"/>
                <w:color w:val="051A3D"/>
                <w:sz w:val="20"/>
                <w:szCs w:val="20"/>
              </w:rPr>
              <w:t xml:space="preserve"> a ausência de declaração explícita de 'troca' não significa ausência de favorecimento. Avalie o padrão de comportamento do agressor em relação à vítima e a eventual assimetria de reação conforme a resposta da vítima às investidas. Quando há dúvida entre Rota A e Rota B, a presença de relação hierárquica entre agressor e vítima é indício relevante de potencial condicionalidade implícita.</w:t>
            </w:r>
          </w:p>
        </w:tc>
      </w:tr>
    </w:tbl>
    <w:p w14:paraId="21C729D5" w14:textId="77777777" w:rsidR="001D5E73" w:rsidRDefault="001D5E73">
      <w:pPr>
        <w:spacing w:before="80"/>
      </w:pPr>
    </w:p>
    <w:p w14:paraId="709C923D" w14:textId="77777777" w:rsidR="001D5E73" w:rsidRDefault="001D5E73">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ROTA A, P3-A</w:t>
      </w:r>
    </w:p>
    <w:p w14:paraId="41A32166" w14:textId="77777777" w:rsidR="001D5E73" w:rsidRDefault="001D5E73">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ROTA B, P3-B</w:t>
      </w:r>
    </w:p>
    <w:p w14:paraId="2A452DFB" w14:textId="77777777" w:rsidR="001D5E73" w:rsidRDefault="001D5E73">
      <w:pPr>
        <w:pBdr>
          <w:bottom w:val="single" w:sz="4" w:space="1" w:color="C9A35C"/>
        </w:pBdr>
        <w:spacing w:before="200" w:after="200"/>
      </w:pPr>
    </w:p>
    <w:p w14:paraId="3B01CD8D" w14:textId="77777777" w:rsidR="001D5E73" w:rsidRDefault="001D5E73">
      <w:pPr>
        <w:spacing w:before="120" w:after="60"/>
      </w:pPr>
      <w:r>
        <w:rPr>
          <w:rFonts w:ascii="Barlow Condensed" w:eastAsia="Barlow Condensed" w:hAnsi="Barlow Condensed" w:cs="Barlow Condensed"/>
          <w:b/>
          <w:bCs/>
          <w:color w:val="0B2C5F"/>
          <w:sz w:val="22"/>
          <w:szCs w:val="22"/>
        </w:rPr>
        <w:lastRenderedPageBreak/>
        <w:t>═══ ROTA A, COM FAVORECIMENTO ═══</w:t>
      </w:r>
    </w:p>
    <w:p w14:paraId="4F376C1E" w14:textId="77777777" w:rsidR="001D5E73" w:rsidRDefault="001D5E73">
      <w:pPr>
        <w:spacing w:before="80"/>
      </w:pPr>
    </w:p>
    <w:p w14:paraId="1C3BA932" w14:textId="77777777" w:rsidR="001D5E73" w:rsidRDefault="001D5E73">
      <w:pPr>
        <w:pStyle w:val="Ttulo2"/>
        <w:keepNext/>
        <w:pBdr>
          <w:left w:val="single" w:sz="10" w:space="6" w:color="C9A35C"/>
        </w:pBdr>
      </w:pPr>
      <w:bookmarkStart w:id="139" w:name="_Toc238022133"/>
      <w:r>
        <w:t>P3-A, A conduta foi consentida?</w:t>
      </w:r>
      <w:bookmarkEnd w:id="139"/>
    </w:p>
    <w:p w14:paraId="37D6A507" w14:textId="77777777" w:rsidR="001D5E73" w:rsidRDefault="001D5E73">
      <w:pPr>
        <w:pStyle w:val="Ttulo3"/>
        <w:keepNext/>
      </w:pPr>
      <w:r>
        <w:rPr>
          <w:rFonts w:ascii="Calibri" w:eastAsia="Calibri" w:hAnsi="Calibri" w:cs="Calibri"/>
        </w:rPr>
        <w:t>O que avaliar</w:t>
      </w:r>
    </w:p>
    <w:p w14:paraId="4085CA6B" w14:textId="77777777" w:rsidR="001D5E73" w:rsidRDefault="001D5E73">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há elementos concretos nos autos que demonstrem adesão voluntária e livre da vítima à conduta, sem pressão decorrente da relação funcional?</w:t>
      </w:r>
      <w:r>
        <w:rPr>
          <w:rFonts w:ascii="Calibri" w:eastAsia="Calibri" w:hAnsi="Calibri" w:cs="Calibri"/>
          <w:color w:val="051A3D"/>
          <w:sz w:val="22"/>
          <w:szCs w:val="22"/>
        </w:rPr>
        <w:t xml:space="preserve"> O consentimento que exclui o ilícito mais grave precisa ser livre, inequívoco e isento de coerção, inclusive a coerção estrutural da hierarquia.</w:t>
      </w:r>
    </w:p>
    <w:p w14:paraId="67B352A5" w14:textId="77777777" w:rsidR="001D5E73" w:rsidRDefault="001D5E73">
      <w:pPr>
        <w:spacing w:after="120"/>
        <w:jc w:val="both"/>
      </w:pPr>
      <w:r>
        <w:rPr>
          <w:rFonts w:ascii="Calibri" w:eastAsia="Calibri" w:hAnsi="Calibri" w:cs="Calibri"/>
          <w:color w:val="051A3D"/>
          <w:sz w:val="22"/>
          <w:szCs w:val="22"/>
        </w:rPr>
        <w:t>Este é o ponto de maior risco de erro do Eixo 3. O consentimento em relações de trabalho hierárquicas é estruturalmente comprometido: a assimetria de poder entre superior e subordinado raramente permite que a vítima exerça recusa sem calcular os custos funcionais dessa recusa. Silêncio, tolerância passiva e ausência de resistência explícita não são consentimento, são, frequentemente, estratégias de sobrevivência funcional.</w:t>
      </w:r>
    </w:p>
    <w:p w14:paraId="657673BC" w14:textId="77777777" w:rsidR="001D5E73" w:rsidRDefault="001D5E73">
      <w:pPr>
        <w:spacing w:after="120"/>
        <w:jc w:val="both"/>
      </w:pPr>
      <w:r>
        <w:rPr>
          <w:rFonts w:ascii="Calibri" w:eastAsia="Calibri" w:hAnsi="Calibri" w:cs="Calibri"/>
          <w:color w:val="051A3D"/>
          <w:sz w:val="22"/>
          <w:szCs w:val="22"/>
        </w:rPr>
        <w:t xml:space="preserve">Os três cenários mais comuns de 'consentimento aparente' que não são consentimento genuíno: a vítima que 'tolera' porque teme represália funcional; a vítima que 'cede' porque percebe que a recusa tem custos que não pode suportar; a vítima que só denuncia depois de meses ou anos, quando acumulou recursos para fazê-lo. </w:t>
      </w:r>
      <w:r>
        <w:rPr>
          <w:rFonts w:ascii="Calibri" w:eastAsia="Calibri" w:hAnsi="Calibri" w:cs="Calibri"/>
          <w:b/>
          <w:bCs/>
          <w:color w:val="051A3D"/>
          <w:sz w:val="22"/>
          <w:szCs w:val="22"/>
        </w:rPr>
        <w:t>A denúncia tardia não é contradição, é sinal de que a vítima antes não tinha condições de denunciar.</w:t>
      </w:r>
    </w:p>
    <w:p w14:paraId="0C42CD70" w14:textId="77777777" w:rsidR="001D5E73" w:rsidRDefault="001D5E73">
      <w:pPr>
        <w:pStyle w:val="Ttulo3"/>
        <w:keepNext/>
      </w:pPr>
      <w:r>
        <w:rPr>
          <w:rFonts w:ascii="Calibri" w:eastAsia="Calibri" w:hAnsi="Calibri" w:cs="Calibri"/>
        </w:rPr>
        <w:t>Satisfaz a condição, responda SIM</w:t>
      </w:r>
    </w:p>
    <w:p w14:paraId="79D008DE"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Há relato consistente e contemporâneo de que a vítima aderiu de forma espontânea e livre à conduta</w:t>
      </w:r>
    </w:p>
    <w:p w14:paraId="3CF11BEB"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Não existe relação hierárquica ou dependência funcional entre as partes que comprometa a liberdade de escolha</w:t>
      </w:r>
    </w:p>
    <w:p w14:paraId="08C8D62C"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A vítima confirmou o consentimento de forma inequívoca em depoimento, sem indícios de pressão prévia</w:t>
      </w:r>
    </w:p>
    <w:p w14:paraId="1BCD1A9F"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Trata-se de relação afetiva mútua demonstrável por elementos externos aos relatos das partes</w:t>
      </w:r>
    </w:p>
    <w:p w14:paraId="268307ED" w14:textId="77777777" w:rsidR="001D5E73" w:rsidRDefault="001D5E73">
      <w:pPr>
        <w:pStyle w:val="Ttulo3"/>
        <w:keepNext/>
      </w:pPr>
      <w:r>
        <w:rPr>
          <w:rFonts w:ascii="Calibri" w:eastAsia="Calibri" w:hAnsi="Calibri" w:cs="Calibri"/>
        </w:rPr>
        <w:t>Não satisfaz a condição, responda NÃO</w:t>
      </w:r>
    </w:p>
    <w:p w14:paraId="0BD3D17D"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Vítima relata ter 'aceitado' por medo de represália funcional ou por perceber que a recusa teria custos</w:t>
      </w:r>
    </w:p>
    <w:p w14:paraId="58185956"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Há relação hierárquica entre agressor e vítima, o consentimento é estruturalmente comprometido pela assimetria de poder</w:t>
      </w:r>
    </w:p>
    <w:p w14:paraId="39282989"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A vítima não verbalizou recusa explícita, mas também não expressou adesão ativa e livre</w:t>
      </w:r>
    </w:p>
    <w:p w14:paraId="54CE38D2"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Vítima só denunciou depois que a relação de dependência funcional cessou ou se alterou</w:t>
      </w:r>
    </w:p>
    <w:p w14:paraId="0666B825"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Há padrão de tratamento adverso após episódios em que a vítima resistiu</w:t>
      </w:r>
    </w:p>
    <w:p w14:paraId="2DB30D7A" w14:textId="77777777" w:rsidR="001D5E73" w:rsidRDefault="001D5E73">
      <w:pPr>
        <w:pStyle w:val="Ttulo3"/>
        <w:keepNext/>
      </w:pPr>
      <w:r>
        <w:rPr>
          <w:rFonts w:ascii="Calibri" w:eastAsia="Calibri" w:hAnsi="Calibri" w:cs="Calibri"/>
        </w:rPr>
        <w:t>O que buscar nos autos</w:t>
      </w:r>
    </w:p>
    <w:p w14:paraId="4918D756"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Depoimento da vítima com foco específico em se havia liberdade real de recusa sem consequências funcionais</w:t>
      </w:r>
    </w:p>
    <w:p w14:paraId="5909EC29"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lastRenderedPageBreak/>
        <w:t>Natureza da relação hierárquica entre as partes, cargo, poder de avaliação, controle de designações</w:t>
      </w:r>
    </w:p>
    <w:p w14:paraId="6CB5CCA4"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Histórico funcional da vítima antes e depois dos episódios: avaliações, designações, tratamento pela chefia</w:t>
      </w:r>
    </w:p>
    <w:p w14:paraId="15789110"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Relatos de terceiros sobre o comportamento da vítima nos períodos relevantes</w:t>
      </w:r>
    </w:p>
    <w:p w14:paraId="4D61D26D" w14:textId="77777777" w:rsidR="001D5E73" w:rsidRDefault="001D5E7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72C2E143"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3CD2819B" w14:textId="77777777" w:rsidR="001D5E73" w:rsidRDefault="001D5E73">
            <w:pPr>
              <w:jc w:val="both"/>
            </w:pPr>
            <w:r>
              <w:rPr>
                <w:rFonts w:ascii="Calibri" w:eastAsia="Calibri" w:hAnsi="Calibri" w:cs="Calibri"/>
                <w:b/>
                <w:bCs/>
                <w:color w:val="0B2C5F"/>
                <w:sz w:val="20"/>
                <w:szCs w:val="20"/>
              </w:rPr>
              <w:t>Alerta crítico, consentimento em hierarquia:</w:t>
            </w:r>
            <w:r>
              <w:rPr>
                <w:rFonts w:ascii="Calibri" w:eastAsia="Calibri" w:hAnsi="Calibri" w:cs="Calibri"/>
                <w:color w:val="051A3D"/>
                <w:sz w:val="20"/>
                <w:szCs w:val="20"/>
              </w:rPr>
              <w:t xml:space="preserve"> na dúvida entre SIM e NÃO, responda NÃO. A presunção, neste eixo, é de que o consentimento em relação hierárquica é comprometido. O ônus de demonstrar consentimento genuíno e livre é de quem o invoca como excludente, não da vítima demonstrar a ausência de consentimento.</w:t>
            </w:r>
          </w:p>
        </w:tc>
      </w:tr>
    </w:tbl>
    <w:p w14:paraId="3948ABE5" w14:textId="77777777" w:rsidR="001D5E73" w:rsidRDefault="001D5E73">
      <w:pPr>
        <w:spacing w:before="80"/>
      </w:pPr>
    </w:p>
    <w:p w14:paraId="33F7410A" w14:textId="77777777" w:rsidR="001D5E73" w:rsidRDefault="001D5E73">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P4-A</w:t>
      </w:r>
    </w:p>
    <w:p w14:paraId="2F86F619" w14:textId="77777777" w:rsidR="001D5E73" w:rsidRDefault="001D5E73">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P5-A</w:t>
      </w:r>
    </w:p>
    <w:p w14:paraId="679BF246" w14:textId="77777777" w:rsidR="001D5E73" w:rsidRDefault="001D5E73">
      <w:pPr>
        <w:pBdr>
          <w:bottom w:val="single" w:sz="4" w:space="1" w:color="C9A35C"/>
        </w:pBdr>
        <w:spacing w:before="200" w:after="200"/>
      </w:pPr>
    </w:p>
    <w:p w14:paraId="64AA556C" w14:textId="77777777" w:rsidR="001D5E73" w:rsidRDefault="001D5E73">
      <w:pPr>
        <w:pStyle w:val="Ttulo2"/>
        <w:keepNext/>
        <w:pBdr>
          <w:left w:val="single" w:sz="10" w:space="6" w:color="C9A35C"/>
        </w:pBdr>
      </w:pPr>
      <w:bookmarkStart w:id="140" w:name="_Toc238022134"/>
      <w:r>
        <w:t>P4-A, A conduta consentida causou escândalo ou ofendeu ostensivamente a moralidade administrativa?</w:t>
      </w:r>
      <w:bookmarkEnd w:id="140"/>
    </w:p>
    <w:p w14:paraId="759C02F2" w14:textId="77777777" w:rsidR="001D5E73" w:rsidRDefault="001D5E73">
      <w:pPr>
        <w:pStyle w:val="Ttulo3"/>
        <w:keepNext/>
      </w:pPr>
      <w:r>
        <w:rPr>
          <w:rFonts w:ascii="Calibri" w:eastAsia="Calibri" w:hAnsi="Calibri" w:cs="Calibri"/>
        </w:rPr>
        <w:t>O que avaliar</w:t>
      </w:r>
    </w:p>
    <w:p w14:paraId="7D2A01A2" w14:textId="77777777" w:rsidR="001D5E73" w:rsidRDefault="001D5E73">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a conduta, ainda que consentida entre as partes, ocorreu de forma visível a terceiros em repartição pública ou gerou repercussão institucional perceptível?</w:t>
      </w:r>
      <w:r>
        <w:rPr>
          <w:rFonts w:ascii="Calibri" w:eastAsia="Calibri" w:hAnsi="Calibri" w:cs="Calibri"/>
          <w:color w:val="051A3D"/>
          <w:sz w:val="22"/>
          <w:szCs w:val="22"/>
        </w:rPr>
        <w:t xml:space="preserve"> O consentimento afasta o ilícito mais grave da Rota A, mas não afasta obrigatoriamente qualquer ilícito: a conduta que viola a moralidade administrativa de forma ostensiva continua sendo infração disciplinar, ainda que consentida.</w:t>
      </w:r>
    </w:p>
    <w:p w14:paraId="4F8DB0A4" w14:textId="77777777" w:rsidR="001D5E73" w:rsidRDefault="001D5E73">
      <w:pPr>
        <w:spacing w:after="120"/>
        <w:jc w:val="both"/>
      </w:pPr>
      <w:r>
        <w:rPr>
          <w:rFonts w:ascii="Calibri" w:eastAsia="Calibri" w:hAnsi="Calibri" w:cs="Calibri"/>
          <w:color w:val="051A3D"/>
          <w:sz w:val="22"/>
          <w:szCs w:val="22"/>
        </w:rPr>
        <w:t>O critério é a visibilidade da conduta para além das partes: colegas presenciaram, usuários observaram, o ambiente de trabalho foi objetivamente afetado pela ostensividade da conduta.</w:t>
      </w:r>
    </w:p>
    <w:p w14:paraId="09BE691C" w14:textId="77777777" w:rsidR="001D5E73" w:rsidRDefault="001D5E73">
      <w:pPr>
        <w:pStyle w:val="Ttulo3"/>
        <w:keepNext/>
      </w:pPr>
      <w:r>
        <w:rPr>
          <w:rFonts w:ascii="Calibri" w:eastAsia="Calibri" w:hAnsi="Calibri" w:cs="Calibri"/>
        </w:rPr>
        <w:t>Satisfaz a condição, responda SIM</w:t>
      </w:r>
    </w:p>
    <w:p w14:paraId="68D30F5E"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Conduta de natureza sexual praticada de forma visível no espaço físico da repartição, durante expediente, perceptível a colegas ou usuários</w:t>
      </w:r>
    </w:p>
    <w:p w14:paraId="04016BD5"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Relatos de colegas que presenciaram a conduta e se sentiram constrangidos ou afetados pelo ambiente</w:t>
      </w:r>
    </w:p>
    <w:p w14:paraId="45928652"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Troca de material sexualizado em canais institucionais acessíveis a outros servidores</w:t>
      </w:r>
    </w:p>
    <w:p w14:paraId="2137DD9E" w14:textId="77777777" w:rsidR="001D5E73" w:rsidRDefault="001D5E73">
      <w:pPr>
        <w:pStyle w:val="Ttulo3"/>
        <w:keepNext/>
      </w:pPr>
      <w:r>
        <w:rPr>
          <w:rFonts w:ascii="Calibri" w:eastAsia="Calibri" w:hAnsi="Calibri" w:cs="Calibri"/>
        </w:rPr>
        <w:t>Não satisfaz a condição, responda NÃO</w:t>
      </w:r>
    </w:p>
    <w:p w14:paraId="773DCA77"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Conduta praticada em total privacidade, sem qualquer visibilidade para terceiros</w:t>
      </w:r>
    </w:p>
    <w:p w14:paraId="188D2FCB"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Ausência de qualquer relato de colegas sobre percepção de conduta inadequada no ambiente</w:t>
      </w:r>
    </w:p>
    <w:p w14:paraId="7B6F3C42" w14:textId="77777777" w:rsidR="001D5E73" w:rsidRDefault="001D5E73">
      <w:pPr>
        <w:pStyle w:val="Ttulo3"/>
        <w:keepNext/>
      </w:pPr>
      <w:r>
        <w:rPr>
          <w:rFonts w:ascii="Calibri" w:eastAsia="Calibri" w:hAnsi="Calibri" w:cs="Calibri"/>
        </w:rPr>
        <w:t>O que buscar nos autos</w:t>
      </w:r>
    </w:p>
    <w:p w14:paraId="7567B50C"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Depoimentos de colegas que presenciaram ou ouviram a conduta</w:t>
      </w:r>
    </w:p>
    <w:p w14:paraId="26997DFA"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Registros em sistemas institucionais que demonstrem a ostensividade</w:t>
      </w:r>
    </w:p>
    <w:p w14:paraId="6982B9F5" w14:textId="77777777" w:rsidR="001D5E73" w:rsidRDefault="001D5E73">
      <w:pPr>
        <w:spacing w:before="80"/>
      </w:pPr>
    </w:p>
    <w:p w14:paraId="5724D98C" w14:textId="77777777" w:rsidR="001D5E73" w:rsidRDefault="001D5E73">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Resultado A, assédio sexual consentido com escândalo institucional, art. 116, IX</w:t>
      </w:r>
    </w:p>
    <w:p w14:paraId="3BBABF21" w14:textId="77777777" w:rsidR="001D5E73" w:rsidRDefault="001D5E73">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P4-A-bis</w:t>
      </w:r>
    </w:p>
    <w:p w14:paraId="064324B7" w14:textId="77777777" w:rsidR="001D5E73" w:rsidRDefault="001D5E73">
      <w:pPr>
        <w:pBdr>
          <w:bottom w:val="single" w:sz="4" w:space="1" w:color="C9A35C"/>
        </w:pBdr>
        <w:spacing w:before="200" w:after="200"/>
      </w:pPr>
    </w:p>
    <w:p w14:paraId="58E43E25" w14:textId="77777777" w:rsidR="001D5E73" w:rsidRDefault="001D5E73">
      <w:pPr>
        <w:pStyle w:val="Ttulo2"/>
        <w:keepNext/>
        <w:pBdr>
          <w:left w:val="single" w:sz="10" w:space="6" w:color="C9A35C"/>
        </w:pBdr>
      </w:pPr>
      <w:bookmarkStart w:id="141" w:name="_Toc233912972_c203"/>
      <w:bookmarkStart w:id="142" w:name="_Toc238022135"/>
      <w:r>
        <w:t xml:space="preserve">P4-A-bis, </w:t>
      </w:r>
      <w:proofErr w:type="gramStart"/>
      <w:r>
        <w:t>Há</w:t>
      </w:r>
      <w:proofErr w:type="gramEnd"/>
      <w:r>
        <w:t xml:space="preserve"> relação hierárquica direta entre os envolvidos na conduta consentida?</w:t>
      </w:r>
      <w:bookmarkEnd w:id="141"/>
      <w:bookmarkEnd w:id="142"/>
    </w:p>
    <w:p w14:paraId="4730FE16" w14:textId="77777777" w:rsidR="001D5E73" w:rsidRDefault="001D5E73">
      <w:pPr>
        <w:pStyle w:val="Ttulo3"/>
        <w:keepNext/>
      </w:pPr>
      <w:r>
        <w:rPr>
          <w:rFonts w:ascii="Calibri" w:eastAsia="Calibri" w:hAnsi="Calibri" w:cs="Calibri"/>
        </w:rPr>
        <w:t>O que avaliar</w:t>
      </w:r>
    </w:p>
    <w:p w14:paraId="3D907A5E" w14:textId="77777777" w:rsidR="001D5E73" w:rsidRDefault="001D5E73">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um dos envolvidos exerce, sobre o outro, poder funcional apto a influir em avaliação de desempenho, promoção, distribuição de tarefas ou qualquer ato de gestão?</w:t>
      </w:r>
      <w:r>
        <w:rPr>
          <w:rFonts w:ascii="Calibri" w:eastAsia="Calibri" w:hAnsi="Calibri" w:cs="Calibri"/>
          <w:color w:val="051A3D"/>
          <w:sz w:val="22"/>
          <w:szCs w:val="22"/>
        </w:rPr>
        <w:t xml:space="preserve"> A relação hierárquica relevante aqui não é apenas a formal: chefia informal, coordenação de projeto e ascendência funcional de fato satisfazem a condição.</w:t>
      </w:r>
    </w:p>
    <w:p w14:paraId="6AB342F6" w14:textId="77777777" w:rsidR="001D5E73" w:rsidRDefault="001D5E73">
      <w:pPr>
        <w:spacing w:after="120"/>
        <w:jc w:val="both"/>
      </w:pPr>
      <w:r>
        <w:rPr>
          <w:rFonts w:ascii="Calibri" w:eastAsia="Calibri" w:hAnsi="Calibri" w:cs="Calibri"/>
          <w:color w:val="051A3D"/>
          <w:sz w:val="22"/>
          <w:szCs w:val="22"/>
        </w:rPr>
        <w:t>Esta pergunta não reabre o exame do consentimento, que já foi resolvido em P3-A. Ela cumpre função distinta e posterior: reconhecido o consentimento genuíno e afastada a repercussão institucional ostensiva, a Administração ainda tem interesse legítimo em prevenir o conflito de interesses que a relação afetiva entre superior e subordinado projeta sobre atos funcionais futuros.</w:t>
      </w:r>
    </w:p>
    <w:p w14:paraId="7A1CB6E6" w14:textId="77777777" w:rsidR="001D5E73" w:rsidRDefault="001D5E73">
      <w:pPr>
        <w:spacing w:after="120"/>
        <w:jc w:val="both"/>
      </w:pPr>
      <w:r>
        <w:rPr>
          <w:rFonts w:ascii="Calibri" w:eastAsia="Calibri" w:hAnsi="Calibri" w:cs="Calibri"/>
          <w:color w:val="051A3D"/>
          <w:sz w:val="22"/>
          <w:szCs w:val="22"/>
        </w:rPr>
        <w:t xml:space="preserve">A consequência da resposta afirmativa </w:t>
      </w:r>
      <w:r>
        <w:rPr>
          <w:rFonts w:ascii="Calibri" w:eastAsia="Calibri" w:hAnsi="Calibri" w:cs="Calibri"/>
          <w:b/>
          <w:bCs/>
          <w:color w:val="051A3D"/>
          <w:sz w:val="22"/>
          <w:szCs w:val="22"/>
        </w:rPr>
        <w:t>não é sancionatória</w:t>
      </w:r>
      <w:r>
        <w:rPr>
          <w:rFonts w:ascii="Calibri" w:eastAsia="Calibri" w:hAnsi="Calibri" w:cs="Calibri"/>
          <w:color w:val="051A3D"/>
          <w:sz w:val="22"/>
          <w:szCs w:val="22"/>
        </w:rPr>
        <w:t>. Não há ilícito disciplinar na conduta consentida, sem repercussão institucional, entre pessoas capazes. O que a resposta afirmativa produz é uma recomendação de gestão: a verificação, pela autoridade competente, de impedimento ou suspeição do superior em atos funcionais que envolvam a pessoa subordinada. A finalidade é dupla — prevenir tanto o favorecimento indevido quanto a eventual retaliação futura decorrente do término da relação.</w:t>
      </w:r>
    </w:p>
    <w:p w14:paraId="3AA18619" w14:textId="77777777" w:rsidR="001D5E73" w:rsidRDefault="001D5E73">
      <w:pPr>
        <w:pStyle w:val="Ttulo3"/>
        <w:keepNext/>
      </w:pPr>
      <w:r>
        <w:rPr>
          <w:rFonts w:ascii="Calibri" w:eastAsia="Calibri" w:hAnsi="Calibri" w:cs="Calibri"/>
        </w:rPr>
        <w:t>Satisfaz a condição, responda SIM</w:t>
      </w:r>
    </w:p>
    <w:p w14:paraId="61A24053"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Chefia imediata ou mediata de um dos envolvidos sobre o outro</w:t>
      </w:r>
    </w:p>
    <w:p w14:paraId="288AA8CA"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Coordenação de equipe, projeto ou força-tarefa de que o outro participe</w:t>
      </w:r>
    </w:p>
    <w:p w14:paraId="6A7A11CA"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Poder de fato sobre designações, escalas, distribuição de processos ou indicação para funções</w:t>
      </w:r>
    </w:p>
    <w:p w14:paraId="68096C5D"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Participação, ainda que colegiada, em banca ou comissão que avalie o desempenho do outro</w:t>
      </w:r>
    </w:p>
    <w:p w14:paraId="4C8F20E6" w14:textId="77777777" w:rsidR="001D5E73" w:rsidRDefault="001D5E73">
      <w:pPr>
        <w:pStyle w:val="Ttulo3"/>
        <w:keepNext/>
      </w:pPr>
      <w:r>
        <w:rPr>
          <w:rFonts w:ascii="Calibri" w:eastAsia="Calibri" w:hAnsi="Calibri" w:cs="Calibri"/>
        </w:rPr>
        <w:t>Não satisfaz a condição, responda NÃO</w:t>
      </w:r>
    </w:p>
    <w:p w14:paraId="29EDEDB9"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Servidores lotados em unidades distintas, sem interseção funcional</w:t>
      </w:r>
    </w:p>
    <w:p w14:paraId="27C5A7B4"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Pares sem qualquer poder de gestão recíproco</w:t>
      </w:r>
    </w:p>
    <w:p w14:paraId="64BF6188"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Relação hierárquica que existiu no passado e cessou de forma documentada antes do período examinado</w:t>
      </w:r>
    </w:p>
    <w:p w14:paraId="1D0D80A4" w14:textId="77777777" w:rsidR="001D5E73" w:rsidRDefault="001D5E73">
      <w:pPr>
        <w:pStyle w:val="Ttulo3"/>
        <w:keepNext/>
      </w:pPr>
      <w:r>
        <w:rPr>
          <w:rFonts w:ascii="Calibri" w:eastAsia="Calibri" w:hAnsi="Calibri" w:cs="Calibri"/>
        </w:rPr>
        <w:t>O que buscar nos autos</w:t>
      </w:r>
    </w:p>
    <w:p w14:paraId="2A0CCC13"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Organograma da unidade e portarias de designação vigentes no período dos fatos</w:t>
      </w:r>
    </w:p>
    <w:p w14:paraId="47FDCD18"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Histórico de avaliações de desempenho da pessoa subordinada, com identificação de quem as assinou</w:t>
      </w:r>
    </w:p>
    <w:p w14:paraId="6EB1E38A"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Registros de designação para funções, substituições e indicações no período</w:t>
      </w:r>
    </w:p>
    <w:p w14:paraId="39730C76" w14:textId="77777777" w:rsidR="001D5E73" w:rsidRDefault="001D5E73">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79A8E791"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0DB1D0EE" w14:textId="77777777" w:rsidR="001D5E73" w:rsidRDefault="001D5E73">
            <w:pPr>
              <w:jc w:val="both"/>
            </w:pPr>
            <w:r>
              <w:rPr>
                <w:rFonts w:ascii="Calibri" w:eastAsia="Calibri" w:hAnsi="Calibri" w:cs="Calibri"/>
                <w:b/>
                <w:bCs/>
                <w:color w:val="0B2C5F"/>
                <w:sz w:val="20"/>
                <w:szCs w:val="20"/>
              </w:rPr>
              <w:t>Alerta, a resposta afirmativa não é reconhecimento de ilícito:</w:t>
            </w:r>
            <w:r>
              <w:rPr>
                <w:rFonts w:ascii="Calibri" w:eastAsia="Calibri" w:hAnsi="Calibri" w:cs="Calibri"/>
                <w:color w:val="051A3D"/>
                <w:sz w:val="20"/>
                <w:szCs w:val="20"/>
              </w:rPr>
              <w:t xml:space="preserve"> o Resultado B-1 é de arquivamento quanto ao ilícito disciplinar. O alerta de impedimento é providência de gestão de conflito de interesses, e não deve ser redigido no relatório com linguagem que sugira reprovação da conduta ou juízo sobre a vida privada dos servidores.</w:t>
            </w:r>
          </w:p>
        </w:tc>
      </w:tr>
    </w:tbl>
    <w:p w14:paraId="5FC88CDA" w14:textId="77777777" w:rsidR="001D5E73" w:rsidRDefault="001D5E73">
      <w:pPr>
        <w:spacing w:after="120"/>
        <w:jc w:val="both"/>
      </w:pPr>
    </w:p>
    <w:p w14:paraId="2BD065AE" w14:textId="77777777" w:rsidR="001D5E73" w:rsidRDefault="001D5E73">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Resultado B-1, sem ilícito disciplinar, com alerta de impedimento funcional</w:t>
      </w:r>
    </w:p>
    <w:p w14:paraId="74D99FEC" w14:textId="77777777" w:rsidR="001D5E73" w:rsidRDefault="001D5E73">
      <w:pPr>
        <w:spacing w:before="80" w:after="60"/>
      </w:pPr>
      <w:r>
        <w:rPr>
          <w:rFonts w:ascii="Calibri" w:eastAsia="Calibri" w:hAnsi="Calibri" w:cs="Calibri"/>
          <w:b/>
          <w:bCs/>
          <w:color w:val="1F7A4C"/>
          <w:sz w:val="22"/>
          <w:szCs w:val="22"/>
        </w:rPr>
        <w:t xml:space="preserve">NÃO → </w:t>
      </w:r>
      <w:r>
        <w:rPr>
          <w:rFonts w:ascii="Calibri" w:eastAsia="Calibri" w:hAnsi="Calibri" w:cs="Calibri"/>
          <w:color w:val="051A3D"/>
          <w:sz w:val="22"/>
          <w:szCs w:val="22"/>
        </w:rPr>
        <w:t>Resultado B, sem ilícito disciplinar</w:t>
      </w:r>
    </w:p>
    <w:p w14:paraId="5BD90729" w14:textId="77777777" w:rsidR="001D5E73" w:rsidRDefault="001D5E73">
      <w:pPr>
        <w:spacing w:after="120"/>
        <w:jc w:val="both"/>
      </w:pPr>
    </w:p>
    <w:p w14:paraId="2FF4956C" w14:textId="77777777" w:rsidR="001D5E73" w:rsidRDefault="001D5E73">
      <w:pPr>
        <w:pStyle w:val="Ttulo2"/>
        <w:keepNext/>
        <w:pBdr>
          <w:left w:val="single" w:sz="10" w:space="6" w:color="C9A35C"/>
        </w:pBdr>
      </w:pPr>
      <w:bookmarkStart w:id="143" w:name="_Toc238022136"/>
      <w:r>
        <w:t xml:space="preserve">P5-A, </w:t>
      </w:r>
      <w:proofErr w:type="gramStart"/>
      <w:r>
        <w:t>Houve</w:t>
      </w:r>
      <w:proofErr w:type="gramEnd"/>
      <w:r>
        <w:t xml:space="preserve"> grave impacto à dignidade ou liberdade da vítima?</w:t>
      </w:r>
      <w:bookmarkEnd w:id="143"/>
    </w:p>
    <w:p w14:paraId="55152ECB" w14:textId="77777777" w:rsidR="001D5E73" w:rsidRDefault="001D5E73">
      <w:pPr>
        <w:pStyle w:val="Ttulo3"/>
        <w:keepNext/>
      </w:pPr>
      <w:r>
        <w:rPr>
          <w:rFonts w:ascii="Calibri" w:eastAsia="Calibri" w:hAnsi="Calibri" w:cs="Calibri"/>
        </w:rPr>
        <w:t>O que avaliar</w:t>
      </w:r>
    </w:p>
    <w:p w14:paraId="28B1046E" w14:textId="77777777" w:rsidR="001D5E73" w:rsidRDefault="001D5E73">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a conduta produziu sobre a vítima consequência psicológica, emocional ou funcional documentável de intensidade significativa?</w:t>
      </w:r>
      <w:r>
        <w:rPr>
          <w:rFonts w:ascii="Calibri" w:eastAsia="Calibri" w:hAnsi="Calibri" w:cs="Calibri"/>
          <w:color w:val="051A3D"/>
          <w:sz w:val="22"/>
          <w:szCs w:val="22"/>
        </w:rPr>
        <w:t xml:space="preserve"> Este é o qualificador que eleva o enquadramento ao art. 132, V. O que importa é o impacto produzido, não a intenção do agressor.</w:t>
      </w:r>
    </w:p>
    <w:p w14:paraId="2A03ABE8" w14:textId="77777777" w:rsidR="001D5E73" w:rsidRDefault="001D5E73">
      <w:pPr>
        <w:spacing w:after="120"/>
        <w:jc w:val="both"/>
      </w:pPr>
      <w:r>
        <w:rPr>
          <w:rFonts w:ascii="Calibri" w:eastAsia="Calibri" w:hAnsi="Calibri" w:cs="Calibri"/>
          <w:color w:val="051A3D"/>
          <w:sz w:val="22"/>
          <w:szCs w:val="22"/>
        </w:rPr>
        <w:t xml:space="preserve">O grave impacto pode ser demonstrado por: laudo psicológico ou psiquiátrico que conecta os episódios à sintomatologia verificada; afastamento por licença médica após os episódios; pedido de transferência de setor ou unidade motivado pelos fatos; comprometimento documentado do desempenho funcional; relato contemporâneo a terceiros feito logo após os episódios. </w:t>
      </w:r>
      <w:r>
        <w:rPr>
          <w:rFonts w:ascii="Calibri" w:eastAsia="Calibri" w:hAnsi="Calibri" w:cs="Calibri"/>
          <w:b/>
          <w:bCs/>
          <w:color w:val="051A3D"/>
          <w:sz w:val="22"/>
          <w:szCs w:val="22"/>
        </w:rPr>
        <w:t>O contato físico sexual forçado satisfaz por si só este qualificador, independentemente de laudo ou documentação adicional.</w:t>
      </w:r>
    </w:p>
    <w:p w14:paraId="69E6A2BE" w14:textId="77777777" w:rsidR="001D5E73" w:rsidRDefault="001D5E73">
      <w:pPr>
        <w:pStyle w:val="Ttulo3"/>
        <w:keepNext/>
      </w:pPr>
      <w:r>
        <w:rPr>
          <w:rFonts w:ascii="Calibri" w:eastAsia="Calibri" w:hAnsi="Calibri" w:cs="Calibri"/>
        </w:rPr>
        <w:t>Satisfaz a condição, responda SIM</w:t>
      </w:r>
    </w:p>
    <w:p w14:paraId="4FFE4D75"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Laudo psicológico ou psiquiátrico que vincula os episódios a sintomas verificados (ansiedade, depressão, TEPT)</w:t>
      </w:r>
    </w:p>
    <w:p w14:paraId="69EE53B3"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Afastamento por licença médica após os episódios, com conexão temporal identificável</w:t>
      </w:r>
    </w:p>
    <w:p w14:paraId="770DDDD4"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Pedido de transferência de unidade ou setor motivado pelos fatos</w:t>
      </w:r>
    </w:p>
    <w:p w14:paraId="6A040C1E"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Relato contemporâneo a terceiros (colegas, ouvidoria, familiar) feito logo após os episódios, antes da denúncia formal</w:t>
      </w:r>
    </w:p>
    <w:p w14:paraId="3851CFB6"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Comprometimento documentado do desempenho ou do comportamento funcional da vítima</w:t>
      </w:r>
    </w:p>
    <w:p w14:paraId="359A59C7"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Contato físico sexual forçado, satisfaz este qualificador por si só</w:t>
      </w:r>
    </w:p>
    <w:p w14:paraId="7D72E6E7" w14:textId="77777777" w:rsidR="001D5E73" w:rsidRDefault="001D5E73">
      <w:pPr>
        <w:pStyle w:val="Ttulo3"/>
        <w:keepNext/>
      </w:pPr>
      <w:r>
        <w:rPr>
          <w:rFonts w:ascii="Calibri" w:eastAsia="Calibri" w:hAnsi="Calibri" w:cs="Calibri"/>
        </w:rPr>
        <w:t>Não satisfaz a condição, responda NÃO</w:t>
      </w:r>
    </w:p>
    <w:p w14:paraId="3C11344A"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Ausência de qualquer documentação de impacto: sem laudo, sem licença, sem relato contemporâneo, sem alteração funcional identificável</w:t>
      </w:r>
    </w:p>
    <w:p w14:paraId="7B0FC4D5"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Episódio único de baixa intensidade sem consequências psicológicas duradouras</w:t>
      </w:r>
    </w:p>
    <w:p w14:paraId="26FF2A4C"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 xml:space="preserve">Impacto relatado pela </w:t>
      </w:r>
      <w:proofErr w:type="gramStart"/>
      <w:r>
        <w:rPr>
          <w:rFonts w:ascii="Calibri" w:eastAsia="Calibri" w:hAnsi="Calibri" w:cs="Calibri"/>
          <w:color w:val="051A3D"/>
          <w:sz w:val="22"/>
          <w:szCs w:val="22"/>
        </w:rPr>
        <w:t>vítima</w:t>
      </w:r>
      <w:proofErr w:type="gramEnd"/>
      <w:r>
        <w:rPr>
          <w:rFonts w:ascii="Calibri" w:eastAsia="Calibri" w:hAnsi="Calibri" w:cs="Calibri"/>
          <w:color w:val="051A3D"/>
          <w:sz w:val="22"/>
          <w:szCs w:val="22"/>
        </w:rPr>
        <w:t xml:space="preserve"> mas sem nenhum elemento corroborativo nos autos</w:t>
      </w:r>
    </w:p>
    <w:p w14:paraId="26067675" w14:textId="77777777" w:rsidR="001D5E73" w:rsidRDefault="001D5E73">
      <w:pPr>
        <w:pStyle w:val="Ttulo3"/>
        <w:keepNext/>
      </w:pPr>
      <w:r>
        <w:rPr>
          <w:rFonts w:ascii="Calibri" w:eastAsia="Calibri" w:hAnsi="Calibri" w:cs="Calibri"/>
        </w:rPr>
        <w:t>O que buscar nos autos</w:t>
      </w:r>
    </w:p>
    <w:p w14:paraId="60FB3FF7"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Laudo ou atestado médico com conexão temporal aos episódios</w:t>
      </w:r>
    </w:p>
    <w:p w14:paraId="21D1E24A"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lastRenderedPageBreak/>
        <w:t>Histórico de frequência e desempenho da vítima antes e depois dos fatos</w:t>
      </w:r>
    </w:p>
    <w:p w14:paraId="0BE2F885"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Protocolos de atendimento psicológico ou ouvidoria</w:t>
      </w:r>
    </w:p>
    <w:p w14:paraId="1D64AC4F"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Depoimentos de colegas ou familiares que testemunharam alteração de comportamento da vítima</w:t>
      </w:r>
    </w:p>
    <w:p w14:paraId="3A3309B3" w14:textId="77777777" w:rsidR="001D5E73" w:rsidRDefault="001D5E7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6EF41011"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5307D7F1" w14:textId="77777777" w:rsidR="001D5E73" w:rsidRDefault="001D5E73">
            <w:pPr>
              <w:jc w:val="both"/>
            </w:pPr>
            <w:r>
              <w:rPr>
                <w:rFonts w:ascii="Calibri" w:eastAsia="Calibri" w:hAnsi="Calibri" w:cs="Calibri"/>
                <w:b/>
                <w:bCs/>
                <w:color w:val="0B2C5F"/>
                <w:sz w:val="20"/>
                <w:szCs w:val="20"/>
              </w:rPr>
              <w:t>Alerta, negativa de intenção não afasta o impacto:</w:t>
            </w:r>
            <w:r>
              <w:rPr>
                <w:rFonts w:ascii="Calibri" w:eastAsia="Calibri" w:hAnsi="Calibri" w:cs="Calibri"/>
                <w:color w:val="051A3D"/>
                <w:sz w:val="20"/>
                <w:szCs w:val="20"/>
              </w:rPr>
              <w:t xml:space="preserve"> a declaração do agressor de que 'não pretendia ofender' não é fundamento suficiente para responder NÃO a esta pergunta. O critério é o impacto produzido sobre a vítima, demonstrado pelos elementos acima, não a intenção do agressor.</w:t>
            </w:r>
          </w:p>
        </w:tc>
      </w:tr>
    </w:tbl>
    <w:p w14:paraId="24193C03" w14:textId="77777777" w:rsidR="001D5E73" w:rsidRDefault="001D5E73">
      <w:pPr>
        <w:spacing w:before="80"/>
      </w:pPr>
    </w:p>
    <w:p w14:paraId="771FFEDA" w14:textId="77777777" w:rsidR="001D5E73" w:rsidRDefault="001D5E73">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GATE → Resultado C, assédio sexual, impacto grave, art. 132, V, demissão</w:t>
      </w:r>
    </w:p>
    <w:p w14:paraId="2180E124" w14:textId="77777777" w:rsidR="001D5E73" w:rsidRDefault="001D5E73">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P6-A</w:t>
      </w:r>
    </w:p>
    <w:p w14:paraId="6849E3F0" w14:textId="77777777" w:rsidR="001D5E73" w:rsidRDefault="001D5E73">
      <w:pPr>
        <w:pBdr>
          <w:bottom w:val="single" w:sz="4" w:space="1" w:color="C9A35C"/>
        </w:pBdr>
        <w:spacing w:before="200" w:after="200"/>
      </w:pPr>
    </w:p>
    <w:p w14:paraId="75BA616D" w14:textId="77777777" w:rsidR="001D5E73" w:rsidRDefault="001D5E73">
      <w:pPr>
        <w:pStyle w:val="Ttulo2"/>
        <w:keepNext/>
        <w:pBdr>
          <w:left w:val="single" w:sz="10" w:space="6" w:color="C9A35C"/>
        </w:pBdr>
      </w:pPr>
      <w:bookmarkStart w:id="144" w:name="_Toc238022137"/>
      <w:r>
        <w:t xml:space="preserve">P6-A, </w:t>
      </w:r>
      <w:proofErr w:type="gramStart"/>
      <w:r>
        <w:t>Houve</w:t>
      </w:r>
      <w:proofErr w:type="gramEnd"/>
      <w:r>
        <w:t xml:space="preserve"> uso do cargo ou ascendência funcional para praticar o assédio sexual?</w:t>
      </w:r>
      <w:bookmarkEnd w:id="144"/>
    </w:p>
    <w:p w14:paraId="0A387A61" w14:textId="77777777" w:rsidR="001D5E73" w:rsidRDefault="001D5E73">
      <w:pPr>
        <w:pStyle w:val="Ttulo3"/>
        <w:keepNext/>
      </w:pPr>
      <w:r>
        <w:rPr>
          <w:rFonts w:ascii="Calibri" w:eastAsia="Calibri" w:hAnsi="Calibri" w:cs="Calibri"/>
        </w:rPr>
        <w:t>O que avaliar</w:t>
      </w:r>
    </w:p>
    <w:p w14:paraId="33BB7E61" w14:textId="77777777" w:rsidR="001D5E73" w:rsidRDefault="001D5E73">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o agressor utilizou posição de chefia, controle de benefícios, avaliações ou qualquer forma de influência funcional, mesmo informal, para praticar ou viabilizar a conduta?</w:t>
      </w:r>
      <w:r>
        <w:rPr>
          <w:rFonts w:ascii="Calibri" w:eastAsia="Calibri" w:hAnsi="Calibri" w:cs="Calibri"/>
          <w:color w:val="051A3D"/>
          <w:sz w:val="22"/>
          <w:szCs w:val="22"/>
        </w:rPr>
        <w:t xml:space="preserve"> O valimento do cargo, na Rota A, é o segundo qualificador demissório, aplicável quando o impacto grave não foi </w:t>
      </w:r>
      <w:proofErr w:type="gramStart"/>
      <w:r>
        <w:rPr>
          <w:rFonts w:ascii="Calibri" w:eastAsia="Calibri" w:hAnsi="Calibri" w:cs="Calibri"/>
          <w:color w:val="051A3D"/>
          <w:sz w:val="22"/>
          <w:szCs w:val="22"/>
        </w:rPr>
        <w:t>demonstrado</w:t>
      </w:r>
      <w:proofErr w:type="gramEnd"/>
      <w:r>
        <w:rPr>
          <w:rFonts w:ascii="Calibri" w:eastAsia="Calibri" w:hAnsi="Calibri" w:cs="Calibri"/>
          <w:color w:val="051A3D"/>
          <w:sz w:val="22"/>
          <w:szCs w:val="22"/>
        </w:rPr>
        <w:t xml:space="preserve"> mas o cargo foi instrumentalizado.</w:t>
      </w:r>
    </w:p>
    <w:p w14:paraId="3AEC3059" w14:textId="77777777" w:rsidR="001D5E73" w:rsidRDefault="001D5E73">
      <w:pPr>
        <w:spacing w:after="120"/>
        <w:jc w:val="both"/>
      </w:pPr>
      <w:r>
        <w:rPr>
          <w:rFonts w:ascii="Calibri" w:eastAsia="Calibri" w:hAnsi="Calibri" w:cs="Calibri"/>
          <w:color w:val="051A3D"/>
          <w:sz w:val="22"/>
          <w:szCs w:val="22"/>
        </w:rPr>
        <w:t>A influência funcional não precisa ser formal: inclui chefia direta ou indireta, controle de progressão, acesso privilegiado a informações funcionais e qualquer posição de poder que confira ao agressor influência real sobre a situação funcional da vítima.</w:t>
      </w:r>
    </w:p>
    <w:p w14:paraId="12078965" w14:textId="77777777" w:rsidR="001D5E73" w:rsidRDefault="001D5E73">
      <w:pPr>
        <w:pStyle w:val="Ttulo3"/>
        <w:keepNext/>
      </w:pPr>
      <w:r>
        <w:rPr>
          <w:rFonts w:ascii="Calibri" w:eastAsia="Calibri" w:hAnsi="Calibri" w:cs="Calibri"/>
        </w:rPr>
        <w:t>Satisfaz a condição, responda SIM</w:t>
      </w:r>
    </w:p>
    <w:p w14:paraId="462EB0F9"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Agressor é superior hierárquico direto da vítima e utilizou essa posição para facilitar ou reiterar a conduta</w:t>
      </w:r>
    </w:p>
    <w:p w14:paraId="08480CAA"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Conduta praticada com referência explícita ou implícita ao poder de avaliação, designação ou progressão do agressor</w:t>
      </w:r>
    </w:p>
    <w:p w14:paraId="4F1A7ED1"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Uso de canal ou sistema institucional de acesso privilegiado para praticar a conduta</w:t>
      </w:r>
    </w:p>
    <w:p w14:paraId="46800672"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 xml:space="preserve">Agressor sem cargo </w:t>
      </w:r>
      <w:proofErr w:type="gramStart"/>
      <w:r>
        <w:rPr>
          <w:rFonts w:ascii="Calibri" w:eastAsia="Calibri" w:hAnsi="Calibri" w:cs="Calibri"/>
          <w:color w:val="051A3D"/>
          <w:sz w:val="22"/>
          <w:szCs w:val="22"/>
        </w:rPr>
        <w:t>formal</w:t>
      </w:r>
      <w:proofErr w:type="gramEnd"/>
      <w:r>
        <w:rPr>
          <w:rFonts w:ascii="Calibri" w:eastAsia="Calibri" w:hAnsi="Calibri" w:cs="Calibri"/>
          <w:color w:val="051A3D"/>
          <w:sz w:val="22"/>
          <w:szCs w:val="22"/>
        </w:rPr>
        <w:t xml:space="preserve"> mas com influência funcional real reconhecida pela estrutura organizacional</w:t>
      </w:r>
    </w:p>
    <w:p w14:paraId="38841A2F" w14:textId="77777777" w:rsidR="001D5E73" w:rsidRDefault="001D5E73">
      <w:pPr>
        <w:pStyle w:val="Ttulo3"/>
        <w:keepNext/>
      </w:pPr>
      <w:r>
        <w:rPr>
          <w:rFonts w:ascii="Calibri" w:eastAsia="Calibri" w:hAnsi="Calibri" w:cs="Calibri"/>
        </w:rPr>
        <w:t>Não satisfaz a condição, responda NÃO</w:t>
      </w:r>
    </w:p>
    <w:p w14:paraId="3EED3D96"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Agressor sem qualquer relação hierárquica ou influência funcional sobre a vítima, pares ou subordinados sem ascendência</w:t>
      </w:r>
    </w:p>
    <w:p w14:paraId="2E608C65"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Conduta praticada sem qualquer instrumentalização das prerrogativas funcionais do agressor</w:t>
      </w:r>
    </w:p>
    <w:p w14:paraId="48F6BD8E" w14:textId="77777777" w:rsidR="001D5E73" w:rsidRDefault="001D5E73">
      <w:pPr>
        <w:pStyle w:val="Ttulo3"/>
        <w:keepNext/>
      </w:pPr>
      <w:r>
        <w:rPr>
          <w:rFonts w:ascii="Calibri" w:eastAsia="Calibri" w:hAnsi="Calibri" w:cs="Calibri"/>
        </w:rPr>
        <w:t>O que buscar nos autos</w:t>
      </w:r>
    </w:p>
    <w:p w14:paraId="3CD2D9A3"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Estrutura hierárquica da unidade: cargos, funções de confiança, relações de chefia formais e informais</w:t>
      </w:r>
    </w:p>
    <w:p w14:paraId="7FF40F03"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lastRenderedPageBreak/>
        <w:t>Canais utilizados na conduta: sistema institucional, e-mail corporativo, reunião de trabalho</w:t>
      </w:r>
    </w:p>
    <w:p w14:paraId="50F0ED43"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Histórico funcional da vítima após os episódios: avaliações, designações, tratamento pela chefia</w:t>
      </w:r>
    </w:p>
    <w:p w14:paraId="45CAF0E4" w14:textId="77777777" w:rsidR="001D5E73" w:rsidRDefault="001D5E7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255675ED"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15883498" w14:textId="77777777" w:rsidR="001D5E73" w:rsidRDefault="001D5E73">
            <w:pPr>
              <w:jc w:val="both"/>
            </w:pPr>
            <w:r>
              <w:rPr>
                <w:rFonts w:ascii="Calibri" w:eastAsia="Calibri" w:hAnsi="Calibri" w:cs="Calibri"/>
                <w:b/>
                <w:bCs/>
                <w:color w:val="0B2C5F"/>
                <w:sz w:val="20"/>
                <w:szCs w:val="20"/>
              </w:rPr>
              <w:t>Alerta, hierarquia informal:</w:t>
            </w:r>
            <w:r>
              <w:rPr>
                <w:rFonts w:ascii="Calibri" w:eastAsia="Calibri" w:hAnsi="Calibri" w:cs="Calibri"/>
                <w:color w:val="051A3D"/>
                <w:sz w:val="20"/>
                <w:szCs w:val="20"/>
              </w:rPr>
              <w:t xml:space="preserve"> o valimento do cargo não exige chefia formal. Servidor que exerce influência informal reconhecida sobre a carreira da vítima, mentor, par com acesso privilegiado a decisores, pode satisfazer este elemento mesmo sem cargo de direção.</w:t>
            </w:r>
          </w:p>
        </w:tc>
      </w:tr>
    </w:tbl>
    <w:p w14:paraId="00F6BC40" w14:textId="77777777" w:rsidR="001D5E73" w:rsidRDefault="001D5E73">
      <w:pPr>
        <w:spacing w:before="80"/>
      </w:pPr>
    </w:p>
    <w:p w14:paraId="14A08ABD" w14:textId="77777777" w:rsidR="001D5E73" w:rsidRDefault="001D5E73">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GATE → Resultado D, assédio sexual, valimento do cargo, art. 117, IX, demissão</w:t>
      </w:r>
    </w:p>
    <w:p w14:paraId="6DF743EF" w14:textId="77777777" w:rsidR="001D5E73" w:rsidRDefault="001D5E73">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Resultado E, assédio sexual, conduta imprópria, art. 116, II e IX, advertência ou suspensão</w:t>
      </w:r>
    </w:p>
    <w:p w14:paraId="41F613E9" w14:textId="77777777" w:rsidR="001D5E73" w:rsidRDefault="001D5E73">
      <w:pPr>
        <w:pBdr>
          <w:bottom w:val="single" w:sz="4" w:space="1" w:color="C9A35C"/>
        </w:pBdr>
        <w:spacing w:before="200" w:after="200"/>
      </w:pPr>
    </w:p>
    <w:p w14:paraId="1866990E" w14:textId="77777777" w:rsidR="001D5E73" w:rsidRDefault="001D5E73">
      <w:pPr>
        <w:spacing w:before="120" w:after="60"/>
      </w:pPr>
      <w:r>
        <w:rPr>
          <w:rFonts w:ascii="Barlow Condensed" w:eastAsia="Barlow Condensed" w:hAnsi="Barlow Condensed" w:cs="Barlow Condensed"/>
          <w:b/>
          <w:bCs/>
          <w:color w:val="0B2C5F"/>
          <w:sz w:val="22"/>
          <w:szCs w:val="22"/>
        </w:rPr>
        <w:t>═══ ROTA B, SEM FAVORECIMENTO (AMBIENTAL) ═══</w:t>
      </w:r>
    </w:p>
    <w:p w14:paraId="330A6589" w14:textId="77777777" w:rsidR="001D5E73" w:rsidRDefault="001D5E73">
      <w:pPr>
        <w:spacing w:before="80"/>
      </w:pPr>
    </w:p>
    <w:p w14:paraId="30E5FC22" w14:textId="77777777" w:rsidR="001D5E73" w:rsidRDefault="001D5E73">
      <w:pPr>
        <w:pStyle w:val="Ttulo2"/>
        <w:keepNext/>
        <w:pBdr>
          <w:left w:val="single" w:sz="10" w:space="6" w:color="C9A35C"/>
        </w:pBdr>
      </w:pPr>
      <w:bookmarkStart w:id="145" w:name="_Toc238022138"/>
      <w:r>
        <w:t xml:space="preserve">P3-B, </w:t>
      </w:r>
      <w:proofErr w:type="gramStart"/>
      <w:r>
        <w:t>Os</w:t>
      </w:r>
      <w:proofErr w:type="gramEnd"/>
      <w:r>
        <w:t xml:space="preserve"> fatos apurados correspondem, em seus elementos objetivos, a um tipo penal do Título VI do Código Penal (crimes contra a dignidade sexual)?</w:t>
      </w:r>
      <w:bookmarkEnd w:id="145"/>
    </w:p>
    <w:p w14:paraId="02066325" w14:textId="77777777" w:rsidR="001D5E73" w:rsidRDefault="001D5E73">
      <w:pPr>
        <w:pStyle w:val="Ttulo3"/>
        <w:keepNext/>
      </w:pPr>
      <w:r>
        <w:rPr>
          <w:rFonts w:ascii="Calibri" w:eastAsia="Calibri" w:hAnsi="Calibri" w:cs="Calibri"/>
        </w:rPr>
        <w:t>O que avaliar</w:t>
      </w:r>
    </w:p>
    <w:p w14:paraId="4A163E29" w14:textId="77777777" w:rsidR="00FE3249" w:rsidRPr="00FE3249" w:rsidRDefault="001D5E73" w:rsidP="00FE3249">
      <w:pPr>
        <w:spacing w:after="120"/>
        <w:jc w:val="both"/>
        <w:rPr>
          <w:rFonts w:ascii="Calibri" w:eastAsia="Calibri" w:hAnsi="Calibri" w:cs="Calibri"/>
          <w:color w:val="051A3D"/>
          <w:sz w:val="22"/>
          <w:szCs w:val="22"/>
        </w:rPr>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a conduta apurada tem o conteúdo objetivo de um crime sexual — em especial a importunação sexual do art. 215-A do CP —, independentemente de haver ou não processo criminal?</w:t>
      </w:r>
      <w:r>
        <w:rPr>
          <w:rFonts w:ascii="Calibri" w:eastAsia="Calibri" w:hAnsi="Calibri" w:cs="Calibri"/>
          <w:color w:val="051A3D"/>
          <w:sz w:val="22"/>
          <w:szCs w:val="22"/>
        </w:rPr>
        <w:t xml:space="preserve"> Você não está julgando a responsabilidade penal do servidor: isso é atribuição do Ministério Público e do Judiciário, em instância autônoma. Você está lendo a </w:t>
      </w:r>
      <w:r>
        <w:rPr>
          <w:rFonts w:ascii="Calibri" w:eastAsia="Calibri" w:hAnsi="Calibri" w:cs="Calibri"/>
          <w:i/>
          <w:iCs/>
          <w:color w:val="051A3D"/>
          <w:sz w:val="22"/>
          <w:szCs w:val="22"/>
        </w:rPr>
        <w:t>tipicidade objetiva</w:t>
      </w:r>
      <w:r>
        <w:rPr>
          <w:rFonts w:ascii="Calibri" w:eastAsia="Calibri" w:hAnsi="Calibri" w:cs="Calibri"/>
          <w:color w:val="051A3D"/>
          <w:sz w:val="22"/>
          <w:szCs w:val="22"/>
        </w:rPr>
        <w:t>: os fatos descritos nos autos correspondem à descrição do tipo penal?</w:t>
      </w:r>
    </w:p>
    <w:p w14:paraId="525B7BD2" w14:textId="77777777" w:rsidR="00FE3249" w:rsidRPr="00FE3249" w:rsidRDefault="00FE3249" w:rsidP="00FE3249">
      <w:pPr>
        <w:spacing w:after="120"/>
        <w:jc w:val="both"/>
        <w:rPr>
          <w:rFonts w:ascii="Calibri" w:eastAsia="Calibri" w:hAnsi="Calibri" w:cs="Calibri"/>
          <w:color w:val="051A3D"/>
          <w:sz w:val="22"/>
          <w:szCs w:val="22"/>
        </w:rPr>
      </w:pPr>
      <w:r>
        <w:rPr>
          <w:rFonts w:ascii="Calibri" w:eastAsia="Calibri" w:hAnsi="Calibri" w:cs="Calibri"/>
          <w:color w:val="051A3D"/>
          <w:sz w:val="22"/>
          <w:szCs w:val="22"/>
        </w:rPr>
        <w:t xml:space="preserve">O art. 215-A tipifica a prática de ato libidinoso contra alguém sem a sua anuência, com o fim de satisfazer lascívia própria ou de </w:t>
      </w:r>
      <w:proofErr w:type="spellStart"/>
      <w:r>
        <w:rPr>
          <w:rFonts w:ascii="Calibri" w:eastAsia="Calibri" w:hAnsi="Calibri" w:cs="Calibri"/>
          <w:color w:val="051A3D"/>
          <w:sz w:val="22"/>
          <w:szCs w:val="22"/>
        </w:rPr>
        <w:t>terceiro</w:t>
      </w:r>
      <w:proofErr w:type="spellEnd"/>
      <w:r>
        <w:rPr>
          <w:rFonts w:ascii="Calibri" w:eastAsia="Calibri" w:hAnsi="Calibri" w:cs="Calibri"/>
          <w:color w:val="051A3D"/>
          <w:sz w:val="22"/>
          <w:szCs w:val="22"/>
        </w:rPr>
        <w:t xml:space="preserve"> — a hipótese que mais frequentemente se apresenta na Rota B, tipicamente sob a forma de contato físico de teor sexual não consentido. Nos casos mais graves, avalie também o estupro (art. 213) e a violação sexual mediante fraude (art. 215). Se os elementos objetivos estão presentes, responda SIM: o enquadramento disciplinar é o art. 132, V, com demissão como ato vinculado, e há comunicação obrigatória ao Ministério Público.</w:t>
      </w:r>
    </w:p>
    <w:p w14:paraId="1AA9F85D" w14:textId="77777777" w:rsidR="001D5E73" w:rsidRDefault="00FE3249" w:rsidP="00FE3249">
      <w:pPr>
        <w:spacing w:after="120"/>
        <w:jc w:val="both"/>
        <w:rPr>
          <w:rFonts w:ascii="Calibri" w:eastAsia="Calibri" w:hAnsi="Calibri" w:cs="Calibri"/>
          <w:color w:val="051A3D"/>
          <w:sz w:val="22"/>
          <w:szCs w:val="22"/>
        </w:rPr>
      </w:pPr>
      <w:r>
        <w:rPr>
          <w:rFonts w:ascii="Calibri" w:eastAsia="Calibri" w:hAnsi="Calibri" w:cs="Calibri"/>
          <w:color w:val="051A3D"/>
          <w:sz w:val="22"/>
          <w:szCs w:val="22"/>
        </w:rPr>
        <w:t>Esta é a primeira pergunta da Rota B porque a correspondência a crime sexual é um qualificador anterior e mais forte do que os três qualificadores ambientais. Ela impede que uma conduta objetivamente criminosa seja rebaixada ao patamar de conduta imprópria apenas porque não foi pública ou porque não há laudo psicológico.</w:t>
      </w:r>
    </w:p>
    <w:p w14:paraId="05A9CFCC" w14:textId="77777777" w:rsidR="00E309E1" w:rsidRPr="00FE3249" w:rsidRDefault="00E309E1" w:rsidP="00FE3249">
      <w:pPr>
        <w:spacing w:after="120"/>
        <w:jc w:val="both"/>
        <w:rPr>
          <w:rFonts w:ascii="Calibri" w:eastAsia="Calibri" w:hAnsi="Calibri" w:cs="Calibri"/>
          <w:color w:val="051A3D"/>
          <w:sz w:val="22"/>
          <w:szCs w:val="22"/>
        </w:rPr>
      </w:pPr>
      <w:r>
        <w:rPr>
          <w:rFonts w:ascii="Calibri" w:eastAsia="Calibri" w:hAnsi="Calibri" w:cs="Calibri"/>
          <w:color w:val="051A3D"/>
          <w:sz w:val="22"/>
          <w:szCs w:val="22"/>
        </w:rPr>
        <w:t xml:space="preserve">O </w:t>
      </w:r>
      <w:proofErr w:type="spellStart"/>
      <w:r>
        <w:rPr>
          <w:rFonts w:ascii="Calibri" w:eastAsia="Calibri" w:hAnsi="Calibri" w:cs="Calibri"/>
          <w:color w:val="051A3D"/>
          <w:sz w:val="22"/>
          <w:szCs w:val="22"/>
        </w:rPr>
        <w:t>gate</w:t>
      </w:r>
      <w:proofErr w:type="spellEnd"/>
      <w:r>
        <w:rPr>
          <w:rFonts w:ascii="Calibri" w:eastAsia="Calibri" w:hAnsi="Calibri" w:cs="Calibri"/>
          <w:color w:val="051A3D"/>
          <w:sz w:val="22"/>
          <w:szCs w:val="22"/>
        </w:rPr>
        <w:t xml:space="preserve"> é de alta exigência. O art. 215-A não alcança qualquer contato indesejado: exige ato libidinoso — de conteúdo sexual reconhecível — praticado sem anuência e com o fim de satisfazer lascívia. Diante de dúvida sobre o caráter libidinoso da conduta, responda NÃO: a conduta não será arquivada, seguirá para os qualificadores ambientais (P4-B em diante), onde o impacto grave ainda pode conduzir à demissão.</w:t>
      </w:r>
    </w:p>
    <w:p w14:paraId="5E956793" w14:textId="77777777" w:rsidR="001D5E73" w:rsidRDefault="001D5E73">
      <w:pPr>
        <w:pStyle w:val="Ttulo3"/>
        <w:keepNext/>
      </w:pPr>
      <w:r>
        <w:rPr>
          <w:rFonts w:ascii="Calibri" w:eastAsia="Calibri" w:hAnsi="Calibri" w:cs="Calibri"/>
        </w:rPr>
        <w:lastRenderedPageBreak/>
        <w:t>Satisfaz a condição, responda SIM</w:t>
      </w:r>
    </w:p>
    <w:p w14:paraId="24B36186" w14:textId="77777777" w:rsidR="00FE3249" w:rsidRPr="00FE3249" w:rsidRDefault="00FE3249" w:rsidP="00FE3249">
      <w:pPr>
        <w:pStyle w:val="PargrafodaLista"/>
        <w:numPr>
          <w:ilvl w:val="0"/>
          <w:numId w:val="25"/>
        </w:numPr>
        <w:spacing w:after="80" w:line="240" w:lineRule="auto"/>
        <w:jc w:val="both"/>
        <w:rPr>
          <w:rFonts w:ascii="Calibri" w:eastAsia="Calibri" w:hAnsi="Calibri" w:cs="Calibri"/>
          <w:color w:val="051A3D"/>
          <w:sz w:val="22"/>
          <w:szCs w:val="22"/>
        </w:rPr>
      </w:pPr>
      <w:r>
        <w:rPr>
          <w:rFonts w:ascii="Calibri" w:eastAsia="Calibri" w:hAnsi="Calibri" w:cs="Calibri"/>
          <w:color w:val="051A3D"/>
          <w:sz w:val="22"/>
          <w:szCs w:val="22"/>
        </w:rPr>
        <w:t xml:space="preserve">Contato físico de teor sexual não consentido: toque em partes íntimas, carícia, esfregar-se contra a vítima, beijo forçado </w:t>
      </w:r>
    </w:p>
    <w:p w14:paraId="10B11378" w14:textId="77777777" w:rsidR="00FE3249" w:rsidRPr="00FE3249" w:rsidRDefault="00FE3249" w:rsidP="00FE3249">
      <w:pPr>
        <w:pStyle w:val="PargrafodaLista"/>
        <w:numPr>
          <w:ilvl w:val="0"/>
          <w:numId w:val="25"/>
        </w:numPr>
        <w:spacing w:after="80" w:line="240" w:lineRule="auto"/>
        <w:jc w:val="both"/>
        <w:rPr>
          <w:rFonts w:ascii="Calibri" w:eastAsia="Calibri" w:hAnsi="Calibri" w:cs="Calibri"/>
          <w:color w:val="051A3D"/>
          <w:sz w:val="22"/>
          <w:szCs w:val="22"/>
        </w:rPr>
      </w:pPr>
      <w:r>
        <w:rPr>
          <w:rFonts w:ascii="Calibri" w:eastAsia="Calibri" w:hAnsi="Calibri" w:cs="Calibri"/>
          <w:color w:val="051A3D"/>
          <w:sz w:val="22"/>
          <w:szCs w:val="22"/>
        </w:rPr>
        <w:t xml:space="preserve">Ato libidinoso praticado contra a vítima ou em sua presença, sem anuência, com conotação de satisfação de lascívia </w:t>
      </w:r>
    </w:p>
    <w:p w14:paraId="7444A880" w14:textId="77777777" w:rsidR="00FE3249" w:rsidRPr="00FE3249" w:rsidRDefault="00FE3249" w:rsidP="00FE3249">
      <w:pPr>
        <w:pStyle w:val="PargrafodaLista"/>
        <w:numPr>
          <w:ilvl w:val="0"/>
          <w:numId w:val="25"/>
        </w:numPr>
        <w:spacing w:after="80" w:line="240" w:lineRule="auto"/>
        <w:jc w:val="both"/>
        <w:rPr>
          <w:rFonts w:ascii="Calibri" w:eastAsia="Calibri" w:hAnsi="Calibri" w:cs="Calibri"/>
          <w:color w:val="051A3D"/>
          <w:sz w:val="22"/>
          <w:szCs w:val="22"/>
        </w:rPr>
      </w:pPr>
      <w:r>
        <w:rPr>
          <w:rFonts w:ascii="Calibri" w:eastAsia="Calibri" w:hAnsi="Calibri" w:cs="Calibri"/>
          <w:color w:val="051A3D"/>
          <w:sz w:val="22"/>
          <w:szCs w:val="22"/>
        </w:rPr>
        <w:t xml:space="preserve">Retirada de peça de vestuário, apalpação ou abordagem física de conteúdo sexual após recusa da vítima </w:t>
      </w:r>
    </w:p>
    <w:p w14:paraId="09012267" w14:textId="77777777" w:rsidR="00FE3249" w:rsidRPr="00FE3249" w:rsidRDefault="00FE3249" w:rsidP="00FE3249">
      <w:pPr>
        <w:pStyle w:val="PargrafodaLista"/>
        <w:numPr>
          <w:ilvl w:val="0"/>
          <w:numId w:val="25"/>
        </w:numPr>
        <w:spacing w:after="80" w:line="240" w:lineRule="auto"/>
        <w:jc w:val="both"/>
        <w:rPr>
          <w:rFonts w:ascii="Calibri" w:eastAsia="Calibri" w:hAnsi="Calibri" w:cs="Calibri"/>
          <w:color w:val="051A3D"/>
          <w:sz w:val="22"/>
          <w:szCs w:val="22"/>
        </w:rPr>
      </w:pPr>
      <w:r>
        <w:rPr>
          <w:rFonts w:ascii="Calibri" w:eastAsia="Calibri" w:hAnsi="Calibri" w:cs="Calibri"/>
          <w:color w:val="051A3D"/>
          <w:sz w:val="22"/>
          <w:szCs w:val="22"/>
        </w:rPr>
        <w:t>Conduta de gravidade tal que corresponda, em seus elementos objetivos, ao estupro (art. 213) ou à violação sexual mediante fraude (art. 215)</w:t>
      </w:r>
    </w:p>
    <w:p w14:paraId="0B916C1D" w14:textId="77777777" w:rsidR="001D5E73" w:rsidRDefault="001D5E73">
      <w:pPr>
        <w:pStyle w:val="Ttulo3"/>
        <w:keepNext/>
      </w:pPr>
      <w:r>
        <w:rPr>
          <w:rFonts w:ascii="Calibri" w:eastAsia="Calibri" w:hAnsi="Calibri" w:cs="Calibri"/>
        </w:rPr>
        <w:t>Não satisfaz a condição, responda NÃO</w:t>
      </w:r>
    </w:p>
    <w:p w14:paraId="64ED4BD5" w14:textId="77777777" w:rsidR="0090706F" w:rsidRPr="0090706F" w:rsidRDefault="0090706F" w:rsidP="0090706F">
      <w:pPr>
        <w:pStyle w:val="PargrafodaLista"/>
        <w:numPr>
          <w:ilvl w:val="0"/>
          <w:numId w:val="25"/>
        </w:numPr>
        <w:spacing w:after="80" w:line="240" w:lineRule="auto"/>
        <w:jc w:val="both"/>
        <w:rPr>
          <w:rFonts w:ascii="Calibri" w:eastAsia="Calibri" w:hAnsi="Calibri" w:cs="Calibri"/>
          <w:color w:val="051A3D"/>
          <w:sz w:val="22"/>
          <w:szCs w:val="22"/>
        </w:rPr>
      </w:pPr>
      <w:r>
        <w:rPr>
          <w:rFonts w:ascii="Calibri" w:eastAsia="Calibri" w:hAnsi="Calibri" w:cs="Calibri"/>
          <w:color w:val="051A3D"/>
          <w:sz w:val="22"/>
          <w:szCs w:val="22"/>
        </w:rPr>
        <w:t xml:space="preserve">Abraço apertado ou demorado, mão no ombro, puxão pela mão, contato prolongado de conotação ambígua — não são, por si sós, ato libidinoso; seguem para P4-B </w:t>
      </w:r>
    </w:p>
    <w:p w14:paraId="7E83062A" w14:textId="77777777" w:rsidR="0090706F" w:rsidRPr="0090706F" w:rsidRDefault="0090706F" w:rsidP="0090706F">
      <w:pPr>
        <w:pStyle w:val="PargrafodaLista"/>
        <w:numPr>
          <w:ilvl w:val="0"/>
          <w:numId w:val="25"/>
        </w:numPr>
        <w:spacing w:after="80" w:line="240" w:lineRule="auto"/>
        <w:jc w:val="both"/>
        <w:rPr>
          <w:rFonts w:ascii="Calibri" w:eastAsia="Calibri" w:hAnsi="Calibri" w:cs="Calibri"/>
          <w:color w:val="051A3D"/>
          <w:sz w:val="22"/>
          <w:szCs w:val="22"/>
        </w:rPr>
      </w:pPr>
      <w:r>
        <w:rPr>
          <w:rFonts w:ascii="Calibri" w:eastAsia="Calibri" w:hAnsi="Calibri" w:cs="Calibri"/>
          <w:color w:val="051A3D"/>
          <w:sz w:val="22"/>
          <w:szCs w:val="22"/>
        </w:rPr>
        <w:t xml:space="preserve">Contato físico cuja natureza sexual é duvidosa ou de baixa reprovabilidade — na dúvida sobre o caráter libidinoso, responda NÃO e siga para P4-B </w:t>
      </w:r>
    </w:p>
    <w:p w14:paraId="039066A8" w14:textId="77777777" w:rsidR="0090706F" w:rsidRPr="0090706F" w:rsidRDefault="0090706F" w:rsidP="0090706F">
      <w:pPr>
        <w:pStyle w:val="PargrafodaLista"/>
        <w:numPr>
          <w:ilvl w:val="0"/>
          <w:numId w:val="25"/>
        </w:numPr>
        <w:spacing w:after="80" w:line="240" w:lineRule="auto"/>
        <w:jc w:val="both"/>
        <w:rPr>
          <w:rFonts w:ascii="Calibri" w:eastAsia="Calibri" w:hAnsi="Calibri" w:cs="Calibri"/>
          <w:color w:val="051A3D"/>
          <w:sz w:val="22"/>
          <w:szCs w:val="22"/>
        </w:rPr>
      </w:pPr>
      <w:r>
        <w:rPr>
          <w:rFonts w:ascii="Calibri" w:eastAsia="Calibri" w:hAnsi="Calibri" w:cs="Calibri"/>
          <w:color w:val="051A3D"/>
          <w:sz w:val="22"/>
          <w:szCs w:val="22"/>
        </w:rPr>
        <w:t xml:space="preserve">Comentário, piada ou insinuação de teor sexual, sem contato físico nem ato libidinoso — segue para P4-B </w:t>
      </w:r>
    </w:p>
    <w:p w14:paraId="55BEF600" w14:textId="77777777" w:rsidR="0090706F" w:rsidRPr="00620903" w:rsidRDefault="0090706F" w:rsidP="0090706F">
      <w:pPr>
        <w:pStyle w:val="PargrafodaLista"/>
        <w:numPr>
          <w:ilvl w:val="0"/>
          <w:numId w:val="25"/>
        </w:numPr>
        <w:spacing w:after="80" w:line="240" w:lineRule="auto"/>
        <w:jc w:val="both"/>
        <w:rPr>
          <w:rFonts w:ascii="Calibri" w:eastAsia="Calibri" w:hAnsi="Calibri" w:cs="Calibri"/>
          <w:color w:val="051A3D"/>
          <w:sz w:val="22"/>
          <w:szCs w:val="22"/>
        </w:rPr>
      </w:pPr>
      <w:r>
        <w:rPr>
          <w:rFonts w:ascii="Calibri" w:eastAsia="Calibri" w:hAnsi="Calibri" w:cs="Calibri"/>
          <w:color w:val="051A3D"/>
          <w:sz w:val="22"/>
          <w:szCs w:val="22"/>
        </w:rPr>
        <w:t xml:space="preserve">Conduta de conotação sexual que constrange a </w:t>
      </w:r>
      <w:proofErr w:type="gramStart"/>
      <w:r>
        <w:rPr>
          <w:rFonts w:ascii="Calibri" w:eastAsia="Calibri" w:hAnsi="Calibri" w:cs="Calibri"/>
          <w:color w:val="051A3D"/>
          <w:sz w:val="22"/>
          <w:szCs w:val="22"/>
        </w:rPr>
        <w:t>vítima</w:t>
      </w:r>
      <w:proofErr w:type="gramEnd"/>
      <w:r>
        <w:rPr>
          <w:rFonts w:ascii="Calibri" w:eastAsia="Calibri" w:hAnsi="Calibri" w:cs="Calibri"/>
          <w:color w:val="051A3D"/>
          <w:sz w:val="22"/>
          <w:szCs w:val="22"/>
        </w:rPr>
        <w:t xml:space="preserve"> mas não corresponde a nenhum tipo do Título VI — segue para P4-B</w:t>
      </w:r>
    </w:p>
    <w:p w14:paraId="19F035F8" w14:textId="77777777" w:rsidR="001D5E73" w:rsidRDefault="001D5E73">
      <w:pPr>
        <w:pStyle w:val="Ttulo3"/>
        <w:keepNext/>
      </w:pPr>
      <w:r>
        <w:rPr>
          <w:rFonts w:ascii="Calibri" w:eastAsia="Calibri" w:hAnsi="Calibri" w:cs="Calibri"/>
        </w:rPr>
        <w:t>O que buscar nos autos</w:t>
      </w:r>
    </w:p>
    <w:p w14:paraId="2F532803" w14:textId="77777777" w:rsidR="0010768D" w:rsidRPr="0010768D" w:rsidRDefault="0010768D" w:rsidP="0010768D">
      <w:pPr>
        <w:pStyle w:val="PargrafodaLista"/>
        <w:numPr>
          <w:ilvl w:val="0"/>
          <w:numId w:val="25"/>
        </w:numPr>
        <w:spacing w:after="80" w:line="240" w:lineRule="auto"/>
        <w:jc w:val="both"/>
        <w:rPr>
          <w:rFonts w:ascii="Calibri" w:eastAsia="Calibri" w:hAnsi="Calibri" w:cs="Calibri"/>
          <w:color w:val="051A3D"/>
          <w:sz w:val="22"/>
          <w:szCs w:val="22"/>
        </w:rPr>
      </w:pPr>
      <w:r>
        <w:rPr>
          <w:rFonts w:ascii="Calibri" w:eastAsia="Calibri" w:hAnsi="Calibri" w:cs="Calibri"/>
          <w:color w:val="051A3D"/>
          <w:sz w:val="22"/>
          <w:szCs w:val="22"/>
        </w:rPr>
        <w:t xml:space="preserve">Descrição objetiva e circunstanciada da conduta física: o que foi tocado, como, em que sequência, se houve recusa prévia da vítima — o elemento probatório decisivo neste ponto </w:t>
      </w:r>
    </w:p>
    <w:p w14:paraId="2432C86B" w14:textId="77777777" w:rsidR="0010768D" w:rsidRPr="0010768D" w:rsidRDefault="0010768D" w:rsidP="0010768D">
      <w:pPr>
        <w:pStyle w:val="PargrafodaLista"/>
        <w:numPr>
          <w:ilvl w:val="0"/>
          <w:numId w:val="25"/>
        </w:numPr>
        <w:spacing w:after="80" w:line="240" w:lineRule="auto"/>
        <w:jc w:val="both"/>
        <w:rPr>
          <w:rFonts w:ascii="Calibri" w:eastAsia="Calibri" w:hAnsi="Calibri" w:cs="Calibri"/>
          <w:color w:val="051A3D"/>
          <w:sz w:val="22"/>
          <w:szCs w:val="22"/>
        </w:rPr>
      </w:pPr>
      <w:r>
        <w:rPr>
          <w:rFonts w:ascii="Calibri" w:eastAsia="Calibri" w:hAnsi="Calibri" w:cs="Calibri"/>
          <w:color w:val="051A3D"/>
          <w:sz w:val="22"/>
          <w:szCs w:val="22"/>
        </w:rPr>
        <w:t xml:space="preserve">Relato contemporâneo a terceiros feito logo após o episódio (a cônjuge, a chefia, a colega): corrobora o relato da vítima e sustenta a materialidade sem necessidade de laudo </w:t>
      </w:r>
    </w:p>
    <w:p w14:paraId="4B3F75BB" w14:textId="77777777" w:rsidR="0010768D" w:rsidRPr="0010768D" w:rsidRDefault="0010768D" w:rsidP="0010768D">
      <w:pPr>
        <w:pStyle w:val="PargrafodaLista"/>
        <w:numPr>
          <w:ilvl w:val="0"/>
          <w:numId w:val="25"/>
        </w:numPr>
        <w:spacing w:after="80" w:line="240" w:lineRule="auto"/>
        <w:jc w:val="both"/>
        <w:rPr>
          <w:rFonts w:ascii="Calibri" w:eastAsia="Calibri" w:hAnsi="Calibri" w:cs="Calibri"/>
          <w:color w:val="051A3D"/>
          <w:sz w:val="22"/>
          <w:szCs w:val="22"/>
        </w:rPr>
      </w:pPr>
      <w:r>
        <w:rPr>
          <w:rFonts w:ascii="Calibri" w:eastAsia="Calibri" w:hAnsi="Calibri" w:cs="Calibri"/>
          <w:color w:val="051A3D"/>
          <w:sz w:val="22"/>
          <w:szCs w:val="22"/>
        </w:rPr>
        <w:t xml:space="preserve">Registros eletrônicos, imagens de circuito interno, depoimentos de quem presenciou a abordagem ou o estado da vítima logo após </w:t>
      </w:r>
    </w:p>
    <w:p w14:paraId="5C945E00" w14:textId="77777777" w:rsidR="005368EF" w:rsidRDefault="0010768D" w:rsidP="0010768D">
      <w:pPr>
        <w:pStyle w:val="PargrafodaLista"/>
        <w:numPr>
          <w:ilvl w:val="0"/>
          <w:numId w:val="25"/>
        </w:numPr>
        <w:spacing w:after="80" w:line="240" w:lineRule="auto"/>
        <w:jc w:val="both"/>
        <w:rPr>
          <w:rFonts w:ascii="Calibri" w:eastAsia="Calibri" w:hAnsi="Calibri" w:cs="Calibri"/>
          <w:color w:val="051A3D"/>
          <w:sz w:val="22"/>
          <w:szCs w:val="22"/>
        </w:rPr>
      </w:pPr>
      <w:proofErr w:type="gramStart"/>
      <w:r>
        <w:rPr>
          <w:rFonts w:ascii="Calibri" w:eastAsia="Calibri" w:hAnsi="Calibri" w:cs="Calibri"/>
          <w:color w:val="051A3D"/>
          <w:sz w:val="22"/>
          <w:szCs w:val="22"/>
        </w:rPr>
        <w:t>Eventuais boletim</w:t>
      </w:r>
      <w:proofErr w:type="gramEnd"/>
      <w:r>
        <w:rPr>
          <w:rFonts w:ascii="Calibri" w:eastAsia="Calibri" w:hAnsi="Calibri" w:cs="Calibri"/>
          <w:color w:val="051A3D"/>
          <w:sz w:val="22"/>
          <w:szCs w:val="22"/>
        </w:rPr>
        <w:t xml:space="preserve"> de ocorrência ou notícia-crime já existentes — indicam que a esfera penal pode já estar provocada</w:t>
      </w:r>
    </w:p>
    <w:p w14:paraId="42E70263" w14:textId="77777777" w:rsidR="0000175F" w:rsidRDefault="0000175F" w:rsidP="0000175F">
      <w:pPr>
        <w:pStyle w:val="PargrafodaLista"/>
        <w:spacing w:after="80" w:line="240" w:lineRule="auto"/>
        <w:ind w:left="480"/>
        <w:jc w:val="both"/>
        <w:rPr>
          <w:rFonts w:ascii="Calibri" w:eastAsia="Calibri" w:hAnsi="Calibri" w:cs="Calibri"/>
          <w:color w:val="051A3D"/>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0175F" w14:paraId="21D837F8" w14:textId="77777777" w:rsidTr="00C85179">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33536862" w14:textId="77777777" w:rsidR="0000175F" w:rsidRDefault="0000175F" w:rsidP="00C85179">
            <w:pPr>
              <w:jc w:val="both"/>
            </w:pPr>
            <w:r>
              <w:rPr>
                <w:rFonts w:ascii="Calibri" w:eastAsia="Calibri" w:hAnsi="Calibri" w:cs="Calibri"/>
                <w:b/>
                <w:bCs/>
                <w:color w:val="0B2C5F"/>
                <w:sz w:val="20"/>
                <w:szCs w:val="20"/>
              </w:rPr>
              <w:t>Alerta, tipicidade objetiva não é juízo de crime:</w:t>
            </w:r>
            <w:r>
              <w:rPr>
                <w:rFonts w:ascii="Calibri" w:eastAsia="Calibri" w:hAnsi="Calibri" w:cs="Calibri"/>
                <w:color w:val="051A3D"/>
                <w:sz w:val="20"/>
                <w:szCs w:val="20"/>
              </w:rPr>
              <w:t xml:space="preserve"> responder SIM não significa afirmar que o servidor é criminalmente responsável, nem antecipa a decisão penal. Significa que a conduta apurada tem o conteúdo objetivo de um crime sexual e, por isso, o patamar disciplinar é o expulsivo. A absolvição criminal futura, salvo quando negar o fato ou a autoria, não desfaz o enquadramento disciplinar (independência de instâncias).</w:t>
            </w:r>
          </w:p>
        </w:tc>
      </w:tr>
    </w:tbl>
    <w:p w14:paraId="7EE7D9B1" w14:textId="77777777" w:rsidR="0010768D" w:rsidRDefault="0010768D" w:rsidP="0000175F">
      <w:pPr>
        <w:spacing w:after="80" w:line="240" w:lineRule="auto"/>
        <w:jc w:val="both"/>
        <w:rPr>
          <w:rFonts w:ascii="Calibri" w:eastAsia="Calibri" w:hAnsi="Calibri" w:cs="Calibri"/>
          <w:color w:val="051A3D"/>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80CDD" w14:paraId="09CF95F2" w14:textId="77777777" w:rsidTr="00C85179">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1F9748C6" w14:textId="77777777" w:rsidR="00580CDD" w:rsidRDefault="00580CDD" w:rsidP="00C85179">
            <w:pPr>
              <w:jc w:val="both"/>
            </w:pPr>
            <w:r>
              <w:rPr>
                <w:rFonts w:ascii="Calibri" w:eastAsia="Calibri" w:hAnsi="Calibri" w:cs="Calibri"/>
                <w:b/>
                <w:bCs/>
                <w:color w:val="0B2C5F"/>
                <w:sz w:val="20"/>
                <w:szCs w:val="20"/>
              </w:rPr>
              <w:t>Alerta,</w:t>
            </w:r>
            <w:r>
              <w:rPr>
                <w:b/>
                <w:bCs/>
              </w:rPr>
              <w:t xml:space="preserve"> </w:t>
            </w:r>
            <w:r>
              <w:rPr>
                <w:rFonts w:ascii="Calibri" w:eastAsia="Calibri" w:hAnsi="Calibri" w:cs="Calibri"/>
                <w:b/>
                <w:bCs/>
                <w:color w:val="0B2C5F"/>
                <w:sz w:val="20"/>
                <w:szCs w:val="20"/>
              </w:rPr>
              <w:t xml:space="preserve">não eleve contato ambíguo a crime: </w:t>
            </w:r>
            <w:r>
              <w:rPr>
                <w:rFonts w:ascii="Calibri" w:eastAsia="Calibri" w:hAnsi="Calibri" w:cs="Calibri"/>
                <w:color w:val="0B2C5F"/>
                <w:sz w:val="20"/>
                <w:szCs w:val="20"/>
              </w:rPr>
              <w:t xml:space="preserve">o </w:t>
            </w:r>
            <w:proofErr w:type="spellStart"/>
            <w:r>
              <w:rPr>
                <w:rFonts w:ascii="Calibri" w:eastAsia="Calibri" w:hAnsi="Calibri" w:cs="Calibri"/>
                <w:color w:val="0B2C5F"/>
                <w:sz w:val="20"/>
                <w:szCs w:val="20"/>
              </w:rPr>
              <w:t>gate</w:t>
            </w:r>
            <w:proofErr w:type="spellEnd"/>
            <w:r>
              <w:rPr>
                <w:rFonts w:ascii="Calibri" w:eastAsia="Calibri" w:hAnsi="Calibri" w:cs="Calibri"/>
                <w:color w:val="0B2C5F"/>
                <w:sz w:val="20"/>
                <w:szCs w:val="20"/>
              </w:rPr>
              <w:t xml:space="preserve"> exige ato libidinoso de conteúdo sexual manifesto. Abraço demorado, mão no ombro, contato de natureza sexual duvidosa não são importunação sexual por si sós. Na dúvida, responda NÃO — a via ambiental calibra a resposta e ainda alcança o art. 132, V quando o impacto for grave e documentado.</w:t>
            </w:r>
          </w:p>
        </w:tc>
      </w:tr>
    </w:tbl>
    <w:p w14:paraId="7BB8195C" w14:textId="77777777" w:rsidR="00580CDD" w:rsidRPr="0000175F" w:rsidRDefault="00580CDD" w:rsidP="0000175F">
      <w:pPr>
        <w:spacing w:after="80" w:line="240" w:lineRule="auto"/>
        <w:jc w:val="both"/>
        <w:rPr>
          <w:rFonts w:ascii="Calibri" w:eastAsia="Calibri" w:hAnsi="Calibri" w:cs="Calibri"/>
          <w:color w:val="051A3D"/>
          <w:sz w:val="22"/>
          <w:szCs w:val="22"/>
        </w:rPr>
      </w:pPr>
    </w:p>
    <w:p w14:paraId="60B1E451" w14:textId="77777777" w:rsidR="001D5E73" w:rsidRDefault="001D5E73">
      <w:pPr>
        <w:spacing w:before="80" w:after="60"/>
      </w:pPr>
      <w:r>
        <w:rPr>
          <w:rFonts w:ascii="Calibri" w:eastAsia="Calibri" w:hAnsi="Calibri" w:cs="Calibri"/>
          <w:b/>
          <w:bCs/>
          <w:color w:val="1F7A4C"/>
          <w:sz w:val="22"/>
          <w:szCs w:val="22"/>
        </w:rPr>
        <w:lastRenderedPageBreak/>
        <w:t xml:space="preserve">SIM → </w:t>
      </w:r>
      <w:r>
        <w:rPr>
          <w:rFonts w:ascii="Calibri" w:eastAsia="Calibri" w:hAnsi="Calibri" w:cs="Calibri"/>
          <w:color w:val="051A3D"/>
          <w:sz w:val="22"/>
          <w:szCs w:val="22"/>
        </w:rPr>
        <w:t>GATE → Resultado I, conotação sexual com decorrência penal, art. 132, V, demissão, com comunicação ao Ministério Público</w:t>
      </w:r>
    </w:p>
    <w:p w14:paraId="2390E80C" w14:textId="77777777" w:rsidR="001D5E73" w:rsidRDefault="001D5E73">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P4-B (primeiro qualificador ambiental: escândalo / moralidade)</w:t>
      </w:r>
    </w:p>
    <w:p w14:paraId="0922C810" w14:textId="77777777" w:rsidR="001D5E73" w:rsidRDefault="001D5E73">
      <w:pPr>
        <w:pBdr>
          <w:bottom w:val="single" w:sz="4" w:space="1" w:color="C9A35C"/>
        </w:pBdr>
        <w:spacing w:before="200" w:after="200"/>
      </w:pPr>
    </w:p>
    <w:p w14:paraId="1661CE07" w14:textId="77777777" w:rsidR="001D5E73" w:rsidRDefault="001D5E73">
      <w:pPr>
        <w:pStyle w:val="Ttulo2"/>
        <w:keepNext/>
        <w:pBdr>
          <w:left w:val="single" w:sz="10" w:space="6" w:color="C9A35C"/>
        </w:pBdr>
      </w:pPr>
      <w:bookmarkStart w:id="146" w:name="_Toc238022139"/>
      <w:r>
        <w:t xml:space="preserve">P5-B, </w:t>
      </w:r>
      <w:proofErr w:type="gramStart"/>
      <w:r>
        <w:t>Houve</w:t>
      </w:r>
      <w:proofErr w:type="gramEnd"/>
      <w:r>
        <w:t xml:space="preserve"> grave impacto à dignidade da vítima?</w:t>
      </w:r>
      <w:bookmarkEnd w:id="146"/>
    </w:p>
    <w:p w14:paraId="4129AF92" w14:textId="77777777" w:rsidR="001D5E73" w:rsidRDefault="001D5E73">
      <w:pPr>
        <w:pStyle w:val="Ttulo3"/>
        <w:keepNext/>
      </w:pPr>
      <w:r>
        <w:rPr>
          <w:rFonts w:ascii="Calibri" w:eastAsia="Calibri" w:hAnsi="Calibri" w:cs="Calibri"/>
        </w:rPr>
        <w:t>O que avaliar</w:t>
      </w:r>
    </w:p>
    <w:p w14:paraId="77414363" w14:textId="77777777" w:rsidR="001D5E73" w:rsidRDefault="001D5E73">
      <w:pPr>
        <w:spacing w:after="120"/>
        <w:jc w:val="both"/>
      </w:pPr>
      <w:r>
        <w:rPr>
          <w:rFonts w:ascii="Calibri" w:eastAsia="Calibri" w:hAnsi="Calibri" w:cs="Calibri"/>
          <w:color w:val="051A3D"/>
          <w:sz w:val="22"/>
          <w:szCs w:val="22"/>
        </w:rPr>
        <w:t xml:space="preserve">Os mesmos critérios de P5-A se aplicam aqui. O grave impacto à dignidade é qualificador autônomo na Rota B: na ausência de escândalo institucional, o dano produzido sobre a vítima é suficiente, por si só, para o enquadramento mais grave, sem necessidade de verificar os demais qualificadores. </w:t>
      </w:r>
      <w:r>
        <w:rPr>
          <w:rFonts w:ascii="Calibri" w:eastAsia="Calibri" w:hAnsi="Calibri" w:cs="Calibri"/>
          <w:b/>
          <w:bCs/>
          <w:color w:val="051A3D"/>
          <w:sz w:val="22"/>
          <w:szCs w:val="22"/>
        </w:rPr>
        <w:t>Um único ato de alta intensidade pode satisfazer este qualificador sem reiteração.</w:t>
      </w:r>
    </w:p>
    <w:p w14:paraId="1DC31485" w14:textId="77777777" w:rsidR="001D5E73" w:rsidRDefault="001D5E73">
      <w:pPr>
        <w:spacing w:after="120"/>
        <w:jc w:val="both"/>
      </w:pPr>
      <w:r>
        <w:rPr>
          <w:rFonts w:ascii="Calibri" w:eastAsia="Calibri" w:hAnsi="Calibri" w:cs="Calibri"/>
          <w:color w:val="051A3D"/>
          <w:sz w:val="22"/>
          <w:szCs w:val="22"/>
        </w:rPr>
        <w:t>Use os mesmos elementos probatórios indicados em P5-A: laudo, licença médica, relato contemporâneo, pedido de transferência, comprometimento funcional documentado, contato físico sexual forçado.</w:t>
      </w:r>
    </w:p>
    <w:p w14:paraId="5FF6E6FD" w14:textId="77777777" w:rsidR="001D5E73" w:rsidRDefault="001D5E73">
      <w:pPr>
        <w:pStyle w:val="Ttulo3"/>
        <w:keepNext/>
      </w:pPr>
      <w:r>
        <w:rPr>
          <w:rFonts w:ascii="Calibri" w:eastAsia="Calibri" w:hAnsi="Calibri" w:cs="Calibri"/>
        </w:rPr>
        <w:t>O que buscar nos autos</w:t>
      </w:r>
    </w:p>
    <w:p w14:paraId="1E086C5A"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Os mesmos elementos de P5-A</w:t>
      </w:r>
    </w:p>
    <w:p w14:paraId="44317683"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Atenção especial ao relato contemporâneo a terceiros feito logo após os episódios: é frequentemente o elemento mais valioso na Rota B quando não há laudo formal</w:t>
      </w:r>
    </w:p>
    <w:p w14:paraId="389C53CF" w14:textId="77777777" w:rsidR="001D5E73" w:rsidRDefault="001D5E73">
      <w:pPr>
        <w:spacing w:before="80"/>
      </w:pPr>
    </w:p>
    <w:p w14:paraId="60480C55" w14:textId="77777777" w:rsidR="001D5E73" w:rsidRDefault="001D5E73">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Resultado F, conotação sexual / dano grave, art. 132, V ou art. 116, IX conforme dosimetria</w:t>
      </w:r>
    </w:p>
    <w:p w14:paraId="470DF471" w14:textId="77777777" w:rsidR="001D5E73" w:rsidRDefault="001D5E73">
      <w:pPr>
        <w:spacing w:before="80" w:after="60"/>
      </w:pPr>
      <w:r>
        <w:rPr>
          <w:rFonts w:ascii="Calibri" w:eastAsia="Calibri" w:hAnsi="Calibri" w:cs="Calibri"/>
          <w:b/>
          <w:bCs/>
          <w:color w:val="0B2C5F"/>
          <w:sz w:val="22"/>
          <w:szCs w:val="22"/>
        </w:rPr>
        <w:t>NÃO → P6-B</w:t>
      </w:r>
    </w:p>
    <w:p w14:paraId="7D676B8A" w14:textId="77777777" w:rsidR="001D5E73" w:rsidRDefault="001D5E73">
      <w:pPr>
        <w:pBdr>
          <w:bottom w:val="single" w:sz="4" w:space="1" w:color="C9A35C"/>
        </w:pBdr>
        <w:spacing w:before="200" w:after="200"/>
      </w:pPr>
    </w:p>
    <w:p w14:paraId="03957AD5" w14:textId="77777777" w:rsidR="001D5E73" w:rsidRDefault="001D5E73">
      <w:pPr>
        <w:pStyle w:val="Ttulo2"/>
        <w:keepNext/>
        <w:pBdr>
          <w:left w:val="single" w:sz="10" w:space="6" w:color="C9A35C"/>
        </w:pBdr>
      </w:pPr>
      <w:bookmarkStart w:id="147" w:name="_Toc238022140"/>
      <w:r>
        <w:t xml:space="preserve">P6-B, </w:t>
      </w:r>
      <w:proofErr w:type="gramStart"/>
      <w:r>
        <w:t>Houve</w:t>
      </w:r>
      <w:proofErr w:type="gramEnd"/>
      <w:r>
        <w:t xml:space="preserve"> uso do cargo ou ascendência funcional para praticar o ato?</w:t>
      </w:r>
      <w:bookmarkEnd w:id="147"/>
    </w:p>
    <w:p w14:paraId="1895EDDC" w14:textId="77777777" w:rsidR="001D5E73" w:rsidRDefault="001D5E73">
      <w:pPr>
        <w:pStyle w:val="Ttulo3"/>
        <w:keepNext/>
      </w:pPr>
      <w:r>
        <w:rPr>
          <w:rFonts w:ascii="Calibri" w:eastAsia="Calibri" w:hAnsi="Calibri" w:cs="Calibri"/>
        </w:rPr>
        <w:t>O que avaliar</w:t>
      </w:r>
    </w:p>
    <w:p w14:paraId="4AD2D867" w14:textId="77777777" w:rsidR="001D5E73" w:rsidRDefault="001D5E73">
      <w:pPr>
        <w:spacing w:after="120"/>
        <w:jc w:val="both"/>
      </w:pPr>
      <w:r>
        <w:rPr>
          <w:rFonts w:ascii="Calibri" w:eastAsia="Calibri" w:hAnsi="Calibri" w:cs="Calibri"/>
          <w:color w:val="051A3D"/>
          <w:sz w:val="22"/>
          <w:szCs w:val="22"/>
        </w:rPr>
        <w:t>Os mesmos critérios de P6-A se aplicam. Na Rota B, o valimento do cargo é o terceiro qualificador: verificado quando ausentes o escândalo institucional e o impacto grave. A constatação do uso do cargo é suficiente, por si só, para o enquadramento demissório, mesmo quando os dois qualificadores anteriores não foram satisfeitos.</w:t>
      </w:r>
    </w:p>
    <w:p w14:paraId="15C4CC33" w14:textId="77777777" w:rsidR="001D5E73" w:rsidRDefault="001D5E73">
      <w:pPr>
        <w:pStyle w:val="Ttulo3"/>
        <w:keepNext/>
      </w:pPr>
      <w:r>
        <w:rPr>
          <w:rFonts w:ascii="Calibri" w:eastAsia="Calibri" w:hAnsi="Calibri" w:cs="Calibri"/>
        </w:rPr>
        <w:t>O que buscar nos autos</w:t>
      </w:r>
    </w:p>
    <w:p w14:paraId="39DA7FC4" w14:textId="77777777" w:rsidR="001D5E73" w:rsidRDefault="001D5E73">
      <w:pPr>
        <w:pStyle w:val="PargrafodaLista"/>
        <w:numPr>
          <w:ilvl w:val="0"/>
          <w:numId w:val="25"/>
        </w:numPr>
        <w:spacing w:after="80" w:line="240" w:lineRule="auto"/>
        <w:jc w:val="both"/>
      </w:pPr>
      <w:r>
        <w:rPr>
          <w:rFonts w:ascii="Calibri" w:eastAsia="Calibri" w:hAnsi="Calibri" w:cs="Calibri"/>
          <w:color w:val="051A3D"/>
          <w:sz w:val="22"/>
          <w:szCs w:val="22"/>
        </w:rPr>
        <w:t>Os mesmos elementos de P6-A: estrutura hierárquica, canais utilizados, histórico funcional da vítima após os episódios</w:t>
      </w:r>
    </w:p>
    <w:p w14:paraId="0E6467BC" w14:textId="77777777" w:rsidR="001D5E73" w:rsidRDefault="001D5E73">
      <w:pPr>
        <w:spacing w:before="80"/>
      </w:pPr>
    </w:p>
    <w:p w14:paraId="3CEC4F7E" w14:textId="77777777" w:rsidR="001D5E73" w:rsidRDefault="001D5E73">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GATE → Resultado G, conotação sexual, valimento do cargo, art. 117, IX, demissão</w:t>
      </w:r>
    </w:p>
    <w:p w14:paraId="50B27774" w14:textId="77777777" w:rsidR="001D5E73" w:rsidRDefault="001D5E73">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Resultado H, conotação sexual, conduta imprópria, art. 116, II e XI, advertência ou suspensão</w:t>
      </w:r>
    </w:p>
    <w:p w14:paraId="699D7F72" w14:textId="77777777" w:rsidR="001D5E73" w:rsidRDefault="001D5E73">
      <w:pPr>
        <w:pBdr>
          <w:bottom w:val="single" w:sz="4" w:space="1" w:color="C9A35C"/>
        </w:pBdr>
        <w:spacing w:before="200" w:after="200"/>
      </w:pPr>
    </w:p>
    <w:p w14:paraId="5A2F1E3E" w14:textId="77777777" w:rsidR="001D5E73" w:rsidRDefault="001D5E73">
      <w:pPr>
        <w:pStyle w:val="Ttulo3"/>
        <w:keepNext/>
      </w:pPr>
      <w:r>
        <w:rPr>
          <w:rFonts w:ascii="Calibri" w:eastAsia="Calibri" w:hAnsi="Calibri" w:cs="Calibri"/>
        </w:rPr>
        <w:t>Os dez resultados possíveis do Eixo 3</w:t>
      </w:r>
    </w:p>
    <w:p w14:paraId="5CA80497" w14:textId="77777777" w:rsidR="001D5E73" w:rsidRDefault="001D5E7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39BACF6F"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34C50D6B" w14:textId="77777777" w:rsidR="001D5E73" w:rsidRDefault="001D5E73">
            <w:pPr>
              <w:spacing w:after="80"/>
            </w:pPr>
            <w:r>
              <w:rPr>
                <w:rFonts w:ascii="Barlow Condensed" w:eastAsia="Barlow Condensed" w:hAnsi="Barlow Condensed" w:cs="Barlow Condensed"/>
                <w:b/>
                <w:bCs/>
                <w:color w:val="1F7A4C"/>
                <w:sz w:val="24"/>
                <w:szCs w:val="24"/>
              </w:rPr>
              <w:t xml:space="preserve">Resultado A, </w:t>
            </w:r>
            <w:r>
              <w:rPr>
                <w:rFonts w:ascii="Barlow Condensed" w:eastAsia="Barlow Condensed" w:hAnsi="Barlow Condensed" w:cs="Barlow Condensed"/>
                <w:b/>
                <w:bCs/>
                <w:color w:val="0B2C5F"/>
                <w:sz w:val="24"/>
                <w:szCs w:val="24"/>
              </w:rPr>
              <w:t>Assédio sexual consentido com escândalo institucional</w:t>
            </w:r>
          </w:p>
          <w:p w14:paraId="06A07F51" w14:textId="77777777" w:rsidR="001D5E73" w:rsidRDefault="001D5E73">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116, IX, manter conduta compatível com a moralidade administrativa</w:t>
            </w:r>
          </w:p>
          <w:p w14:paraId="5640F7CD" w14:textId="77777777" w:rsidR="001D5E73" w:rsidRDefault="001D5E73">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Advertência ou suspensão, conforme dosimetria</w:t>
            </w:r>
          </w:p>
          <w:p w14:paraId="156F6837" w14:textId="77777777" w:rsidR="001D5E73" w:rsidRDefault="001D5E73">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2 anos (art. 142, II)</w:t>
            </w:r>
          </w:p>
          <w:p w14:paraId="6DFDB94E" w14:textId="77777777" w:rsidR="001D5E73" w:rsidRDefault="001D5E73">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Registrar expressamente nos autos o fundamento do consentimento e os elementos que demonstram a violação à moralidade. Aplicar dosimetria do art. 128.</w:t>
            </w:r>
          </w:p>
        </w:tc>
      </w:tr>
    </w:tbl>
    <w:p w14:paraId="4EB4B6F5"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230A536A"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05DBA27C" w14:textId="77777777" w:rsidR="001D5E73" w:rsidRDefault="001D5E73">
            <w:pPr>
              <w:spacing w:after="80"/>
            </w:pPr>
            <w:r>
              <w:rPr>
                <w:rFonts w:ascii="Barlow Condensed" w:eastAsia="Barlow Condensed" w:hAnsi="Barlow Condensed" w:cs="Barlow Condensed"/>
                <w:b/>
                <w:bCs/>
                <w:color w:val="1F7A4C"/>
                <w:sz w:val="24"/>
                <w:szCs w:val="24"/>
              </w:rPr>
              <w:t xml:space="preserve">Resultado B, </w:t>
            </w:r>
            <w:proofErr w:type="gramStart"/>
            <w:r>
              <w:rPr>
                <w:rFonts w:ascii="Barlow Condensed" w:eastAsia="Barlow Condensed" w:hAnsi="Barlow Condensed" w:cs="Barlow Condensed"/>
                <w:b/>
                <w:bCs/>
                <w:color w:val="0B2C5F"/>
                <w:sz w:val="24"/>
                <w:szCs w:val="24"/>
              </w:rPr>
              <w:t>Sem</w:t>
            </w:r>
            <w:proofErr w:type="gramEnd"/>
            <w:r>
              <w:rPr>
                <w:rFonts w:ascii="Barlow Condensed" w:eastAsia="Barlow Condensed" w:hAnsi="Barlow Condensed" w:cs="Barlow Condensed"/>
                <w:b/>
                <w:bCs/>
                <w:color w:val="0B2C5F"/>
                <w:sz w:val="24"/>
                <w:szCs w:val="24"/>
              </w:rPr>
              <w:t xml:space="preserve"> ilícito disciplinar</w:t>
            </w:r>
          </w:p>
          <w:p w14:paraId="55F51B7A" w14:textId="77777777" w:rsidR="001D5E73" w:rsidRDefault="001D5E73">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Nenhum, conduta consentida sem repercussão institucional</w:t>
            </w:r>
          </w:p>
          <w:p w14:paraId="372C0C82" w14:textId="77777777" w:rsidR="001D5E73" w:rsidRDefault="001D5E73">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Nenhuma</w:t>
            </w:r>
          </w:p>
          <w:p w14:paraId="2FE8B45D" w14:textId="77777777" w:rsidR="001D5E73" w:rsidRDefault="001D5E73">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Não aplicável</w:t>
            </w:r>
          </w:p>
          <w:p w14:paraId="0D5C2529" w14:textId="77777777" w:rsidR="001D5E73" w:rsidRDefault="001D5E73">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Registrar nos autos os elementos que fundamentam o reconhecimento do consentimento genuíno e a ausência de repercussão institucional. Avaliar se a Rota A foi percorrida com rigor suficiente na análise do consentimento.</w:t>
            </w:r>
          </w:p>
        </w:tc>
      </w:tr>
    </w:tbl>
    <w:p w14:paraId="5E2EC1DA"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172106E6"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42CFB8D0" w14:textId="77777777" w:rsidR="001D5E73" w:rsidRDefault="001D5E73">
            <w:pPr>
              <w:spacing w:after="80"/>
            </w:pPr>
            <w:r>
              <w:rPr>
                <w:rFonts w:ascii="Barlow Condensed" w:eastAsia="Barlow Condensed" w:hAnsi="Barlow Condensed" w:cs="Barlow Condensed"/>
                <w:b/>
                <w:bCs/>
                <w:color w:val="1F7A4C"/>
                <w:sz w:val="24"/>
                <w:szCs w:val="24"/>
              </w:rPr>
              <w:t xml:space="preserve">Resultado B-1, </w:t>
            </w:r>
            <w:proofErr w:type="gramStart"/>
            <w:r>
              <w:rPr>
                <w:rFonts w:ascii="Barlow Condensed" w:eastAsia="Barlow Condensed" w:hAnsi="Barlow Condensed" w:cs="Barlow Condensed"/>
                <w:b/>
                <w:bCs/>
                <w:color w:val="1F7A4C"/>
                <w:sz w:val="24"/>
                <w:szCs w:val="24"/>
              </w:rPr>
              <w:t>Sem</w:t>
            </w:r>
            <w:proofErr w:type="gramEnd"/>
            <w:r>
              <w:rPr>
                <w:rFonts w:ascii="Barlow Condensed" w:eastAsia="Barlow Condensed" w:hAnsi="Barlow Condensed" w:cs="Barlow Condensed"/>
                <w:b/>
                <w:bCs/>
                <w:color w:val="1F7A4C"/>
                <w:sz w:val="24"/>
                <w:szCs w:val="24"/>
              </w:rPr>
              <w:t xml:space="preserve"> ilícito disciplinar, com alerta de impedimento funcional</w:t>
            </w:r>
          </w:p>
          <w:p w14:paraId="35F1DDA1" w14:textId="77777777" w:rsidR="001D5E73" w:rsidRDefault="001D5E73">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Nenhum, conduta consentida sem repercussão institucional</w:t>
            </w:r>
          </w:p>
          <w:p w14:paraId="1AD029B4" w14:textId="77777777" w:rsidR="001D5E73" w:rsidRDefault="001D5E73">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Nenhuma</w:t>
            </w:r>
          </w:p>
          <w:p w14:paraId="3EDCAB6B" w14:textId="77777777" w:rsidR="001D5E73" w:rsidRDefault="001D5E73">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Não aplicável</w:t>
            </w:r>
          </w:p>
          <w:p w14:paraId="32A8F739" w14:textId="77777777" w:rsidR="001D5E73" w:rsidRDefault="001D5E73">
            <w:pPr>
              <w:spacing w:after="40"/>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Arquivar quanto ao ilícito disciplinar, registrando nos autos os elementos que fundamentam o reconhecimento do consentimento genuíno e a ausência de repercussão institucional. Comunicar à chefia imediata superior a recomendação de verificação de impedimento ou suspeição em avaliações de desempenho, decisões sobre promoção, distribuição de tarefas e demais atos funcionais que envolvam os servidores relacionados, para prevenção de conflito de interesses e de eventual retaliação futura. Redigir a comunicação em termos estritamente funcionais, sem juízo sobre a conduta privada dos envolvidos.</w:t>
            </w:r>
          </w:p>
        </w:tc>
      </w:tr>
    </w:tbl>
    <w:p w14:paraId="69125A14" w14:textId="77777777" w:rsidR="001D5E73" w:rsidRDefault="001D5E73">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75DAD811"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001697C6" w14:textId="77777777" w:rsidR="001D5E73" w:rsidRDefault="001D5E73">
            <w:pPr>
              <w:spacing w:after="80"/>
            </w:pPr>
            <w:r>
              <w:rPr>
                <w:rFonts w:ascii="Barlow Condensed" w:eastAsia="Barlow Condensed" w:hAnsi="Barlow Condensed" w:cs="Barlow Condensed"/>
                <w:b/>
                <w:bCs/>
                <w:color w:val="B42318"/>
                <w:sz w:val="24"/>
                <w:szCs w:val="24"/>
              </w:rPr>
              <w:t xml:space="preserve">Resultado C, </w:t>
            </w:r>
            <w:r>
              <w:rPr>
                <w:rFonts w:ascii="Barlow Condensed" w:eastAsia="Barlow Condensed" w:hAnsi="Barlow Condensed" w:cs="Barlow Condensed"/>
                <w:b/>
                <w:bCs/>
                <w:color w:val="0B2C5F"/>
                <w:sz w:val="24"/>
                <w:szCs w:val="24"/>
              </w:rPr>
              <w:t>Assédio sexual com impacto grave à vítima</w:t>
            </w:r>
          </w:p>
          <w:p w14:paraId="7DC9269F" w14:textId="77777777" w:rsidR="001D5E73" w:rsidRDefault="001D5E73">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132, V, incontinência pública e conduta escandalosa</w:t>
            </w:r>
          </w:p>
          <w:p w14:paraId="28DB9B99" w14:textId="77777777" w:rsidR="001D5E73" w:rsidRDefault="001D5E73">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0BED0B2F" w14:textId="77777777" w:rsidR="001D5E73" w:rsidRDefault="001D5E73">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1FD2D24F" w14:textId="77777777" w:rsidR="001D5E73" w:rsidRDefault="001D5E73">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Verificar: conotação sexual objetiva, finalidade de favorecimento, ausência de consentimento genuíno e impacto grave documentado. A negativa de intenção do agressor não é fundamento para revisão do enquadramento.</w:t>
            </w:r>
          </w:p>
        </w:tc>
      </w:tr>
    </w:tbl>
    <w:p w14:paraId="67A00D4B"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664CFA37"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022ADFAD" w14:textId="77777777" w:rsidR="001D5E73" w:rsidRDefault="001D5E73">
            <w:pPr>
              <w:spacing w:after="80"/>
            </w:pPr>
            <w:r>
              <w:rPr>
                <w:rFonts w:ascii="Barlow Condensed" w:eastAsia="Barlow Condensed" w:hAnsi="Barlow Condensed" w:cs="Barlow Condensed"/>
                <w:b/>
                <w:bCs/>
                <w:color w:val="B42318"/>
                <w:sz w:val="24"/>
                <w:szCs w:val="24"/>
              </w:rPr>
              <w:t xml:space="preserve">Resultado D, </w:t>
            </w:r>
            <w:r>
              <w:rPr>
                <w:rFonts w:ascii="Barlow Condensed" w:eastAsia="Barlow Condensed" w:hAnsi="Barlow Condensed" w:cs="Barlow Condensed"/>
                <w:b/>
                <w:bCs/>
                <w:color w:val="0B2C5F"/>
                <w:sz w:val="24"/>
                <w:szCs w:val="24"/>
              </w:rPr>
              <w:t>Assédio sexual com valimento do cargo</w:t>
            </w:r>
          </w:p>
          <w:p w14:paraId="41D392C4" w14:textId="77777777" w:rsidR="001D5E73" w:rsidRDefault="001D5E73">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117, IX, demissão por força do art. 132, XIII</w:t>
            </w:r>
          </w:p>
          <w:p w14:paraId="6CB23568" w14:textId="77777777" w:rsidR="001D5E73" w:rsidRDefault="001D5E73">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0BB7BD36" w14:textId="77777777" w:rsidR="001D5E73" w:rsidRDefault="001D5E73">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22E27FC9" w14:textId="77777777" w:rsidR="001D5E73" w:rsidRDefault="001D5E73">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Verificar o uso ativo das prerrogativas do cargo como instrumento da conduta. Avaliar se há elementos que também demonstrem impacto grave, se houver, o Resultado C pode ser cumulativamente invocado.</w:t>
            </w:r>
          </w:p>
        </w:tc>
      </w:tr>
    </w:tbl>
    <w:p w14:paraId="3227F2AA"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0D5E0FFC"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41951FB3" w14:textId="77777777" w:rsidR="001D5E73" w:rsidRDefault="001D5E73">
            <w:pPr>
              <w:spacing w:after="80"/>
            </w:pPr>
            <w:r>
              <w:rPr>
                <w:rFonts w:ascii="Barlow Condensed" w:eastAsia="Barlow Condensed" w:hAnsi="Barlow Condensed" w:cs="Barlow Condensed"/>
                <w:b/>
                <w:bCs/>
                <w:color w:val="1F7A4C"/>
                <w:sz w:val="24"/>
                <w:szCs w:val="24"/>
              </w:rPr>
              <w:t xml:space="preserve">Resultado E, </w:t>
            </w:r>
            <w:r>
              <w:rPr>
                <w:rFonts w:ascii="Barlow Condensed" w:eastAsia="Barlow Condensed" w:hAnsi="Barlow Condensed" w:cs="Barlow Condensed"/>
                <w:b/>
                <w:bCs/>
                <w:color w:val="0B2C5F"/>
                <w:sz w:val="24"/>
                <w:szCs w:val="24"/>
              </w:rPr>
              <w:t>Assédio sexual, conduta imprópria</w:t>
            </w:r>
          </w:p>
          <w:p w14:paraId="10EDFBDC" w14:textId="77777777" w:rsidR="001D5E73" w:rsidRDefault="001D5E73">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116, II e IX, deveres de lealdade e de moralidade administrativa</w:t>
            </w:r>
          </w:p>
          <w:p w14:paraId="14E3D4A2" w14:textId="77777777" w:rsidR="001D5E73" w:rsidRDefault="001D5E73">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Advertência ou suspensão, conforme dosimetria</w:t>
            </w:r>
          </w:p>
          <w:p w14:paraId="0360F6B0" w14:textId="77777777" w:rsidR="001D5E73" w:rsidRDefault="001D5E73">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2 anos (art. 142, II)</w:t>
            </w:r>
          </w:p>
          <w:p w14:paraId="39E47B61" w14:textId="77777777" w:rsidR="001D5E73" w:rsidRDefault="001D5E73">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Aplicar dosimetria do art. 128. Verificar se, com instrução adicional, os elementos de impacto grave ou valimento do cargo podem ser demonstrados, o enquadramento no Resultado E não fecha a instrução.</w:t>
            </w:r>
          </w:p>
        </w:tc>
      </w:tr>
    </w:tbl>
    <w:p w14:paraId="6C97DE8E"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0925C292"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1941EDA4" w14:textId="77777777" w:rsidR="001D5E73" w:rsidRDefault="001D5E73">
            <w:pPr>
              <w:spacing w:after="80"/>
            </w:pPr>
            <w:r>
              <w:rPr>
                <w:rFonts w:ascii="Barlow Condensed" w:eastAsia="Barlow Condensed" w:hAnsi="Barlow Condensed" w:cs="Barlow Condensed"/>
                <w:b/>
                <w:bCs/>
                <w:color w:val="B42318"/>
                <w:sz w:val="24"/>
                <w:szCs w:val="24"/>
              </w:rPr>
              <w:t xml:space="preserve">Resultado F, </w:t>
            </w:r>
            <w:r>
              <w:rPr>
                <w:rFonts w:ascii="Barlow Condensed" w:eastAsia="Barlow Condensed" w:hAnsi="Barlow Condensed" w:cs="Barlow Condensed"/>
                <w:b/>
                <w:bCs/>
                <w:color w:val="0B2C5F"/>
                <w:sz w:val="24"/>
                <w:szCs w:val="24"/>
              </w:rPr>
              <w:t>Conotação sexual com escândalo institucional ou dano grave</w:t>
            </w:r>
          </w:p>
          <w:p w14:paraId="11467064" w14:textId="77777777" w:rsidR="001D5E73" w:rsidRDefault="001D5E73">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132, V (quando atingem o patamar de conduta escandalosa) ou art. 116, IX (gravidade inferior)</w:t>
            </w:r>
          </w:p>
          <w:p w14:paraId="56526E90" w14:textId="77777777" w:rsidR="001D5E73" w:rsidRDefault="001D5E73">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(art. 132, V) ou suspensão (art. 116, IX), conforme a intensidade do qualificador</w:t>
            </w:r>
          </w:p>
          <w:p w14:paraId="33687A08" w14:textId="77777777" w:rsidR="001D5E73" w:rsidRDefault="001D5E73">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132, V) ou 2 anos (art. 116, IX)</w:t>
            </w:r>
          </w:p>
          <w:p w14:paraId="4A1E5814" w14:textId="77777777" w:rsidR="001D5E73" w:rsidRDefault="001D5E73">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Quando o resultado for art. 132, V, 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A dosimetria entre os dois enquadramentos depende da intensidade do escândalo ou do dano verificado.</w:t>
            </w:r>
          </w:p>
        </w:tc>
      </w:tr>
    </w:tbl>
    <w:p w14:paraId="08A62393"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4430B58B"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68AF6B48" w14:textId="77777777" w:rsidR="001D5E73" w:rsidRDefault="001D5E73">
            <w:pPr>
              <w:spacing w:after="80"/>
            </w:pPr>
            <w:r>
              <w:rPr>
                <w:rFonts w:ascii="Barlow Condensed" w:eastAsia="Barlow Condensed" w:hAnsi="Barlow Condensed" w:cs="Barlow Condensed"/>
                <w:b/>
                <w:bCs/>
                <w:color w:val="B42318"/>
                <w:sz w:val="24"/>
                <w:szCs w:val="24"/>
              </w:rPr>
              <w:t xml:space="preserve">Resultado G, </w:t>
            </w:r>
            <w:r>
              <w:rPr>
                <w:rFonts w:ascii="Barlow Condensed" w:eastAsia="Barlow Condensed" w:hAnsi="Barlow Condensed" w:cs="Barlow Condensed"/>
                <w:b/>
                <w:bCs/>
                <w:color w:val="0B2C5F"/>
                <w:sz w:val="24"/>
                <w:szCs w:val="24"/>
              </w:rPr>
              <w:t>Conotação sexual com valimento do cargo</w:t>
            </w:r>
          </w:p>
          <w:p w14:paraId="2CB3A1CB" w14:textId="77777777" w:rsidR="001D5E73" w:rsidRDefault="001D5E73">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117, IX, demissão por força do art. 132, XIII</w:t>
            </w:r>
          </w:p>
          <w:p w14:paraId="0252AD29" w14:textId="77777777" w:rsidR="001D5E73" w:rsidRDefault="001D5E73">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38C9AB27" w14:textId="77777777" w:rsidR="001D5E73" w:rsidRDefault="001D5E73">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2BB7C5EC" w14:textId="77777777" w:rsidR="001D5E73" w:rsidRDefault="001D5E73">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Verificar o uso ativo das prerrogativas do cargo como instrumento do ato de conotação sexual.</w:t>
            </w:r>
          </w:p>
        </w:tc>
      </w:tr>
    </w:tbl>
    <w:p w14:paraId="1BB161ED" w14:textId="77777777" w:rsidR="001D5E73" w:rsidRDefault="001D5E73">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14:paraId="6166CC24"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7F067F0F" w14:textId="77777777" w:rsidR="001D5E73" w:rsidRDefault="001D5E73">
            <w:pPr>
              <w:spacing w:after="80"/>
            </w:pPr>
            <w:r>
              <w:rPr>
                <w:rFonts w:ascii="Barlow Condensed" w:eastAsia="Barlow Condensed" w:hAnsi="Barlow Condensed" w:cs="Barlow Condensed"/>
                <w:b/>
                <w:bCs/>
                <w:color w:val="1F7A4C"/>
                <w:sz w:val="24"/>
                <w:szCs w:val="24"/>
              </w:rPr>
              <w:t xml:space="preserve">Resultado H, </w:t>
            </w:r>
            <w:r>
              <w:rPr>
                <w:rFonts w:ascii="Barlow Condensed" w:eastAsia="Barlow Condensed" w:hAnsi="Barlow Condensed" w:cs="Barlow Condensed"/>
                <w:b/>
                <w:bCs/>
                <w:color w:val="0B2C5F"/>
                <w:sz w:val="24"/>
                <w:szCs w:val="24"/>
              </w:rPr>
              <w:t>Conotação sexual, conduta imprópria</w:t>
            </w:r>
          </w:p>
          <w:p w14:paraId="37456AF8" w14:textId="77777777" w:rsidR="001D5E73" w:rsidRDefault="001D5E73">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116, II e XI, deveres de lealdade e de urbanidade</w:t>
            </w:r>
          </w:p>
          <w:p w14:paraId="7D258422" w14:textId="77777777" w:rsidR="001D5E73" w:rsidRDefault="001D5E73">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Advertência ou suspensão, conforme dosimetria</w:t>
            </w:r>
          </w:p>
          <w:p w14:paraId="234AF69A" w14:textId="77777777" w:rsidR="001D5E73" w:rsidRDefault="001D5E73">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2 anos (art. 142, II)</w:t>
            </w:r>
          </w:p>
          <w:p w14:paraId="0DE33B4E" w14:textId="77777777" w:rsidR="001D5E73" w:rsidRDefault="001D5E73">
            <w:pPr>
              <w:jc w:val="both"/>
            </w:pPr>
            <w:r>
              <w:rPr>
                <w:rFonts w:ascii="Calibri" w:eastAsia="Calibri" w:hAnsi="Calibri" w:cs="Calibri"/>
                <w:b/>
                <w:bCs/>
                <w:color w:val="0B2C5F"/>
                <w:sz w:val="20"/>
                <w:szCs w:val="20"/>
              </w:rPr>
              <w:lastRenderedPageBreak/>
              <w:t xml:space="preserve">O que fazer: </w:t>
            </w:r>
            <w:r>
              <w:rPr>
                <w:rFonts w:ascii="Calibri" w:eastAsia="Calibri" w:hAnsi="Calibri" w:cs="Calibri"/>
                <w:color w:val="051A3D"/>
                <w:sz w:val="20"/>
                <w:szCs w:val="20"/>
              </w:rPr>
              <w:t>Aplicar dosimetria do art. 128. Verificar se a instrução está completa quanto aos três qualificadores da Rota B, escândalo, impacto grave e uso do cargo. Esse resultado não encerra a investigação sobre eventuais elementos que possam qualificar a conduta para patamar mais grave.</w:t>
            </w:r>
          </w:p>
        </w:tc>
      </w:tr>
    </w:tbl>
    <w:p w14:paraId="3FB272BF" w14:textId="77777777" w:rsidR="009B5520" w:rsidRDefault="009B5520"/>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55019" w14:paraId="0E8A3E0B" w14:textId="77777777" w:rsidTr="00C85179">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3BE8D1EB" w14:textId="77777777" w:rsidR="00F55019" w:rsidRDefault="00F55019" w:rsidP="00C85179">
            <w:pPr>
              <w:spacing w:after="80"/>
            </w:pPr>
            <w:r>
              <w:rPr>
                <w:rFonts w:ascii="Barlow Condensed" w:eastAsia="Barlow Condensed" w:hAnsi="Barlow Condensed" w:cs="Barlow Condensed"/>
                <w:b/>
                <w:bCs/>
                <w:color w:val="B42318"/>
                <w:sz w:val="24"/>
                <w:szCs w:val="24"/>
              </w:rPr>
              <w:t xml:space="preserve">Resultado I, </w:t>
            </w:r>
            <w:r>
              <w:rPr>
                <w:rFonts w:ascii="Barlow Condensed" w:eastAsia="Barlow Condensed" w:hAnsi="Barlow Condensed" w:cs="Barlow Condensed"/>
                <w:b/>
                <w:bCs/>
                <w:color w:val="0B2C5F"/>
                <w:sz w:val="24"/>
                <w:szCs w:val="24"/>
              </w:rPr>
              <w:t>Conotação sexual com decorrência penal</w:t>
            </w:r>
          </w:p>
          <w:p w14:paraId="6DC9F79D" w14:textId="77777777" w:rsidR="00F55019" w:rsidRDefault="00F55019" w:rsidP="00C85179">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132, V, incontinência pública e conduta escandalosa na repartição, pela correspondência objetiva a crime do Título VI do CP (p. ex. art. 215-A)</w:t>
            </w:r>
          </w:p>
          <w:p w14:paraId="782D3AAB" w14:textId="77777777" w:rsidR="00F55019" w:rsidRDefault="00F55019" w:rsidP="00C85179">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7A309D0A" w14:textId="77777777" w:rsidR="00F55019" w:rsidRDefault="00F55019" w:rsidP="00C85179">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360590A1" w14:textId="77777777" w:rsidR="00F55019" w:rsidRDefault="00F55019" w:rsidP="00C85179">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Registrar nos autos a correspondência objetiva entre os fatos e o tipo penal, sem afirmar responsabilidade penal, que é da esfera criminal. Formalizar a comunicação ao Ministério Público (crime de ação penal pública incondicionada, Lei nº 13.718/2018), independentemente do desfecho disciplinar. O campo de análise complementar já apresenta a recomendação de comunicação; confirme sua execução.</w:t>
            </w:r>
          </w:p>
        </w:tc>
      </w:tr>
    </w:tbl>
    <w:p w14:paraId="687ADF65" w14:textId="77777777" w:rsidR="00F55019" w:rsidRDefault="00F55019">
      <w:pPr>
        <w:pBdr>
          <w:bottom w:val="single" w:sz="4" w:space="1" w:color="C9A35C"/>
        </w:pBdr>
        <w:spacing w:before="200" w:after="200"/>
      </w:pPr>
    </w:p>
    <w:p w14:paraId="4CD916C2" w14:textId="77777777" w:rsidR="00F55019" w:rsidRDefault="00F55019">
      <w:pPr>
        <w:pBdr>
          <w:bottom w:val="single" w:sz="4" w:space="1" w:color="C9A35C"/>
        </w:pBdr>
        <w:spacing w:before="200" w:after="200"/>
      </w:pPr>
    </w:p>
    <w:p w14:paraId="3F4AEDFD" w14:textId="77777777" w:rsidR="001D5E73" w:rsidRDefault="001D5E73">
      <w:pPr>
        <w:pStyle w:val="Ttulo3"/>
        <w:keepNext/>
      </w:pPr>
      <w:r>
        <w:rPr>
          <w:rFonts w:ascii="Calibri" w:eastAsia="Calibri" w:hAnsi="Calibri" w:cs="Calibri"/>
        </w:rPr>
        <w:t>Checklist do Eixo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D5E73" w:rsidRPr="00C50480" w14:paraId="58906FE0"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3898D0C3"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Identifiquei a conotação sexual com base em critério objetivo,</w:t>
            </w:r>
          </w:p>
          <w:p w14:paraId="598D981D"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não na declaração do agressor</w:t>
            </w:r>
          </w:p>
          <w:p w14:paraId="2811711F"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Determinei a rota correta: Rota A (favorecimento) </w:t>
            </w:r>
            <w:proofErr w:type="gramStart"/>
            <w:r>
              <w:rPr>
                <w:rFonts w:eastAsia="Courier New" w:cs="Courier New"/>
                <w:color w:val="0B2C5F"/>
                <w:sz w:val="20"/>
                <w:szCs w:val="20"/>
              </w:rPr>
              <w:t>ou Rota</w:t>
            </w:r>
            <w:proofErr w:type="gramEnd"/>
            <w:r>
              <w:rPr>
                <w:rFonts w:eastAsia="Courier New" w:cs="Courier New"/>
                <w:color w:val="0B2C5F"/>
                <w:sz w:val="20"/>
                <w:szCs w:val="20"/>
              </w:rPr>
              <w:t xml:space="preserve"> B (ambiental)</w:t>
            </w:r>
          </w:p>
          <w:p w14:paraId="402D6AE8"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Se Rota A: avaliei o consentimento com rigor, silêncio e tolerância</w:t>
            </w:r>
          </w:p>
          <w:p w14:paraId="296B2C69"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passiva em relação hierárquica não são consentimento genuíno</w:t>
            </w:r>
          </w:p>
          <w:p w14:paraId="0F9381BA" w14:textId="77777777" w:rsidR="00724818" w:rsidRPr="00C50480" w:rsidRDefault="0072481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Se reconheci consentimento genuíno sem repercussão institucional, verifiquei a existência de relação hierárquica direta e, havendo, emiti o alerta de impedimento funcional</w:t>
            </w:r>
          </w:p>
          <w:p w14:paraId="28E47E49"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Se Rota A sem consentimento: verifiquei o impacto grave (P5-A)</w:t>
            </w:r>
          </w:p>
          <w:p w14:paraId="60CD7575" w14:textId="77777777" w:rsidR="001D5E73" w:rsidRDefault="001D5E73">
            <w:pPr>
              <w:rPr>
                <w:rFonts w:eastAsia="Courier New" w:cs="Courier New"/>
                <w:color w:val="0B2C5F"/>
                <w:sz w:val="20"/>
                <w:szCs w:val="20"/>
              </w:rPr>
            </w:pPr>
            <w:r>
              <w:rPr>
                <w:rFonts w:eastAsia="Courier New" w:cs="Courier New"/>
                <w:color w:val="0B2C5F"/>
                <w:sz w:val="20"/>
                <w:szCs w:val="20"/>
              </w:rPr>
              <w:t xml:space="preserve">    antes de verificar o uso do cargo (P6-A)</w:t>
            </w:r>
          </w:p>
          <w:p w14:paraId="451FF986" w14:textId="77777777" w:rsidR="00724818" w:rsidRPr="00C50480" w:rsidRDefault="0072481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Na Rota B: verifiquei antes de tudo se a conduta corresponde, em elementos objetivos, a crime do Título VI do CP; se corresponde, enquadrei no art. 132, V e comuniquei ao Ministério Público</w:t>
            </w:r>
          </w:p>
          <w:p w14:paraId="76B4525B"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Se Rota B: verifiquei os três qualificadores na ordem correta,</w:t>
            </w:r>
          </w:p>
          <w:p w14:paraId="7EC8749A" w14:textId="77777777" w:rsidR="0002602E" w:rsidRPr="00C50480" w:rsidRDefault="001D5E73">
            <w:pPr>
              <w:rPr>
                <w:rFonts w:eastAsia="Courier New" w:cs="Courier New"/>
                <w:color w:val="0B2C5F"/>
                <w:sz w:val="20"/>
                <w:szCs w:val="20"/>
              </w:rPr>
            </w:pPr>
            <w:r>
              <w:rPr>
                <w:rFonts w:eastAsia="Courier New" w:cs="Courier New"/>
                <w:color w:val="0B2C5F"/>
                <w:sz w:val="20"/>
                <w:szCs w:val="20"/>
              </w:rPr>
              <w:t xml:space="preserve">    escândalo, depois impacto, depois uso do cargo</w:t>
            </w:r>
          </w:p>
          <w:p w14:paraId="6B2E2869"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arquivei por ausência de intenção do agressor,</w:t>
            </w:r>
          </w:p>
          <w:p w14:paraId="64D136B5"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o critério é o impacto sobre a vítima</w:t>
            </w:r>
          </w:p>
          <w:p w14:paraId="492CB39E"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exigi reiteração para configurar o ilícito,</w:t>
            </w:r>
          </w:p>
          <w:p w14:paraId="52F38386"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um único ato pode ser suficiente</w:t>
            </w:r>
          </w:p>
          <w:p w14:paraId="63097E53"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Preservei os registros eletrônicos antes de qualquer outra diligência</w:t>
            </w:r>
          </w:p>
          <w:p w14:paraId="7E401D66"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Acionei o </w:t>
            </w:r>
            <w:proofErr w:type="spellStart"/>
            <w:r>
              <w:rPr>
                <w:rFonts w:eastAsia="Courier New" w:cs="Courier New"/>
                <w:color w:val="0B2C5F"/>
                <w:sz w:val="20"/>
                <w:szCs w:val="20"/>
              </w:rPr>
              <w:t>gate</w:t>
            </w:r>
            <w:proofErr w:type="spellEnd"/>
            <w:r>
              <w:rPr>
                <w:rFonts w:eastAsia="Courier New" w:cs="Courier New"/>
                <w:color w:val="0B2C5F"/>
                <w:sz w:val="20"/>
                <w:szCs w:val="20"/>
              </w:rPr>
              <w:t xml:space="preserve"> de confirmação demissória antes de confirmar</w:t>
            </w:r>
          </w:p>
          <w:p w14:paraId="7CB4DDCB" w14:textId="77777777" w:rsidR="001D5E73" w:rsidRPr="00C50480" w:rsidRDefault="001D5E73">
            <w:pPr>
              <w:rPr>
                <w:rFonts w:eastAsia="Courier New" w:cs="Courier New"/>
                <w:color w:val="0B2C5F"/>
                <w:sz w:val="20"/>
                <w:szCs w:val="20"/>
              </w:rPr>
            </w:pPr>
            <w:r>
              <w:rPr>
                <w:rFonts w:eastAsia="Courier New" w:cs="Courier New"/>
                <w:color w:val="0B2C5F"/>
                <w:sz w:val="20"/>
                <w:szCs w:val="20"/>
              </w:rPr>
              <w:t xml:space="preserve">    qualquer resultado que conduza à demissão</w:t>
            </w:r>
          </w:p>
          <w:p w14:paraId="41ADABCF" w14:textId="77777777" w:rsidR="001D5E73" w:rsidRPr="00C50480" w:rsidRDefault="001D5E73">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se a instrução está completa quanto ao impacto grave</w:t>
            </w:r>
          </w:p>
          <w:p w14:paraId="3EA4EFCD" w14:textId="77777777" w:rsidR="0002602E" w:rsidRPr="00C50480" w:rsidRDefault="001D5E73">
            <w:pPr>
              <w:rPr>
                <w:rFonts w:eastAsia="Courier New" w:cs="Courier New"/>
                <w:color w:val="0B2C5F"/>
                <w:sz w:val="20"/>
                <w:szCs w:val="20"/>
              </w:rPr>
            </w:pPr>
            <w:r>
              <w:rPr>
                <w:rFonts w:eastAsia="Courier New" w:cs="Courier New"/>
                <w:color w:val="0B2C5F"/>
                <w:sz w:val="20"/>
                <w:szCs w:val="20"/>
              </w:rPr>
              <w:t xml:space="preserve">    antes de encerrar com Resultado E ou H</w:t>
            </w:r>
          </w:p>
        </w:tc>
      </w:tr>
    </w:tbl>
    <w:p w14:paraId="3820CD80" w14:textId="77777777" w:rsidR="001D5E73" w:rsidRDefault="001D5E73">
      <w:pPr>
        <w:pBdr>
          <w:bottom w:val="single" w:sz="4" w:space="1" w:color="C9A35C"/>
        </w:pBdr>
        <w:spacing w:before="200" w:after="200"/>
      </w:pPr>
    </w:p>
    <w:p w14:paraId="5D787B45" w14:textId="77777777" w:rsidR="001D5E73" w:rsidRDefault="001D5E73">
      <w:pPr>
        <w:pStyle w:val="Ttulo3"/>
        <w:keepNext/>
      </w:pPr>
      <w:r>
        <w:rPr>
          <w:rFonts w:ascii="Calibri" w:eastAsia="Calibri" w:hAnsi="Calibri" w:cs="Calibri"/>
        </w:rPr>
        <w:lastRenderedPageBreak/>
        <w:t>Erros mais frequentes no Eixo 3</w:t>
      </w:r>
    </w:p>
    <w:p w14:paraId="721DE2C0" w14:textId="77777777" w:rsidR="001D5E73" w:rsidRPr="006343A1" w:rsidRDefault="001D5E73">
      <w:pPr>
        <w:spacing w:after="120"/>
        <w:jc w:val="both"/>
        <w:rPr>
          <w:rFonts w:ascii="Calibri" w:hAnsi="Calibri" w:cs="Calibri"/>
          <w:sz w:val="22"/>
          <w:szCs w:val="22"/>
        </w:rPr>
      </w:pPr>
      <w:r>
        <w:rPr>
          <w:rFonts w:ascii="Calibri" w:eastAsia="Calibri" w:hAnsi="Calibri" w:cs="Calibri"/>
          <w:b/>
          <w:bCs/>
          <w:color w:val="051A3D"/>
          <w:sz w:val="22"/>
          <w:szCs w:val="22"/>
        </w:rPr>
        <w:t>1. Aceitar a negativa de intenção como excludente do ilícito.</w:t>
      </w:r>
      <w:r>
        <w:rPr>
          <w:rFonts w:ascii="Calibri" w:eastAsia="Calibri" w:hAnsi="Calibri" w:cs="Calibri"/>
          <w:color w:val="051A3D"/>
          <w:sz w:val="22"/>
          <w:szCs w:val="22"/>
        </w:rPr>
        <w:t xml:space="preserve"> 'Era brincadeira', 'foi um elogio', 'não pretendia ofender' são argumentos defensivos que não afastam o enquadramento quando o impacto está demonstrado. O critério da NT nº 3285/2023 é o efeito sobre a vítima, não a intenção do agressor.</w:t>
      </w:r>
    </w:p>
    <w:p w14:paraId="7F90D409" w14:textId="77777777" w:rsidR="001D5E73" w:rsidRPr="006343A1" w:rsidRDefault="001D5E73">
      <w:pPr>
        <w:spacing w:after="120"/>
        <w:jc w:val="both"/>
        <w:rPr>
          <w:rFonts w:ascii="Calibri" w:hAnsi="Calibri" w:cs="Calibri"/>
          <w:sz w:val="22"/>
          <w:szCs w:val="22"/>
        </w:rPr>
      </w:pPr>
      <w:r>
        <w:rPr>
          <w:rFonts w:ascii="Calibri" w:eastAsia="Calibri" w:hAnsi="Calibri" w:cs="Calibri"/>
          <w:b/>
          <w:bCs/>
          <w:color w:val="051A3D"/>
          <w:sz w:val="22"/>
          <w:szCs w:val="22"/>
        </w:rPr>
        <w:t>2. Presumir consentimento a partir de silêncio ou tolerância passiva.</w:t>
      </w:r>
      <w:r>
        <w:rPr>
          <w:rFonts w:ascii="Calibri" w:eastAsia="Calibri" w:hAnsi="Calibri" w:cs="Calibri"/>
          <w:color w:val="051A3D"/>
          <w:sz w:val="22"/>
          <w:szCs w:val="22"/>
        </w:rPr>
        <w:t xml:space="preserve"> Em especial em relações hierárquicas, a ausência de resistência explícita não equivale a consentimento livre. Quando há assimetria de poder, o ônus de demonstrar consentimento genuíno é de quem o invoca. Na dúvida, responda NÃO em P3-A.</w:t>
      </w:r>
    </w:p>
    <w:p w14:paraId="722359DF" w14:textId="77777777" w:rsidR="001D5E73" w:rsidRPr="006343A1" w:rsidRDefault="001D5E73">
      <w:pPr>
        <w:spacing w:after="120"/>
        <w:jc w:val="both"/>
        <w:rPr>
          <w:rFonts w:ascii="Calibri" w:hAnsi="Calibri" w:cs="Calibri"/>
          <w:sz w:val="22"/>
          <w:szCs w:val="22"/>
        </w:rPr>
      </w:pPr>
      <w:r>
        <w:rPr>
          <w:rFonts w:ascii="Calibri" w:eastAsia="Calibri" w:hAnsi="Calibri" w:cs="Calibri"/>
          <w:b/>
          <w:bCs/>
          <w:color w:val="051A3D"/>
          <w:sz w:val="22"/>
          <w:szCs w:val="22"/>
        </w:rPr>
        <w:t>3. Exigir reiteração para configurar o ilícito.</w:t>
      </w:r>
      <w:r>
        <w:rPr>
          <w:rFonts w:ascii="Calibri" w:eastAsia="Calibri" w:hAnsi="Calibri" w:cs="Calibri"/>
          <w:color w:val="051A3D"/>
          <w:sz w:val="22"/>
          <w:szCs w:val="22"/>
        </w:rPr>
        <w:t xml:space="preserve"> A NT nº 3285/2023 é expressa: um único ato pode ser suficiente para o enquadramento mais grave quando produz impacto grave sobre a vítima. Arquivar por 'episódio isolado' sem verificar o impacto é erro analítico com risco de </w:t>
      </w:r>
      <w:proofErr w:type="spellStart"/>
      <w:r>
        <w:rPr>
          <w:rFonts w:ascii="Calibri" w:eastAsia="Calibri" w:hAnsi="Calibri" w:cs="Calibri"/>
          <w:color w:val="051A3D"/>
          <w:sz w:val="22"/>
          <w:szCs w:val="22"/>
        </w:rPr>
        <w:t>subenfatização</w:t>
      </w:r>
      <w:proofErr w:type="spellEnd"/>
      <w:r>
        <w:rPr>
          <w:rFonts w:ascii="Calibri" w:eastAsia="Calibri" w:hAnsi="Calibri" w:cs="Calibri"/>
          <w:color w:val="051A3D"/>
          <w:sz w:val="22"/>
          <w:szCs w:val="22"/>
        </w:rPr>
        <w:t>.</w:t>
      </w:r>
    </w:p>
    <w:p w14:paraId="513BC2E9" w14:textId="77777777" w:rsidR="001D5E73" w:rsidRPr="006343A1" w:rsidRDefault="001D5E73">
      <w:pPr>
        <w:spacing w:after="120"/>
        <w:jc w:val="both"/>
        <w:rPr>
          <w:rFonts w:ascii="Calibri" w:hAnsi="Calibri" w:cs="Calibri"/>
          <w:sz w:val="22"/>
          <w:szCs w:val="22"/>
        </w:rPr>
      </w:pPr>
      <w:r>
        <w:rPr>
          <w:rFonts w:ascii="Calibri" w:eastAsia="Calibri" w:hAnsi="Calibri" w:cs="Calibri"/>
          <w:b/>
          <w:bCs/>
          <w:color w:val="051A3D"/>
          <w:sz w:val="22"/>
          <w:szCs w:val="22"/>
        </w:rPr>
        <w:t>4. Não verificar os três qualificadores da Rota B na sequência correta.</w:t>
      </w:r>
      <w:r>
        <w:rPr>
          <w:rFonts w:ascii="Calibri" w:eastAsia="Calibri" w:hAnsi="Calibri" w:cs="Calibri"/>
          <w:color w:val="051A3D"/>
          <w:sz w:val="22"/>
          <w:szCs w:val="22"/>
        </w:rPr>
        <w:t xml:space="preserve"> Os qualificadores são independentes: cada um, isoladamente, é suficiente para o enquadramento mais grave. Não verificar o segundo (impacto grave) apenas porque o primeiro (escândalo) não foi demonstrado é erro frequente.</w:t>
      </w:r>
    </w:p>
    <w:p w14:paraId="7CB14B11" w14:textId="77777777" w:rsidR="001D5E73" w:rsidRPr="006343A1" w:rsidRDefault="001D5E73">
      <w:pPr>
        <w:spacing w:after="120"/>
        <w:jc w:val="both"/>
        <w:rPr>
          <w:rFonts w:ascii="Calibri" w:hAnsi="Calibri" w:cs="Calibri"/>
          <w:sz w:val="22"/>
          <w:szCs w:val="22"/>
        </w:rPr>
      </w:pPr>
      <w:r>
        <w:rPr>
          <w:rFonts w:ascii="Calibri" w:eastAsia="Calibri" w:hAnsi="Calibri" w:cs="Calibri"/>
          <w:b/>
          <w:bCs/>
          <w:color w:val="051A3D"/>
          <w:sz w:val="22"/>
          <w:szCs w:val="22"/>
        </w:rPr>
        <w:t>5. Não preservar registros eletrônicos antes de qualquer outra diligência.</w:t>
      </w:r>
      <w:r>
        <w:rPr>
          <w:rFonts w:ascii="Calibri" w:eastAsia="Calibri" w:hAnsi="Calibri" w:cs="Calibri"/>
          <w:color w:val="051A3D"/>
          <w:sz w:val="22"/>
          <w:szCs w:val="22"/>
        </w:rPr>
        <w:t xml:space="preserve"> Mensagens, prints e logs de sistemas são os elementos probatórios mais valiosos deste eixo e os mais vulneráveis ao desaparecimento. A preservação deve ser a primeira providência após o conhecimento dos fatos.</w:t>
      </w:r>
    </w:p>
    <w:p w14:paraId="3899D6FE" w14:textId="77777777" w:rsidR="001D5E73" w:rsidRPr="006343A1" w:rsidRDefault="001D5E73">
      <w:pPr>
        <w:spacing w:after="120"/>
        <w:jc w:val="both"/>
        <w:rPr>
          <w:rFonts w:ascii="Calibri" w:eastAsia="Calibri" w:hAnsi="Calibri" w:cs="Calibri"/>
          <w:color w:val="051A3D"/>
          <w:sz w:val="22"/>
          <w:szCs w:val="22"/>
        </w:rPr>
      </w:pPr>
      <w:r>
        <w:rPr>
          <w:rFonts w:ascii="Calibri" w:eastAsia="Calibri" w:hAnsi="Calibri" w:cs="Calibri"/>
          <w:b/>
          <w:bCs/>
          <w:color w:val="051A3D"/>
          <w:sz w:val="22"/>
          <w:szCs w:val="22"/>
        </w:rPr>
        <w:t>6. Confundir influência hierárquica informal com ausência de valimento do cargo.</w:t>
      </w:r>
      <w:r>
        <w:rPr>
          <w:rFonts w:ascii="Calibri" w:eastAsia="Calibri" w:hAnsi="Calibri" w:cs="Calibri"/>
          <w:color w:val="051A3D"/>
          <w:sz w:val="22"/>
          <w:szCs w:val="22"/>
        </w:rPr>
        <w:t xml:space="preserve"> O valimento do cargo não exige chefia formal. Servidor com influência real sobre a carreira da vítima pode satisfazer este elemento mesmo sem cargo de direção.</w:t>
      </w:r>
    </w:p>
    <w:p w14:paraId="00D9A605" w14:textId="77777777" w:rsidR="006343A1" w:rsidRDefault="006343A1">
      <w:pPr>
        <w:spacing w:after="120"/>
        <w:jc w:val="both"/>
        <w:rPr>
          <w:rFonts w:ascii="Calibri" w:hAnsi="Calibri" w:cs="Calibri"/>
          <w:sz w:val="22"/>
          <w:szCs w:val="22"/>
        </w:rPr>
      </w:pPr>
      <w:r>
        <w:rPr>
          <w:rFonts w:ascii="Calibri" w:hAnsi="Calibri" w:cs="Calibri"/>
          <w:b/>
          <w:bCs/>
          <w:sz w:val="22"/>
          <w:szCs w:val="22"/>
        </w:rPr>
        <w:t>7. Processar como conduta imprópria um ato que corresponde a crime sexual.</w:t>
      </w:r>
      <w:r>
        <w:rPr>
          <w:rFonts w:ascii="Calibri" w:hAnsi="Calibri" w:cs="Calibri"/>
          <w:sz w:val="22"/>
          <w:szCs w:val="22"/>
        </w:rPr>
        <w:t xml:space="preserve"> O contato físico libidinoso não consentido é, em regra, importunação sexual (art. 215-A do CP). Levá-lo aos qualificadores ambientais e concluir por advertência ou suspensão, porque não houve escândalo público nem laudo, é erro de </w:t>
      </w:r>
      <w:proofErr w:type="spellStart"/>
      <w:r>
        <w:rPr>
          <w:rFonts w:ascii="Calibri" w:hAnsi="Calibri" w:cs="Calibri"/>
          <w:sz w:val="22"/>
          <w:szCs w:val="22"/>
        </w:rPr>
        <w:t>subenfatização</w:t>
      </w:r>
      <w:proofErr w:type="spellEnd"/>
      <w:r>
        <w:rPr>
          <w:rFonts w:ascii="Calibri" w:hAnsi="Calibri" w:cs="Calibri"/>
          <w:sz w:val="22"/>
          <w:szCs w:val="22"/>
        </w:rPr>
        <w:t xml:space="preserve"> com alto risco de reversão e de descrédito do canal. A correspondência objetiva ao tipo penal é o primeiro filtro da Rota B e conduz, por si só, à demissão e à comunicação ao MP.</w:t>
      </w:r>
    </w:p>
    <w:p w14:paraId="38C2B5D4" w14:textId="77777777" w:rsidR="00FE1E41" w:rsidRPr="006343A1" w:rsidRDefault="00FE1E41">
      <w:pPr>
        <w:spacing w:after="120"/>
        <w:jc w:val="both"/>
        <w:rPr>
          <w:rFonts w:ascii="Calibri" w:hAnsi="Calibri" w:cs="Calibri"/>
          <w:sz w:val="22"/>
          <w:szCs w:val="22"/>
        </w:rPr>
      </w:pPr>
      <w:r>
        <w:rPr>
          <w:rFonts w:ascii="Calibri" w:hAnsi="Calibri" w:cs="Calibri"/>
          <w:b/>
          <w:bCs/>
          <w:sz w:val="22"/>
          <w:szCs w:val="22"/>
        </w:rPr>
        <w:t>8. Elevar contato físico ambíguo à condição de crime sexual.</w:t>
      </w:r>
      <w:r>
        <w:rPr>
          <w:rFonts w:ascii="Calibri" w:hAnsi="Calibri" w:cs="Calibri"/>
          <w:sz w:val="22"/>
          <w:szCs w:val="22"/>
        </w:rPr>
        <w:t xml:space="preserve"> O </w:t>
      </w:r>
      <w:proofErr w:type="spellStart"/>
      <w:r>
        <w:rPr>
          <w:rFonts w:ascii="Calibri" w:hAnsi="Calibri" w:cs="Calibri"/>
          <w:sz w:val="22"/>
          <w:szCs w:val="22"/>
        </w:rPr>
        <w:t>gate</w:t>
      </w:r>
      <w:proofErr w:type="spellEnd"/>
      <w:r>
        <w:rPr>
          <w:rFonts w:ascii="Calibri" w:hAnsi="Calibri" w:cs="Calibri"/>
          <w:sz w:val="22"/>
          <w:szCs w:val="22"/>
        </w:rPr>
        <w:t xml:space="preserve"> penal exige ato libidinoso de conteúdo sexual manifesto (art. 215-A), não qualquer contato indesejado. Responder SIM a um abraço demorado ou a uma mão no ombro, conduzindo à demissão vinculada e à comunicação ao MP, é erro de </w:t>
      </w:r>
      <w:proofErr w:type="spellStart"/>
      <w:r>
        <w:rPr>
          <w:rFonts w:ascii="Calibri" w:hAnsi="Calibri" w:cs="Calibri"/>
          <w:sz w:val="22"/>
          <w:szCs w:val="22"/>
        </w:rPr>
        <w:t>superenfatização</w:t>
      </w:r>
      <w:proofErr w:type="spellEnd"/>
      <w:r>
        <w:rPr>
          <w:rFonts w:ascii="Calibri" w:hAnsi="Calibri" w:cs="Calibri"/>
          <w:sz w:val="22"/>
          <w:szCs w:val="22"/>
        </w:rPr>
        <w:t>, com risco de reversão e de desproporção. Na dúvida sobre o caráter libidinoso, responda NÃO: a via ambiental calibra a resposta e ainda alcança o art. 132, V quando o impacto for grave e documentado.</w:t>
      </w:r>
    </w:p>
    <w:p w14:paraId="20C65FB5" w14:textId="77777777" w:rsidR="00EC6C84" w:rsidRDefault="00EC6C84">
      <w:r>
        <w:br w:type="page"/>
      </w:r>
    </w:p>
    <w:p w14:paraId="755271F3" w14:textId="77777777" w:rsidR="00EC6C84" w:rsidRDefault="00EC6C84">
      <w:pPr>
        <w:pBdr>
          <w:left w:val="single" w:sz="12" w:space="6" w:color="C9A35C"/>
        </w:pBdr>
        <w:spacing w:before="320" w:after="40"/>
      </w:pPr>
      <w:r>
        <w:rPr>
          <w:rFonts w:ascii="Barlow Condensed" w:eastAsia="Barlow Condensed" w:hAnsi="Barlow Condensed" w:cs="Barlow Condensed"/>
          <w:b/>
          <w:bCs/>
          <w:color w:val="8C6E2C"/>
          <w:sz w:val="18"/>
          <w:szCs w:val="18"/>
        </w:rPr>
        <w:lastRenderedPageBreak/>
        <w:t>▍ EIXO 4</w:t>
      </w:r>
    </w:p>
    <w:p w14:paraId="76EA7740" w14:textId="77777777" w:rsidR="00EC6C84" w:rsidRDefault="00EC6C84">
      <w:pPr>
        <w:pStyle w:val="Ttulo1"/>
      </w:pPr>
      <w:bookmarkStart w:id="148" w:name="_Toc238022141"/>
      <w:r>
        <w:rPr>
          <w:caps/>
          <w:color w:val="0B2C5F"/>
          <w:sz w:val="40"/>
          <w:szCs w:val="40"/>
        </w:rPr>
        <w:t>14. EIXO 4: DISCRIMINAÇÃO (NT Nº 93/2024), GUIA DE USO</w:t>
      </w:r>
      <w:bookmarkEnd w:id="148"/>
    </w:p>
    <w:p w14:paraId="1BEDDBBF" w14:textId="77777777" w:rsidR="00EC6C84" w:rsidRDefault="00EC6C84">
      <w:pPr>
        <w:pStyle w:val="Ttulo3"/>
        <w:keepNext/>
      </w:pPr>
      <w:r>
        <w:rPr>
          <w:rFonts w:ascii="Calibri" w:eastAsia="Calibri" w:hAnsi="Calibri" w:cs="Calibri"/>
        </w:rPr>
        <w:t>O que este eixo analisa</w:t>
      </w:r>
    </w:p>
    <w:p w14:paraId="0F13EDDB" w14:textId="77777777" w:rsidR="00EC6C84" w:rsidRDefault="00EC6C84">
      <w:pPr>
        <w:spacing w:after="120"/>
        <w:jc w:val="both"/>
      </w:pPr>
      <w:r>
        <w:rPr>
          <w:rFonts w:ascii="Calibri" w:eastAsia="Calibri" w:hAnsi="Calibri" w:cs="Calibri"/>
          <w:color w:val="051A3D"/>
          <w:sz w:val="22"/>
          <w:szCs w:val="22"/>
        </w:rPr>
        <w:t>Condutas que tratam servidor ou grupo de servidores de forma desfavorável em razão de característica pessoal protegida, raça, cor, etnia, gênero, identidade de gênero, orientação sexual, religião, deficiência, origem nacional ou regional, idade, aparência física. Inclui tanto a discriminação direta (tratamento abertamente baseado na característica protegida) quanto a discriminação indireta (política ou conduta formalmente neutra que produz efeito desproporcionalmente desfavorável sobre grupo protegido).</w:t>
      </w:r>
    </w:p>
    <w:p w14:paraId="0A989845" w14:textId="77777777" w:rsidR="00EC6C84" w:rsidRDefault="00EC6C84">
      <w:pPr>
        <w:spacing w:after="120"/>
        <w:jc w:val="both"/>
      </w:pPr>
      <w:r>
        <w:rPr>
          <w:rFonts w:ascii="Calibri" w:eastAsia="Calibri" w:hAnsi="Calibri" w:cs="Calibri"/>
          <w:color w:val="051A3D"/>
          <w:sz w:val="22"/>
          <w:szCs w:val="22"/>
        </w:rPr>
        <w:t>Este eixo tem oito perguntas e pode produzir cinco resultados distintos, dependendo da presença de alvo específico, da reiteração da conduta, do uso do cargo e da gravidade do impacto sobre a vítima ou sobre o ambiente institucional.</w:t>
      </w:r>
    </w:p>
    <w:p w14:paraId="1B163AE7" w14:textId="77777777" w:rsidR="00EC6C84" w:rsidRDefault="00EC6C84">
      <w:pPr>
        <w:spacing w:after="120"/>
        <w:jc w:val="both"/>
      </w:pPr>
      <w:r>
        <w:rPr>
          <w:rFonts w:ascii="Calibri" w:eastAsia="Calibri" w:hAnsi="Calibri" w:cs="Calibri"/>
          <w:b/>
          <w:bCs/>
          <w:color w:val="051A3D"/>
          <w:sz w:val="22"/>
          <w:szCs w:val="22"/>
        </w:rPr>
        <w:t>Lembre antes de começar:</w:t>
      </w:r>
      <w:r>
        <w:rPr>
          <w:rFonts w:ascii="Calibri" w:eastAsia="Calibri" w:hAnsi="Calibri" w:cs="Calibri"/>
          <w:color w:val="051A3D"/>
          <w:sz w:val="22"/>
          <w:szCs w:val="22"/>
        </w:rPr>
        <w:t xml:space="preserve"> o critério decisivo é o efeito, não a intenção. A pergunta não é 'o servidor pretendia discriminar?', é 'a conduta, objetivamente avaliada, produziu ou foi apta a produzir destruição ou alteração da igualdade de oportunidades?' A Convenção nº 111 da OIT, ratificada pelo Brasil, é expressa nesse ponto: o elemento definidor da discriminação é o efeito sobre a igualdade, não o preconceito declarado do agente.</w:t>
      </w:r>
    </w:p>
    <w:p w14:paraId="3EDE6D5C" w14:textId="77777777" w:rsidR="00EC6C84" w:rsidRDefault="00EC6C84">
      <w:pPr>
        <w:spacing w:after="120"/>
        <w:jc w:val="both"/>
      </w:pPr>
      <w:r>
        <w:rPr>
          <w:rFonts w:ascii="Calibri" w:eastAsia="Calibri" w:hAnsi="Calibri" w:cs="Calibri"/>
          <w:color w:val="051A3D"/>
          <w:sz w:val="22"/>
          <w:szCs w:val="22"/>
        </w:rPr>
        <w:t xml:space="preserve">Use o </w:t>
      </w:r>
      <w:r>
        <w:rPr>
          <w:rFonts w:ascii="Calibri" w:eastAsia="Calibri" w:hAnsi="Calibri" w:cs="Calibri"/>
          <w:b/>
          <w:bCs/>
          <w:color w:val="051A3D"/>
          <w:sz w:val="22"/>
          <w:szCs w:val="22"/>
        </w:rPr>
        <w:t>método comparativo</w:t>
      </w:r>
      <w:r>
        <w:rPr>
          <w:rFonts w:ascii="Calibri" w:eastAsia="Calibri" w:hAnsi="Calibri" w:cs="Calibri"/>
          <w:color w:val="051A3D"/>
          <w:sz w:val="22"/>
          <w:szCs w:val="22"/>
        </w:rPr>
        <w:t xml:space="preserve"> como ferramenta analítica central: outros servidores em situação análoga foram tratados diferentemente? Se sim, e sem explicação objetiva e legítima para a diferença de tratamento, a motivação discriminatória está evidenciada.</w:t>
      </w:r>
    </w:p>
    <w:p w14:paraId="76163A29" w14:textId="77777777" w:rsidR="00EC6C84" w:rsidRDefault="00EC6C84">
      <w:pPr>
        <w:spacing w:before="80"/>
      </w:pPr>
    </w:p>
    <w:p w14:paraId="4DC22BA2" w14:textId="77777777" w:rsidR="00EC6C84" w:rsidRDefault="00EC6C84">
      <w:pPr>
        <w:pStyle w:val="Ttulo3"/>
        <w:keepNext/>
      </w:pPr>
      <w:r>
        <w:rPr>
          <w:rFonts w:ascii="Calibri" w:eastAsia="Calibri" w:hAnsi="Calibri" w:cs="Calibri"/>
        </w:rPr>
        <w:t>Fluxo completo do Eixo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rsidRPr="00C50480" w14:paraId="088C834E"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2D10BFB1"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P1, A conduta se baseia em fator protegido?</w:t>
            </w:r>
          </w:p>
          <w:p w14:paraId="7696BAF8"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NÃO → Eixo 5 (se houver padrão hostil sem fator discriminatório)</w:t>
            </w:r>
          </w:p>
          <w:p w14:paraId="0F8FBBDA"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SIM → P2</w:t>
            </w:r>
          </w:p>
          <w:p w14:paraId="18264223" w14:textId="77777777" w:rsidR="00EC6C84" w:rsidRPr="00C50480" w:rsidRDefault="00EC6C84">
            <w:pPr>
              <w:rPr>
                <w:rFonts w:eastAsia="Courier New" w:cs="Courier New"/>
                <w:color w:val="0B2C5F"/>
                <w:sz w:val="20"/>
                <w:szCs w:val="20"/>
              </w:rPr>
            </w:pPr>
          </w:p>
          <w:p w14:paraId="0EC3E513"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P2, </w:t>
            </w:r>
            <w:proofErr w:type="gramStart"/>
            <w:r>
              <w:rPr>
                <w:rFonts w:eastAsia="Courier New" w:cs="Courier New"/>
                <w:color w:val="0B2C5F"/>
                <w:sz w:val="20"/>
                <w:szCs w:val="20"/>
              </w:rPr>
              <w:t>Há</w:t>
            </w:r>
            <w:proofErr w:type="gramEnd"/>
            <w:r>
              <w:rPr>
                <w:rFonts w:eastAsia="Courier New" w:cs="Courier New"/>
                <w:color w:val="0B2C5F"/>
                <w:sz w:val="20"/>
                <w:szCs w:val="20"/>
              </w:rPr>
              <w:t xml:space="preserve"> alvo específico, pessoa ou grupo identificável?</w:t>
            </w:r>
          </w:p>
          <w:p w14:paraId="0C37D1C3"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NÃO → P2-A (rota da discriminação difusa)</w:t>
            </w:r>
          </w:p>
          <w:p w14:paraId="5476E0BC"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SIM → P3</w:t>
            </w:r>
          </w:p>
          <w:p w14:paraId="6F985D4B" w14:textId="77777777" w:rsidR="00EC6C84" w:rsidRPr="00C50480" w:rsidRDefault="00EC6C84">
            <w:pPr>
              <w:rPr>
                <w:rFonts w:eastAsia="Courier New" w:cs="Courier New"/>
                <w:color w:val="0B2C5F"/>
                <w:sz w:val="20"/>
                <w:szCs w:val="20"/>
              </w:rPr>
            </w:pPr>
          </w:p>
          <w:p w14:paraId="433FEDA6"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ROTA DA DISCRIMINAÇÃO DIFUSA ═══════════════════════</w:t>
            </w:r>
          </w:p>
          <w:p w14:paraId="068CC643" w14:textId="77777777" w:rsidR="00EC6C84" w:rsidRPr="00C50480" w:rsidRDefault="00EC6C84">
            <w:pPr>
              <w:rPr>
                <w:rFonts w:eastAsia="Courier New" w:cs="Courier New"/>
                <w:color w:val="0B2C5F"/>
                <w:sz w:val="20"/>
                <w:szCs w:val="20"/>
              </w:rPr>
            </w:pPr>
          </w:p>
          <w:p w14:paraId="619E9A5B"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P2-A, A conduta discriminatória difusa é reiterada e cria</w:t>
            </w:r>
          </w:p>
          <w:p w14:paraId="1C9480BC"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ambiente hostil generalizado percebido pelo grupo afetado?</w:t>
            </w:r>
          </w:p>
          <w:p w14:paraId="081B6073"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NÃO → Resultado D, conduta imprópria (art. 116, II, IX e XI,</w:t>
            </w:r>
          </w:p>
          <w:p w14:paraId="1D4FDF71"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adv./</w:t>
            </w:r>
            <w:proofErr w:type="spellStart"/>
            <w:r>
              <w:rPr>
                <w:rFonts w:eastAsia="Courier New" w:cs="Courier New"/>
                <w:color w:val="0B2C5F"/>
                <w:sz w:val="20"/>
                <w:szCs w:val="20"/>
              </w:rPr>
              <w:t>susp</w:t>
            </w:r>
            <w:proofErr w:type="spellEnd"/>
            <w:r>
              <w:rPr>
                <w:rFonts w:eastAsia="Courier New" w:cs="Courier New"/>
                <w:color w:val="0B2C5F"/>
                <w:sz w:val="20"/>
                <w:szCs w:val="20"/>
              </w:rPr>
              <w:t>.)</w:t>
            </w:r>
          </w:p>
          <w:p w14:paraId="1C3BA65A"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SIM → P2-B</w:t>
            </w:r>
          </w:p>
          <w:p w14:paraId="37699C4B" w14:textId="77777777" w:rsidR="00EC6C84" w:rsidRPr="00C50480" w:rsidRDefault="00EC6C84">
            <w:pPr>
              <w:rPr>
                <w:rFonts w:eastAsia="Courier New" w:cs="Courier New"/>
                <w:color w:val="0B2C5F"/>
                <w:sz w:val="20"/>
                <w:szCs w:val="20"/>
              </w:rPr>
            </w:pPr>
          </w:p>
          <w:p w14:paraId="699DBBAA"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P2-B, O ambiente hostil coletivo compromete de forma severa</w:t>
            </w:r>
          </w:p>
          <w:p w14:paraId="63356177" w14:textId="77777777" w:rsidR="00EC6C84" w:rsidRPr="00C50480" w:rsidRDefault="00EC6C84">
            <w:pPr>
              <w:rPr>
                <w:rFonts w:eastAsia="Courier New" w:cs="Courier New"/>
                <w:color w:val="0B2C5F"/>
                <w:sz w:val="20"/>
                <w:szCs w:val="20"/>
              </w:rPr>
            </w:pPr>
            <w:r>
              <w:rPr>
                <w:rFonts w:eastAsia="Courier New" w:cs="Courier New"/>
                <w:color w:val="0B2C5F"/>
                <w:sz w:val="20"/>
                <w:szCs w:val="20"/>
              </w:rPr>
              <w:lastRenderedPageBreak/>
              <w:t xml:space="preserve">      a moralidade administrativa e o ambiente institucional?</w:t>
            </w:r>
          </w:p>
          <w:p w14:paraId="11E903FA"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ALTA        → GATE → Resultado E, discriminação difusa com</w:t>
            </w:r>
          </w:p>
          <w:p w14:paraId="334A36F5"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ambiente hostil coletivo grave</w:t>
            </w:r>
          </w:p>
          <w:p w14:paraId="412B2421"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(art. 132, V, demissão)</w:t>
            </w:r>
          </w:p>
          <w:p w14:paraId="2F15D8A3"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BAIXA/MÉDIA → Resultado D, conduta imprópria (art. 116, II,</w:t>
            </w:r>
          </w:p>
          <w:p w14:paraId="7424A61A"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IX e XI, adv./</w:t>
            </w:r>
            <w:proofErr w:type="spellStart"/>
            <w:r>
              <w:rPr>
                <w:rFonts w:eastAsia="Courier New" w:cs="Courier New"/>
                <w:color w:val="0B2C5F"/>
                <w:sz w:val="20"/>
                <w:szCs w:val="20"/>
              </w:rPr>
              <w:t>susp</w:t>
            </w:r>
            <w:proofErr w:type="spellEnd"/>
            <w:r>
              <w:rPr>
                <w:rFonts w:eastAsia="Courier New" w:cs="Courier New"/>
                <w:color w:val="0B2C5F"/>
                <w:sz w:val="20"/>
                <w:szCs w:val="20"/>
              </w:rPr>
              <w:t>.)</w:t>
            </w:r>
          </w:p>
          <w:p w14:paraId="3D0518D3" w14:textId="77777777" w:rsidR="00EC6C84" w:rsidRPr="00C50480" w:rsidRDefault="00EC6C84">
            <w:pPr>
              <w:rPr>
                <w:rFonts w:eastAsia="Courier New" w:cs="Courier New"/>
                <w:color w:val="0B2C5F"/>
                <w:sz w:val="20"/>
                <w:szCs w:val="20"/>
              </w:rPr>
            </w:pPr>
          </w:p>
          <w:p w14:paraId="0796275B"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ROTA DO ALVO IDENTIFICÁVEL ═════════════════════════</w:t>
            </w:r>
          </w:p>
          <w:p w14:paraId="2670733A" w14:textId="77777777" w:rsidR="00EC6C84" w:rsidRPr="00C50480" w:rsidRDefault="00EC6C84">
            <w:pPr>
              <w:rPr>
                <w:rFonts w:eastAsia="Courier New" w:cs="Courier New"/>
                <w:color w:val="0B2C5F"/>
                <w:sz w:val="20"/>
                <w:szCs w:val="20"/>
              </w:rPr>
            </w:pPr>
          </w:p>
          <w:p w14:paraId="43012F25"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P3, A conduta discriminatória foi reiterada?</w:t>
            </w:r>
          </w:p>
          <w:p w14:paraId="1F7A6553"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NÃO (ato pontual) → P5 (impacto do ato isolado)</w:t>
            </w:r>
          </w:p>
          <w:p w14:paraId="358DF48C"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SIM (</w:t>
            </w:r>
            <w:proofErr w:type="gramStart"/>
            <w:r>
              <w:rPr>
                <w:rFonts w:eastAsia="Courier New" w:cs="Courier New"/>
                <w:color w:val="0B2C5F"/>
                <w:sz w:val="20"/>
                <w:szCs w:val="20"/>
              </w:rPr>
              <w:t xml:space="preserve">reiterada)   </w:t>
            </w:r>
            <w:proofErr w:type="gramEnd"/>
            <w:r>
              <w:rPr>
                <w:rFonts w:eastAsia="Courier New" w:cs="Courier New"/>
                <w:color w:val="0B2C5F"/>
                <w:sz w:val="20"/>
                <w:szCs w:val="20"/>
              </w:rPr>
              <w:t>→ P4 (uso do cargo)</w:t>
            </w:r>
          </w:p>
          <w:p w14:paraId="21EB7F12" w14:textId="77777777" w:rsidR="00EC6C84" w:rsidRPr="00C50480" w:rsidRDefault="00EC6C84">
            <w:pPr>
              <w:rPr>
                <w:rFonts w:eastAsia="Courier New" w:cs="Courier New"/>
                <w:color w:val="0B2C5F"/>
                <w:sz w:val="20"/>
                <w:szCs w:val="20"/>
              </w:rPr>
            </w:pPr>
          </w:p>
          <w:p w14:paraId="627691B4"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P4, O servidor utilizou prerrogativas funcionais como</w:t>
            </w:r>
          </w:p>
          <w:p w14:paraId="79C0A11F"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instrumento da conduta discriminatória?</w:t>
            </w:r>
          </w:p>
          <w:p w14:paraId="6DF21054"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SIM → GATE → Resultado B, valimento do cargo</w:t>
            </w:r>
          </w:p>
          <w:p w14:paraId="7A696045"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(art. 117, IX, demissão)</w:t>
            </w:r>
          </w:p>
          <w:p w14:paraId="379F3DB7"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[verificar cumulatividade com Eixo 5]</w:t>
            </w:r>
          </w:p>
          <w:p w14:paraId="730F58B0"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NÃO → P4-B (gravidade do padrão reiterado sem cargo)</w:t>
            </w:r>
          </w:p>
          <w:p w14:paraId="2ECA5585" w14:textId="77777777" w:rsidR="00EC6C84" w:rsidRPr="00C50480" w:rsidRDefault="00EC6C84">
            <w:pPr>
              <w:rPr>
                <w:rFonts w:eastAsia="Courier New" w:cs="Courier New"/>
                <w:color w:val="0B2C5F"/>
                <w:sz w:val="20"/>
                <w:szCs w:val="20"/>
              </w:rPr>
            </w:pPr>
          </w:p>
          <w:p w14:paraId="233F9347"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P4-B, </w:t>
            </w:r>
            <w:proofErr w:type="gramStart"/>
            <w:r>
              <w:rPr>
                <w:rFonts w:eastAsia="Courier New" w:cs="Courier New"/>
                <w:color w:val="0B2C5F"/>
                <w:sz w:val="20"/>
                <w:szCs w:val="20"/>
              </w:rPr>
              <w:t>Qual</w:t>
            </w:r>
            <w:proofErr w:type="gramEnd"/>
            <w:r>
              <w:rPr>
                <w:rFonts w:eastAsia="Courier New" w:cs="Courier New"/>
                <w:color w:val="0B2C5F"/>
                <w:sz w:val="20"/>
                <w:szCs w:val="20"/>
              </w:rPr>
              <w:t xml:space="preserve"> o grau de ofensa à igualdade no padrão reiterado?</w:t>
            </w:r>
          </w:p>
          <w:p w14:paraId="5901DAF7"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ALTA        → GATE → Resultado C, assédio discriminatório grave</w:t>
            </w:r>
          </w:p>
          <w:p w14:paraId="373A1D35"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(art. 132, V, demissão)</w:t>
            </w:r>
          </w:p>
          <w:p w14:paraId="4B7F4E2C"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MÉDIA/BAIXA → Resultado D, conduta imprópria (art. 116, II,</w:t>
            </w:r>
          </w:p>
          <w:p w14:paraId="6DE6D89B"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IX e XI, adv./</w:t>
            </w:r>
            <w:proofErr w:type="spellStart"/>
            <w:r>
              <w:rPr>
                <w:rFonts w:eastAsia="Courier New" w:cs="Courier New"/>
                <w:color w:val="0B2C5F"/>
                <w:sz w:val="20"/>
                <w:szCs w:val="20"/>
              </w:rPr>
              <w:t>susp</w:t>
            </w:r>
            <w:proofErr w:type="spellEnd"/>
            <w:r>
              <w:rPr>
                <w:rFonts w:eastAsia="Courier New" w:cs="Courier New"/>
                <w:color w:val="0B2C5F"/>
                <w:sz w:val="20"/>
                <w:szCs w:val="20"/>
              </w:rPr>
              <w:t>.)</w:t>
            </w:r>
          </w:p>
          <w:p w14:paraId="4C109E5B" w14:textId="77777777" w:rsidR="00EC6C84" w:rsidRPr="00C50480" w:rsidRDefault="00EC6C84">
            <w:pPr>
              <w:rPr>
                <w:rFonts w:eastAsia="Courier New" w:cs="Courier New"/>
                <w:color w:val="0B2C5F"/>
                <w:sz w:val="20"/>
                <w:szCs w:val="20"/>
              </w:rPr>
            </w:pPr>
          </w:p>
          <w:p w14:paraId="3497E034"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P5, O ato discriminatório pontual teve grave impacto?</w:t>
            </w:r>
          </w:p>
          <w:p w14:paraId="4180E7E2"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SIM → GATE → Resultado C, discriminação pontual grave</w:t>
            </w:r>
          </w:p>
          <w:p w14:paraId="094C9D66"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(art. 132, V, demissão)</w:t>
            </w:r>
          </w:p>
          <w:p w14:paraId="5B3F12CB"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NÃO → Resultado D, conduta imprópria (art. 116, II, IX e XI,</w:t>
            </w:r>
          </w:p>
          <w:p w14:paraId="1DC0CD31"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adv./</w:t>
            </w:r>
            <w:proofErr w:type="spellStart"/>
            <w:r>
              <w:rPr>
                <w:rFonts w:eastAsia="Courier New" w:cs="Courier New"/>
                <w:color w:val="0B2C5F"/>
                <w:sz w:val="20"/>
                <w:szCs w:val="20"/>
              </w:rPr>
              <w:t>susp</w:t>
            </w:r>
            <w:proofErr w:type="spellEnd"/>
            <w:r>
              <w:rPr>
                <w:rFonts w:eastAsia="Courier New" w:cs="Courier New"/>
                <w:color w:val="0B2C5F"/>
                <w:sz w:val="20"/>
                <w:szCs w:val="20"/>
              </w:rPr>
              <w:t>.)</w:t>
            </w:r>
          </w:p>
        </w:tc>
      </w:tr>
    </w:tbl>
    <w:p w14:paraId="11960B26" w14:textId="77777777" w:rsidR="00EC6C84" w:rsidRDefault="00EC6C84">
      <w:pPr>
        <w:spacing w:before="200"/>
      </w:pPr>
    </w:p>
    <w:p w14:paraId="4436730B" w14:textId="77777777" w:rsidR="00EC6C84" w:rsidRDefault="00EC6C84">
      <w:pPr>
        <w:pStyle w:val="Ttulo2"/>
        <w:keepNext/>
        <w:pBdr>
          <w:left w:val="single" w:sz="10" w:space="6" w:color="C9A35C"/>
        </w:pBdr>
      </w:pPr>
      <w:bookmarkStart w:id="149" w:name="_Toc238022142"/>
      <w:r>
        <w:t>P1, A conduta se baseia em fator protegido?</w:t>
      </w:r>
      <w:bookmarkEnd w:id="149"/>
    </w:p>
    <w:p w14:paraId="77E83659" w14:textId="77777777" w:rsidR="00EC6C84" w:rsidRDefault="00EC6C84">
      <w:pPr>
        <w:pStyle w:val="Ttulo3"/>
        <w:keepNext/>
      </w:pPr>
      <w:r>
        <w:rPr>
          <w:rFonts w:ascii="Calibri" w:eastAsia="Calibri" w:hAnsi="Calibri" w:cs="Calibri"/>
        </w:rPr>
        <w:t>O que avaliar</w:t>
      </w:r>
    </w:p>
    <w:p w14:paraId="2279EDDE" w14:textId="77777777" w:rsidR="00EC6C84" w:rsidRDefault="00EC6C84">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por que este servidor específico foi tratado de forma desfavorável?</w:t>
      </w:r>
      <w:r>
        <w:rPr>
          <w:rFonts w:ascii="Calibri" w:eastAsia="Calibri" w:hAnsi="Calibri" w:cs="Calibri"/>
          <w:color w:val="051A3D"/>
          <w:sz w:val="22"/>
          <w:szCs w:val="22"/>
        </w:rPr>
        <w:t xml:space="preserve"> O rol de características protegidas é aberto: raça, cor, etnia, gênero, identidade de gênero, orientação sexual, religião ou crença, deficiência, origem nacional ou regional, idade, aparência física. Não </w:t>
      </w:r>
      <w:proofErr w:type="spellStart"/>
      <w:r>
        <w:rPr>
          <w:rFonts w:ascii="Calibri" w:eastAsia="Calibri" w:hAnsi="Calibri" w:cs="Calibri"/>
          <w:color w:val="051A3D"/>
          <w:sz w:val="22"/>
          <w:szCs w:val="22"/>
        </w:rPr>
        <w:t>archive</w:t>
      </w:r>
      <w:proofErr w:type="spellEnd"/>
      <w:r>
        <w:rPr>
          <w:rFonts w:ascii="Calibri" w:eastAsia="Calibri" w:hAnsi="Calibri" w:cs="Calibri"/>
          <w:color w:val="051A3D"/>
          <w:sz w:val="22"/>
          <w:szCs w:val="22"/>
        </w:rPr>
        <w:t xml:space="preserve"> a análise porque a característica da vítima não está listada em norma específica, a cláusula constitucional de igualdade e a Convenção nº 111 da OIT permitem reconhecer como discriminatório qualquer tratamento desfavorável baseado em atributo pessoal que viole a igualdade de oportunidades.</w:t>
      </w:r>
    </w:p>
    <w:p w14:paraId="3AA7291A" w14:textId="77777777" w:rsidR="00EC6C84" w:rsidRDefault="00EC6C84">
      <w:pPr>
        <w:spacing w:after="120"/>
        <w:jc w:val="both"/>
      </w:pPr>
      <w:r>
        <w:rPr>
          <w:rFonts w:ascii="Calibri" w:eastAsia="Calibri" w:hAnsi="Calibri" w:cs="Calibri"/>
          <w:color w:val="051A3D"/>
          <w:sz w:val="22"/>
          <w:szCs w:val="22"/>
        </w:rPr>
        <w:t xml:space="preserve">Atenção à </w:t>
      </w:r>
      <w:r>
        <w:rPr>
          <w:rFonts w:ascii="Calibri" w:eastAsia="Calibri" w:hAnsi="Calibri" w:cs="Calibri"/>
          <w:b/>
          <w:bCs/>
          <w:color w:val="051A3D"/>
          <w:sz w:val="22"/>
          <w:szCs w:val="22"/>
        </w:rPr>
        <w:t>discriminação indireta</w:t>
      </w:r>
      <w:r>
        <w:rPr>
          <w:rFonts w:ascii="Calibri" w:eastAsia="Calibri" w:hAnsi="Calibri" w:cs="Calibri"/>
          <w:color w:val="051A3D"/>
          <w:sz w:val="22"/>
          <w:szCs w:val="22"/>
        </w:rPr>
        <w:t xml:space="preserve">: conduta formalmente neutra, uma regra, um critério de avaliação, uma política organizacional, que, na prática, produz efeito desproporcionalmente desfavorável sobre </w:t>
      </w:r>
      <w:r>
        <w:rPr>
          <w:rFonts w:ascii="Calibri" w:eastAsia="Calibri" w:hAnsi="Calibri" w:cs="Calibri"/>
          <w:color w:val="051A3D"/>
          <w:sz w:val="22"/>
          <w:szCs w:val="22"/>
        </w:rPr>
        <w:lastRenderedPageBreak/>
        <w:t>grupo protegido. O agente não precisa ter formulado a regra com intenção discriminatória para que o resultado seja discriminação.</w:t>
      </w:r>
    </w:p>
    <w:p w14:paraId="39E0A0EA" w14:textId="77777777" w:rsidR="00EC6C84" w:rsidRDefault="00EC6C84">
      <w:pPr>
        <w:spacing w:after="120"/>
        <w:jc w:val="both"/>
      </w:pPr>
      <w:r>
        <w:rPr>
          <w:rFonts w:ascii="Calibri" w:eastAsia="Calibri" w:hAnsi="Calibri" w:cs="Calibri"/>
          <w:color w:val="051A3D"/>
          <w:sz w:val="22"/>
          <w:szCs w:val="22"/>
        </w:rPr>
        <w:t xml:space="preserve">O </w:t>
      </w:r>
      <w:r>
        <w:rPr>
          <w:rFonts w:ascii="Calibri" w:eastAsia="Calibri" w:hAnsi="Calibri" w:cs="Calibri"/>
          <w:b/>
          <w:bCs/>
          <w:color w:val="051A3D"/>
          <w:sz w:val="22"/>
          <w:szCs w:val="22"/>
        </w:rPr>
        <w:t>método comparativo</w:t>
      </w:r>
      <w:r>
        <w:rPr>
          <w:rFonts w:ascii="Calibri" w:eastAsia="Calibri" w:hAnsi="Calibri" w:cs="Calibri"/>
          <w:color w:val="051A3D"/>
          <w:sz w:val="22"/>
          <w:szCs w:val="22"/>
        </w:rPr>
        <w:t xml:space="preserve"> é a principal ferramenta analítica: identifique servidores em situação análoga (mesma função, mesmo nível, mesmo contexto) e compare o tratamento recebido. Se a diferença de tratamento não tem explicação objetiva e legítima, a motivação discriminatória está evidenciada, ainda que o agressor negue o preconceito.</w:t>
      </w:r>
    </w:p>
    <w:p w14:paraId="7989FC02" w14:textId="77777777" w:rsidR="00EC6C84" w:rsidRDefault="00EC6C84">
      <w:pPr>
        <w:pStyle w:val="Ttulo3"/>
        <w:keepNext/>
      </w:pPr>
      <w:r>
        <w:rPr>
          <w:rFonts w:ascii="Calibri" w:eastAsia="Calibri" w:hAnsi="Calibri" w:cs="Calibri"/>
        </w:rPr>
        <w:t>Satisfaz a condição, responda SIM</w:t>
      </w:r>
    </w:p>
    <w:p w14:paraId="3D95D21C"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Comentário explícito que revela preconceito em relação à raça, religião, gênero ou outra característica protegida da vítima</w:t>
      </w:r>
    </w:p>
    <w:p w14:paraId="37AA5FE7"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Diferença de tratamento funcional (avaliações, tarefas, progressões, acesso a recursos) sem explicação objetiva, identificável pelo método comparativo</w:t>
      </w:r>
    </w:p>
    <w:p w14:paraId="1E2DF1B1"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Política formalmente neutra que produz efeito comprovadamente desfavorável sobre grupo identificável pela característica protegida</w:t>
      </w:r>
    </w:p>
    <w:p w14:paraId="639DE5CC"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Exclusão de servidor de reuniões, decisões ou oportunidades de forma sistemática, identificável pela característica protegida</w:t>
      </w:r>
    </w:p>
    <w:p w14:paraId="3B859C6D"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Conduta verbal, gestual ou escrita que expressa preconceito em relação a característica protegida da vítima, inclusive quando formulada como 'humor'</w:t>
      </w:r>
    </w:p>
    <w:p w14:paraId="0FCEC8DC" w14:textId="77777777" w:rsidR="00EC6C84" w:rsidRDefault="00EC6C84">
      <w:pPr>
        <w:pStyle w:val="Ttulo3"/>
        <w:keepNext/>
      </w:pPr>
      <w:r>
        <w:rPr>
          <w:rFonts w:ascii="Calibri" w:eastAsia="Calibri" w:hAnsi="Calibri" w:cs="Calibri"/>
        </w:rPr>
        <w:t>Não satisfaz a condição, responda NÃO</w:t>
      </w:r>
    </w:p>
    <w:p w14:paraId="0AFC4970"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Tratamento desfavorável explicado por razões objetivas de desempenho ou disciplina, sem conexão com característica pessoal da vítima</w:t>
      </w:r>
    </w:p>
    <w:p w14:paraId="0B99F2EE"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Conflito interpessoal sem motivação discriminatória identificável, avalie Eixo 5 se houver padrão hostil</w:t>
      </w:r>
    </w:p>
    <w:p w14:paraId="2C095281"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 xml:space="preserve">Decisão gerencial desfavorável cuja motivação é </w:t>
      </w:r>
      <w:proofErr w:type="gramStart"/>
      <w:r>
        <w:rPr>
          <w:rFonts w:ascii="Calibri" w:eastAsia="Calibri" w:hAnsi="Calibri" w:cs="Calibri"/>
          <w:color w:val="051A3D"/>
          <w:sz w:val="22"/>
          <w:szCs w:val="22"/>
        </w:rPr>
        <w:t>discutível</w:t>
      </w:r>
      <w:proofErr w:type="gramEnd"/>
      <w:r>
        <w:rPr>
          <w:rFonts w:ascii="Calibri" w:eastAsia="Calibri" w:hAnsi="Calibri" w:cs="Calibri"/>
          <w:color w:val="051A3D"/>
          <w:sz w:val="22"/>
          <w:szCs w:val="22"/>
        </w:rPr>
        <w:t xml:space="preserve"> mas não há nenhum indício de relação com característica protegida</w:t>
      </w:r>
    </w:p>
    <w:p w14:paraId="7CAEE19F" w14:textId="77777777" w:rsidR="00EC6C84" w:rsidRDefault="00EC6C84">
      <w:pPr>
        <w:pStyle w:val="Ttulo3"/>
        <w:keepNext/>
      </w:pPr>
      <w:r>
        <w:rPr>
          <w:rFonts w:ascii="Calibri" w:eastAsia="Calibri" w:hAnsi="Calibri" w:cs="Calibri"/>
        </w:rPr>
        <w:t>O que buscar nos autos</w:t>
      </w:r>
    </w:p>
    <w:p w14:paraId="5C128AE5"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Declarações do agressor que revelem, direta ou indiretamente, preconceito, inclusive expressões naturalizadas ou formuladas como 'brincadeira'</w:t>
      </w:r>
    </w:p>
    <w:p w14:paraId="4E675007"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Comparativo de tratamento: avaliações, designações, distribuição de tarefas, acesso a progressões de servidores análogos</w:t>
      </w:r>
    </w:p>
    <w:p w14:paraId="6C75F867"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Histórico funcional da vítima: há deterioração de tratamento após evento relevante (posse de liderança sindical, assunção de identidade de gênero, prática religiosa declarada)?</w:t>
      </w:r>
    </w:p>
    <w:p w14:paraId="04C77BC9"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Depoimentos de testemunhas sobre padrão de comportamento do agressor em relação a outros membros do grupo protegido</w:t>
      </w:r>
    </w:p>
    <w:p w14:paraId="73E484F0"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Registros escritos: e-mails, atas de reunião, comunicações internas que evidenciem motivação discriminatória</w:t>
      </w:r>
    </w:p>
    <w:p w14:paraId="20CCF0DD" w14:textId="77777777" w:rsidR="00EC6C84" w:rsidRDefault="00EC6C84">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14:paraId="66326468"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7141038E" w14:textId="77777777" w:rsidR="00EC6C84" w:rsidRDefault="00EC6C84">
            <w:pPr>
              <w:jc w:val="both"/>
            </w:pPr>
            <w:r>
              <w:rPr>
                <w:rFonts w:ascii="Calibri" w:eastAsia="Calibri" w:hAnsi="Calibri" w:cs="Calibri"/>
                <w:b/>
                <w:bCs/>
                <w:color w:val="0B2C5F"/>
                <w:sz w:val="20"/>
                <w:szCs w:val="20"/>
              </w:rPr>
              <w:t>Alerta, discriminação indireta:</w:t>
            </w:r>
            <w:r>
              <w:rPr>
                <w:rFonts w:ascii="Calibri" w:eastAsia="Calibri" w:hAnsi="Calibri" w:cs="Calibri"/>
                <w:color w:val="051A3D"/>
                <w:sz w:val="20"/>
                <w:szCs w:val="20"/>
              </w:rPr>
              <w:t xml:space="preserve"> não </w:t>
            </w:r>
            <w:proofErr w:type="spellStart"/>
            <w:r>
              <w:rPr>
                <w:rFonts w:ascii="Calibri" w:eastAsia="Calibri" w:hAnsi="Calibri" w:cs="Calibri"/>
                <w:color w:val="051A3D"/>
                <w:sz w:val="20"/>
                <w:szCs w:val="20"/>
              </w:rPr>
              <w:t>archive</w:t>
            </w:r>
            <w:proofErr w:type="spellEnd"/>
            <w:r>
              <w:rPr>
                <w:rFonts w:ascii="Calibri" w:eastAsia="Calibri" w:hAnsi="Calibri" w:cs="Calibri"/>
                <w:color w:val="051A3D"/>
                <w:sz w:val="20"/>
                <w:szCs w:val="20"/>
              </w:rPr>
              <w:t xml:space="preserve"> por ausência de declaração explícita de preconceito. A motivação discriminatória pode ser demonstrada pelo efeito da conduta e pela ausência de explicação objetiva para a </w:t>
            </w:r>
            <w:r>
              <w:rPr>
                <w:rFonts w:ascii="Calibri" w:eastAsia="Calibri" w:hAnsi="Calibri" w:cs="Calibri"/>
                <w:color w:val="051A3D"/>
                <w:sz w:val="20"/>
                <w:szCs w:val="20"/>
              </w:rPr>
              <w:lastRenderedPageBreak/>
              <w:t>diferença de tratamento. O método comparativo é o instrumento correto, não a busca pela 'confissão' de discriminação.</w:t>
            </w:r>
          </w:p>
        </w:tc>
      </w:tr>
    </w:tbl>
    <w:p w14:paraId="3642D382" w14:textId="77777777" w:rsidR="00EC6C84" w:rsidRDefault="00EC6C84">
      <w:pPr>
        <w:spacing w:before="80"/>
      </w:pPr>
    </w:p>
    <w:p w14:paraId="3CB8E104" w14:textId="77777777" w:rsidR="00EC6C84" w:rsidRDefault="00EC6C84">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P2</w:t>
      </w:r>
    </w:p>
    <w:p w14:paraId="1B9D3889" w14:textId="77777777" w:rsidR="00EC6C84" w:rsidRDefault="00EC6C84">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Eixo 5, se houver padrão reiterado de condutas hostis sem fator discriminatório identificável</w:t>
      </w:r>
    </w:p>
    <w:p w14:paraId="798EB0B0" w14:textId="77777777" w:rsidR="00EC6C84" w:rsidRDefault="00EC6C84">
      <w:pPr>
        <w:pBdr>
          <w:bottom w:val="single" w:sz="4" w:space="1" w:color="C9A35C"/>
        </w:pBdr>
        <w:spacing w:before="200" w:after="200"/>
      </w:pPr>
    </w:p>
    <w:p w14:paraId="721D56BB" w14:textId="77777777" w:rsidR="00EC6C84" w:rsidRDefault="00EC6C84">
      <w:pPr>
        <w:pStyle w:val="Ttulo2"/>
        <w:keepNext/>
        <w:pBdr>
          <w:left w:val="single" w:sz="10" w:space="6" w:color="C9A35C"/>
        </w:pBdr>
      </w:pPr>
      <w:bookmarkStart w:id="150" w:name="_Toc238022143"/>
      <w:r>
        <w:t xml:space="preserve">P2, </w:t>
      </w:r>
      <w:proofErr w:type="gramStart"/>
      <w:r>
        <w:t>Há</w:t>
      </w:r>
      <w:proofErr w:type="gramEnd"/>
      <w:r>
        <w:t xml:space="preserve"> alvo específico, pessoa ou grupo identificável?</w:t>
      </w:r>
      <w:bookmarkEnd w:id="150"/>
    </w:p>
    <w:p w14:paraId="6A953B71" w14:textId="77777777" w:rsidR="00EC6C84" w:rsidRDefault="00EC6C84">
      <w:pPr>
        <w:pStyle w:val="Ttulo3"/>
        <w:keepNext/>
      </w:pPr>
      <w:r>
        <w:rPr>
          <w:rFonts w:ascii="Calibri" w:eastAsia="Calibri" w:hAnsi="Calibri" w:cs="Calibri"/>
        </w:rPr>
        <w:t>O que avaliar</w:t>
      </w:r>
    </w:p>
    <w:p w14:paraId="7A165376" w14:textId="77777777" w:rsidR="00EC6C84" w:rsidRDefault="00EC6C84">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a conduta discriminatória foi dirigida a servidor ou grupo específico, ou se manifestou de forma difusa, sem destinatário identificável?</w:t>
      </w:r>
      <w:r>
        <w:rPr>
          <w:rFonts w:ascii="Calibri" w:eastAsia="Calibri" w:hAnsi="Calibri" w:cs="Calibri"/>
          <w:color w:val="051A3D"/>
          <w:sz w:val="22"/>
          <w:szCs w:val="22"/>
        </w:rPr>
        <w:t xml:space="preserve"> A existência de alvo específico revela maior gravidade porque demonstra a dimensão pessoal da perseguição e eleva o potencial ofensivo da conduta.</w:t>
      </w:r>
    </w:p>
    <w:p w14:paraId="458CC7E8" w14:textId="77777777" w:rsidR="00EC6C84" w:rsidRDefault="00EC6C84">
      <w:pPr>
        <w:spacing w:after="120"/>
        <w:jc w:val="both"/>
      </w:pPr>
      <w:r>
        <w:rPr>
          <w:rFonts w:ascii="Calibri" w:eastAsia="Calibri" w:hAnsi="Calibri" w:cs="Calibri"/>
          <w:color w:val="051A3D"/>
          <w:sz w:val="22"/>
          <w:szCs w:val="22"/>
        </w:rPr>
        <w:t>A conduta discriminatória difusa, piada racista contada para a equipe sem destinatário específico, política organizacional com efeito discriminatório genérico, segue a rota da discriminação difusa (P2-A e P2-B), tipicamente de menor gravidade, mas com possibilidade de alcançar o patamar demissório quando o padrão reiterado compromete de forma severa o ambiente institucional (Resultado E). A conduta dirigida a servidor ou grupo identificável abre a análise para os qualificadores mais graves.</w:t>
      </w:r>
    </w:p>
    <w:p w14:paraId="44DDFACE" w14:textId="77777777" w:rsidR="00EC6C84" w:rsidRDefault="00EC6C84">
      <w:pPr>
        <w:pStyle w:val="Ttulo3"/>
        <w:keepNext/>
      </w:pPr>
      <w:r>
        <w:rPr>
          <w:rFonts w:ascii="Calibri" w:eastAsia="Calibri" w:hAnsi="Calibri" w:cs="Calibri"/>
        </w:rPr>
        <w:t>Satisfaz a condição, responda SIM</w:t>
      </w:r>
    </w:p>
    <w:p w14:paraId="12EB7D6A"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Conduta dirigida especificamente a servidor identificado pela sua característica protegida</w:t>
      </w:r>
    </w:p>
    <w:p w14:paraId="6F371768"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Padrão de condutas hostis que recai sistematicamente sobre grupo identificável na equipe (os servidores negros da unidade, as servidoras mulheres, os servidores com deficiência)</w:t>
      </w:r>
    </w:p>
    <w:p w14:paraId="2F89F10F"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Exclusão sistemática de servidor específico de oportunidades, reuniões ou recursos, identificável pela característica protegida</w:t>
      </w:r>
    </w:p>
    <w:p w14:paraId="59F1A517" w14:textId="77777777" w:rsidR="00EC6C84" w:rsidRDefault="00EC6C84">
      <w:pPr>
        <w:pStyle w:val="Ttulo3"/>
        <w:keepNext/>
      </w:pPr>
      <w:r>
        <w:rPr>
          <w:rFonts w:ascii="Calibri" w:eastAsia="Calibri" w:hAnsi="Calibri" w:cs="Calibri"/>
        </w:rPr>
        <w:t>Não satisfaz a condição, responda NÃO</w:t>
      </w:r>
    </w:p>
    <w:p w14:paraId="265738A0"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Conduta discriminatória difusa, sem vítima identificável: comentário preconceituoso genérico, política organizacional com efeito discriminatório não dirigido a indivíduo ou grupo específico na unidade</w:t>
      </w:r>
    </w:p>
    <w:p w14:paraId="7B2420B9"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Ausência de qualquer elemento que permita identificar destinatário específico da conduta</w:t>
      </w:r>
    </w:p>
    <w:p w14:paraId="340847CD" w14:textId="77777777" w:rsidR="00EC6C84" w:rsidRDefault="00EC6C84">
      <w:pPr>
        <w:pStyle w:val="Ttulo3"/>
        <w:keepNext/>
      </w:pPr>
      <w:r>
        <w:rPr>
          <w:rFonts w:ascii="Calibri" w:eastAsia="Calibri" w:hAnsi="Calibri" w:cs="Calibri"/>
        </w:rPr>
        <w:t>O que buscar nos autos</w:t>
      </w:r>
    </w:p>
    <w:p w14:paraId="3CB76135"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Relato da vítima identificando-se como destinatária direta da conduta</w:t>
      </w:r>
    </w:p>
    <w:p w14:paraId="62191102"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Padrão documentado de comportamento do agressor especificamente em relação à vítima</w:t>
      </w:r>
    </w:p>
    <w:p w14:paraId="76AE62FF"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Depoimentos de colegas que identificam a vítima como alvo específico do tratamento desfavorável</w:t>
      </w:r>
    </w:p>
    <w:p w14:paraId="1B18D8B6" w14:textId="77777777" w:rsidR="00EC6C84" w:rsidRDefault="00EC6C84">
      <w:pPr>
        <w:spacing w:before="80"/>
      </w:pPr>
    </w:p>
    <w:p w14:paraId="233E6C33" w14:textId="77777777" w:rsidR="00EC6C84" w:rsidRDefault="00EC6C84">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P3</w:t>
      </w:r>
    </w:p>
    <w:p w14:paraId="2CC9AF34" w14:textId="77777777" w:rsidR="00EC6C84" w:rsidRDefault="00EC6C84">
      <w:pPr>
        <w:spacing w:before="80" w:after="60"/>
      </w:pPr>
      <w:r>
        <w:rPr>
          <w:rFonts w:ascii="Calibri" w:eastAsia="Calibri" w:hAnsi="Calibri" w:cs="Calibri"/>
          <w:b/>
          <w:bCs/>
          <w:color w:val="0B2C5F"/>
          <w:sz w:val="22"/>
          <w:szCs w:val="22"/>
        </w:rPr>
        <w:lastRenderedPageBreak/>
        <w:t xml:space="preserve">NÃO → </w:t>
      </w:r>
      <w:r>
        <w:rPr>
          <w:rFonts w:ascii="Calibri" w:eastAsia="Calibri" w:hAnsi="Calibri" w:cs="Calibri"/>
          <w:color w:val="051A3D"/>
          <w:sz w:val="22"/>
          <w:szCs w:val="22"/>
        </w:rPr>
        <w:t>P2-A (rota da discriminação difusa)</w:t>
      </w:r>
    </w:p>
    <w:p w14:paraId="50532D17" w14:textId="77777777" w:rsidR="00EC6C84" w:rsidRDefault="00EC6C84">
      <w:pPr>
        <w:pBdr>
          <w:bottom w:val="single" w:sz="4" w:space="1" w:color="C9A35C"/>
        </w:pBdr>
        <w:spacing w:before="200" w:after="200"/>
      </w:pPr>
    </w:p>
    <w:p w14:paraId="21F5A4F9" w14:textId="77777777" w:rsidR="00EC6C84" w:rsidRDefault="00EC6C84">
      <w:pPr>
        <w:spacing w:after="120"/>
        <w:jc w:val="both"/>
      </w:pPr>
      <w:r>
        <w:rPr>
          <w:rFonts w:ascii="Calibri" w:eastAsia="Calibri" w:hAnsi="Calibri" w:cs="Calibri"/>
          <w:color w:val="051A3D"/>
          <w:sz w:val="22"/>
          <w:szCs w:val="22"/>
        </w:rPr>
        <w:t>═══ ROTA DA DISCRIMINAÇÃO DIFUSA ═══</w:t>
      </w:r>
    </w:p>
    <w:p w14:paraId="67C6A139" w14:textId="77777777" w:rsidR="00EC6C84" w:rsidRDefault="00EC6C84">
      <w:pPr>
        <w:spacing w:after="120"/>
        <w:jc w:val="both"/>
      </w:pPr>
    </w:p>
    <w:p w14:paraId="4A23ED76" w14:textId="77777777" w:rsidR="00EC6C84" w:rsidRDefault="00EC6C84">
      <w:pPr>
        <w:pStyle w:val="Ttulo2"/>
        <w:keepNext/>
        <w:pBdr>
          <w:left w:val="single" w:sz="10" w:space="6" w:color="C9A35C"/>
        </w:pBdr>
      </w:pPr>
      <w:bookmarkStart w:id="151" w:name="_Toc233912980_c204"/>
      <w:bookmarkStart w:id="152" w:name="_Toc238022144"/>
      <w:r>
        <w:t>P2-A, A conduta discriminatória difusa é reiterada e cria ambiente hostil generalizado percebido pelo grupo afetado?</w:t>
      </w:r>
      <w:bookmarkEnd w:id="151"/>
      <w:bookmarkEnd w:id="152"/>
    </w:p>
    <w:p w14:paraId="5F5994F8" w14:textId="77777777" w:rsidR="001D5E73" w:rsidRDefault="001D5E73">
      <w:pPr>
        <w:pStyle w:val="Ttulo3"/>
        <w:keepNext/>
      </w:pPr>
      <w:r>
        <w:t>O que avaliar</w:t>
      </w:r>
    </w:p>
    <w:p w14:paraId="0AB4C46A" w14:textId="77777777" w:rsidR="001D5E73" w:rsidRDefault="001D5E73">
      <w:pPr>
        <w:spacing w:after="120"/>
        <w:jc w:val="both"/>
      </w:pPr>
      <w:r>
        <w:t xml:space="preserve">A pergunta central é: </w:t>
      </w:r>
      <w:r>
        <w:rPr>
          <w:b/>
          <w:bCs/>
        </w:rPr>
        <w:t>as manifestações discriminatórias sem destinatário individual se repetem a ponto de constituir uma característica do ambiente, percebida como tal pelos servidores pertencentes ao grupo atingido?</w:t>
      </w:r>
      <w:r>
        <w:t xml:space="preserve"> A discriminação difusa não tem vítima nominada, mas tem grupo atingido, e é a percepção desse grupo, corroborada por elementos objetivos, que constitui o parâmetro.</w:t>
      </w:r>
    </w:p>
    <w:p w14:paraId="53DFD393" w14:textId="77777777" w:rsidR="00EC6C84" w:rsidRDefault="00EC6C84">
      <w:pPr>
        <w:spacing w:after="120"/>
        <w:jc w:val="both"/>
      </w:pPr>
      <w:r>
        <w:rPr>
          <w:rFonts w:ascii="Calibri" w:eastAsia="Calibri" w:hAnsi="Calibri" w:cs="Calibri"/>
          <w:color w:val="051A3D"/>
          <w:sz w:val="22"/>
          <w:szCs w:val="22"/>
        </w:rPr>
        <w:t>A discriminação difusa é frequentemente subestimada precisamente porque nenhuma pessoa se apresenta como vítima individual. Piadas raciais recorrentes na copa, comentários sistemáticos sobre a competência de servidoras, referências depreciativas a determinada religião em reuniões de equipe: nenhum episódio, isoladamente, tem destinatário; o conjunto define o ambiente em que servidores do grupo atingido precisam trabalhar.</w:t>
      </w:r>
    </w:p>
    <w:p w14:paraId="4CC489AA" w14:textId="77777777" w:rsidR="001D5E73" w:rsidRDefault="001D5E73">
      <w:pPr>
        <w:spacing w:after="120"/>
        <w:jc w:val="both"/>
      </w:pPr>
      <w:r>
        <w:t xml:space="preserve">Dois elementos são cumulativos. </w:t>
      </w:r>
      <w:r>
        <w:rPr>
          <w:b/>
          <w:bCs/>
        </w:rPr>
        <w:t>Reiteração:</w:t>
      </w:r>
      <w:r>
        <w:t xml:space="preserve"> episódios recorrentes ao longo do tempo, e não manifestação isolada. </w:t>
      </w:r>
      <w:r>
        <w:rPr>
          <w:b/>
          <w:bCs/>
        </w:rPr>
        <w:t>Ambiente hostil generalizado:</w:t>
      </w:r>
      <w:r>
        <w:t xml:space="preserve"> a recorrência produziu efeito perceptível sobre as condições de trabalho do grupo, e não apenas desconforto pontual de quem presenciou.</w:t>
      </w:r>
    </w:p>
    <w:p w14:paraId="2AE221BD" w14:textId="77777777" w:rsidR="001D5E73" w:rsidRDefault="001D5E73">
      <w:pPr>
        <w:pStyle w:val="Ttulo3"/>
        <w:keepNext/>
      </w:pPr>
      <w:r>
        <w:t>Satisfaz a condição, responda SIM</w:t>
      </w:r>
    </w:p>
    <w:p w14:paraId="4035277A"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Piadas ou comentários depreciativos sobre característica protegida, repetidos ao longo de meses, com múltiplas testemunhas</w:t>
      </w:r>
    </w:p>
    <w:p w14:paraId="523848AA"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Servidores do grupo atingido relatam evitar determinados espaços, reuniões ou interações em razão do padrão</w:t>
      </w:r>
    </w:p>
    <w:p w14:paraId="54487753"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Exposição sistemática do ambiente a conteúdo depreciativo, por qualquer canal, inclusive grupos institucionais de mensagens</w:t>
      </w:r>
    </w:p>
    <w:p w14:paraId="7B16959F"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Registros de clima organizacional, ouvidoria ou pesquisas internas que apontem a percepção do grupo</w:t>
      </w:r>
    </w:p>
    <w:p w14:paraId="2C76F93D" w14:textId="77777777" w:rsidR="001D5E73" w:rsidRDefault="001D5E73">
      <w:pPr>
        <w:pStyle w:val="Ttulo3"/>
        <w:keepNext/>
      </w:pPr>
      <w:r>
        <w:t>Não satisfaz a condição, responda NÃO</w:t>
      </w:r>
    </w:p>
    <w:p w14:paraId="6B445207"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Manifestação isolada, ainda que grave, sem recorrência demonstrada</w:t>
      </w:r>
    </w:p>
    <w:p w14:paraId="370BD193"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 xml:space="preserve">Episódios </w:t>
      </w:r>
      <w:proofErr w:type="gramStart"/>
      <w:r>
        <w:rPr>
          <w:rFonts w:ascii="Calibri" w:eastAsia="Calibri" w:hAnsi="Calibri" w:cs="Calibri"/>
          <w:color w:val="051A3D"/>
          <w:sz w:val="22"/>
          <w:szCs w:val="22"/>
        </w:rPr>
        <w:t>recorrentes</w:t>
      </w:r>
      <w:proofErr w:type="gramEnd"/>
      <w:r>
        <w:rPr>
          <w:rFonts w:ascii="Calibri" w:eastAsia="Calibri" w:hAnsi="Calibri" w:cs="Calibri"/>
          <w:color w:val="051A3D"/>
          <w:sz w:val="22"/>
          <w:szCs w:val="22"/>
        </w:rPr>
        <w:t xml:space="preserve"> mas sem qualquer efeito perceptível sobre as condições de trabalho do grupo</w:t>
      </w:r>
    </w:p>
    <w:p w14:paraId="5B73D821"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Percepção individual de um servidor não corroborada por outros integrantes do grupo atingido nem por elementos objetivos</w:t>
      </w:r>
    </w:p>
    <w:p w14:paraId="06376121" w14:textId="77777777" w:rsidR="001D5E73" w:rsidRDefault="001D5E73">
      <w:pPr>
        <w:pStyle w:val="Ttulo3"/>
        <w:keepNext/>
      </w:pPr>
      <w:r>
        <w:t>O que buscar nos autos</w:t>
      </w:r>
    </w:p>
    <w:p w14:paraId="1595DB20"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Depoimentos de múltiplos servidores do grupo atingido, colhidos separadamente</w:t>
      </w:r>
    </w:p>
    <w:p w14:paraId="31040D94"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lastRenderedPageBreak/>
        <w:t>Registros eletrônicos de grupos institucionais de mensagens, preservados antes de qualquer outra diligência</w:t>
      </w:r>
    </w:p>
    <w:p w14:paraId="0389AE07"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Histórico de manifestações à ouvidoria, à chefia ou a canais de integridade sobre o mesmo padrão</w:t>
      </w:r>
    </w:p>
    <w:p w14:paraId="53E5EC0D"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Dados de rotatividade, pedidos de remoção e afastamentos no grupo atingido durante o período</w:t>
      </w:r>
    </w:p>
    <w:p w14:paraId="369DA0B1" w14:textId="77777777" w:rsidR="00EC6C84" w:rsidRDefault="00EC6C84">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14:paraId="6D5846BA"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582A6457" w14:textId="77777777" w:rsidR="00EC6C84" w:rsidRDefault="00EC6C84">
            <w:pPr>
              <w:jc w:val="both"/>
            </w:pPr>
            <w:r>
              <w:rPr>
                <w:rFonts w:ascii="Calibri" w:eastAsia="Calibri" w:hAnsi="Calibri" w:cs="Calibri"/>
                <w:b/>
                <w:bCs/>
                <w:color w:val="0B2C5F"/>
                <w:sz w:val="20"/>
                <w:szCs w:val="20"/>
              </w:rPr>
              <w:t>Alerta, ausência de vítima nominada não é ausência de ilícito:</w:t>
            </w:r>
            <w:r>
              <w:rPr>
                <w:rFonts w:ascii="Calibri" w:eastAsia="Calibri" w:hAnsi="Calibri" w:cs="Calibri"/>
                <w:color w:val="051A3D"/>
                <w:sz w:val="20"/>
                <w:szCs w:val="20"/>
              </w:rPr>
              <w:t xml:space="preserve"> não arquive por não haver denunciante individual. A discriminação difusa lesiona bem jurídico coletivo, a igualdade material no ambiente de trabalho, e sua apuração não depende de denúncia individualizada.</w:t>
            </w:r>
          </w:p>
        </w:tc>
      </w:tr>
    </w:tbl>
    <w:p w14:paraId="6E9E47B3" w14:textId="77777777" w:rsidR="00EC6C84" w:rsidRDefault="00EC6C84">
      <w:pPr>
        <w:spacing w:after="120"/>
        <w:jc w:val="both"/>
      </w:pPr>
    </w:p>
    <w:p w14:paraId="4931A13A" w14:textId="77777777" w:rsidR="001D5E73" w:rsidRDefault="001D5E73">
      <w:pPr>
        <w:spacing w:before="80" w:after="60"/>
      </w:pPr>
      <w:r>
        <w:rPr>
          <w:b/>
          <w:bCs/>
          <w:color w:val="1F7A4C"/>
        </w:rPr>
        <w:t xml:space="preserve">SIM → </w:t>
      </w:r>
      <w:r>
        <w:t>P2-B</w:t>
      </w:r>
    </w:p>
    <w:p w14:paraId="10030A03" w14:textId="77777777" w:rsidR="001D5E73" w:rsidRDefault="001D5E73">
      <w:pPr>
        <w:spacing w:before="80" w:after="60"/>
      </w:pPr>
      <w:r>
        <w:rPr>
          <w:b/>
          <w:bCs/>
          <w:color w:val="1F7A4C"/>
        </w:rPr>
        <w:t xml:space="preserve">NÃO → </w:t>
      </w:r>
      <w:r>
        <w:t>Resultado D, conduta imprópria, art. 116, II, IX e XI</w:t>
      </w:r>
    </w:p>
    <w:p w14:paraId="5FA3C3B2" w14:textId="77777777" w:rsidR="00EC6C84" w:rsidRDefault="00EC6C84">
      <w:pPr>
        <w:spacing w:after="120"/>
        <w:jc w:val="both"/>
      </w:pPr>
    </w:p>
    <w:p w14:paraId="28975CC1" w14:textId="77777777" w:rsidR="00EC6C84" w:rsidRDefault="00EC6C84">
      <w:pPr>
        <w:pStyle w:val="Ttulo2"/>
        <w:keepNext/>
        <w:pBdr>
          <w:left w:val="single" w:sz="10" w:space="6" w:color="C9A35C"/>
        </w:pBdr>
      </w:pPr>
      <w:bookmarkStart w:id="153" w:name="_Toc233912980_c205"/>
      <w:bookmarkStart w:id="154" w:name="_Toc238022145"/>
      <w:r>
        <w:t>P2-B, O ambiente hostil coletivo compromete de forma severa a moralidade administrativa e o ambiente institucional?</w:t>
      </w:r>
      <w:bookmarkEnd w:id="153"/>
      <w:bookmarkEnd w:id="154"/>
    </w:p>
    <w:p w14:paraId="51CE30D4" w14:textId="77777777" w:rsidR="001D5E73" w:rsidRDefault="001D5E73">
      <w:pPr>
        <w:pStyle w:val="Ttulo3"/>
        <w:keepNext/>
      </w:pPr>
      <w:r>
        <w:t>O que avaliar</w:t>
      </w:r>
    </w:p>
    <w:p w14:paraId="6E341140" w14:textId="77777777" w:rsidR="001D5E73" w:rsidRDefault="001D5E73">
      <w:pPr>
        <w:spacing w:after="120"/>
        <w:jc w:val="both"/>
      </w:pPr>
      <w:r>
        <w:t xml:space="preserve">A pergunta central é: </w:t>
      </w:r>
      <w:r>
        <w:rPr>
          <w:b/>
          <w:bCs/>
        </w:rPr>
        <w:t>o ambiente hostil atingiu intensidade que, por si só, desqualifica a repartição como espaço de trabalho compatível com os deveres constitucionais da Administração?</w:t>
      </w:r>
      <w:r>
        <w:t xml:space="preserve"> Este é o qualificador que eleva a discriminação difusa ao art. 132, V, da Lei nº 8.112, de 1990.</w:t>
      </w:r>
    </w:p>
    <w:p w14:paraId="5E86B517" w14:textId="77777777" w:rsidR="00EC6C84" w:rsidRDefault="00EC6C84">
      <w:pPr>
        <w:spacing w:after="120"/>
        <w:jc w:val="both"/>
      </w:pPr>
      <w:r>
        <w:rPr>
          <w:rFonts w:ascii="Calibri" w:eastAsia="Calibri" w:hAnsi="Calibri" w:cs="Calibri"/>
          <w:color w:val="051A3D"/>
          <w:sz w:val="22"/>
          <w:szCs w:val="22"/>
        </w:rPr>
        <w:t>A calibragem aqui é deliberadamente exigente. O patamar de gravidade ALTA não é o padrão: exige elementos cumulativos, documentados e objetivos. O patamar BAIXA/MÉDIA é a resposta esperada na maioria dos casos e conduz à conduta imprópria, com dosimetria do art. 128 da mesma lei.</w:t>
      </w:r>
    </w:p>
    <w:p w14:paraId="70DE2279" w14:textId="77777777" w:rsidR="001D5E73" w:rsidRDefault="001D5E73">
      <w:pPr>
        <w:pStyle w:val="Ttulo3"/>
        <w:keepNext/>
      </w:pPr>
      <w:r>
        <w:t>Responda ALTA quando presentes elementos cumulativos como</w:t>
      </w:r>
    </w:p>
    <w:p w14:paraId="14DD641C"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Extensão do padrão a toda a unidade ou a setor inteiro, e não a um pequeno grupo de servidores</w:t>
      </w:r>
    </w:p>
    <w:p w14:paraId="0C564C3C"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Participação ou anuência de servidores investidos em função de gestão, o que converte a omissão institucional em componente do próprio ilícito</w:t>
      </w:r>
    </w:p>
    <w:p w14:paraId="65B746E7"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Efeitos funcionais documentados sobre o grupo, pedidos de remoção, afastamentos médicos, evasão</w:t>
      </w:r>
    </w:p>
    <w:p w14:paraId="4327F318"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Repercussão externa à unidade, com comprometimento demonstrável da imagem institucional</w:t>
      </w:r>
    </w:p>
    <w:p w14:paraId="6EA5BE20"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Persistência do padrão após alerta formal, manifestação à ouvidoria ou orientação da chefia</w:t>
      </w:r>
    </w:p>
    <w:p w14:paraId="677BCCBB" w14:textId="77777777" w:rsidR="001D5E73" w:rsidRDefault="001D5E73">
      <w:pPr>
        <w:pStyle w:val="Ttulo3"/>
        <w:keepNext/>
      </w:pPr>
      <w:r>
        <w:t>Responda BAIXA/MÉDIA quando</w:t>
      </w:r>
    </w:p>
    <w:p w14:paraId="136A0C8F"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O padrão está circunscrito a um grupo restrito de servidores, sem alcance institucional</w:t>
      </w:r>
    </w:p>
    <w:p w14:paraId="66708FA1"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Não há participação nem anuência de gestores</w:t>
      </w:r>
    </w:p>
    <w:p w14:paraId="074310D9"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Os efeitos são de desconforto e constrangimento, sem consequência funcional documentada</w:t>
      </w:r>
    </w:p>
    <w:p w14:paraId="32EA03E3"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Não houve alerta prévio que o servidor tenha desconsiderado</w:t>
      </w:r>
    </w:p>
    <w:p w14:paraId="56A3F800" w14:textId="77777777" w:rsidR="001D5E73" w:rsidRDefault="001D5E73">
      <w:pPr>
        <w:pStyle w:val="Ttulo3"/>
        <w:keepNext/>
      </w:pPr>
      <w:r>
        <w:lastRenderedPageBreak/>
        <w:t>O que buscar nos autos</w:t>
      </w:r>
    </w:p>
    <w:p w14:paraId="6B6DFE5A"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Delimitação objetiva do alcance do padrão, quantos servidores, quais setores, qual período</w:t>
      </w:r>
    </w:p>
    <w:p w14:paraId="75C3A12D"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Identificação de quem exercia função de gestão e o que sabia</w:t>
      </w:r>
    </w:p>
    <w:p w14:paraId="6D0B3D7F"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Documentação de efeitos funcionais no período, remoções, licenças, avaliações</w:t>
      </w:r>
    </w:p>
    <w:p w14:paraId="63431E9B"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Registros de alerta prévio e da reação do servidor a ele</w:t>
      </w:r>
    </w:p>
    <w:p w14:paraId="20FA08B0" w14:textId="77777777" w:rsidR="00EC6C84" w:rsidRDefault="00EC6C84">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14:paraId="397E4180"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332BFC63" w14:textId="77777777" w:rsidR="00EC6C84" w:rsidRDefault="00EC6C84">
            <w:pPr>
              <w:jc w:val="both"/>
            </w:pPr>
            <w:r>
              <w:rPr>
                <w:rFonts w:ascii="Calibri" w:eastAsia="Calibri" w:hAnsi="Calibri" w:cs="Calibri"/>
                <w:b/>
                <w:bCs/>
                <w:color w:val="0B2C5F"/>
                <w:sz w:val="20"/>
                <w:szCs w:val="20"/>
              </w:rPr>
              <w:t xml:space="preserve">Alerta, calibragem contra a </w:t>
            </w:r>
            <w:proofErr w:type="spellStart"/>
            <w:r>
              <w:rPr>
                <w:rFonts w:ascii="Calibri" w:eastAsia="Calibri" w:hAnsi="Calibri" w:cs="Calibri"/>
                <w:b/>
                <w:bCs/>
                <w:color w:val="0B2C5F"/>
                <w:sz w:val="20"/>
                <w:szCs w:val="20"/>
              </w:rPr>
              <w:t>superenfatização</w:t>
            </w:r>
            <w:proofErr w:type="spellEnd"/>
            <w:r>
              <w:rPr>
                <w:rFonts w:ascii="Calibri" w:eastAsia="Calibri" w:hAnsi="Calibri" w:cs="Calibri"/>
                <w:b/>
                <w:bCs/>
                <w:color w:val="0B2C5F"/>
                <w:sz w:val="20"/>
                <w:szCs w:val="20"/>
              </w:rPr>
              <w:t>:</w:t>
            </w:r>
            <w:r>
              <w:rPr>
                <w:rFonts w:ascii="Calibri" w:eastAsia="Calibri" w:hAnsi="Calibri" w:cs="Calibri"/>
                <w:color w:val="051A3D"/>
                <w:sz w:val="20"/>
                <w:szCs w:val="20"/>
              </w:rPr>
              <w:t xml:space="preserve"> o patamar ALTA conduz a demissão vinculada (Súmula nº 650 do Superior Tribunal de Justiça), sem margem de dosimetria. Na dúvida entre ALTA e MÉDIA, responda BAIXA/MÉDIA: a via da conduta imprópria permite resposta proporcional e não impede que a instrução complementar, demonstrando os elementos cumulativos, desloque a conduta ao patamar demissório.</w:t>
            </w:r>
          </w:p>
        </w:tc>
      </w:tr>
    </w:tbl>
    <w:p w14:paraId="3BA395AE" w14:textId="77777777" w:rsidR="00EC6C84" w:rsidRDefault="00EC6C84">
      <w:pPr>
        <w:spacing w:after="120"/>
        <w:jc w:val="both"/>
      </w:pPr>
    </w:p>
    <w:p w14:paraId="0DB2074F" w14:textId="77777777" w:rsidR="001D5E73" w:rsidRDefault="001D5E73">
      <w:pPr>
        <w:spacing w:before="80" w:after="60"/>
      </w:pPr>
      <w:r>
        <w:rPr>
          <w:b/>
          <w:bCs/>
          <w:color w:val="1F7A4C"/>
        </w:rPr>
        <w:t xml:space="preserve">ALTA → </w:t>
      </w:r>
      <w:r>
        <w:t>GATE → Resultado E, discriminação difusa com ambiente hostil coletivo grave, art. 132, V, demissão</w:t>
      </w:r>
    </w:p>
    <w:p w14:paraId="01CF260A" w14:textId="77777777" w:rsidR="001D5E73" w:rsidRDefault="001D5E73">
      <w:pPr>
        <w:spacing w:before="80" w:after="60"/>
      </w:pPr>
      <w:r>
        <w:rPr>
          <w:b/>
          <w:bCs/>
          <w:color w:val="1F7A4C"/>
        </w:rPr>
        <w:t xml:space="preserve">BAIXA/MÉDIA → </w:t>
      </w:r>
      <w:r>
        <w:t>Resultado D, conduta imprópria, art. 116, II, IX e XI</w:t>
      </w:r>
    </w:p>
    <w:p w14:paraId="02F2F3ED" w14:textId="77777777" w:rsidR="00EC6C84" w:rsidRDefault="00EC6C84">
      <w:pPr>
        <w:spacing w:after="120"/>
        <w:jc w:val="both"/>
      </w:pPr>
    </w:p>
    <w:p w14:paraId="3D84779C" w14:textId="77777777" w:rsidR="00EC6C84" w:rsidRDefault="00EC6C84">
      <w:pPr>
        <w:spacing w:after="120"/>
        <w:jc w:val="both"/>
      </w:pPr>
      <w:r>
        <w:rPr>
          <w:rFonts w:ascii="Calibri" w:eastAsia="Calibri" w:hAnsi="Calibri" w:cs="Calibri"/>
          <w:color w:val="051A3D"/>
          <w:sz w:val="22"/>
          <w:szCs w:val="22"/>
        </w:rPr>
        <w:t>═══ ROTA DO ALVO IDENTIFICÁVEL ═══</w:t>
      </w:r>
    </w:p>
    <w:p w14:paraId="1DED621A" w14:textId="77777777" w:rsidR="00EC6C84" w:rsidRDefault="00EC6C84">
      <w:pPr>
        <w:spacing w:after="120"/>
        <w:jc w:val="both"/>
      </w:pPr>
    </w:p>
    <w:p w14:paraId="36D947C1" w14:textId="77777777" w:rsidR="00EC6C84" w:rsidRDefault="00EC6C84">
      <w:pPr>
        <w:pStyle w:val="Ttulo2"/>
        <w:keepNext/>
        <w:pBdr>
          <w:left w:val="single" w:sz="10" w:space="6" w:color="C9A35C"/>
        </w:pBdr>
      </w:pPr>
      <w:bookmarkStart w:id="155" w:name="_Toc238022146"/>
      <w:r>
        <w:t>P3, A conduta discriminatória foi reiterada?</w:t>
      </w:r>
      <w:bookmarkEnd w:id="155"/>
    </w:p>
    <w:p w14:paraId="48A27574" w14:textId="77777777" w:rsidR="00EC6C84" w:rsidRDefault="00EC6C84">
      <w:pPr>
        <w:pStyle w:val="Ttulo3"/>
        <w:keepNext/>
      </w:pPr>
      <w:r>
        <w:rPr>
          <w:rFonts w:ascii="Calibri" w:eastAsia="Calibri" w:hAnsi="Calibri" w:cs="Calibri"/>
        </w:rPr>
        <w:t>O que avaliar</w:t>
      </w:r>
    </w:p>
    <w:p w14:paraId="1B80C1C7" w14:textId="77777777" w:rsidR="00EC6C84" w:rsidRDefault="00EC6C84">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há um padrão temporal de condutas discriminatórias dirigidas ao mesmo alvo, ou trata-se de episódio isolado?</w:t>
      </w:r>
      <w:r>
        <w:rPr>
          <w:rFonts w:ascii="Calibri" w:eastAsia="Calibri" w:hAnsi="Calibri" w:cs="Calibri"/>
          <w:color w:val="051A3D"/>
          <w:sz w:val="22"/>
          <w:szCs w:val="22"/>
        </w:rPr>
        <w:t xml:space="preserve"> A reiteração é o elemento que converte a discriminação pontual em assédio discriminatório, uma figura mais grave, com enquadramento mais severo, porque o padrão reiterado produz efeito acumulado sobre a vítima que vai além do dano de cada episódio individual.</w:t>
      </w:r>
    </w:p>
    <w:p w14:paraId="3596B294" w14:textId="77777777" w:rsidR="00EC6C84" w:rsidRDefault="00EC6C84">
      <w:pPr>
        <w:spacing w:after="120"/>
        <w:jc w:val="both"/>
      </w:pPr>
      <w:r>
        <w:rPr>
          <w:rFonts w:ascii="Calibri" w:eastAsia="Calibri" w:hAnsi="Calibri" w:cs="Calibri"/>
          <w:color w:val="051A3D"/>
          <w:sz w:val="22"/>
          <w:szCs w:val="22"/>
        </w:rPr>
        <w:t xml:space="preserve">Construa a </w:t>
      </w:r>
      <w:r>
        <w:rPr>
          <w:rFonts w:ascii="Calibri" w:eastAsia="Calibri" w:hAnsi="Calibri" w:cs="Calibri"/>
          <w:b/>
          <w:bCs/>
          <w:color w:val="051A3D"/>
          <w:sz w:val="22"/>
          <w:szCs w:val="22"/>
        </w:rPr>
        <w:t>linha do tempo</w:t>
      </w:r>
      <w:r>
        <w:rPr>
          <w:rFonts w:ascii="Calibri" w:eastAsia="Calibri" w:hAnsi="Calibri" w:cs="Calibri"/>
          <w:color w:val="051A3D"/>
          <w:sz w:val="22"/>
          <w:szCs w:val="22"/>
        </w:rPr>
        <w:t xml:space="preserve"> de todos os episódios identificáveis nos autos antes de responder. Relatos da vítima com expressões como 'sempre', 'constantemente', 'toda semana', 'repetidamente' são indicadores de reiteração. Verifique também se o episódio que motivou a denúncia é o que 'transbordou', o último de uma série, ou genuinamente o único.</w:t>
      </w:r>
    </w:p>
    <w:p w14:paraId="714DB5F3" w14:textId="77777777" w:rsidR="00EC6C84" w:rsidRDefault="00EC6C84">
      <w:pPr>
        <w:spacing w:after="120"/>
        <w:jc w:val="both"/>
      </w:pPr>
      <w:r>
        <w:rPr>
          <w:rFonts w:ascii="Calibri" w:eastAsia="Calibri" w:hAnsi="Calibri" w:cs="Calibri"/>
          <w:color w:val="051A3D"/>
          <w:sz w:val="22"/>
          <w:szCs w:val="22"/>
        </w:rPr>
        <w:t>Atenção: a reiteração não exige que cada episódio seja idêntico. O padrão pode ser composto de episódios de natureza variada, comentários, exclusões, diferença de tratamento avaliativo, desde que todos estejam motivados pela mesma característica protegida e dirigidos ao mesmo alvo.</w:t>
      </w:r>
    </w:p>
    <w:p w14:paraId="4D4A117B" w14:textId="77777777" w:rsidR="00EC6C84" w:rsidRDefault="00EC6C84">
      <w:pPr>
        <w:pStyle w:val="Ttulo3"/>
        <w:keepNext/>
      </w:pPr>
      <w:r>
        <w:rPr>
          <w:rFonts w:ascii="Calibri" w:eastAsia="Calibri" w:hAnsi="Calibri" w:cs="Calibri"/>
        </w:rPr>
        <w:t>Satisfaz a condição, responda SIM</w:t>
      </w:r>
    </w:p>
    <w:p w14:paraId="2D8D6C3C"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Vítima relata episódios múltiplos em períodos distintos, com padrão consistente</w:t>
      </w:r>
    </w:p>
    <w:p w14:paraId="257DF764"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Testemunhas confirmam comportamento sistemático do agressor em relação à vítima ao longo do tempo</w:t>
      </w:r>
    </w:p>
    <w:p w14:paraId="6C8876A4"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Histórico funcional da vítima mostra deterioração progressiva coincidente com o período de condutas relatadas</w:t>
      </w:r>
    </w:p>
    <w:p w14:paraId="4A3C5E13"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Registros documentam múltiplos episódios em datas identificáveis</w:t>
      </w:r>
    </w:p>
    <w:p w14:paraId="08F1D958" w14:textId="77777777" w:rsidR="00EC6C84" w:rsidRDefault="00EC6C84">
      <w:pPr>
        <w:pStyle w:val="Ttulo3"/>
        <w:keepNext/>
      </w:pPr>
      <w:r>
        <w:rPr>
          <w:rFonts w:ascii="Calibri" w:eastAsia="Calibri" w:hAnsi="Calibri" w:cs="Calibri"/>
        </w:rPr>
        <w:lastRenderedPageBreak/>
        <w:t>Não satisfaz a condição, responda NÃO</w:t>
      </w:r>
    </w:p>
    <w:p w14:paraId="412BC1A9"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Episódio único, ainda que grave, sem qualquer evidência de padrão anterior ou posterior</w:t>
      </w:r>
    </w:p>
    <w:p w14:paraId="46B14F2E"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Ausência de relatos de episódios anteriores na vítima, nas testemunhas ou nos documentos funcionais</w:t>
      </w:r>
    </w:p>
    <w:p w14:paraId="1B3768F0" w14:textId="77777777" w:rsidR="00EC6C84" w:rsidRDefault="00EC6C84">
      <w:pPr>
        <w:pStyle w:val="Ttulo3"/>
        <w:keepNext/>
      </w:pPr>
      <w:r>
        <w:rPr>
          <w:rFonts w:ascii="Calibri" w:eastAsia="Calibri" w:hAnsi="Calibri" w:cs="Calibri"/>
        </w:rPr>
        <w:t>O que buscar nos autos</w:t>
      </w:r>
    </w:p>
    <w:p w14:paraId="37C16EC5"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Linha do tempo construída a partir do relato da vítima, dos depoimentos de testemunhas e dos registros documentais: cada episódio com data, contexto e conteúdo</w:t>
      </w:r>
    </w:p>
    <w:p w14:paraId="12C33C28"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Histórico de avaliações, designações e tratamento funcional da vítima ao longo do tempo</w:t>
      </w:r>
    </w:p>
    <w:p w14:paraId="66E79409"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Comparativo entre o tratamento da vítima e o de servidores análogos no mesmo período</w:t>
      </w:r>
    </w:p>
    <w:p w14:paraId="5D26FE60" w14:textId="77777777" w:rsidR="00EC6C84" w:rsidRDefault="00EC6C84">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14:paraId="706E5D40"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3BF9924D" w14:textId="77777777" w:rsidR="00EC6C84" w:rsidRDefault="00EC6C84">
            <w:pPr>
              <w:jc w:val="both"/>
            </w:pPr>
            <w:r>
              <w:rPr>
                <w:rFonts w:ascii="Calibri" w:eastAsia="Calibri" w:hAnsi="Calibri" w:cs="Calibri"/>
                <w:b/>
                <w:bCs/>
                <w:color w:val="0B2C5F"/>
                <w:sz w:val="20"/>
                <w:szCs w:val="20"/>
              </w:rPr>
              <w:t>Alerta, episódio que 'transbordou':</w:t>
            </w:r>
            <w:r>
              <w:rPr>
                <w:rFonts w:ascii="Calibri" w:eastAsia="Calibri" w:hAnsi="Calibri" w:cs="Calibri"/>
                <w:color w:val="051A3D"/>
                <w:sz w:val="20"/>
                <w:szCs w:val="20"/>
              </w:rPr>
              <w:t xml:space="preserve"> não responda NÃO apenas porque a denúncia formal menciona um único episódio recente. Investigue se há episódios anteriores não denunciados, é comum que a vítima só formalize a denúncia quando o padrão se torna insuportável. Pergunte à vítima diretamente sobre episódios anteriores.</w:t>
            </w:r>
          </w:p>
        </w:tc>
      </w:tr>
    </w:tbl>
    <w:p w14:paraId="54FC52D0" w14:textId="77777777" w:rsidR="00EC6C84" w:rsidRDefault="00EC6C84">
      <w:pPr>
        <w:spacing w:before="80"/>
      </w:pPr>
    </w:p>
    <w:p w14:paraId="6F01EB6C" w14:textId="77777777" w:rsidR="00EC6C84" w:rsidRDefault="00EC6C84">
      <w:pPr>
        <w:spacing w:before="80" w:after="60"/>
      </w:pPr>
      <w:r>
        <w:rPr>
          <w:rFonts w:ascii="Calibri" w:eastAsia="Calibri" w:hAnsi="Calibri" w:cs="Calibri"/>
          <w:b/>
          <w:bCs/>
          <w:color w:val="1F7A4C"/>
          <w:sz w:val="22"/>
          <w:szCs w:val="22"/>
        </w:rPr>
        <w:t xml:space="preserve">SIM (reiterada) → </w:t>
      </w:r>
      <w:r>
        <w:rPr>
          <w:rFonts w:ascii="Calibri" w:eastAsia="Calibri" w:hAnsi="Calibri" w:cs="Calibri"/>
          <w:color w:val="051A3D"/>
          <w:sz w:val="22"/>
          <w:szCs w:val="22"/>
        </w:rPr>
        <w:t>P4</w:t>
      </w:r>
    </w:p>
    <w:p w14:paraId="37B183B9" w14:textId="77777777" w:rsidR="00EC6C84" w:rsidRDefault="00EC6C84">
      <w:pPr>
        <w:spacing w:before="80" w:after="60"/>
      </w:pPr>
      <w:r>
        <w:rPr>
          <w:rFonts w:ascii="Calibri" w:eastAsia="Calibri" w:hAnsi="Calibri" w:cs="Calibri"/>
          <w:b/>
          <w:bCs/>
          <w:color w:val="0B2C5F"/>
          <w:sz w:val="22"/>
          <w:szCs w:val="22"/>
        </w:rPr>
        <w:t xml:space="preserve">NÃO (ato pontual) → </w:t>
      </w:r>
      <w:r>
        <w:rPr>
          <w:rFonts w:ascii="Calibri" w:eastAsia="Calibri" w:hAnsi="Calibri" w:cs="Calibri"/>
          <w:color w:val="051A3D"/>
          <w:sz w:val="22"/>
          <w:szCs w:val="22"/>
        </w:rPr>
        <w:t>P5</w:t>
      </w:r>
    </w:p>
    <w:p w14:paraId="301722DB" w14:textId="77777777" w:rsidR="00EC6C84" w:rsidRDefault="00EC6C84">
      <w:pPr>
        <w:pBdr>
          <w:bottom w:val="single" w:sz="4" w:space="1" w:color="C9A35C"/>
        </w:pBdr>
        <w:spacing w:before="200" w:after="200"/>
      </w:pPr>
    </w:p>
    <w:p w14:paraId="02A0EC73" w14:textId="77777777" w:rsidR="00EC6C84" w:rsidRDefault="00EC6C84">
      <w:pPr>
        <w:pStyle w:val="Ttulo2"/>
        <w:keepNext/>
        <w:pBdr>
          <w:left w:val="single" w:sz="10" w:space="6" w:color="C9A35C"/>
        </w:pBdr>
      </w:pPr>
      <w:bookmarkStart w:id="156" w:name="_Toc238022147"/>
      <w:r>
        <w:t>P4, O servidor utilizou prerrogativas funcionais como instrumento da conduta discriminatória?</w:t>
      </w:r>
      <w:bookmarkEnd w:id="156"/>
    </w:p>
    <w:p w14:paraId="729BB6CA" w14:textId="77777777" w:rsidR="00EC6C84" w:rsidRDefault="00EC6C84">
      <w:pPr>
        <w:pStyle w:val="Ttulo3"/>
        <w:keepNext/>
      </w:pPr>
      <w:r>
        <w:rPr>
          <w:rFonts w:ascii="Calibri" w:eastAsia="Calibri" w:hAnsi="Calibri" w:cs="Calibri"/>
        </w:rPr>
        <w:t>O que avaliar</w:t>
      </w:r>
    </w:p>
    <w:p w14:paraId="5AC05A5F" w14:textId="77777777" w:rsidR="00EC6C84" w:rsidRDefault="00EC6C84">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as prerrogativas do cargo foram ativamente empregadas para executar ou potencializar a discriminação?</w:t>
      </w:r>
      <w:r>
        <w:rPr>
          <w:rFonts w:ascii="Calibri" w:eastAsia="Calibri" w:hAnsi="Calibri" w:cs="Calibri"/>
          <w:color w:val="051A3D"/>
          <w:sz w:val="22"/>
          <w:szCs w:val="22"/>
        </w:rPr>
        <w:t xml:space="preserve"> O valimento do cargo, neste eixo, é o qualificador máximo que eleva o enquadramento ao art. 117, IX, com demissão obrigatória. O critério é o mesmo dos demais eixos: não basta que o agressor seja superior hierárquico, é preciso que as prerrogativas funcionais tenham sido o instrumento da conduta discriminatória.</w:t>
      </w:r>
    </w:p>
    <w:p w14:paraId="2057CA27" w14:textId="77777777" w:rsidR="00EC6C84" w:rsidRDefault="00EC6C84">
      <w:pPr>
        <w:spacing w:after="120"/>
        <w:jc w:val="both"/>
      </w:pPr>
      <w:r>
        <w:rPr>
          <w:rFonts w:ascii="Calibri" w:eastAsia="Calibri" w:hAnsi="Calibri" w:cs="Calibri"/>
          <w:color w:val="051A3D"/>
          <w:sz w:val="22"/>
          <w:szCs w:val="22"/>
        </w:rPr>
        <w:t>Exemplos de instrumentalização: negar progressão funcional por razão discriminatória (poder de avaliação como instrumento); atribuir sistematicamente tarefas degradantes ou de menor prestígio à vítima por razão discriminatória (poder de distribuição de tarefas como instrumento); manipular avaliações de desempenho para prejudicar a vítima por razão discriminatória (poder avaliativo como instrumento); sonegar informações necessárias ao trabalho por razão discriminatória (controle de acesso como instrumento).</w:t>
      </w:r>
    </w:p>
    <w:p w14:paraId="62F2F343" w14:textId="77777777" w:rsidR="00EC6C84" w:rsidRDefault="00EC6C84">
      <w:pPr>
        <w:spacing w:after="120"/>
        <w:jc w:val="both"/>
      </w:pPr>
      <w:r>
        <w:rPr>
          <w:rFonts w:ascii="Calibri" w:eastAsia="Calibri" w:hAnsi="Calibri" w:cs="Calibri"/>
          <w:color w:val="051A3D"/>
          <w:sz w:val="22"/>
          <w:szCs w:val="22"/>
        </w:rPr>
        <w:t>Quando o valimento do cargo for identificado, analisar complementarmente o Eixo 5 (Assédio Moral), o assédio discriminatório praticado com uso do cargo frequentemente satisfaz simultaneamente os elementos de ambos os eixos.</w:t>
      </w:r>
    </w:p>
    <w:p w14:paraId="1D6B3AEB" w14:textId="77777777" w:rsidR="00EC6C84" w:rsidRDefault="00EC6C84">
      <w:pPr>
        <w:pStyle w:val="Ttulo3"/>
        <w:keepNext/>
      </w:pPr>
      <w:r>
        <w:rPr>
          <w:rFonts w:ascii="Calibri" w:eastAsia="Calibri" w:hAnsi="Calibri" w:cs="Calibri"/>
        </w:rPr>
        <w:t>Satisfaz a condição, responda SIM</w:t>
      </w:r>
    </w:p>
    <w:p w14:paraId="35BFFA3A"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Chefia que nega promoção ou progressão a servidor com argumentação que, pelo método comparativo, revela motivação discriminatória</w:t>
      </w:r>
    </w:p>
    <w:p w14:paraId="20EF4708"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lastRenderedPageBreak/>
        <w:t>Distribuição sistemática de tarefas degradantes ou de menor visibilidade à vítima, sem justificativa objetiva, pelo agressor que detém o poder de distribuição</w:t>
      </w:r>
    </w:p>
    <w:p w14:paraId="1684CE15"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Avaliações de desempenho que, comparadas às de servidores análogos, revelam padrão sistematicamente desfavorável sem fundamento em desempenho real</w:t>
      </w:r>
    </w:p>
    <w:p w14:paraId="7FE2BCBD"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Sonegação de informações, sistemas ou recursos necessários ao trabalho, pelo agressor com poder de controle desses acessos, motivada pela característica protegida da vítima</w:t>
      </w:r>
    </w:p>
    <w:p w14:paraId="386F98F2" w14:textId="77777777" w:rsidR="00EC6C84" w:rsidRDefault="00EC6C84">
      <w:pPr>
        <w:pStyle w:val="Ttulo3"/>
        <w:keepNext/>
      </w:pPr>
      <w:r>
        <w:rPr>
          <w:rFonts w:ascii="Calibri" w:eastAsia="Calibri" w:hAnsi="Calibri" w:cs="Calibri"/>
        </w:rPr>
        <w:t>Não satisfaz a condição, responda NÃO</w:t>
      </w:r>
    </w:p>
    <w:p w14:paraId="2C4B402D"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Conduta discriminatória praticada sem instrumentalização de prerrogativa funcional, comentário preconceituoso de par, exclusão social sem uso de poder funcional</w:t>
      </w:r>
    </w:p>
    <w:p w14:paraId="5DE9C408"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Mera existência de relação hierárquica entre agressor e vítima, sem demonstração de que as prerrogativas do cargo foram empregadas na discriminação</w:t>
      </w:r>
    </w:p>
    <w:p w14:paraId="6C123DE5" w14:textId="77777777" w:rsidR="00EC6C84" w:rsidRDefault="00EC6C84">
      <w:pPr>
        <w:pStyle w:val="Ttulo3"/>
        <w:keepNext/>
      </w:pPr>
      <w:r>
        <w:rPr>
          <w:rFonts w:ascii="Calibri" w:eastAsia="Calibri" w:hAnsi="Calibri" w:cs="Calibri"/>
        </w:rPr>
        <w:t>O que buscar nos autos</w:t>
      </w:r>
    </w:p>
    <w:p w14:paraId="12DD75FA"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Comparativo de avaliações, designações e distribuição de tarefas entre a vítima e servidores análogos</w:t>
      </w:r>
    </w:p>
    <w:p w14:paraId="5503ADFE"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Registros de progressões negadas, tarefas atribuídas, acessos concedidos ou negados, com identificação de quem tomou cada decisão</w:t>
      </w:r>
    </w:p>
    <w:p w14:paraId="0936CFA1"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Depoimentos de colegas sobre o padrão de distribuição de tarefas e avaliações na unidade</w:t>
      </w:r>
    </w:p>
    <w:p w14:paraId="16C80B9D" w14:textId="77777777" w:rsidR="00EC6C84" w:rsidRDefault="00EC6C84">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14:paraId="205D0508"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13723B63" w14:textId="77777777" w:rsidR="00EC6C84" w:rsidRDefault="00EC6C84">
            <w:pPr>
              <w:jc w:val="both"/>
            </w:pPr>
            <w:r>
              <w:rPr>
                <w:rFonts w:ascii="Calibri" w:eastAsia="Calibri" w:hAnsi="Calibri" w:cs="Calibri"/>
                <w:b/>
                <w:bCs/>
                <w:color w:val="0B2C5F"/>
                <w:sz w:val="20"/>
                <w:szCs w:val="20"/>
              </w:rPr>
              <w:t>Alerta, cargo como instrumento vs. cargo como contexto:</w:t>
            </w:r>
            <w:r>
              <w:rPr>
                <w:rFonts w:ascii="Calibri" w:eastAsia="Calibri" w:hAnsi="Calibri" w:cs="Calibri"/>
                <w:color w:val="051A3D"/>
                <w:sz w:val="20"/>
                <w:szCs w:val="20"/>
              </w:rPr>
              <w:t xml:space="preserve"> a mera existência de hierarquia não satisfaz este elemento. O que diferencia é o uso ativo: o agressor empregou as prerrogativas funcionais, poder de avaliar, distribuir tarefas, conceder acesso, decidir sobre progressões, como veículo da discriminação?</w:t>
            </w:r>
          </w:p>
        </w:tc>
      </w:tr>
    </w:tbl>
    <w:p w14:paraId="2B96C2FF" w14:textId="77777777" w:rsidR="00EC6C84" w:rsidRDefault="00EC6C84">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14:paraId="554DFFDF"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51C3883A" w14:textId="77777777" w:rsidR="00EC6C84" w:rsidRDefault="00EC6C84">
            <w:pPr>
              <w:jc w:val="both"/>
            </w:pPr>
            <w:r>
              <w:rPr>
                <w:rFonts w:ascii="Calibri" w:eastAsia="Calibri" w:hAnsi="Calibri" w:cs="Calibri"/>
                <w:b/>
                <w:bCs/>
                <w:color w:val="0B2C5F"/>
                <w:sz w:val="20"/>
                <w:szCs w:val="20"/>
              </w:rPr>
              <w:t>Alerta, cumulatividade com Eixo 5:</w:t>
            </w:r>
            <w:r>
              <w:rPr>
                <w:rFonts w:ascii="Calibri" w:eastAsia="Calibri" w:hAnsi="Calibri" w:cs="Calibri"/>
                <w:color w:val="051A3D"/>
                <w:sz w:val="20"/>
                <w:szCs w:val="20"/>
              </w:rPr>
              <w:t xml:space="preserve"> quando a resposta for SIM nesta pergunta, a análise complementar pelo Eixo 5 é fortemente recomendada. O assédio discriminatório reiterado com uso do cargo satisfaz tipicamente os elementos do assédio moral também.</w:t>
            </w:r>
          </w:p>
        </w:tc>
      </w:tr>
    </w:tbl>
    <w:p w14:paraId="2C5DEFF2" w14:textId="77777777" w:rsidR="00EC6C84" w:rsidRDefault="00EC6C84">
      <w:pPr>
        <w:spacing w:before="80"/>
      </w:pPr>
    </w:p>
    <w:p w14:paraId="2ACAD9E7" w14:textId="77777777" w:rsidR="00EC6C84" w:rsidRDefault="00EC6C84">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GATE → Resultado B, valimento do cargo, art. 117, IX, demissão</w:t>
      </w:r>
    </w:p>
    <w:p w14:paraId="4316353B" w14:textId="77777777" w:rsidR="00EC6C84" w:rsidRDefault="00EC6C84">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P4-B</w:t>
      </w:r>
    </w:p>
    <w:p w14:paraId="4604E8C2" w14:textId="77777777" w:rsidR="00EC6C84" w:rsidRDefault="00EC6C84">
      <w:pPr>
        <w:pBdr>
          <w:bottom w:val="single" w:sz="4" w:space="1" w:color="C9A35C"/>
        </w:pBdr>
        <w:spacing w:before="200" w:after="200"/>
      </w:pPr>
    </w:p>
    <w:p w14:paraId="45622987" w14:textId="77777777" w:rsidR="00EC6C84" w:rsidRDefault="00EC6C84">
      <w:pPr>
        <w:pStyle w:val="Ttulo2"/>
        <w:keepNext/>
        <w:pBdr>
          <w:left w:val="single" w:sz="10" w:space="6" w:color="C9A35C"/>
        </w:pBdr>
      </w:pPr>
      <w:bookmarkStart w:id="157" w:name="_Toc238022148"/>
      <w:r>
        <w:t xml:space="preserve">P4-B, </w:t>
      </w:r>
      <w:proofErr w:type="gramStart"/>
      <w:r>
        <w:t>Qual</w:t>
      </w:r>
      <w:proofErr w:type="gramEnd"/>
      <w:r>
        <w:t xml:space="preserve"> o grau de ofensa à igualdade no padrão reiterado sem uso do cargo?</w:t>
      </w:r>
      <w:bookmarkEnd w:id="157"/>
    </w:p>
    <w:p w14:paraId="61DFEBB8" w14:textId="77777777" w:rsidR="00EC6C84" w:rsidRDefault="00EC6C84">
      <w:pPr>
        <w:pStyle w:val="Ttulo3"/>
        <w:keepNext/>
      </w:pPr>
      <w:r>
        <w:rPr>
          <w:rFonts w:ascii="Calibri" w:eastAsia="Calibri" w:hAnsi="Calibri" w:cs="Calibri"/>
        </w:rPr>
        <w:t>O que avaliar</w:t>
      </w:r>
    </w:p>
    <w:p w14:paraId="6662DD37" w14:textId="77777777" w:rsidR="00EC6C84" w:rsidRDefault="00EC6C84">
      <w:pPr>
        <w:spacing w:after="120"/>
        <w:jc w:val="both"/>
      </w:pPr>
      <w:r>
        <w:rPr>
          <w:rFonts w:ascii="Calibri" w:eastAsia="Calibri" w:hAnsi="Calibri" w:cs="Calibri"/>
          <w:color w:val="051A3D"/>
          <w:sz w:val="22"/>
          <w:szCs w:val="22"/>
        </w:rPr>
        <w:t xml:space="preserve">Avalie a intensidade e a gravidade do padrão discriminatório reiterado, considerando quatro fatores em conjunto: (1) intensidade de cada episódio individual; (2) frequência e duração do padrão; (3) repercussão coletiva, a conduta foi ostensiva, visível a </w:t>
      </w:r>
      <w:proofErr w:type="gramStart"/>
      <w:r>
        <w:rPr>
          <w:rFonts w:ascii="Calibri" w:eastAsia="Calibri" w:hAnsi="Calibri" w:cs="Calibri"/>
          <w:color w:val="051A3D"/>
          <w:sz w:val="22"/>
          <w:szCs w:val="22"/>
        </w:rPr>
        <w:t>colegas?;</w:t>
      </w:r>
      <w:proofErr w:type="gramEnd"/>
      <w:r>
        <w:rPr>
          <w:rFonts w:ascii="Calibri" w:eastAsia="Calibri" w:hAnsi="Calibri" w:cs="Calibri"/>
          <w:color w:val="051A3D"/>
          <w:sz w:val="22"/>
          <w:szCs w:val="22"/>
        </w:rPr>
        <w:t xml:space="preserve"> (4) impacto concreto e documentável sobre a vítima, laudo, afastamento, comprometimento de carreira.</w:t>
      </w:r>
    </w:p>
    <w:p w14:paraId="79CD6BFB" w14:textId="77777777" w:rsidR="00EC6C84" w:rsidRDefault="00EC6C84">
      <w:pPr>
        <w:spacing w:after="120"/>
        <w:jc w:val="both"/>
      </w:pPr>
      <w:r>
        <w:rPr>
          <w:rFonts w:ascii="Calibri" w:eastAsia="Calibri" w:hAnsi="Calibri" w:cs="Calibri"/>
          <w:color w:val="051A3D"/>
          <w:sz w:val="22"/>
          <w:szCs w:val="22"/>
        </w:rPr>
        <w:lastRenderedPageBreak/>
        <w:t>A graduação entre alta e baixa/média não é um limiar fixo: é um juízo que pondera o conjunto dos fatores acima. Condutas de conteúdo extremamente ofensivo, especialmente quando reiteradas e com impacto documentado, tendem ao patamar alto. Condutas de menor intensidade individual, sem impacto grave documentado, tendem ao patamar médio ou baixo.</w:t>
      </w:r>
    </w:p>
    <w:p w14:paraId="58B476B1" w14:textId="77777777" w:rsidR="00EC6C84" w:rsidRDefault="00EC6C84">
      <w:pPr>
        <w:pStyle w:val="Ttulo3"/>
        <w:keepNext/>
      </w:pPr>
      <w:r>
        <w:rPr>
          <w:rFonts w:ascii="Calibri" w:eastAsia="Calibri" w:hAnsi="Calibri" w:cs="Calibri"/>
        </w:rPr>
        <w:t>Satisfaz o patamar ALTO</w:t>
      </w:r>
    </w:p>
    <w:p w14:paraId="1E3A3D8B"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Padrão reiterado de conteúdo extremamente ofensivo, humilhação pública sistemática, expressões de preconceito intenso e repetido</w:t>
      </w:r>
    </w:p>
    <w:p w14:paraId="3B57BDC9"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Impacto concreto documentado sobre a vítima: laudo psicológico, afastamento médico, comprometimento de carreira demonstrável</w:t>
      </w:r>
    </w:p>
    <w:p w14:paraId="30189C04"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Repercussão coletiva: a discriminação foi praticada de forma ostensiva, visível a colegas, afetando o ambiente institucional como um todo</w:t>
      </w:r>
    </w:p>
    <w:p w14:paraId="3B2610AF"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Duração prolongada do padrão, com episódios frequentes ao longo de meses ou anos</w:t>
      </w:r>
    </w:p>
    <w:p w14:paraId="3E5ACB23" w14:textId="77777777" w:rsidR="00EC6C84" w:rsidRDefault="00EC6C84">
      <w:pPr>
        <w:pStyle w:val="Ttulo3"/>
        <w:keepNext/>
      </w:pPr>
      <w:r>
        <w:rPr>
          <w:rFonts w:ascii="Calibri" w:eastAsia="Calibri" w:hAnsi="Calibri" w:cs="Calibri"/>
        </w:rPr>
        <w:t>Satisfaz o patamar BAIXO/MÉDIO</w:t>
      </w:r>
    </w:p>
    <w:p w14:paraId="3C2FD515"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Padrão reiterado de menor intensidade, comentários depreciativos pontuais, exclusão social sem ostensividade</w:t>
      </w:r>
    </w:p>
    <w:p w14:paraId="120E5887"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Ausência de impacto documentado de alta gravidade</w:t>
      </w:r>
    </w:p>
    <w:p w14:paraId="4B66FAF9"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Conduta sem repercussão coletiva significativa</w:t>
      </w:r>
    </w:p>
    <w:p w14:paraId="48B70AAF" w14:textId="77777777" w:rsidR="00EC6C84" w:rsidRDefault="00EC6C84">
      <w:pPr>
        <w:pStyle w:val="Ttulo3"/>
        <w:keepNext/>
      </w:pPr>
      <w:r>
        <w:rPr>
          <w:rFonts w:ascii="Calibri" w:eastAsia="Calibri" w:hAnsi="Calibri" w:cs="Calibri"/>
        </w:rPr>
        <w:t>O que buscar nos autos</w:t>
      </w:r>
    </w:p>
    <w:p w14:paraId="3121A874"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Laudo psicológico ou atestado médico que conecte o padrão discriminatório a sintomas verificados</w:t>
      </w:r>
    </w:p>
    <w:p w14:paraId="73482B8D"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Histórico funcional da vítima: comprometimento de desempenho ou de carreira documentável</w:t>
      </w:r>
    </w:p>
    <w:p w14:paraId="32BBB004"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Depoimentos de colegas sobre a ostensividade e a frequência das condutas</w:t>
      </w:r>
    </w:p>
    <w:p w14:paraId="655C6397"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Linha do tempo com datas e intensidade de cada episódio identificado</w:t>
      </w:r>
    </w:p>
    <w:p w14:paraId="24658567" w14:textId="77777777" w:rsidR="00EC6C84" w:rsidRDefault="00EC6C84">
      <w:pPr>
        <w:spacing w:before="80"/>
      </w:pPr>
    </w:p>
    <w:p w14:paraId="65BB8952" w14:textId="77777777" w:rsidR="00EC6C84" w:rsidRDefault="00EC6C84">
      <w:pPr>
        <w:spacing w:before="80" w:after="60"/>
      </w:pPr>
      <w:r>
        <w:rPr>
          <w:rFonts w:ascii="Calibri" w:eastAsia="Calibri" w:hAnsi="Calibri" w:cs="Calibri"/>
          <w:b/>
          <w:bCs/>
          <w:color w:val="B42318"/>
          <w:sz w:val="22"/>
          <w:szCs w:val="22"/>
        </w:rPr>
        <w:t xml:space="preserve">ALTA → </w:t>
      </w:r>
      <w:r>
        <w:rPr>
          <w:rFonts w:ascii="Calibri" w:eastAsia="Calibri" w:hAnsi="Calibri" w:cs="Calibri"/>
          <w:color w:val="051A3D"/>
          <w:sz w:val="22"/>
          <w:szCs w:val="22"/>
        </w:rPr>
        <w:t>GATE → Resultado C, assédio discriminatório grave, art. 132, V, demissão</w:t>
      </w:r>
    </w:p>
    <w:p w14:paraId="669004E0" w14:textId="77777777" w:rsidR="00EC6C84" w:rsidRDefault="00EC6C84">
      <w:pPr>
        <w:spacing w:before="80" w:after="60"/>
      </w:pPr>
      <w:r>
        <w:rPr>
          <w:rFonts w:ascii="Calibri" w:eastAsia="Calibri" w:hAnsi="Calibri" w:cs="Calibri"/>
          <w:b/>
          <w:bCs/>
          <w:color w:val="B42318"/>
          <w:sz w:val="22"/>
          <w:szCs w:val="22"/>
        </w:rPr>
        <w:t xml:space="preserve">BAIXA/MÉDIA → </w:t>
      </w:r>
      <w:r>
        <w:rPr>
          <w:rFonts w:ascii="Calibri" w:eastAsia="Calibri" w:hAnsi="Calibri" w:cs="Calibri"/>
          <w:color w:val="051A3D"/>
          <w:sz w:val="22"/>
          <w:szCs w:val="22"/>
        </w:rPr>
        <w:t>Resultado D, conduta imprópria, art. 116, II, IX e XI, advertência ou suspensão</w:t>
      </w:r>
    </w:p>
    <w:p w14:paraId="3E17E968" w14:textId="77777777" w:rsidR="00EC6C84" w:rsidRDefault="00EC6C84">
      <w:pPr>
        <w:pBdr>
          <w:bottom w:val="single" w:sz="4" w:space="1" w:color="C9A35C"/>
        </w:pBdr>
        <w:spacing w:before="200" w:after="200"/>
      </w:pPr>
    </w:p>
    <w:p w14:paraId="36620111" w14:textId="77777777" w:rsidR="00EC6C84" w:rsidRDefault="00EC6C84">
      <w:pPr>
        <w:pStyle w:val="Ttulo2"/>
        <w:keepNext/>
        <w:pBdr>
          <w:left w:val="single" w:sz="10" w:space="6" w:color="C9A35C"/>
        </w:pBdr>
      </w:pPr>
      <w:bookmarkStart w:id="158" w:name="_Toc238022149"/>
      <w:r>
        <w:t>P5, O ato discriminatório pontual teve grave impacto sobre a vítima ou o ambiente institucional?</w:t>
      </w:r>
      <w:bookmarkEnd w:id="158"/>
    </w:p>
    <w:p w14:paraId="68CFAB2F" w14:textId="77777777" w:rsidR="00EC6C84" w:rsidRDefault="00EC6C84">
      <w:pPr>
        <w:pStyle w:val="Ttulo3"/>
        <w:keepNext/>
      </w:pPr>
      <w:r>
        <w:rPr>
          <w:rFonts w:ascii="Calibri" w:eastAsia="Calibri" w:hAnsi="Calibri" w:cs="Calibri"/>
        </w:rPr>
        <w:t>O que avaliar</w:t>
      </w:r>
    </w:p>
    <w:p w14:paraId="01E72B41" w14:textId="77777777" w:rsidR="00EC6C84" w:rsidRDefault="00EC6C84">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o episódio isolado, pela sua natureza ou pelo seu efeito concreto, atingiu o patamar de gravidade que justifica o enquadramento demissório?</w:t>
      </w:r>
      <w:r>
        <w:rPr>
          <w:rFonts w:ascii="Calibri" w:eastAsia="Calibri" w:hAnsi="Calibri" w:cs="Calibri"/>
          <w:color w:val="051A3D"/>
          <w:sz w:val="22"/>
          <w:szCs w:val="22"/>
        </w:rPr>
        <w:t xml:space="preserve"> A discriminação pontual pode, em casos excepcionais, atingir esse patamar quando o conteúdo é de extrema reprovabilidade ou quando o impacto concreto sobre a vítima é documentado e grave.</w:t>
      </w:r>
    </w:p>
    <w:p w14:paraId="1C7315C9" w14:textId="77777777" w:rsidR="00EC6C84" w:rsidRDefault="00EC6C84">
      <w:pPr>
        <w:spacing w:after="120"/>
        <w:jc w:val="both"/>
      </w:pPr>
      <w:r>
        <w:rPr>
          <w:rFonts w:ascii="Calibri" w:eastAsia="Calibri" w:hAnsi="Calibri" w:cs="Calibri"/>
          <w:color w:val="051A3D"/>
          <w:sz w:val="22"/>
          <w:szCs w:val="22"/>
        </w:rPr>
        <w:t xml:space="preserve">Use os mesmos critérios de avaliação de impacto dos demais eixos: laudo psicológico, afastamento médico, dano concreto à carreira, conduta pública de conteúdo de elevada reprovabilidade. </w:t>
      </w:r>
      <w:r>
        <w:rPr>
          <w:rFonts w:ascii="Calibri" w:eastAsia="Calibri" w:hAnsi="Calibri" w:cs="Calibri"/>
          <w:b/>
          <w:bCs/>
          <w:color w:val="051A3D"/>
          <w:sz w:val="22"/>
          <w:szCs w:val="22"/>
        </w:rPr>
        <w:t xml:space="preserve">Um único </w:t>
      </w:r>
      <w:r>
        <w:rPr>
          <w:rFonts w:ascii="Calibri" w:eastAsia="Calibri" w:hAnsi="Calibri" w:cs="Calibri"/>
          <w:b/>
          <w:bCs/>
          <w:color w:val="051A3D"/>
          <w:sz w:val="22"/>
          <w:szCs w:val="22"/>
        </w:rPr>
        <w:lastRenderedPageBreak/>
        <w:t>ato de conteúdo extremamente ofensivo, xingamento racista público em reunião de equipe, episódio de humilhação discriminatória de alta intensidade, pode atingir o patamar do art. 132, V.</w:t>
      </w:r>
    </w:p>
    <w:p w14:paraId="06178A34" w14:textId="77777777" w:rsidR="00EC6C84" w:rsidRDefault="00EC6C84">
      <w:pPr>
        <w:pStyle w:val="Ttulo3"/>
        <w:keepNext/>
      </w:pPr>
      <w:r>
        <w:rPr>
          <w:rFonts w:ascii="Calibri" w:eastAsia="Calibri" w:hAnsi="Calibri" w:cs="Calibri"/>
        </w:rPr>
        <w:t>Satisfaz a condição, responda SIM</w:t>
      </w:r>
    </w:p>
    <w:p w14:paraId="501DB0A0"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Laudo psicológico ou atestado médico que vincule o episódio a impacto significativo sobre a saúde da vítima</w:t>
      </w:r>
    </w:p>
    <w:p w14:paraId="1E0DCBC2"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Conduta pública de conteúdo de elevada reprovabilidade, humilhação discriminatória intensa em reunião ou canal coletivo</w:t>
      </w:r>
    </w:p>
    <w:p w14:paraId="124E9EF5"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Dano concreto e documentável à carreira da vítima decorrente do episódio isolado</w:t>
      </w:r>
    </w:p>
    <w:p w14:paraId="6D34C96F"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Afastamento médico após o episódio, com conexão temporal identificável</w:t>
      </w:r>
    </w:p>
    <w:p w14:paraId="1D209C84" w14:textId="77777777" w:rsidR="00EC6C84" w:rsidRDefault="00EC6C84">
      <w:pPr>
        <w:pStyle w:val="Ttulo3"/>
        <w:keepNext/>
      </w:pPr>
      <w:r>
        <w:rPr>
          <w:rFonts w:ascii="Calibri" w:eastAsia="Calibri" w:hAnsi="Calibri" w:cs="Calibri"/>
        </w:rPr>
        <w:t>Não satisfaz a condição, responda NÃO</w:t>
      </w:r>
    </w:p>
    <w:p w14:paraId="07212ABB"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Episódio isolado de menor intensidade, sem impacto documentado além do desconforto imediato</w:t>
      </w:r>
    </w:p>
    <w:p w14:paraId="1E70F2F2"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Ausência de qualquer elemento objetivo que demonstre impacto grave além da percepção subjetiva da vítima</w:t>
      </w:r>
    </w:p>
    <w:p w14:paraId="6E24EB6D" w14:textId="77777777" w:rsidR="00EC6C84" w:rsidRDefault="00EC6C84">
      <w:pPr>
        <w:pStyle w:val="Ttulo3"/>
        <w:keepNext/>
      </w:pPr>
      <w:r>
        <w:rPr>
          <w:rFonts w:ascii="Calibri" w:eastAsia="Calibri" w:hAnsi="Calibri" w:cs="Calibri"/>
        </w:rPr>
        <w:t>O que buscar nos autos</w:t>
      </w:r>
    </w:p>
    <w:p w14:paraId="1968B9AC"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Laudo ou atestado médico com conexão ao período dos fatos</w:t>
      </w:r>
    </w:p>
    <w:p w14:paraId="61A7C5BD" w14:textId="77777777" w:rsidR="00EC6C84" w:rsidRDefault="00EC6C84">
      <w:pPr>
        <w:pStyle w:val="PargrafodaLista"/>
        <w:numPr>
          <w:ilvl w:val="0"/>
          <w:numId w:val="26"/>
        </w:numPr>
        <w:spacing w:after="80" w:line="240" w:lineRule="auto"/>
        <w:jc w:val="both"/>
      </w:pPr>
      <w:r>
        <w:rPr>
          <w:rFonts w:ascii="Calibri" w:eastAsia="Calibri" w:hAnsi="Calibri" w:cs="Calibri"/>
          <w:color w:val="051A3D"/>
          <w:sz w:val="22"/>
          <w:szCs w:val="22"/>
        </w:rPr>
        <w:t>Ata, gravação ou depoimentos de quem testemunhou o episódio, para avaliar a ostensividade e o conteúdo</w:t>
      </w:r>
    </w:p>
    <w:p w14:paraId="7C59BDB8" w14:textId="77777777" w:rsidR="00EC6C84" w:rsidRDefault="00EC6C84">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14:paraId="6685141E"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19D048C9" w14:textId="77777777" w:rsidR="00EC6C84" w:rsidRDefault="00EC6C84">
            <w:pPr>
              <w:jc w:val="both"/>
            </w:pPr>
            <w:r>
              <w:rPr>
                <w:rFonts w:ascii="Calibri" w:eastAsia="Calibri" w:hAnsi="Calibri" w:cs="Calibri"/>
                <w:b/>
                <w:bCs/>
                <w:color w:val="0B2C5F"/>
                <w:sz w:val="20"/>
                <w:szCs w:val="20"/>
              </w:rPr>
              <w:t xml:space="preserve">Alerta, não </w:t>
            </w:r>
            <w:proofErr w:type="spellStart"/>
            <w:r>
              <w:rPr>
                <w:rFonts w:ascii="Calibri" w:eastAsia="Calibri" w:hAnsi="Calibri" w:cs="Calibri"/>
                <w:b/>
                <w:bCs/>
                <w:color w:val="0B2C5F"/>
                <w:sz w:val="20"/>
                <w:szCs w:val="20"/>
              </w:rPr>
              <w:t>archive</w:t>
            </w:r>
            <w:proofErr w:type="spellEnd"/>
            <w:r>
              <w:rPr>
                <w:rFonts w:ascii="Calibri" w:eastAsia="Calibri" w:hAnsi="Calibri" w:cs="Calibri"/>
                <w:b/>
                <w:bCs/>
                <w:color w:val="0B2C5F"/>
                <w:sz w:val="20"/>
                <w:szCs w:val="20"/>
              </w:rPr>
              <w:t xml:space="preserve"> o ato pontual sem verificar o impacto:</w:t>
            </w:r>
            <w:r>
              <w:rPr>
                <w:rFonts w:ascii="Calibri" w:eastAsia="Calibri" w:hAnsi="Calibri" w:cs="Calibri"/>
                <w:color w:val="051A3D"/>
                <w:sz w:val="20"/>
                <w:szCs w:val="20"/>
              </w:rPr>
              <w:t xml:space="preserve"> o episódio isolado sem reiteração ainda pode atingir o patamar demissório quando o impacto concreto é grave. </w:t>
            </w:r>
            <w:proofErr w:type="spellStart"/>
            <w:r>
              <w:rPr>
                <w:rFonts w:ascii="Calibri" w:eastAsia="Calibri" w:hAnsi="Calibri" w:cs="Calibri"/>
                <w:color w:val="051A3D"/>
                <w:sz w:val="20"/>
                <w:szCs w:val="20"/>
              </w:rPr>
              <w:t>Archive</w:t>
            </w:r>
            <w:proofErr w:type="spellEnd"/>
            <w:r>
              <w:rPr>
                <w:rFonts w:ascii="Calibri" w:eastAsia="Calibri" w:hAnsi="Calibri" w:cs="Calibri"/>
                <w:color w:val="051A3D"/>
                <w:sz w:val="20"/>
                <w:szCs w:val="20"/>
              </w:rPr>
              <w:t xml:space="preserve"> apenas quando ausentes tanto a reiteração quanto o impacto grave, não com base apenas na ausência de reiteração.</w:t>
            </w:r>
          </w:p>
        </w:tc>
      </w:tr>
    </w:tbl>
    <w:p w14:paraId="1A61BF95" w14:textId="77777777" w:rsidR="00EC6C84" w:rsidRDefault="00EC6C84">
      <w:pPr>
        <w:spacing w:before="80"/>
      </w:pPr>
    </w:p>
    <w:p w14:paraId="32FF7432" w14:textId="77777777" w:rsidR="00EC6C84" w:rsidRDefault="00EC6C84">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GATE → Resultado C, discriminação pontual grave, art. 132, V, demissão</w:t>
      </w:r>
    </w:p>
    <w:p w14:paraId="0D197D6E" w14:textId="77777777" w:rsidR="00EC6C84" w:rsidRDefault="00EC6C84">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Resultado D, conduta imprópria, art. 116, II, IX e XI, advertência ou suspensão</w:t>
      </w:r>
    </w:p>
    <w:p w14:paraId="25EDA194" w14:textId="77777777" w:rsidR="00EC6C84" w:rsidRDefault="00EC6C84">
      <w:pPr>
        <w:pBdr>
          <w:bottom w:val="single" w:sz="4" w:space="1" w:color="C9A35C"/>
        </w:pBdr>
        <w:spacing w:before="200" w:after="200"/>
      </w:pPr>
    </w:p>
    <w:p w14:paraId="285C8295" w14:textId="77777777" w:rsidR="00EC6C84" w:rsidRDefault="00EC6C84">
      <w:pPr>
        <w:pStyle w:val="Ttulo3"/>
        <w:keepNext/>
      </w:pPr>
      <w:r>
        <w:rPr>
          <w:rFonts w:ascii="Calibri" w:eastAsia="Calibri" w:hAnsi="Calibri" w:cs="Calibri"/>
        </w:rPr>
        <w:t>Os quatro resultados possíveis do Eixo 4</w:t>
      </w:r>
    </w:p>
    <w:p w14:paraId="000A637A" w14:textId="77777777" w:rsidR="00EC6C84" w:rsidRDefault="00EC6C84">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14:paraId="448CC218"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2996EE87" w14:textId="77777777" w:rsidR="00EC6C84" w:rsidRDefault="00EC6C84">
            <w:pPr>
              <w:spacing w:after="80"/>
            </w:pPr>
            <w:r>
              <w:rPr>
                <w:rFonts w:ascii="Barlow Condensed" w:eastAsia="Barlow Condensed" w:hAnsi="Barlow Condensed" w:cs="Barlow Condensed"/>
                <w:b/>
                <w:bCs/>
                <w:color w:val="B42318"/>
                <w:sz w:val="24"/>
                <w:szCs w:val="24"/>
              </w:rPr>
              <w:t xml:space="preserve">Resultado B, </w:t>
            </w:r>
            <w:r>
              <w:rPr>
                <w:rFonts w:ascii="Barlow Condensed" w:eastAsia="Barlow Condensed" w:hAnsi="Barlow Condensed" w:cs="Barlow Condensed"/>
                <w:b/>
                <w:bCs/>
                <w:color w:val="0B2C5F"/>
                <w:sz w:val="24"/>
                <w:szCs w:val="24"/>
              </w:rPr>
              <w:t>Valimento do cargo na discriminação</w:t>
            </w:r>
          </w:p>
          <w:p w14:paraId="1E497528" w14:textId="77777777" w:rsidR="00EC6C84" w:rsidRDefault="00EC6C84">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117, IX, demissão por força do art. 132, XIII</w:t>
            </w:r>
          </w:p>
          <w:p w14:paraId="032044EB" w14:textId="77777777" w:rsidR="00EC6C84" w:rsidRDefault="00EC6C84">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0800A67E" w14:textId="77777777" w:rsidR="00EC6C84" w:rsidRDefault="00EC6C84">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1BFFEF51" w14:textId="77777777" w:rsidR="00EC6C84" w:rsidRDefault="00EC6C84">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Verificar com rigor a instrumentalização das prerrogativas do cargo. Analisar complementarmente o Eixo 5. Considerar comunicação ao MP quando a conduta configurar também crime da Lei nº 7.716/1989 ou da ADO 26/STF.</w:t>
            </w:r>
          </w:p>
        </w:tc>
      </w:tr>
    </w:tbl>
    <w:p w14:paraId="66FEEED7" w14:textId="77777777" w:rsidR="00EC6C84" w:rsidRDefault="00EC6C84">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14:paraId="3AFD1578"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5D1DA7A3" w14:textId="77777777" w:rsidR="00EC6C84" w:rsidRDefault="00EC6C84">
            <w:pPr>
              <w:spacing w:after="80"/>
            </w:pPr>
            <w:r>
              <w:rPr>
                <w:rFonts w:ascii="Barlow Condensed" w:eastAsia="Barlow Condensed" w:hAnsi="Barlow Condensed" w:cs="Barlow Condensed"/>
                <w:b/>
                <w:bCs/>
                <w:color w:val="B42318"/>
                <w:sz w:val="24"/>
                <w:szCs w:val="24"/>
              </w:rPr>
              <w:lastRenderedPageBreak/>
              <w:t xml:space="preserve">Resultado C, </w:t>
            </w:r>
            <w:r>
              <w:rPr>
                <w:rFonts w:ascii="Barlow Condensed" w:eastAsia="Barlow Condensed" w:hAnsi="Barlow Condensed" w:cs="Barlow Condensed"/>
                <w:b/>
                <w:bCs/>
                <w:color w:val="0B2C5F"/>
                <w:sz w:val="24"/>
                <w:szCs w:val="24"/>
              </w:rPr>
              <w:t>Assédio discriminatório grave / Discriminação pontual grave</w:t>
            </w:r>
          </w:p>
          <w:p w14:paraId="55B509E1" w14:textId="77777777" w:rsidR="00EC6C84" w:rsidRDefault="00EC6C84">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132, V, incontinência pública e conduta escandalosa</w:t>
            </w:r>
          </w:p>
          <w:p w14:paraId="1D48EBA2" w14:textId="77777777" w:rsidR="00EC6C84" w:rsidRDefault="00EC6C84">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1184791A" w14:textId="77777777" w:rsidR="00EC6C84" w:rsidRDefault="00EC6C84">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2226865B" w14:textId="77777777" w:rsidR="00EC6C84" w:rsidRDefault="00EC6C84">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Verificar a demonstração da motivação discriminatória, do alvo específico e, conforme a rota, da reiteração com alta gravidade ou do impacto grave do ato pontual. Analisar cumulatividade com Eixo 5 quando houver padrão.</w:t>
            </w:r>
          </w:p>
        </w:tc>
      </w:tr>
    </w:tbl>
    <w:p w14:paraId="1A2D7037" w14:textId="77777777" w:rsidR="00EC6C84" w:rsidRDefault="00EC6C84">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14:paraId="2FA214E5"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5C36BCBB" w14:textId="77777777" w:rsidR="00EC6C84" w:rsidRDefault="00EC6C84">
            <w:pPr>
              <w:spacing w:after="80"/>
            </w:pPr>
            <w:r>
              <w:rPr>
                <w:rFonts w:ascii="Barlow Condensed" w:eastAsia="Barlow Condensed" w:hAnsi="Barlow Condensed" w:cs="Barlow Condensed"/>
                <w:b/>
                <w:bCs/>
                <w:color w:val="B42318"/>
                <w:sz w:val="24"/>
                <w:szCs w:val="24"/>
              </w:rPr>
              <w:t>Resultado D, Conduta discriminatória imprópria</w:t>
            </w:r>
          </w:p>
          <w:p w14:paraId="3AF3281A" w14:textId="77777777" w:rsidR="00EC6C84" w:rsidRDefault="00EC6C84">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116, II, IX e XI, deveres de lealdade às instituições, de moralidade administrativa e de urbanidade</w:t>
            </w:r>
          </w:p>
          <w:p w14:paraId="1D5642F1" w14:textId="77777777" w:rsidR="00EC6C84" w:rsidRDefault="00EC6C84">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Advertência ou suspensão, conforme dosimetria</w:t>
            </w:r>
          </w:p>
          <w:p w14:paraId="1152D4B2" w14:textId="77777777" w:rsidR="00EC6C84" w:rsidRDefault="00EC6C84">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2 anos (art. 142, II)</w:t>
            </w:r>
          </w:p>
          <w:p w14:paraId="31B66C88" w14:textId="77777777" w:rsidR="00EC6C84" w:rsidRDefault="00EC6C84">
            <w:pPr>
              <w:spacing w:after="40"/>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Aplicar a dosimetria do art. 128, da Lei nº 8.112, de 1990. Este resultado é alcançado por três vias distintas: a discriminação difusa não reiterada ou de gravidade baixa ou média; o padrão reiterado com alvo identificável, sem uso do cargo e de gravidade média ou baixa; e o ato pontual sem grave impacto. Registrar no relatório qual das vias produziu o enquadramento, porque a fundamentação e as providências complementares diferem em cada caso. Verificar cumulatividade com o Eixo 5 sempre que houver padrão reiterado.</w:t>
            </w:r>
          </w:p>
          <w:p w14:paraId="3E6E7C44" w14:textId="77777777" w:rsidR="007F53FD" w:rsidRDefault="00A47804">
            <w:r>
              <w:t>Este resultado é próprio do Eixo 4 e não se confunde com o resultado equivalente do Eixo 5. Os dispositivos são idênticos, mas a fundamentação difere: aqui, o bem jurídico lesionado é a igualdade material no ambiente de trabalho; lá, a dignidade da vítima e as condições de trabalho degradadas por padrão hostil. Quando ambos se configuram na mesma apuração, os enquadramentos são cumuláveis e a ferramenta emite o alerta correspondente.</w:t>
            </w:r>
          </w:p>
        </w:tc>
      </w:tr>
      <w:tr w:rsidR="00EC6C84" w14:paraId="5CF96284"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78086703" w14:textId="77777777" w:rsidR="00EC6C84" w:rsidRDefault="00EC6C84">
            <w:pPr>
              <w:spacing w:after="80"/>
            </w:pPr>
            <w:r>
              <w:rPr>
                <w:rFonts w:ascii="Barlow Condensed" w:eastAsia="Barlow Condensed" w:hAnsi="Barlow Condensed" w:cs="Barlow Condensed"/>
                <w:b/>
                <w:bCs/>
                <w:color w:val="B42318"/>
                <w:sz w:val="24"/>
                <w:szCs w:val="24"/>
              </w:rPr>
              <w:t>Resultado E, Discriminação difusa com ambiente hostil coletivo grave</w:t>
            </w:r>
          </w:p>
          <w:p w14:paraId="7564C56A" w14:textId="77777777" w:rsidR="00EC6C84" w:rsidRDefault="00EC6C84">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132, V, incontinência pública e conduta escandalosa na repartição</w:t>
            </w:r>
          </w:p>
          <w:p w14:paraId="35F65FEE" w14:textId="77777777" w:rsidR="00EC6C84" w:rsidRDefault="00EC6C84">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nº 650 do Superior Tribunal de Justiça)</w:t>
            </w:r>
          </w:p>
          <w:p w14:paraId="47CB0101" w14:textId="77777777" w:rsidR="00EC6C84" w:rsidRDefault="00EC6C84">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51F27182" w14:textId="77777777" w:rsidR="00EC6C84" w:rsidRDefault="00EC6C84">
            <w:pPr>
              <w:spacing w:after="40"/>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Registrar no relatório a delimitação objetiva do alcance do padrão, a extensão temporal, o número de servidores atingidos, a eventual participação ou anuência de gestores e os efeitos funcionais documentados. A ausência de vítima individualizada não fragiliza o enquadramento, mas exige que o bem jurídico coletivo lesionado seja descrito com precisão. Avaliar comunicação ao Ministério Público quando os fatos puderem corresponder ao art. 20 da Lei nº 7.716, de 5 de janeiro de 1989.</w:t>
            </w:r>
          </w:p>
        </w:tc>
      </w:tr>
    </w:tbl>
    <w:p w14:paraId="66453712" w14:textId="77777777" w:rsidR="00EC6C84" w:rsidRDefault="00EC6C84">
      <w:pPr>
        <w:spacing w:after="120"/>
        <w:jc w:val="both"/>
      </w:pPr>
    </w:p>
    <w:p w14:paraId="085E9492" w14:textId="77777777" w:rsidR="00EC6C84" w:rsidRDefault="00EC6C84">
      <w:pPr>
        <w:pBdr>
          <w:bottom w:val="single" w:sz="4" w:space="1" w:color="C9A35C"/>
        </w:pBdr>
        <w:spacing w:before="200" w:after="200"/>
      </w:pPr>
    </w:p>
    <w:p w14:paraId="2F764F26" w14:textId="77777777" w:rsidR="00EC6C84" w:rsidRDefault="00EC6C84">
      <w:pPr>
        <w:pStyle w:val="Ttulo3"/>
        <w:keepNext/>
      </w:pPr>
      <w:r>
        <w:rPr>
          <w:rFonts w:ascii="Calibri" w:eastAsia="Calibri" w:hAnsi="Calibri" w:cs="Calibri"/>
        </w:rPr>
        <w:t>Checklist do Eixo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C6C84" w:rsidRPr="00C50480" w14:paraId="20DDAC8E"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68C741CA" w14:textId="77777777" w:rsidR="00EC6C84" w:rsidRPr="00C50480" w:rsidRDefault="00EC6C84">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Apliquei o método comparativo, comparei o tratamento da vítima com o de</w:t>
            </w:r>
          </w:p>
          <w:p w14:paraId="3F33CC2F"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servidores análogos antes de concluir pela ausência de motivação discriminatória</w:t>
            </w:r>
          </w:p>
          <w:p w14:paraId="412CECD5" w14:textId="77777777" w:rsidR="00EC6C84" w:rsidRPr="00C50480" w:rsidRDefault="00EC6C84">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arquivei por ausência de declaração explícita de preconceito,</w:t>
            </w:r>
          </w:p>
          <w:p w14:paraId="73868556" w14:textId="77777777" w:rsidR="00EC6C84" w:rsidRPr="00C50480" w:rsidRDefault="00EC6C84">
            <w:pPr>
              <w:rPr>
                <w:rFonts w:eastAsia="Courier New" w:cs="Courier New"/>
                <w:color w:val="0B2C5F"/>
                <w:sz w:val="20"/>
                <w:szCs w:val="20"/>
              </w:rPr>
            </w:pPr>
            <w:r>
              <w:rPr>
                <w:rFonts w:eastAsia="Courier New" w:cs="Courier New"/>
                <w:color w:val="0B2C5F"/>
                <w:sz w:val="20"/>
                <w:szCs w:val="20"/>
              </w:rPr>
              <w:lastRenderedPageBreak/>
              <w:t xml:space="preserve">    a motivação pode ser demonstrada pelo efeito da conduta</w:t>
            </w:r>
          </w:p>
          <w:p w14:paraId="0AB62BE8" w14:textId="77777777" w:rsidR="00EC6C84" w:rsidRPr="00C50480" w:rsidRDefault="00EC6C84">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a discriminação indireta: conduta formalmente neutra com efeito discriminatório?</w:t>
            </w:r>
          </w:p>
          <w:p w14:paraId="09BF19E8" w14:textId="77777777" w:rsidR="00EC6C84" w:rsidRPr="00C50480" w:rsidRDefault="00EC6C84">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Na ausência de alvo identificável, percorri a rota difusa e verifiquei a reiteração e o grau de comprometimento do ambiente institucional, sem encerrar automaticamente em conduta imprópria</w:t>
            </w:r>
          </w:p>
          <w:p w14:paraId="03519CB9" w14:textId="77777777" w:rsidR="00EC6C84" w:rsidRPr="00C50480" w:rsidRDefault="00EC6C84">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Construí a linha do tempo de todos os episódios identificáveis antes de responder P3</w:t>
            </w:r>
          </w:p>
          <w:p w14:paraId="6CF60499" w14:textId="77777777" w:rsidR="00EC6C84" w:rsidRPr="00C50480" w:rsidRDefault="00EC6C84">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confundi cargo como contexto com cargo como instrumento,</w:t>
            </w:r>
          </w:p>
          <w:p w14:paraId="351B65E9"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verifiquei qual prerrogativa foi empregada</w:t>
            </w:r>
          </w:p>
          <w:p w14:paraId="77215DA7" w14:textId="77777777" w:rsidR="00EC6C84" w:rsidRPr="00C50480" w:rsidRDefault="00EC6C84">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Quando o resultado foi B (valimento do cargo), iniciei análise complementar no Eixo 5</w:t>
            </w:r>
          </w:p>
          <w:p w14:paraId="5612D0D8" w14:textId="77777777" w:rsidR="00EC6C84" w:rsidRPr="00C50480" w:rsidRDefault="00EC6C84">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arquivei o ato pontual (P5) sem verificar o impacto concreto sobre a vítima</w:t>
            </w:r>
          </w:p>
          <w:p w14:paraId="2AE2CE01" w14:textId="77777777" w:rsidR="00EC6C84" w:rsidRPr="00C50480" w:rsidRDefault="00EC6C84">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comunicação ao MP quando a conduta configura crime da Lei nº 7.716/1989</w:t>
            </w:r>
          </w:p>
          <w:p w14:paraId="5A05C68B" w14:textId="77777777" w:rsidR="00EC6C84" w:rsidRPr="00C50480" w:rsidRDefault="00EC6C84">
            <w:pPr>
              <w:rPr>
                <w:rFonts w:eastAsia="Courier New" w:cs="Courier New"/>
                <w:color w:val="0B2C5F"/>
                <w:sz w:val="20"/>
                <w:szCs w:val="20"/>
              </w:rPr>
            </w:pPr>
            <w:r>
              <w:rPr>
                <w:rFonts w:eastAsia="Courier New" w:cs="Courier New"/>
                <w:color w:val="0B2C5F"/>
                <w:sz w:val="20"/>
                <w:szCs w:val="20"/>
              </w:rPr>
              <w:t xml:space="preserve">    ou da ADO 26/STF</w:t>
            </w:r>
          </w:p>
          <w:p w14:paraId="2A9E9598" w14:textId="77777777" w:rsidR="00EC6C84" w:rsidRPr="00C50480" w:rsidRDefault="00EC6C84">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Quando o resultado foi C ou B, acionei o </w:t>
            </w:r>
            <w:proofErr w:type="spellStart"/>
            <w:r>
              <w:rPr>
                <w:rFonts w:eastAsia="Courier New" w:cs="Courier New"/>
                <w:color w:val="0B2C5F"/>
                <w:sz w:val="20"/>
                <w:szCs w:val="20"/>
              </w:rPr>
              <w:t>gate</w:t>
            </w:r>
            <w:proofErr w:type="spellEnd"/>
            <w:r>
              <w:rPr>
                <w:rFonts w:eastAsia="Courier New" w:cs="Courier New"/>
                <w:color w:val="0B2C5F"/>
                <w:sz w:val="20"/>
                <w:szCs w:val="20"/>
              </w:rPr>
              <w:t xml:space="preserve"> de confirmação demissória</w:t>
            </w:r>
          </w:p>
        </w:tc>
      </w:tr>
    </w:tbl>
    <w:p w14:paraId="7331903C" w14:textId="77777777" w:rsidR="00EC6C84" w:rsidRDefault="00EC6C84">
      <w:pPr>
        <w:pBdr>
          <w:bottom w:val="single" w:sz="4" w:space="1" w:color="C9A35C"/>
        </w:pBdr>
        <w:spacing w:before="200" w:after="200"/>
      </w:pPr>
    </w:p>
    <w:p w14:paraId="4F774708" w14:textId="77777777" w:rsidR="00EC6C84" w:rsidRDefault="00EC6C84">
      <w:pPr>
        <w:pStyle w:val="Ttulo3"/>
        <w:keepNext/>
      </w:pPr>
      <w:r>
        <w:rPr>
          <w:rFonts w:ascii="Calibri" w:eastAsia="Calibri" w:hAnsi="Calibri" w:cs="Calibri"/>
        </w:rPr>
        <w:t>Erros mais frequentes no Eixo 4</w:t>
      </w:r>
    </w:p>
    <w:p w14:paraId="2DECD3DA" w14:textId="77777777" w:rsidR="00EC6C84" w:rsidRDefault="00EC6C84">
      <w:pPr>
        <w:spacing w:after="120"/>
        <w:jc w:val="both"/>
      </w:pPr>
      <w:r>
        <w:rPr>
          <w:rFonts w:ascii="Calibri" w:eastAsia="Calibri" w:hAnsi="Calibri" w:cs="Calibri"/>
          <w:b/>
          <w:bCs/>
          <w:color w:val="051A3D"/>
          <w:sz w:val="22"/>
          <w:szCs w:val="22"/>
        </w:rPr>
        <w:t>1. Aceitar a justificativa alternativa do agressor sem aplicar o método comparativo.</w:t>
      </w:r>
      <w:r>
        <w:rPr>
          <w:rFonts w:ascii="Calibri" w:eastAsia="Calibri" w:hAnsi="Calibri" w:cs="Calibri"/>
          <w:color w:val="051A3D"/>
          <w:sz w:val="22"/>
          <w:szCs w:val="22"/>
        </w:rPr>
        <w:t xml:space="preserve"> O agressor sempre terá uma explicação 'objetiva' para o tratamento desfavorável. O método comparativo é o instrumento correto para avaliar se a justificativa é legítima ou pretexto para discriminação.</w:t>
      </w:r>
    </w:p>
    <w:p w14:paraId="718812C8" w14:textId="77777777" w:rsidR="00EC6C84" w:rsidRDefault="00EC6C84">
      <w:pPr>
        <w:spacing w:after="120"/>
        <w:jc w:val="both"/>
      </w:pPr>
      <w:r>
        <w:rPr>
          <w:rFonts w:ascii="Calibri" w:eastAsia="Calibri" w:hAnsi="Calibri" w:cs="Calibri"/>
          <w:b/>
          <w:bCs/>
          <w:color w:val="051A3D"/>
          <w:sz w:val="22"/>
          <w:szCs w:val="22"/>
        </w:rPr>
        <w:t>2. Não reconhecer a discriminação indireta.</w:t>
      </w:r>
      <w:r>
        <w:rPr>
          <w:rFonts w:ascii="Calibri" w:eastAsia="Calibri" w:hAnsi="Calibri" w:cs="Calibri"/>
          <w:color w:val="051A3D"/>
          <w:sz w:val="22"/>
          <w:szCs w:val="22"/>
        </w:rPr>
        <w:t xml:space="preserve"> Políticas, critérios de avaliação e práticas organizacionais formalmente neutras podem ter efeito discriminatório. O critério da Convenção nº 111 da OIT é o efeito sobre a igualdade, não a intenção ou a neutralidade formal da regra.</w:t>
      </w:r>
    </w:p>
    <w:p w14:paraId="0C457287" w14:textId="77777777" w:rsidR="00EC6C84" w:rsidRDefault="00EC6C84">
      <w:pPr>
        <w:spacing w:after="120"/>
        <w:jc w:val="both"/>
      </w:pPr>
      <w:r>
        <w:rPr>
          <w:rFonts w:ascii="Calibri" w:eastAsia="Calibri" w:hAnsi="Calibri" w:cs="Calibri"/>
          <w:b/>
          <w:bCs/>
          <w:color w:val="051A3D"/>
          <w:sz w:val="22"/>
          <w:szCs w:val="22"/>
        </w:rPr>
        <w:t>3. Confundir cargo como contexto com cargo como instrumento.</w:t>
      </w:r>
      <w:r>
        <w:rPr>
          <w:rFonts w:ascii="Calibri" w:eastAsia="Calibri" w:hAnsi="Calibri" w:cs="Calibri"/>
          <w:color w:val="051A3D"/>
          <w:sz w:val="22"/>
          <w:szCs w:val="22"/>
        </w:rPr>
        <w:t xml:space="preserve"> A existência de relação hierárquica entre agressor e vítima não satisfaz o elemento de valimento do cargo. É necessário identificar qual prerrogativa funcional específica foi empregada como veículo da discriminação.</w:t>
      </w:r>
    </w:p>
    <w:p w14:paraId="5F475FDC" w14:textId="77777777" w:rsidR="00EC6C84" w:rsidRDefault="00EC6C84">
      <w:pPr>
        <w:spacing w:after="120"/>
        <w:jc w:val="both"/>
      </w:pPr>
      <w:r>
        <w:rPr>
          <w:rFonts w:ascii="Calibri" w:eastAsia="Calibri" w:hAnsi="Calibri" w:cs="Calibri"/>
          <w:b/>
          <w:bCs/>
          <w:color w:val="051A3D"/>
          <w:sz w:val="22"/>
          <w:szCs w:val="22"/>
        </w:rPr>
        <w:t>4. Não verificar a cumulatividade com o Eixo 5.</w:t>
      </w:r>
      <w:r>
        <w:rPr>
          <w:rFonts w:ascii="Calibri" w:eastAsia="Calibri" w:hAnsi="Calibri" w:cs="Calibri"/>
          <w:color w:val="051A3D"/>
          <w:sz w:val="22"/>
          <w:szCs w:val="22"/>
        </w:rPr>
        <w:t xml:space="preserve"> O assédio discriminatório reiterado, especialmente com uso do cargo, frequentemente configura simultaneamente assédio moral. Encerrar a análise no Eixo 4 sem percorrer o Eixo 5 resulta em enquadramento incompleto.</w:t>
      </w:r>
    </w:p>
    <w:p w14:paraId="50356B50" w14:textId="77777777" w:rsidR="00EC6C84" w:rsidRDefault="00EC6C84">
      <w:pPr>
        <w:spacing w:after="120"/>
        <w:jc w:val="both"/>
      </w:pPr>
      <w:r>
        <w:rPr>
          <w:rFonts w:ascii="Calibri" w:eastAsia="Calibri" w:hAnsi="Calibri" w:cs="Calibri"/>
          <w:b/>
          <w:bCs/>
          <w:color w:val="051A3D"/>
          <w:sz w:val="22"/>
          <w:szCs w:val="22"/>
        </w:rPr>
        <w:t>5. Arquivar o ato pontual com base apenas na ausência de reiteração.</w:t>
      </w:r>
      <w:r>
        <w:rPr>
          <w:rFonts w:ascii="Calibri" w:eastAsia="Calibri" w:hAnsi="Calibri" w:cs="Calibri"/>
          <w:color w:val="051A3D"/>
          <w:sz w:val="22"/>
          <w:szCs w:val="22"/>
        </w:rPr>
        <w:t xml:space="preserve"> O episódio isolado pode atingir o patamar demissório quando o impacto concreto é grave. A ausência de reiteração redireciona para P5, não para o arquivamento direto.</w:t>
      </w:r>
    </w:p>
    <w:p w14:paraId="2C62C796" w14:textId="77777777" w:rsidR="00EC6C84" w:rsidRDefault="00EC6C84">
      <w:pPr>
        <w:spacing w:after="120"/>
        <w:jc w:val="both"/>
      </w:pPr>
      <w:r>
        <w:rPr>
          <w:rFonts w:ascii="Calibri" w:eastAsia="Calibri" w:hAnsi="Calibri" w:cs="Calibri"/>
          <w:b/>
          <w:bCs/>
          <w:color w:val="051A3D"/>
          <w:sz w:val="22"/>
          <w:szCs w:val="22"/>
        </w:rPr>
        <w:t>6. Não investigar episódios anteriores à denúncia formal.</w:t>
      </w:r>
      <w:r>
        <w:rPr>
          <w:rFonts w:ascii="Calibri" w:eastAsia="Calibri" w:hAnsi="Calibri" w:cs="Calibri"/>
          <w:color w:val="051A3D"/>
          <w:sz w:val="22"/>
          <w:szCs w:val="22"/>
        </w:rPr>
        <w:t xml:space="preserve"> A denúncia frequentemente narra apenas o episódio que 'transbordou'. Pergunte à vítima diretamente sobre episódios anteriores não formalizados, a reiteração pode estar presente mesmo quando a denúncia formal descreve apenas o episódio mais recente.</w:t>
      </w:r>
    </w:p>
    <w:p w14:paraId="648F9211" w14:textId="77777777" w:rsidR="001D5E73" w:rsidRDefault="001D5E73">
      <w:pPr>
        <w:spacing w:after="120"/>
        <w:jc w:val="both"/>
      </w:pPr>
      <w:r>
        <w:rPr>
          <w:b/>
          <w:bCs/>
        </w:rPr>
        <w:t xml:space="preserve">7. Encerrar a análise da discriminação difusa em conduta imprópria sem verificar a rota qualificada. </w:t>
      </w:r>
      <w:r>
        <w:t>A ausência de vítima nominada não converte automaticamente a conduta em infração de menor gravidade. O padrão difuso reiterado que compromete severamente o ambiente institucional alcança o art. 132, V, da Lei nº 8.112, de 1990.</w:t>
      </w:r>
    </w:p>
    <w:p w14:paraId="72E38870" w14:textId="77777777" w:rsidR="00B10998" w:rsidRDefault="00B10998">
      <w:pPr>
        <w:pBdr>
          <w:left w:val="single" w:sz="12" w:space="6" w:color="C9A35C"/>
        </w:pBdr>
        <w:spacing w:before="320" w:after="40"/>
      </w:pPr>
      <w:r>
        <w:rPr>
          <w:rFonts w:ascii="Barlow Condensed" w:eastAsia="Barlow Condensed" w:hAnsi="Barlow Condensed" w:cs="Barlow Condensed"/>
          <w:b/>
          <w:bCs/>
          <w:color w:val="8C6E2C"/>
          <w:sz w:val="18"/>
          <w:szCs w:val="18"/>
        </w:rPr>
        <w:t>▍ EIXO 5</w:t>
      </w:r>
    </w:p>
    <w:p w14:paraId="1DF630F8" w14:textId="77777777" w:rsidR="00B10998" w:rsidRDefault="00B10998">
      <w:pPr>
        <w:pStyle w:val="Ttulo1"/>
      </w:pPr>
      <w:bookmarkStart w:id="159" w:name="_Toc238022150"/>
      <w:r>
        <w:rPr>
          <w:caps/>
          <w:color w:val="0B2C5F"/>
          <w:sz w:val="40"/>
          <w:szCs w:val="40"/>
        </w:rPr>
        <w:lastRenderedPageBreak/>
        <w:t>15. EIXO 5: ASSÉDIO MORAL (NT Nº 93/2024), GUIA DE USO</w:t>
      </w:r>
      <w:bookmarkEnd w:id="159"/>
    </w:p>
    <w:p w14:paraId="08C14C60" w14:textId="77777777" w:rsidR="00B10998" w:rsidRDefault="00B10998">
      <w:pPr>
        <w:pStyle w:val="Ttulo3"/>
        <w:keepNext/>
      </w:pPr>
      <w:r>
        <w:rPr>
          <w:rFonts w:ascii="Calibri" w:eastAsia="Calibri" w:hAnsi="Calibri" w:cs="Calibri"/>
        </w:rPr>
        <w:t>O que este eixo analisa</w:t>
      </w:r>
    </w:p>
    <w:p w14:paraId="7A9BADC7" w14:textId="77777777" w:rsidR="00B10998" w:rsidRDefault="00B10998">
      <w:pPr>
        <w:spacing w:after="120"/>
        <w:jc w:val="both"/>
      </w:pPr>
      <w:r>
        <w:rPr>
          <w:rFonts w:ascii="Calibri" w:eastAsia="Calibri" w:hAnsi="Calibri" w:cs="Calibri"/>
          <w:color w:val="051A3D"/>
          <w:sz w:val="22"/>
          <w:szCs w:val="22"/>
        </w:rPr>
        <w:t>Padrão reiterado de condutas abusivas ou hostis, humilhação, isolamento, cobranças impossíveis, exposição vexatória, sabotagem de trabalho, exclusão sistemática de reuniões e projetos, críticas públicas destrutivas, que degrada as condições de trabalho da vítima e viola sua dignidade ao longo do tempo. Inclui também o ato isolado de extrema gravidade que, em casos excepcionais, pode configurar assédio moral pela intensidade do dano produzido.</w:t>
      </w:r>
    </w:p>
    <w:p w14:paraId="4166A042" w14:textId="77777777" w:rsidR="00B10998" w:rsidRDefault="00B10998">
      <w:pPr>
        <w:spacing w:after="120"/>
        <w:jc w:val="both"/>
      </w:pPr>
      <w:r>
        <w:rPr>
          <w:rFonts w:ascii="Calibri" w:eastAsia="Calibri" w:hAnsi="Calibri" w:cs="Calibri"/>
          <w:color w:val="051A3D"/>
          <w:sz w:val="22"/>
          <w:szCs w:val="22"/>
        </w:rPr>
        <w:t>Este eixo tem dez perguntas organizadas em dois caminhos (ato isolado e padrão reiterado) e pode produzir cinco resultados distintos, dependendo da motivação da escolha da vítima, da direção hierárquica, do uso do cargo, da existência de justificativa gerencial objetiva e isonômica, do elemento subjetivo e da gravidade da ofensa.</w:t>
      </w:r>
    </w:p>
    <w:p w14:paraId="191ECC49" w14:textId="77777777" w:rsidR="00B10998" w:rsidRDefault="00B10998">
      <w:pPr>
        <w:spacing w:after="120"/>
        <w:jc w:val="both"/>
      </w:pPr>
      <w:r>
        <w:rPr>
          <w:rFonts w:ascii="Calibri" w:eastAsia="Calibri" w:hAnsi="Calibri" w:cs="Calibri"/>
          <w:b/>
          <w:bCs/>
          <w:color w:val="051A3D"/>
          <w:sz w:val="22"/>
          <w:szCs w:val="22"/>
        </w:rPr>
        <w:t>Lembre antes de começar:</w:t>
      </w:r>
      <w:r>
        <w:rPr>
          <w:rFonts w:ascii="Calibri" w:eastAsia="Calibri" w:hAnsi="Calibri" w:cs="Calibri"/>
          <w:color w:val="051A3D"/>
          <w:sz w:val="22"/>
          <w:szCs w:val="22"/>
        </w:rPr>
        <w:t xml:space="preserve"> o que precisa ser analisado é o padrão, não o episódio. A pergunta central não é 'o servidor sofreu?', é 'para qual finalidade a conduta foi praticada e com que sistematicidade?' Analise o conjunto dos episódios ao longo do tempo, não cada um em isolamento.</w:t>
      </w:r>
    </w:p>
    <w:p w14:paraId="4D8FCADC" w14:textId="77777777" w:rsidR="00B10998" w:rsidRDefault="00B10998">
      <w:pPr>
        <w:spacing w:after="120"/>
        <w:jc w:val="both"/>
      </w:pPr>
      <w:proofErr w:type="spellStart"/>
      <w:r>
        <w:rPr>
          <w:rFonts w:ascii="Calibri" w:eastAsia="Calibri" w:hAnsi="Calibri" w:cs="Calibri"/>
          <w:b/>
          <w:bCs/>
          <w:color w:val="051A3D"/>
          <w:sz w:val="22"/>
          <w:szCs w:val="22"/>
        </w:rPr>
        <w:t>Lembre</w:t>
      </w:r>
      <w:proofErr w:type="spellEnd"/>
      <w:r>
        <w:rPr>
          <w:rFonts w:ascii="Calibri" w:eastAsia="Calibri" w:hAnsi="Calibri" w:cs="Calibri"/>
          <w:b/>
          <w:bCs/>
          <w:color w:val="051A3D"/>
          <w:sz w:val="22"/>
          <w:szCs w:val="22"/>
        </w:rPr>
        <w:t xml:space="preserve"> também:</w:t>
      </w:r>
      <w:r>
        <w:rPr>
          <w:rFonts w:ascii="Calibri" w:eastAsia="Calibri" w:hAnsi="Calibri" w:cs="Calibri"/>
          <w:color w:val="051A3D"/>
          <w:sz w:val="22"/>
          <w:szCs w:val="22"/>
        </w:rPr>
        <w:t xml:space="preserve"> o </w:t>
      </w:r>
      <w:r>
        <w:rPr>
          <w:rFonts w:ascii="Calibri" w:eastAsia="Calibri" w:hAnsi="Calibri" w:cs="Calibri"/>
          <w:b/>
          <w:bCs/>
          <w:color w:val="051A3D"/>
          <w:sz w:val="22"/>
          <w:szCs w:val="22"/>
        </w:rPr>
        <w:t>teste da finalidade</w:t>
      </w:r>
      <w:r>
        <w:rPr>
          <w:rFonts w:ascii="Calibri" w:eastAsia="Calibri" w:hAnsi="Calibri" w:cs="Calibri"/>
          <w:color w:val="051A3D"/>
          <w:sz w:val="22"/>
          <w:szCs w:val="22"/>
        </w:rPr>
        <w:t xml:space="preserve"> é a ferramenta analítica central deste eixo. A diferença entre gestão legítima, ainda que rigorosa, e assédio moral não está no instrumento empregado, mas na finalidade para a qual esse instrumento foi dirigido. No poder diretivo legítimo, o objetivo é o resultado do serviço. No assédio moral, o objetivo, nunca declarado, é o servidor em si: humilhá-lo, isolá-lo, forçar sua saída.</w:t>
      </w:r>
    </w:p>
    <w:p w14:paraId="2066388F" w14:textId="77777777" w:rsidR="00B10998" w:rsidRDefault="00B10998">
      <w:pPr>
        <w:spacing w:before="80"/>
      </w:pPr>
    </w:p>
    <w:p w14:paraId="0C94893D" w14:textId="77777777" w:rsidR="00B10998" w:rsidRDefault="00B10998">
      <w:pPr>
        <w:pStyle w:val="Ttulo3"/>
        <w:keepNext/>
      </w:pPr>
      <w:r>
        <w:rPr>
          <w:rFonts w:ascii="Calibri" w:eastAsia="Calibri" w:hAnsi="Calibri" w:cs="Calibri"/>
        </w:rPr>
        <w:t>Fluxo completo do Eixo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rsidRPr="00C50480" w14:paraId="067DD8E9"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3961A0FC"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P1, A conduta foi um ato isolado ou um padrão reiterado?</w:t>
            </w:r>
          </w:p>
          <w:p w14:paraId="7169A362"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REITERADO   → P5 (direção hierárquica)</w:t>
            </w:r>
          </w:p>
          <w:p w14:paraId="7CADDD82"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ATO ISOLADO → P2</w:t>
            </w:r>
          </w:p>
          <w:p w14:paraId="3517CE9F" w14:textId="77777777" w:rsidR="00B10998" w:rsidRPr="00C50480" w:rsidRDefault="00B10998">
            <w:pPr>
              <w:rPr>
                <w:rFonts w:eastAsia="Courier New" w:cs="Courier New"/>
                <w:color w:val="0B2C5F"/>
                <w:sz w:val="20"/>
                <w:szCs w:val="20"/>
              </w:rPr>
            </w:pPr>
          </w:p>
          <w:p w14:paraId="6D5E701E" w14:textId="77777777" w:rsidR="00B10998" w:rsidRPr="00C50480" w:rsidRDefault="00B10998">
            <w:pPr>
              <w:rPr>
                <w:rFonts w:eastAsia="Courier New" w:cs="Courier New"/>
                <w:color w:val="0B2C5F"/>
                <w:sz w:val="20"/>
                <w:szCs w:val="20"/>
              </w:rPr>
            </w:pPr>
            <w:r>
              <w:rPr>
                <w:rFonts w:ascii="Times New Roman" w:eastAsia="Courier New" w:hAnsi="Times New Roman" w:cs="Times New Roman"/>
                <w:color w:val="0B2C5F"/>
                <w:sz w:val="20"/>
                <w:szCs w:val="20"/>
              </w:rPr>
              <w:t>══</w:t>
            </w:r>
            <w:r>
              <w:rPr>
                <w:rFonts w:eastAsia="Courier New" w:cs="Courier New"/>
                <w:color w:val="0B2C5F"/>
                <w:sz w:val="20"/>
                <w:szCs w:val="20"/>
              </w:rPr>
              <w:t xml:space="preserve"> RAMO ATO ISOLADO </w:t>
            </w:r>
            <w:r>
              <w:rPr>
                <w:rFonts w:ascii="Times New Roman" w:eastAsia="Courier New" w:hAnsi="Times New Roman" w:cs="Times New Roman"/>
                <w:color w:val="0B2C5F"/>
                <w:sz w:val="20"/>
                <w:szCs w:val="20"/>
              </w:rPr>
              <w:t>════════════════════════════════════</w:t>
            </w:r>
          </w:p>
          <w:p w14:paraId="5B001E3E" w14:textId="77777777" w:rsidR="00B10998" w:rsidRPr="00C50480" w:rsidRDefault="00B10998">
            <w:pPr>
              <w:rPr>
                <w:rFonts w:eastAsia="Courier New" w:cs="Courier New"/>
                <w:color w:val="0B2C5F"/>
                <w:sz w:val="20"/>
                <w:szCs w:val="20"/>
              </w:rPr>
            </w:pPr>
          </w:p>
          <w:p w14:paraId="2E95075E"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P2, O ato isolado produziu </w:t>
            </w:r>
            <w:proofErr w:type="spellStart"/>
            <w:r>
              <w:rPr>
                <w:rFonts w:eastAsia="Courier New" w:cs="Courier New"/>
                <w:color w:val="0B2C5F"/>
                <w:sz w:val="20"/>
                <w:szCs w:val="20"/>
              </w:rPr>
              <w:t>dano</w:t>
            </w:r>
            <w:proofErr w:type="spellEnd"/>
            <w:r>
              <w:rPr>
                <w:rFonts w:eastAsia="Courier New" w:cs="Courier New"/>
                <w:color w:val="0B2C5F"/>
                <w:sz w:val="20"/>
                <w:szCs w:val="20"/>
              </w:rPr>
              <w:t xml:space="preserve"> ou repercussão grave?</w:t>
            </w:r>
          </w:p>
          <w:p w14:paraId="264868A2"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NÃO → Sem ilícito neste eixo, avaliar Eixo 7 ou Eixo 2</w:t>
            </w:r>
          </w:p>
          <w:p w14:paraId="42E2CD44"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SIM → P3</w:t>
            </w:r>
          </w:p>
          <w:p w14:paraId="11E98F4F" w14:textId="77777777" w:rsidR="00B10998" w:rsidRPr="00C50480" w:rsidRDefault="00B10998">
            <w:pPr>
              <w:rPr>
                <w:rFonts w:eastAsia="Courier New" w:cs="Courier New"/>
                <w:color w:val="0B2C5F"/>
                <w:sz w:val="20"/>
                <w:szCs w:val="20"/>
              </w:rPr>
            </w:pPr>
          </w:p>
          <w:p w14:paraId="482B88DD"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P3, O ato isolado grave foi praticado com uso instrumental do cargo?</w:t>
            </w:r>
          </w:p>
          <w:p w14:paraId="492E64D8"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SIM → P4 (elemento subjetivo)</w:t>
            </w:r>
          </w:p>
          <w:p w14:paraId="13DF9527"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NÃO → P3-B (grave ofensa à moralidade)</w:t>
            </w:r>
          </w:p>
          <w:p w14:paraId="0369B51D" w14:textId="77777777" w:rsidR="00B10998" w:rsidRPr="00C50480" w:rsidRDefault="00B10998">
            <w:pPr>
              <w:rPr>
                <w:rFonts w:eastAsia="Courier New" w:cs="Courier New"/>
                <w:color w:val="0B2C5F"/>
                <w:sz w:val="20"/>
                <w:szCs w:val="20"/>
              </w:rPr>
            </w:pPr>
          </w:p>
          <w:p w14:paraId="0955D901"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P4, </w:t>
            </w:r>
            <w:proofErr w:type="gramStart"/>
            <w:r>
              <w:rPr>
                <w:rFonts w:eastAsia="Courier New" w:cs="Courier New"/>
                <w:color w:val="0B2C5F"/>
                <w:sz w:val="20"/>
                <w:szCs w:val="20"/>
              </w:rPr>
              <w:t>Qual</w:t>
            </w:r>
            <w:proofErr w:type="gramEnd"/>
            <w:r>
              <w:rPr>
                <w:rFonts w:eastAsia="Courier New" w:cs="Courier New"/>
                <w:color w:val="0B2C5F"/>
                <w:sz w:val="20"/>
                <w:szCs w:val="20"/>
              </w:rPr>
              <w:t xml:space="preserve"> o elemento subjetivo?</w:t>
            </w:r>
          </w:p>
          <w:p w14:paraId="3D72A912"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DOLO        → GATE → Resultado A, valimento do cargo (art. 117, IX, demissão)</w:t>
            </w:r>
          </w:p>
          <w:p w14:paraId="72CCE9BC"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CULPA       → Resultado B, gestão culposa (art. 116, II, IX e XI, adv./</w:t>
            </w:r>
            <w:proofErr w:type="spellStart"/>
            <w:r>
              <w:rPr>
                <w:rFonts w:eastAsia="Courier New" w:cs="Courier New"/>
                <w:color w:val="0B2C5F"/>
                <w:sz w:val="20"/>
                <w:szCs w:val="20"/>
              </w:rPr>
              <w:t>susp</w:t>
            </w:r>
            <w:proofErr w:type="spellEnd"/>
            <w:r>
              <w:rPr>
                <w:rFonts w:eastAsia="Courier New" w:cs="Courier New"/>
                <w:color w:val="0B2C5F"/>
                <w:sz w:val="20"/>
                <w:szCs w:val="20"/>
              </w:rPr>
              <w:t>.)</w:t>
            </w:r>
          </w:p>
          <w:p w14:paraId="3A2FB51A"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SEM ELEMENTO → Sem ilícito disciplinar</w:t>
            </w:r>
          </w:p>
          <w:p w14:paraId="53437E2F" w14:textId="77777777" w:rsidR="00B10998" w:rsidRPr="00C50480" w:rsidRDefault="00B10998">
            <w:pPr>
              <w:rPr>
                <w:rFonts w:eastAsia="Courier New" w:cs="Courier New"/>
                <w:color w:val="0B2C5F"/>
                <w:sz w:val="20"/>
                <w:szCs w:val="20"/>
              </w:rPr>
            </w:pPr>
          </w:p>
          <w:p w14:paraId="5F4CC5D0"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P3-B, </w:t>
            </w:r>
            <w:proofErr w:type="gramStart"/>
            <w:r>
              <w:rPr>
                <w:rFonts w:eastAsia="Courier New" w:cs="Courier New"/>
                <w:color w:val="0B2C5F"/>
                <w:sz w:val="20"/>
                <w:szCs w:val="20"/>
              </w:rPr>
              <w:t>Há</w:t>
            </w:r>
            <w:proofErr w:type="gramEnd"/>
            <w:r>
              <w:rPr>
                <w:rFonts w:eastAsia="Courier New" w:cs="Courier New"/>
                <w:color w:val="0B2C5F"/>
                <w:sz w:val="20"/>
                <w:szCs w:val="20"/>
              </w:rPr>
              <w:t xml:space="preserve"> grave ofensa à moralidade administrativa?</w:t>
            </w:r>
          </w:p>
          <w:p w14:paraId="1F4D9641"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SIM → GATE → Resultado C, conduta escandalosa (art. 132, V, demissão)</w:t>
            </w:r>
          </w:p>
          <w:p w14:paraId="7E89FF58"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NÃO → Resultado D, conduta imprópria (art. 116, II, IX e XI, adv./</w:t>
            </w:r>
            <w:proofErr w:type="spellStart"/>
            <w:r>
              <w:rPr>
                <w:rFonts w:eastAsia="Courier New" w:cs="Courier New"/>
                <w:color w:val="0B2C5F"/>
                <w:sz w:val="20"/>
                <w:szCs w:val="20"/>
              </w:rPr>
              <w:t>susp</w:t>
            </w:r>
            <w:proofErr w:type="spellEnd"/>
            <w:r>
              <w:rPr>
                <w:rFonts w:eastAsia="Courier New" w:cs="Courier New"/>
                <w:color w:val="0B2C5F"/>
                <w:sz w:val="20"/>
                <w:szCs w:val="20"/>
              </w:rPr>
              <w:t>.)</w:t>
            </w:r>
          </w:p>
          <w:p w14:paraId="0F15DAF8" w14:textId="77777777" w:rsidR="00B10998" w:rsidRPr="00C50480" w:rsidRDefault="00B10998">
            <w:pPr>
              <w:rPr>
                <w:rFonts w:eastAsia="Courier New" w:cs="Courier New"/>
                <w:color w:val="0B2C5F"/>
                <w:sz w:val="20"/>
                <w:szCs w:val="20"/>
              </w:rPr>
            </w:pPr>
          </w:p>
          <w:p w14:paraId="547E0348" w14:textId="77777777" w:rsidR="00B10998" w:rsidRPr="00C50480" w:rsidRDefault="00B10998">
            <w:pPr>
              <w:rPr>
                <w:rFonts w:eastAsia="Courier New" w:cs="Courier New"/>
                <w:color w:val="0B2C5F"/>
                <w:sz w:val="20"/>
                <w:szCs w:val="20"/>
              </w:rPr>
            </w:pPr>
            <w:r>
              <w:rPr>
                <w:rFonts w:ascii="Times New Roman" w:eastAsia="Courier New" w:hAnsi="Times New Roman" w:cs="Times New Roman"/>
                <w:color w:val="0B2C5F"/>
                <w:sz w:val="20"/>
                <w:szCs w:val="20"/>
              </w:rPr>
              <w:t>══</w:t>
            </w:r>
            <w:r>
              <w:rPr>
                <w:rFonts w:eastAsia="Courier New" w:cs="Courier New"/>
                <w:color w:val="0B2C5F"/>
                <w:sz w:val="20"/>
                <w:szCs w:val="20"/>
              </w:rPr>
              <w:t xml:space="preserve"> RAMO REITERADO </w:t>
            </w:r>
            <w:r>
              <w:rPr>
                <w:rFonts w:ascii="Times New Roman" w:eastAsia="Courier New" w:hAnsi="Times New Roman" w:cs="Times New Roman"/>
                <w:color w:val="0B2C5F"/>
                <w:sz w:val="20"/>
                <w:szCs w:val="20"/>
              </w:rPr>
              <w:t>══════════════════════════════════════</w:t>
            </w:r>
          </w:p>
          <w:p w14:paraId="0150BAED"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P5, A escolha da vítima está associada a característica pessoal protegida?</w:t>
            </w:r>
          </w:p>
          <w:p w14:paraId="111FBA71"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SIM → P6 (direção hierárquica) + ALERTA: assédio moral discriminatório, analisar Eixo 4</w:t>
            </w:r>
          </w:p>
          <w:p w14:paraId="09403834"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NÃO → P6 (direção hierárquica)</w:t>
            </w:r>
          </w:p>
          <w:p w14:paraId="7FB8D5E0"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P6, Qual a direção hierárquica do assédio reiterado?</w:t>
            </w:r>
          </w:p>
          <w:p w14:paraId="70F1F6A9"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VERTICAL (chefe → </w:t>
            </w:r>
            <w:proofErr w:type="gramStart"/>
            <w:r>
              <w:rPr>
                <w:rFonts w:eastAsia="Courier New" w:cs="Courier New"/>
                <w:color w:val="0B2C5F"/>
                <w:sz w:val="20"/>
                <w:szCs w:val="20"/>
              </w:rPr>
              <w:t xml:space="preserve">subordinado)   </w:t>
            </w:r>
            <w:proofErr w:type="gramEnd"/>
            <w:r>
              <w:rPr>
                <w:rFonts w:eastAsia="Courier New" w:cs="Courier New"/>
                <w:color w:val="0B2C5F"/>
                <w:sz w:val="20"/>
                <w:szCs w:val="20"/>
              </w:rPr>
              <w:t>→ P7 (uso do cargo)</w:t>
            </w:r>
          </w:p>
          <w:p w14:paraId="0D90926E"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HORIZONTAL (entre </w:t>
            </w:r>
            <w:proofErr w:type="gramStart"/>
            <w:r>
              <w:rPr>
                <w:rFonts w:eastAsia="Courier New" w:cs="Courier New"/>
                <w:color w:val="0B2C5F"/>
                <w:sz w:val="20"/>
                <w:szCs w:val="20"/>
              </w:rPr>
              <w:t xml:space="preserve">pares)   </w:t>
            </w:r>
            <w:proofErr w:type="gramEnd"/>
            <w:r>
              <w:rPr>
                <w:rFonts w:eastAsia="Courier New" w:cs="Courier New"/>
                <w:color w:val="0B2C5F"/>
                <w:sz w:val="20"/>
                <w:szCs w:val="20"/>
              </w:rPr>
              <w:t xml:space="preserve">      → P3-B (grave ofensa à moralidade)</w:t>
            </w:r>
          </w:p>
          <w:p w14:paraId="7E4E4220"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ASCENDENTE (subordinado → chefe) → P3-B (grave ofensa à moralidade)</w:t>
            </w:r>
          </w:p>
          <w:p w14:paraId="1B4BC05C"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P7, </w:t>
            </w:r>
            <w:proofErr w:type="gramStart"/>
            <w:r>
              <w:rPr>
                <w:rFonts w:eastAsia="Courier New" w:cs="Courier New"/>
                <w:color w:val="0B2C5F"/>
                <w:sz w:val="20"/>
                <w:szCs w:val="20"/>
              </w:rPr>
              <w:t>Houve</w:t>
            </w:r>
            <w:proofErr w:type="gramEnd"/>
            <w:r>
              <w:rPr>
                <w:rFonts w:eastAsia="Courier New" w:cs="Courier New"/>
                <w:color w:val="0B2C5F"/>
                <w:sz w:val="20"/>
                <w:szCs w:val="20"/>
              </w:rPr>
              <w:t xml:space="preserve"> uso do cargo ou poder hierárquico na conduta reiterada?</w:t>
            </w:r>
          </w:p>
          <w:p w14:paraId="441F5147"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SIM → P8 (organização do trabalho)</w:t>
            </w:r>
          </w:p>
          <w:p w14:paraId="007DF20E"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NÃO → P3-B (grave ofensa à moralidade)</w:t>
            </w:r>
          </w:p>
          <w:p w14:paraId="7ABBADB8"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P8, A conduta reiterada com uso do cargo relaciona-se à organização do trabalho?</w:t>
            </w:r>
          </w:p>
          <w:p w14:paraId="0D045340"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SIM (contexto gerencial, mesmo que distorcido) → P9 (teste de isonomia)</w:t>
            </w:r>
          </w:p>
          <w:p w14:paraId="79FA7060"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NÃO (perseguição pessoal pura) → GATE → Resultado A (art. 117, IX)</w:t>
            </w:r>
          </w:p>
          <w:p w14:paraId="17B60093"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P9, A medida gerencial invocada possui justificativa objetiva e documentável, aplicada de forma isonômica a servidores em situação comparável?</w:t>
            </w:r>
          </w:p>
          <w:p w14:paraId="3C40B7E2"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SIM → P4 (elemento subjetivo)</w:t>
            </w:r>
          </w:p>
          <w:p w14:paraId="19DB2096"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NÃO → P4-B (elemento subjetivo, à luz da ausência de justificativa isonômica)</w:t>
            </w:r>
          </w:p>
        </w:tc>
      </w:tr>
    </w:tbl>
    <w:p w14:paraId="24F721E3" w14:textId="77777777" w:rsidR="00B10998" w:rsidRDefault="00B10998">
      <w:pPr>
        <w:spacing w:before="200"/>
      </w:pPr>
    </w:p>
    <w:p w14:paraId="37DBC0A1" w14:textId="77777777" w:rsidR="00B10998" w:rsidRDefault="00B10998">
      <w:pPr>
        <w:pStyle w:val="Ttulo2"/>
        <w:keepNext/>
        <w:pBdr>
          <w:left w:val="single" w:sz="10" w:space="6" w:color="C9A35C"/>
        </w:pBdr>
      </w:pPr>
      <w:bookmarkStart w:id="160" w:name="_Toc238022151"/>
      <w:r>
        <w:t>P1, A conduta foi um ato isolado ou um padrão reiterado?</w:t>
      </w:r>
      <w:bookmarkEnd w:id="160"/>
    </w:p>
    <w:p w14:paraId="0479BF0D" w14:textId="77777777" w:rsidR="00B10998" w:rsidRDefault="00B10998">
      <w:pPr>
        <w:pStyle w:val="Ttulo3"/>
        <w:keepNext/>
      </w:pPr>
      <w:r>
        <w:rPr>
          <w:rFonts w:ascii="Calibri" w:eastAsia="Calibri" w:hAnsi="Calibri" w:cs="Calibri"/>
        </w:rPr>
        <w:t>O que avaliar</w:t>
      </w:r>
    </w:p>
    <w:p w14:paraId="4DA3120A"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há episódios múltiplos, ao longo do tempo, com padrão consistente de hostilidade dirigida à mesma vítima?</w:t>
      </w:r>
      <w:r>
        <w:rPr>
          <w:rFonts w:ascii="Calibri" w:eastAsia="Calibri" w:hAnsi="Calibri" w:cs="Calibri"/>
          <w:color w:val="051A3D"/>
          <w:sz w:val="22"/>
          <w:szCs w:val="22"/>
        </w:rPr>
        <w:t xml:space="preserve"> A reiteração é o elemento definidor clássico do assédio moral, não um episódio grave, mas um padrão sistemático que instala na vítima a certeza de que as condutas hostis continuarão.</w:t>
      </w:r>
    </w:p>
    <w:p w14:paraId="03F7EBF1" w14:textId="77777777" w:rsidR="00B10998" w:rsidRDefault="00B10998">
      <w:pPr>
        <w:spacing w:after="120"/>
        <w:jc w:val="both"/>
      </w:pPr>
      <w:r>
        <w:rPr>
          <w:rFonts w:ascii="Calibri" w:eastAsia="Calibri" w:hAnsi="Calibri" w:cs="Calibri"/>
          <w:color w:val="051A3D"/>
          <w:sz w:val="22"/>
          <w:szCs w:val="22"/>
        </w:rPr>
        <w:t xml:space="preserve">Construa a </w:t>
      </w:r>
      <w:r>
        <w:rPr>
          <w:rFonts w:ascii="Calibri" w:eastAsia="Calibri" w:hAnsi="Calibri" w:cs="Calibri"/>
          <w:b/>
          <w:bCs/>
          <w:color w:val="051A3D"/>
          <w:sz w:val="22"/>
          <w:szCs w:val="22"/>
        </w:rPr>
        <w:t>linha do tempo</w:t>
      </w:r>
      <w:r>
        <w:rPr>
          <w:rFonts w:ascii="Calibri" w:eastAsia="Calibri" w:hAnsi="Calibri" w:cs="Calibri"/>
          <w:color w:val="051A3D"/>
          <w:sz w:val="22"/>
          <w:szCs w:val="22"/>
        </w:rPr>
        <w:t xml:space="preserve"> de todos os episódios identificáveis nos autos antes de responder. O episódio que motivou a denúncia pode ser apenas o que 'transbordou', o último de uma série que a vítima suportou por meses sem formalizar. Quando o relato da vítima usa expressões como 'sempre', 'constantemente', 'toda vez que', 'repetidamente', 'nunca passava uma semana sem que', é reiterado. Investigue ativamente episódios anteriores mesmo que a denúncia formal descreva apenas o episódio mais recente.</w:t>
      </w:r>
    </w:p>
    <w:p w14:paraId="59233C04" w14:textId="77777777" w:rsidR="00B10998" w:rsidRDefault="00B10998">
      <w:pPr>
        <w:spacing w:after="120"/>
        <w:jc w:val="both"/>
      </w:pPr>
      <w:r>
        <w:rPr>
          <w:rFonts w:ascii="Calibri" w:eastAsia="Calibri" w:hAnsi="Calibri" w:cs="Calibri"/>
          <w:color w:val="051A3D"/>
          <w:sz w:val="22"/>
          <w:szCs w:val="22"/>
        </w:rPr>
        <w:t>A reiteração não exige episódios idênticos. O padrão pode ser composto de condutas de natureza variada, cobranças impossíveis, exclusão de reuniões, exposição pública, avaliações injustas, desde que todas estejam dirigidas sistematicamente à mesma vítima com a mesma finalidade de degradar suas condições de trabalho.</w:t>
      </w:r>
    </w:p>
    <w:p w14:paraId="37C23986" w14:textId="77777777" w:rsidR="00B10998" w:rsidRDefault="00B10998">
      <w:pPr>
        <w:pStyle w:val="Ttulo3"/>
        <w:keepNext/>
      </w:pPr>
      <w:r>
        <w:rPr>
          <w:rFonts w:ascii="Calibri" w:eastAsia="Calibri" w:hAnsi="Calibri" w:cs="Calibri"/>
        </w:rPr>
        <w:lastRenderedPageBreak/>
        <w:t>Satisfaz a condição, responda REITERADO</w:t>
      </w:r>
    </w:p>
    <w:p w14:paraId="31259BE1"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Vítima descreve episódios em datas múltiplas e distintas, com padrão consistente ao longo do tempo</w:t>
      </w:r>
    </w:p>
    <w:p w14:paraId="0AD9C42F"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Testemunhas confirmam comportamento sistemático do agressor em relação à vítima</w:t>
      </w:r>
    </w:p>
    <w:p w14:paraId="5F47F073"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Histórico funcional da vítima mostra deterioração progressiva correlacionada ao período relatado</w:t>
      </w:r>
    </w:p>
    <w:p w14:paraId="65E06083"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Registros documentam episódios em datas identificáveis, com recorrência</w:t>
      </w:r>
    </w:p>
    <w:p w14:paraId="6BE381A4" w14:textId="77777777" w:rsidR="00B10998" w:rsidRDefault="00B10998">
      <w:pPr>
        <w:pStyle w:val="Ttulo3"/>
        <w:keepNext/>
      </w:pPr>
      <w:r>
        <w:rPr>
          <w:rFonts w:ascii="Calibri" w:eastAsia="Calibri" w:hAnsi="Calibri" w:cs="Calibri"/>
        </w:rPr>
        <w:t>Satisfaz a condição, responda ATO ISOLADO</w:t>
      </w:r>
    </w:p>
    <w:p w14:paraId="11F15AAE"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Episódio único, ainda que grave ou humilhante</w:t>
      </w:r>
    </w:p>
    <w:p w14:paraId="7330807A"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Ausência de qualquer evidência de episódios anteriores na vítima, testemunhas ou documentos</w:t>
      </w:r>
    </w:p>
    <w:p w14:paraId="26BDBC29" w14:textId="77777777" w:rsidR="00B10998" w:rsidRDefault="00B10998">
      <w:pPr>
        <w:pStyle w:val="Ttulo3"/>
        <w:keepNext/>
      </w:pPr>
      <w:r>
        <w:rPr>
          <w:rFonts w:ascii="Calibri" w:eastAsia="Calibri" w:hAnsi="Calibri" w:cs="Calibri"/>
        </w:rPr>
        <w:t>O que buscar nos autos</w:t>
      </w:r>
    </w:p>
    <w:p w14:paraId="57E843D7"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Relato da vítima com identificação de datas, contextos e conteúdo de cada episódio</w:t>
      </w:r>
    </w:p>
    <w:p w14:paraId="047F6BDF"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Depoimentos de testemunhas com percepção sobre a recorrência e o padrão do comportamento</w:t>
      </w:r>
    </w:p>
    <w:p w14:paraId="2759F88B"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Histórico funcional: avaliações, afastamentos, designações, pedidos de transferência, com datas</w:t>
      </w:r>
    </w:p>
    <w:p w14:paraId="41A0BE9E"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Registros eletrônicos: e-mails, mensagens, atas de reunião, com localização temporal</w:t>
      </w:r>
    </w:p>
    <w:p w14:paraId="4EBD903C"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66720665"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595329A8" w14:textId="77777777" w:rsidR="00B10998" w:rsidRDefault="00B10998">
            <w:pPr>
              <w:jc w:val="both"/>
            </w:pPr>
            <w:r>
              <w:rPr>
                <w:rFonts w:ascii="Calibri" w:eastAsia="Calibri" w:hAnsi="Calibri" w:cs="Calibri"/>
                <w:b/>
                <w:bCs/>
                <w:color w:val="0B2C5F"/>
                <w:sz w:val="20"/>
                <w:szCs w:val="20"/>
              </w:rPr>
              <w:t>Alerta, o episódio que transbordou:</w:t>
            </w:r>
            <w:r>
              <w:rPr>
                <w:rFonts w:ascii="Calibri" w:eastAsia="Calibri" w:hAnsi="Calibri" w:cs="Calibri"/>
                <w:color w:val="051A3D"/>
                <w:sz w:val="20"/>
                <w:szCs w:val="20"/>
              </w:rPr>
              <w:t xml:space="preserve"> não responda ATO ISOLADO apenas porque a denúncia formal menciona um único episódio. Pergunte à vítima diretamente sobre episódios anteriores. A denúncia formal frequentemente narra apenas o mais recente ou o mais grave de uma série.</w:t>
            </w:r>
          </w:p>
        </w:tc>
      </w:tr>
    </w:tbl>
    <w:p w14:paraId="3F6C2DE7" w14:textId="77777777" w:rsidR="00B10998" w:rsidRDefault="00B10998">
      <w:pPr>
        <w:spacing w:before="80"/>
      </w:pPr>
    </w:p>
    <w:p w14:paraId="3429CF42" w14:textId="77777777" w:rsidR="00B10998" w:rsidRDefault="00B10998">
      <w:pPr>
        <w:spacing w:before="80" w:after="60"/>
      </w:pPr>
      <w:r>
        <w:rPr>
          <w:rFonts w:ascii="Calibri" w:eastAsia="Calibri" w:hAnsi="Calibri" w:cs="Calibri"/>
          <w:b/>
          <w:bCs/>
          <w:color w:val="0B2C5F"/>
          <w:sz w:val="22"/>
          <w:szCs w:val="22"/>
        </w:rPr>
        <w:t xml:space="preserve">REITERADO → </w:t>
      </w:r>
      <w:r>
        <w:rPr>
          <w:rFonts w:ascii="Calibri" w:eastAsia="Calibri" w:hAnsi="Calibri" w:cs="Calibri"/>
          <w:color w:val="051A3D"/>
          <w:sz w:val="22"/>
          <w:szCs w:val="22"/>
        </w:rPr>
        <w:t>P5</w:t>
      </w:r>
    </w:p>
    <w:p w14:paraId="4300F6BC" w14:textId="77777777" w:rsidR="00B10998" w:rsidRDefault="00B10998">
      <w:pPr>
        <w:spacing w:before="80" w:after="60"/>
      </w:pPr>
      <w:r>
        <w:rPr>
          <w:rFonts w:ascii="Calibri" w:eastAsia="Calibri" w:hAnsi="Calibri" w:cs="Calibri"/>
          <w:b/>
          <w:bCs/>
          <w:color w:val="0B2C5F"/>
          <w:sz w:val="22"/>
          <w:szCs w:val="22"/>
        </w:rPr>
        <w:t xml:space="preserve">ATO ISOLADO → </w:t>
      </w:r>
      <w:r>
        <w:rPr>
          <w:rFonts w:ascii="Calibri" w:eastAsia="Calibri" w:hAnsi="Calibri" w:cs="Calibri"/>
          <w:color w:val="051A3D"/>
          <w:sz w:val="22"/>
          <w:szCs w:val="22"/>
        </w:rPr>
        <w:t>P2</w:t>
      </w:r>
    </w:p>
    <w:p w14:paraId="17066962" w14:textId="77777777" w:rsidR="00B10998" w:rsidRDefault="00B10998">
      <w:pPr>
        <w:pBdr>
          <w:bottom w:val="single" w:sz="4" w:space="1" w:color="C9A35C"/>
        </w:pBdr>
        <w:spacing w:before="200" w:after="200"/>
      </w:pPr>
    </w:p>
    <w:p w14:paraId="6C059B55" w14:textId="77777777" w:rsidR="00B10998" w:rsidRDefault="00B10998">
      <w:pPr>
        <w:spacing w:before="120" w:after="60"/>
      </w:pPr>
      <w:r>
        <w:rPr>
          <w:rFonts w:ascii="Barlow Condensed" w:eastAsia="Barlow Condensed" w:hAnsi="Barlow Condensed" w:cs="Barlow Condensed"/>
          <w:b/>
          <w:bCs/>
          <w:color w:val="0B2C5F"/>
          <w:sz w:val="22"/>
          <w:szCs w:val="22"/>
        </w:rPr>
        <w:t>═══ RAMO ATO ISOLADO ═══</w:t>
      </w:r>
    </w:p>
    <w:p w14:paraId="2E24F7B4" w14:textId="77777777" w:rsidR="00B10998" w:rsidRDefault="00B10998">
      <w:pPr>
        <w:spacing w:before="80"/>
      </w:pPr>
    </w:p>
    <w:p w14:paraId="5B3F768D" w14:textId="77777777" w:rsidR="00B10998" w:rsidRDefault="00B10998">
      <w:pPr>
        <w:pStyle w:val="Ttulo2"/>
        <w:keepNext/>
        <w:pBdr>
          <w:left w:val="single" w:sz="10" w:space="6" w:color="C9A35C"/>
        </w:pBdr>
      </w:pPr>
      <w:bookmarkStart w:id="161" w:name="_Toc238022152"/>
      <w:r>
        <w:t xml:space="preserve">P2, O ato isolado produziu </w:t>
      </w:r>
      <w:proofErr w:type="spellStart"/>
      <w:r>
        <w:t>dano</w:t>
      </w:r>
      <w:proofErr w:type="spellEnd"/>
      <w:r>
        <w:t xml:space="preserve"> ou repercussão grave?</w:t>
      </w:r>
      <w:bookmarkEnd w:id="161"/>
    </w:p>
    <w:p w14:paraId="2CB3E7F9" w14:textId="77777777" w:rsidR="00B10998" w:rsidRDefault="00B10998">
      <w:pPr>
        <w:pStyle w:val="Ttulo3"/>
        <w:keepNext/>
      </w:pPr>
      <w:r>
        <w:rPr>
          <w:rFonts w:ascii="Calibri" w:eastAsia="Calibri" w:hAnsi="Calibri" w:cs="Calibri"/>
        </w:rPr>
        <w:t>O que avaliar</w:t>
      </w:r>
    </w:p>
    <w:p w14:paraId="0CD712C0"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o episódio único, pela sua gravidade intrínseca ou pelo seu impacto documentado, produziu efeito comparável ao que um padrão reiterado causaria?</w:t>
      </w:r>
      <w:r>
        <w:rPr>
          <w:rFonts w:ascii="Calibri" w:eastAsia="Calibri" w:hAnsi="Calibri" w:cs="Calibri"/>
          <w:color w:val="051A3D"/>
          <w:sz w:val="22"/>
          <w:szCs w:val="22"/>
        </w:rPr>
        <w:t xml:space="preserve"> O ato isolado sem essa dimensão não configura assédio moral, pode configurar violência verbal (Eixo 7), ameaça (Eixo 2) ou conduta imprópria, mas não assédio moral.</w:t>
      </w:r>
    </w:p>
    <w:p w14:paraId="31F71AAE" w14:textId="77777777" w:rsidR="00B10998" w:rsidRDefault="00B10998">
      <w:pPr>
        <w:spacing w:after="120"/>
        <w:jc w:val="both"/>
      </w:pPr>
      <w:r>
        <w:rPr>
          <w:rFonts w:ascii="Calibri" w:eastAsia="Calibri" w:hAnsi="Calibri" w:cs="Calibri"/>
          <w:color w:val="051A3D"/>
          <w:sz w:val="22"/>
          <w:szCs w:val="22"/>
        </w:rPr>
        <w:t>O dano ou repercussão grave pode ser: laudo psicológico ou médico que vincule o episódio a impacto documentado; afastamento por licença médica após o episódio; comprometimento documentado do desempenho funcional; ato praticado publicamente com conteúdo de humilhação extrema que afetou o ambiente coletivo; isolamento funcional imediato decorrente do episódio.</w:t>
      </w:r>
    </w:p>
    <w:p w14:paraId="6FC75143" w14:textId="77777777" w:rsidR="00B10998" w:rsidRDefault="00B10998">
      <w:pPr>
        <w:pStyle w:val="Ttulo3"/>
        <w:keepNext/>
      </w:pPr>
      <w:r>
        <w:rPr>
          <w:rFonts w:ascii="Calibri" w:eastAsia="Calibri" w:hAnsi="Calibri" w:cs="Calibri"/>
        </w:rPr>
        <w:lastRenderedPageBreak/>
        <w:t>Satisfaz a condição, responda SIM</w:t>
      </w:r>
    </w:p>
    <w:p w14:paraId="4C855F31"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Humilhação pública de extrema gravidade em reunião de equipe, exposição vexatória perante colegas com uso de autoridade hierárquica</w:t>
      </w:r>
    </w:p>
    <w:p w14:paraId="33A1AB5A"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Laudo psicológico ou atestado médico que vincule o episódio ao impacto verificado</w:t>
      </w:r>
    </w:p>
    <w:p w14:paraId="5C375949"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Afastamento por licença médica após o episódio, com conexão temporal identificável</w:t>
      </w:r>
    </w:p>
    <w:p w14:paraId="52692B32"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Ato que produziu isolamento funcional imediato da vítima na equipe</w:t>
      </w:r>
    </w:p>
    <w:p w14:paraId="27AB09A9"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Episódio de intensidade tão extrema que seria apto, por si só, a gerar o tipo de dano que o assédio reiterado causaria</w:t>
      </w:r>
    </w:p>
    <w:p w14:paraId="679E72D5" w14:textId="77777777" w:rsidR="00B10998" w:rsidRDefault="00B10998">
      <w:pPr>
        <w:pStyle w:val="Ttulo3"/>
        <w:keepNext/>
      </w:pPr>
      <w:r>
        <w:rPr>
          <w:rFonts w:ascii="Calibri" w:eastAsia="Calibri" w:hAnsi="Calibri" w:cs="Calibri"/>
        </w:rPr>
        <w:t>Não satisfaz a condição, responda NÃO</w:t>
      </w:r>
    </w:p>
    <w:p w14:paraId="44A8386F"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 xml:space="preserve">Episódio </w:t>
      </w:r>
      <w:proofErr w:type="gramStart"/>
      <w:r>
        <w:rPr>
          <w:rFonts w:ascii="Calibri" w:eastAsia="Calibri" w:hAnsi="Calibri" w:cs="Calibri"/>
          <w:color w:val="051A3D"/>
          <w:sz w:val="22"/>
          <w:szCs w:val="22"/>
        </w:rPr>
        <w:t>desagradável</w:t>
      </w:r>
      <w:proofErr w:type="gramEnd"/>
      <w:r>
        <w:rPr>
          <w:rFonts w:ascii="Calibri" w:eastAsia="Calibri" w:hAnsi="Calibri" w:cs="Calibri"/>
          <w:color w:val="051A3D"/>
          <w:sz w:val="22"/>
          <w:szCs w:val="22"/>
        </w:rPr>
        <w:t xml:space="preserve"> mas de baixa ou média intensidade, sem impacto documentado</w:t>
      </w:r>
    </w:p>
    <w:p w14:paraId="0489D91D"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Ausência de qualquer elemento objetivo que demonstre dano além do desconforto imediato</w:t>
      </w:r>
    </w:p>
    <w:p w14:paraId="375AD865"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 xml:space="preserve">Ato que, pela sua natureza, seria </w:t>
      </w:r>
      <w:proofErr w:type="gramStart"/>
      <w:r>
        <w:rPr>
          <w:rFonts w:ascii="Calibri" w:eastAsia="Calibri" w:hAnsi="Calibri" w:cs="Calibri"/>
          <w:color w:val="051A3D"/>
          <w:sz w:val="22"/>
          <w:szCs w:val="22"/>
        </w:rPr>
        <w:t>melhor</w:t>
      </w:r>
      <w:proofErr w:type="gramEnd"/>
      <w:r>
        <w:rPr>
          <w:rFonts w:ascii="Calibri" w:eastAsia="Calibri" w:hAnsi="Calibri" w:cs="Calibri"/>
          <w:color w:val="051A3D"/>
          <w:sz w:val="22"/>
          <w:szCs w:val="22"/>
        </w:rPr>
        <w:t xml:space="preserve"> analisado nos eixos de violência verbal ou ameaça</w:t>
      </w:r>
    </w:p>
    <w:p w14:paraId="332C70A3" w14:textId="77777777" w:rsidR="00B10998" w:rsidRDefault="00B10998">
      <w:pPr>
        <w:pStyle w:val="Ttulo3"/>
        <w:keepNext/>
      </w:pPr>
      <w:r>
        <w:rPr>
          <w:rFonts w:ascii="Calibri" w:eastAsia="Calibri" w:hAnsi="Calibri" w:cs="Calibri"/>
        </w:rPr>
        <w:t>O que buscar nos autos</w:t>
      </w:r>
    </w:p>
    <w:p w14:paraId="4AE9DDCD"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Laudo ou atestado médico com conexão temporal ao episódio</w:t>
      </w:r>
    </w:p>
    <w:p w14:paraId="08EEF158"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Depoimentos de testemunhas que presenciaram o ato e podem confirmar a intensidade da humilhação</w:t>
      </w:r>
    </w:p>
    <w:p w14:paraId="51AD77B6"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Histórico de desempenho e frequência da vítima antes e após o episódio</w:t>
      </w:r>
    </w:p>
    <w:p w14:paraId="06D66A8C" w14:textId="77777777" w:rsidR="00B10998" w:rsidRDefault="00B10998">
      <w:pPr>
        <w:spacing w:before="80"/>
      </w:pPr>
    </w:p>
    <w:p w14:paraId="6AC21FC6"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P3</w:t>
      </w:r>
    </w:p>
    <w:p w14:paraId="3449E17F"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Sem ilícito no Eixo 5, avaliar Eixo 7 (Violência Verbal) ou Eixo 2 (Ameaça) conforme a natureza da conduta</w:t>
      </w:r>
    </w:p>
    <w:p w14:paraId="115C9490" w14:textId="77777777" w:rsidR="00B10998" w:rsidRDefault="00B10998">
      <w:pPr>
        <w:pBdr>
          <w:bottom w:val="single" w:sz="4" w:space="1" w:color="C9A35C"/>
        </w:pBdr>
        <w:spacing w:before="200" w:after="200"/>
      </w:pPr>
    </w:p>
    <w:p w14:paraId="27BC2078" w14:textId="77777777" w:rsidR="00B10998" w:rsidRDefault="00B10998">
      <w:pPr>
        <w:pStyle w:val="Ttulo2"/>
        <w:keepNext/>
        <w:pBdr>
          <w:left w:val="single" w:sz="10" w:space="6" w:color="C9A35C"/>
        </w:pBdr>
      </w:pPr>
      <w:bookmarkStart w:id="162" w:name="_Toc238022153"/>
      <w:r>
        <w:t>P3, O ato isolado grave foi praticado com uso instrumental do cargo?</w:t>
      </w:r>
      <w:bookmarkEnd w:id="162"/>
    </w:p>
    <w:p w14:paraId="7736725C" w14:textId="77777777" w:rsidR="00B10998" w:rsidRDefault="00B10998">
      <w:pPr>
        <w:pStyle w:val="Ttulo3"/>
        <w:keepNext/>
      </w:pPr>
      <w:r>
        <w:rPr>
          <w:rFonts w:ascii="Calibri" w:eastAsia="Calibri" w:hAnsi="Calibri" w:cs="Calibri"/>
        </w:rPr>
        <w:t>O que avaliar</w:t>
      </w:r>
    </w:p>
    <w:p w14:paraId="7ECE1A4B"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o agressor utilizou a autoridade ou as prerrogativas do cargo para amplificar ou viabilizar o ato isolado grave?</w:t>
      </w:r>
      <w:r>
        <w:rPr>
          <w:rFonts w:ascii="Calibri" w:eastAsia="Calibri" w:hAnsi="Calibri" w:cs="Calibri"/>
          <w:color w:val="051A3D"/>
          <w:sz w:val="22"/>
          <w:szCs w:val="22"/>
        </w:rPr>
        <w:t xml:space="preserve"> O uso do cargo no ato isolado grave é o qualificador que abre o caminho para análise do elemento subjetivo e para o enquadramento demissório potencial.</w:t>
      </w:r>
    </w:p>
    <w:p w14:paraId="43D3BE96" w14:textId="77777777" w:rsidR="00B10998" w:rsidRDefault="00B10998">
      <w:pPr>
        <w:spacing w:after="120"/>
        <w:jc w:val="both"/>
      </w:pPr>
      <w:r>
        <w:rPr>
          <w:rFonts w:ascii="Calibri" w:eastAsia="Calibri" w:hAnsi="Calibri" w:cs="Calibri"/>
          <w:color w:val="051A3D"/>
          <w:sz w:val="22"/>
          <w:szCs w:val="22"/>
        </w:rPr>
        <w:t>Exemplos de uso do cargo no ato isolado: chefia que usa a autoridade de direção de reunião para expor vexatoriamente o subordinado diante de toda a equipe; superior que combina humilhação pública com ameaça velada sobre avaliação ou progressão; gestor que exclui o servidor de reunião estratégica usando o poder de organizar a pauta, no mesmo ato em que faz comentário humilhante sobre sua incompetência.</w:t>
      </w:r>
    </w:p>
    <w:p w14:paraId="2D434667" w14:textId="77777777" w:rsidR="00B10998" w:rsidRDefault="00B10998">
      <w:pPr>
        <w:pStyle w:val="Ttulo3"/>
        <w:keepNext/>
      </w:pPr>
      <w:r>
        <w:rPr>
          <w:rFonts w:ascii="Calibri" w:eastAsia="Calibri" w:hAnsi="Calibri" w:cs="Calibri"/>
        </w:rPr>
        <w:t>Satisfaz a condição, responda SIM</w:t>
      </w:r>
    </w:p>
    <w:p w14:paraId="08F0A2F5"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O agressor utilizou a autoridade de chefia para dar força ou credibilidade ao ato humilhante</w:t>
      </w:r>
    </w:p>
    <w:p w14:paraId="12A833B3"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O ato foi praticado em contexto funcional no qual a posição do agressor amplificou o impacto</w:t>
      </w:r>
    </w:p>
    <w:p w14:paraId="59D41153"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lastRenderedPageBreak/>
        <w:t>O cargo foi instrumento da humilhação, não apenas o contexto da relação</w:t>
      </w:r>
    </w:p>
    <w:p w14:paraId="37A978F1" w14:textId="77777777" w:rsidR="00B10998" w:rsidRDefault="00B10998">
      <w:pPr>
        <w:pStyle w:val="Ttulo3"/>
        <w:keepNext/>
      </w:pPr>
      <w:r>
        <w:rPr>
          <w:rFonts w:ascii="Calibri" w:eastAsia="Calibri" w:hAnsi="Calibri" w:cs="Calibri"/>
        </w:rPr>
        <w:t>Não satisfaz a condição, responda NÃO</w:t>
      </w:r>
    </w:p>
    <w:p w14:paraId="7B917C94"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Ato praticado por par, sem relação hierárquica ou ascendência funcional</w:t>
      </w:r>
    </w:p>
    <w:p w14:paraId="17654177"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Ato de superior hierárquico praticado sem instrumentalização das prerrogativas do cargo, a humilhação ocorreu, mas o cargo não foi o meio</w:t>
      </w:r>
    </w:p>
    <w:p w14:paraId="228D23E9" w14:textId="77777777" w:rsidR="00B10998" w:rsidRDefault="00B10998">
      <w:pPr>
        <w:pStyle w:val="Ttulo3"/>
        <w:keepNext/>
      </w:pPr>
      <w:r>
        <w:rPr>
          <w:rFonts w:ascii="Calibri" w:eastAsia="Calibri" w:hAnsi="Calibri" w:cs="Calibri"/>
        </w:rPr>
        <w:t>O que buscar nos autos</w:t>
      </w:r>
    </w:p>
    <w:p w14:paraId="1BA76588"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Natureza da relação hierárquica entre agressor e vítima no momento do episódio</w:t>
      </w:r>
    </w:p>
    <w:p w14:paraId="7FEEDB9C"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Contexto do ato: reunião formal, comunicado institucional, contexto de avaliação ou decisão gerencial</w:t>
      </w:r>
    </w:p>
    <w:p w14:paraId="096BDB46" w14:textId="77777777" w:rsidR="00B10998" w:rsidRDefault="00B10998">
      <w:pPr>
        <w:spacing w:before="80"/>
      </w:pPr>
    </w:p>
    <w:p w14:paraId="09C7B99D"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P4</w:t>
      </w:r>
    </w:p>
    <w:p w14:paraId="4E2883D1"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P3-B</w:t>
      </w:r>
    </w:p>
    <w:p w14:paraId="0355C338" w14:textId="77777777" w:rsidR="00B10998" w:rsidRDefault="00B10998">
      <w:pPr>
        <w:pBdr>
          <w:bottom w:val="single" w:sz="4" w:space="1" w:color="C9A35C"/>
        </w:pBdr>
        <w:spacing w:before="200" w:after="200"/>
      </w:pPr>
    </w:p>
    <w:p w14:paraId="0C2EEA1A" w14:textId="77777777" w:rsidR="00B10998" w:rsidRDefault="00B10998">
      <w:pPr>
        <w:pStyle w:val="Ttulo2"/>
        <w:keepNext/>
        <w:pBdr>
          <w:left w:val="single" w:sz="10" w:space="6" w:color="C9A35C"/>
        </w:pBdr>
      </w:pPr>
      <w:bookmarkStart w:id="163" w:name="_Toc238022154"/>
      <w:r>
        <w:t xml:space="preserve">P4, </w:t>
      </w:r>
      <w:proofErr w:type="gramStart"/>
      <w:r>
        <w:t>Qual</w:t>
      </w:r>
      <w:proofErr w:type="gramEnd"/>
      <w:r>
        <w:t xml:space="preserve"> o elemento subjetivo?</w:t>
      </w:r>
      <w:bookmarkEnd w:id="163"/>
    </w:p>
    <w:p w14:paraId="7ED7A81B" w14:textId="77777777" w:rsidR="00B10998" w:rsidRDefault="00B10998">
      <w:pPr>
        <w:pStyle w:val="Ttulo3"/>
        <w:keepNext/>
      </w:pPr>
      <w:r>
        <w:rPr>
          <w:rFonts w:ascii="Calibri" w:eastAsia="Calibri" w:hAnsi="Calibri" w:cs="Calibri"/>
        </w:rPr>
        <w:t>O que avaliar</w:t>
      </w:r>
    </w:p>
    <w:p w14:paraId="32590AA5"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o agressor quis o resultado, praticou a conduta por negligência gerencial, ou a conduta tem explicação objetiva legítima?</w:t>
      </w:r>
      <w:r>
        <w:rPr>
          <w:rFonts w:ascii="Calibri" w:eastAsia="Calibri" w:hAnsi="Calibri" w:cs="Calibri"/>
          <w:color w:val="051A3D"/>
          <w:sz w:val="22"/>
          <w:szCs w:val="22"/>
        </w:rPr>
        <w:t xml:space="preserve"> O elemento subjetivo, embora não seja necessário para a caracterização do ilícito, é determinante para a gravidade e para o enquadramento.</w:t>
      </w:r>
    </w:p>
    <w:p w14:paraId="1CFA3914" w14:textId="77777777" w:rsidR="00B10998" w:rsidRDefault="00B10998">
      <w:pPr>
        <w:spacing w:after="120"/>
        <w:jc w:val="both"/>
      </w:pPr>
      <w:r>
        <w:rPr>
          <w:rFonts w:ascii="Calibri" w:eastAsia="Calibri" w:hAnsi="Calibri" w:cs="Calibri"/>
          <w:b/>
          <w:bCs/>
          <w:color w:val="051A3D"/>
          <w:sz w:val="22"/>
          <w:szCs w:val="22"/>
        </w:rPr>
        <w:t>Dolo</w:t>
      </w:r>
      <w:r>
        <w:rPr>
          <w:rFonts w:ascii="Calibri" w:eastAsia="Calibri" w:hAnsi="Calibri" w:cs="Calibri"/>
          <w:color w:val="051A3D"/>
          <w:sz w:val="22"/>
          <w:szCs w:val="22"/>
        </w:rPr>
        <w:t>, o agressor agiu com intenção dirigida ao resultado lesivo: queria humilhar, isolar, forçar a saída ou prejudicar o servidor. Indicadores: persistiu na conduta mesmo após reclamações formais ou informais da vítima; a intensidade escalou quando a vítima resistiu ou reclamou; há motivação identificável além do serviço (conflito pessoal, retaliação, discriminação); a conduta é personalizada nesta vítima enquanto outros análogos são tratados diferentemente; o agressor demonstrou satisfação ou indiferença diante do sofrimento da vítima.</w:t>
      </w:r>
    </w:p>
    <w:p w14:paraId="466C85A3" w14:textId="77777777" w:rsidR="00B10998" w:rsidRDefault="00B10998">
      <w:pPr>
        <w:spacing w:after="120"/>
        <w:jc w:val="both"/>
      </w:pPr>
      <w:r>
        <w:rPr>
          <w:rFonts w:ascii="Calibri" w:eastAsia="Calibri" w:hAnsi="Calibri" w:cs="Calibri"/>
          <w:b/>
          <w:bCs/>
          <w:color w:val="051A3D"/>
          <w:sz w:val="22"/>
          <w:szCs w:val="22"/>
        </w:rPr>
        <w:t>Culpa</w:t>
      </w:r>
      <w:r>
        <w:rPr>
          <w:rFonts w:ascii="Calibri" w:eastAsia="Calibri" w:hAnsi="Calibri" w:cs="Calibri"/>
          <w:color w:val="051A3D"/>
          <w:sz w:val="22"/>
          <w:szCs w:val="22"/>
        </w:rPr>
        <w:t>, o agressor não quis o resultado, mas adotou padrão de conduta que objetivamente produziu o efeito danoso por negligência, imprudência ou incompetência gerencial. Indicadores: recuou quando confrontado ou quando os efeitos foram explicitados; o estilo abusivo recai sobre a equipe de forma indistinta, não apenas sobre a vítima; o agressor demonstrou surpresa genuína com o impacto relatado.</w:t>
      </w:r>
    </w:p>
    <w:p w14:paraId="4C4FA218" w14:textId="77777777" w:rsidR="00B10998" w:rsidRDefault="00B10998">
      <w:pPr>
        <w:spacing w:after="120"/>
        <w:jc w:val="both"/>
      </w:pPr>
      <w:r>
        <w:rPr>
          <w:rFonts w:ascii="Calibri" w:eastAsia="Calibri" w:hAnsi="Calibri" w:cs="Calibri"/>
          <w:b/>
          <w:bCs/>
          <w:color w:val="051A3D"/>
          <w:sz w:val="22"/>
          <w:szCs w:val="22"/>
        </w:rPr>
        <w:t>Ausência de elemento subjetivo</w:t>
      </w:r>
      <w:r>
        <w:rPr>
          <w:rFonts w:ascii="Calibri" w:eastAsia="Calibri" w:hAnsi="Calibri" w:cs="Calibri"/>
          <w:color w:val="051A3D"/>
          <w:sz w:val="22"/>
          <w:szCs w:val="22"/>
        </w:rPr>
        <w:t>, a conduta tem explicação objetiva legítima: metas reais do serviço, necessidade demonstrável de redistribuição de tarefas, fundamentação objetiva das avaliações negativas. Responda 'ausência' apenas quando todos os elementos apontam para gestão legítima, ainda que rigorosa, e não há nenhum indício de finalidade além do serviço.</w:t>
      </w:r>
    </w:p>
    <w:p w14:paraId="260A516E" w14:textId="77777777" w:rsidR="00B10998" w:rsidRDefault="00B10998">
      <w:pPr>
        <w:pStyle w:val="Ttulo3"/>
        <w:keepNext/>
      </w:pPr>
      <w:r>
        <w:rPr>
          <w:rFonts w:ascii="Calibri" w:eastAsia="Calibri" w:hAnsi="Calibri" w:cs="Calibri"/>
        </w:rPr>
        <w:t>O que buscar nos autos</w:t>
      </w:r>
    </w:p>
    <w:p w14:paraId="74E2B336"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Resposta do agressor às reclamações da vítima: cessou, continuou ou escalou a conduta?</w:t>
      </w:r>
    </w:p>
    <w:p w14:paraId="38021F0C"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lastRenderedPageBreak/>
        <w:t>Comparação do tratamento da vítima com o de outros servidores análogos na equipe</w:t>
      </w:r>
    </w:p>
    <w:p w14:paraId="446DCFB9"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Histórico de avaliações e sua correlação com o desempenho objetivo documentado</w:t>
      </w:r>
    </w:p>
    <w:p w14:paraId="43C6C72C"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Depoimentos de colegas sobre o estilo gerencial do agressor em relação a toda a equipe</w:t>
      </w:r>
    </w:p>
    <w:p w14:paraId="3BD3AA18"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71252CE0"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42311CA8" w14:textId="77777777" w:rsidR="00B10998" w:rsidRDefault="00B10998">
            <w:pPr>
              <w:jc w:val="both"/>
            </w:pPr>
            <w:r>
              <w:rPr>
                <w:rFonts w:ascii="Calibri" w:eastAsia="Calibri" w:hAnsi="Calibri" w:cs="Calibri"/>
                <w:b/>
                <w:bCs/>
                <w:color w:val="0B2C5F"/>
                <w:sz w:val="20"/>
                <w:szCs w:val="20"/>
              </w:rPr>
              <w:t>Alerta, gestão legítima rigorosa não é assédio:</w:t>
            </w:r>
            <w:r>
              <w:rPr>
                <w:rFonts w:ascii="Calibri" w:eastAsia="Calibri" w:hAnsi="Calibri" w:cs="Calibri"/>
                <w:color w:val="051A3D"/>
                <w:sz w:val="20"/>
                <w:szCs w:val="20"/>
              </w:rPr>
              <w:t xml:space="preserve"> cobrança intensa de metas, avaliação de desempenho negativa fundamentada em fatos objetivos e redistribuição de tarefas por necessidade do serviço não são assédio moral, mesmo que causem sofrimento. A distinção está na finalidade, não na intensidade.</w:t>
            </w:r>
          </w:p>
        </w:tc>
      </w:tr>
    </w:tbl>
    <w:p w14:paraId="3A377108" w14:textId="77777777" w:rsidR="00B10998" w:rsidRDefault="00B10998">
      <w:pPr>
        <w:spacing w:before="80"/>
      </w:pPr>
    </w:p>
    <w:p w14:paraId="7BF809DB" w14:textId="77777777" w:rsidR="00B10998" w:rsidRDefault="00B10998">
      <w:pPr>
        <w:spacing w:before="80" w:after="60"/>
      </w:pPr>
      <w:r>
        <w:rPr>
          <w:rFonts w:ascii="Calibri" w:eastAsia="Calibri" w:hAnsi="Calibri" w:cs="Calibri"/>
          <w:b/>
          <w:bCs/>
          <w:color w:val="1F7A4C"/>
          <w:sz w:val="22"/>
          <w:szCs w:val="22"/>
        </w:rPr>
        <w:t xml:space="preserve">DOLO → </w:t>
      </w:r>
      <w:r>
        <w:rPr>
          <w:rFonts w:ascii="Calibri" w:eastAsia="Calibri" w:hAnsi="Calibri" w:cs="Calibri"/>
          <w:color w:val="051A3D"/>
          <w:sz w:val="22"/>
          <w:szCs w:val="22"/>
        </w:rPr>
        <w:t>GATE → Resultado A, valimento do cargo, art. 117, IX, demissão</w:t>
      </w:r>
    </w:p>
    <w:p w14:paraId="759F2179" w14:textId="77777777" w:rsidR="00B10998" w:rsidRDefault="00B10998">
      <w:pPr>
        <w:spacing w:before="80" w:after="60"/>
      </w:pPr>
      <w:r>
        <w:rPr>
          <w:rFonts w:ascii="Calibri" w:eastAsia="Calibri" w:hAnsi="Calibri" w:cs="Calibri"/>
          <w:b/>
          <w:bCs/>
          <w:color w:val="0B2C5F"/>
          <w:sz w:val="22"/>
          <w:szCs w:val="22"/>
        </w:rPr>
        <w:t xml:space="preserve">CULPA → </w:t>
      </w:r>
      <w:r>
        <w:rPr>
          <w:rFonts w:ascii="Calibri" w:eastAsia="Calibri" w:hAnsi="Calibri" w:cs="Calibri"/>
          <w:color w:val="051A3D"/>
          <w:sz w:val="22"/>
          <w:szCs w:val="22"/>
        </w:rPr>
        <w:t>Resultado B, gestão culposa, art. 116, II, IX e XI, advertência ou suspensão</w:t>
      </w:r>
    </w:p>
    <w:p w14:paraId="74D4162A" w14:textId="77777777" w:rsidR="00B10998" w:rsidRDefault="00B10998">
      <w:pPr>
        <w:spacing w:before="80" w:after="60"/>
      </w:pPr>
      <w:r>
        <w:rPr>
          <w:rFonts w:ascii="Calibri" w:eastAsia="Calibri" w:hAnsi="Calibri" w:cs="Calibri"/>
          <w:b/>
          <w:bCs/>
          <w:color w:val="B42318"/>
          <w:sz w:val="22"/>
          <w:szCs w:val="22"/>
        </w:rPr>
        <w:t xml:space="preserve">SEM ELEMENTO → </w:t>
      </w:r>
      <w:r>
        <w:rPr>
          <w:rFonts w:ascii="Calibri" w:eastAsia="Calibri" w:hAnsi="Calibri" w:cs="Calibri"/>
          <w:color w:val="051A3D"/>
          <w:sz w:val="22"/>
          <w:szCs w:val="22"/>
        </w:rPr>
        <w:t>Sem ilícito disciplinar</w:t>
      </w:r>
    </w:p>
    <w:p w14:paraId="0763492A" w14:textId="77777777" w:rsidR="00B10998" w:rsidRDefault="00B10998">
      <w:pPr>
        <w:pBdr>
          <w:bottom w:val="single" w:sz="4" w:space="1" w:color="C9A35C"/>
        </w:pBdr>
        <w:spacing w:before="200" w:after="200"/>
      </w:pPr>
    </w:p>
    <w:p w14:paraId="06FA8623" w14:textId="77777777" w:rsidR="00B10998" w:rsidRDefault="00B10998">
      <w:pPr>
        <w:pStyle w:val="Ttulo2"/>
        <w:keepNext/>
        <w:pBdr>
          <w:left w:val="single" w:sz="10" w:space="6" w:color="C9A35C"/>
        </w:pBdr>
      </w:pPr>
      <w:bookmarkStart w:id="164" w:name="_Toc238022155"/>
      <w:r>
        <w:t xml:space="preserve">P4-B, </w:t>
      </w:r>
      <w:proofErr w:type="gramStart"/>
      <w:r>
        <w:t>Qual</w:t>
      </w:r>
      <w:proofErr w:type="gramEnd"/>
      <w:r>
        <w:t xml:space="preserve"> o elemento subjetivo, considerada a ausência de justificativa isonômica já constatada?</w:t>
      </w:r>
      <w:bookmarkEnd w:id="164"/>
    </w:p>
    <w:p w14:paraId="53F890D4" w14:textId="77777777" w:rsidR="00B10998" w:rsidRDefault="00B10998">
      <w:pPr>
        <w:pStyle w:val="Ttulo3"/>
        <w:keepNext/>
      </w:pPr>
      <w:r>
        <w:rPr>
          <w:rFonts w:ascii="Calibri" w:eastAsia="Calibri" w:hAnsi="Calibri" w:cs="Calibri"/>
        </w:rPr>
        <w:t>O que avaliar</w:t>
      </w:r>
    </w:p>
    <w:p w14:paraId="01D903FD" w14:textId="77777777" w:rsidR="00B10998" w:rsidRDefault="00B10998">
      <w:pPr>
        <w:spacing w:after="120"/>
        <w:jc w:val="both"/>
      </w:pPr>
      <w:r>
        <w:rPr>
          <w:rFonts w:ascii="Calibri" w:eastAsia="Calibri" w:hAnsi="Calibri" w:cs="Calibri"/>
          <w:color w:val="051A3D"/>
          <w:sz w:val="22"/>
          <w:szCs w:val="22"/>
        </w:rPr>
        <w:t>Esta pergunta é materialmente idêntica a P4 e produz os mesmos três desfechos. A diferença é de contexto argumentativo, e ela é relevante para a fundamentação do relatório.</w:t>
      </w:r>
    </w:p>
    <w:p w14:paraId="7D7AB4C2" w14:textId="77777777" w:rsidR="00B10998" w:rsidRDefault="00B10998">
      <w:pPr>
        <w:spacing w:after="120"/>
        <w:jc w:val="both"/>
      </w:pPr>
      <w:r>
        <w:rPr>
          <w:rFonts w:ascii="Calibri" w:eastAsia="Calibri" w:hAnsi="Calibri" w:cs="Calibri"/>
          <w:color w:val="051A3D"/>
          <w:sz w:val="22"/>
          <w:szCs w:val="22"/>
        </w:rPr>
        <w:t xml:space="preserve">Quando a análise chega aqui, já está estabelecido nos autos que a medida gerencial não tinha justificativa objetiva documentável nem foi aplicada </w:t>
      </w:r>
      <w:proofErr w:type="spellStart"/>
      <w:r>
        <w:rPr>
          <w:rFonts w:ascii="Calibri" w:eastAsia="Calibri" w:hAnsi="Calibri" w:cs="Calibri"/>
          <w:color w:val="051A3D"/>
          <w:sz w:val="22"/>
          <w:szCs w:val="22"/>
        </w:rPr>
        <w:t>isonomicamente</w:t>
      </w:r>
      <w:proofErr w:type="spellEnd"/>
      <w:r>
        <w:rPr>
          <w:rFonts w:ascii="Calibri" w:eastAsia="Calibri" w:hAnsi="Calibri" w:cs="Calibri"/>
          <w:color w:val="051A3D"/>
          <w:sz w:val="22"/>
          <w:szCs w:val="22"/>
        </w:rPr>
        <w:t>. Esse achado não presume o dolo, mas constitui indício robusto de que o instrumento de gestão foi dirigido à pessoa da vítima, e não ao resultado do serviço.</w:t>
      </w:r>
    </w:p>
    <w:p w14:paraId="67756AFE" w14:textId="77777777" w:rsidR="00B10998" w:rsidRDefault="00B10998">
      <w:pPr>
        <w:spacing w:after="120"/>
        <w:jc w:val="both"/>
      </w:pPr>
      <w:r>
        <w:rPr>
          <w:rFonts w:ascii="Calibri" w:eastAsia="Calibri" w:hAnsi="Calibri" w:cs="Calibri"/>
          <w:color w:val="051A3D"/>
          <w:sz w:val="22"/>
          <w:szCs w:val="22"/>
        </w:rPr>
        <w:t>A consequência prática é o deslocamento do ônus argumentativo. Sustentar a resposta CULPA a partir deste ponto exige explicar por que uma medida sem justificativa objetiva e aplicada seletivamente contra uma única servidora ou servidor decorreria de negligência gerencial, e não de vontade dirigida. Essa explicação é possível — a gestão desorganizada existe — mas precisa ser afirmativamente demonstrada, e não presumida.</w:t>
      </w:r>
    </w:p>
    <w:p w14:paraId="1E966E10" w14:textId="77777777" w:rsidR="00B10998" w:rsidRDefault="00B10998">
      <w:pPr>
        <w:spacing w:after="120"/>
        <w:jc w:val="both"/>
      </w:pPr>
      <w:r>
        <w:rPr>
          <w:rFonts w:ascii="Calibri" w:eastAsia="Calibri" w:hAnsi="Calibri" w:cs="Calibri"/>
          <w:b/>
          <w:bCs/>
          <w:color w:val="051A3D"/>
          <w:sz w:val="22"/>
          <w:szCs w:val="22"/>
        </w:rPr>
        <w:t>Critérios de resposta:</w:t>
      </w:r>
      <w:r>
        <w:rPr>
          <w:rFonts w:ascii="Calibri" w:eastAsia="Calibri" w:hAnsi="Calibri" w:cs="Calibri"/>
          <w:color w:val="051A3D"/>
          <w:sz w:val="22"/>
          <w:szCs w:val="22"/>
        </w:rPr>
        <w:t xml:space="preserve"> os mesmos de P4, com a orientação adicional de que a resposta CULPA e a resposta SEM ELEMENTO devem ser expressamente fundamentadas no relatório, com indicação dos elementos dos autos que afastam a vontade dirigida.</w:t>
      </w:r>
    </w:p>
    <w:p w14:paraId="0C0922D9" w14:textId="77777777" w:rsidR="00B10998" w:rsidRDefault="00B10998">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413B2570"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558A99CD" w14:textId="77777777" w:rsidR="00B10998" w:rsidRDefault="00B10998">
            <w:pPr>
              <w:jc w:val="both"/>
            </w:pPr>
            <w:r>
              <w:rPr>
                <w:rFonts w:ascii="Calibri" w:eastAsia="Calibri" w:hAnsi="Calibri" w:cs="Calibri"/>
                <w:b/>
                <w:bCs/>
                <w:color w:val="0B2C5F"/>
                <w:sz w:val="20"/>
                <w:szCs w:val="20"/>
              </w:rPr>
              <w:t>Alerta, não confunda com inversão do ônus da prova:</w:t>
            </w:r>
            <w:r>
              <w:rPr>
                <w:rFonts w:ascii="Calibri" w:eastAsia="Calibri" w:hAnsi="Calibri" w:cs="Calibri"/>
                <w:color w:val="051A3D"/>
                <w:sz w:val="20"/>
                <w:szCs w:val="20"/>
              </w:rPr>
              <w:t xml:space="preserve"> a ausência de justificativa isonômica não transfere ao servidor o dever de provar sua inocência. A comissão continua obrigada a demonstrar o elemento subjetivo com base nos autos. O que se desloca é o ônus argumentativo na redação do relatório, não o ônus probatório do procedimento.</w:t>
            </w:r>
          </w:p>
        </w:tc>
      </w:tr>
    </w:tbl>
    <w:p w14:paraId="15181CF8" w14:textId="77777777" w:rsidR="00B10998" w:rsidRDefault="00B10998">
      <w:pPr>
        <w:spacing w:after="120"/>
        <w:jc w:val="both"/>
      </w:pPr>
    </w:p>
    <w:p w14:paraId="591C236B" w14:textId="77777777" w:rsidR="00B10998" w:rsidRDefault="00B10998">
      <w:pPr>
        <w:spacing w:before="80" w:after="60"/>
      </w:pPr>
      <w:r>
        <w:rPr>
          <w:rFonts w:ascii="Calibri" w:eastAsia="Calibri" w:hAnsi="Calibri" w:cs="Calibri"/>
          <w:b/>
          <w:bCs/>
          <w:color w:val="0B2C5F"/>
          <w:sz w:val="22"/>
          <w:szCs w:val="22"/>
        </w:rPr>
        <w:lastRenderedPageBreak/>
        <w:t xml:space="preserve">DOLO → </w:t>
      </w:r>
      <w:r>
        <w:rPr>
          <w:rFonts w:ascii="Calibri" w:eastAsia="Calibri" w:hAnsi="Calibri" w:cs="Calibri"/>
          <w:color w:val="051A3D"/>
          <w:sz w:val="22"/>
          <w:szCs w:val="22"/>
        </w:rPr>
        <w:t>GATE → Resultado A, assédio moral com valimento do cargo, art. 117, IX, demissão</w:t>
      </w:r>
    </w:p>
    <w:p w14:paraId="2787AB18" w14:textId="77777777" w:rsidR="00B10998" w:rsidRDefault="00B10998">
      <w:pPr>
        <w:spacing w:before="80" w:after="60"/>
      </w:pPr>
      <w:r>
        <w:rPr>
          <w:rFonts w:ascii="Calibri" w:eastAsia="Calibri" w:hAnsi="Calibri" w:cs="Calibri"/>
          <w:b/>
          <w:bCs/>
          <w:color w:val="0B2C5F"/>
          <w:sz w:val="22"/>
          <w:szCs w:val="22"/>
        </w:rPr>
        <w:t xml:space="preserve">CULPA → </w:t>
      </w:r>
      <w:r>
        <w:rPr>
          <w:rFonts w:ascii="Calibri" w:eastAsia="Calibri" w:hAnsi="Calibri" w:cs="Calibri"/>
          <w:color w:val="051A3D"/>
          <w:sz w:val="22"/>
          <w:szCs w:val="22"/>
        </w:rPr>
        <w:t>Resultado B, gestão culposa, art. 116, II, IX e XI</w:t>
      </w:r>
    </w:p>
    <w:p w14:paraId="1ABB8ECA" w14:textId="77777777" w:rsidR="00B10998" w:rsidRDefault="00B10998">
      <w:pPr>
        <w:spacing w:before="80" w:after="60"/>
      </w:pPr>
      <w:r>
        <w:rPr>
          <w:rFonts w:ascii="Calibri" w:eastAsia="Calibri" w:hAnsi="Calibri" w:cs="Calibri"/>
          <w:b/>
          <w:bCs/>
          <w:color w:val="0B2C5F"/>
          <w:sz w:val="22"/>
          <w:szCs w:val="22"/>
        </w:rPr>
        <w:t xml:space="preserve">SEM ELEMENTO → </w:t>
      </w:r>
      <w:r>
        <w:rPr>
          <w:rFonts w:ascii="Calibri" w:eastAsia="Calibri" w:hAnsi="Calibri" w:cs="Calibri"/>
          <w:color w:val="051A3D"/>
          <w:sz w:val="22"/>
          <w:szCs w:val="22"/>
        </w:rPr>
        <w:t>Sem ilícito disciplinar</w:t>
      </w:r>
    </w:p>
    <w:p w14:paraId="28619168" w14:textId="77777777" w:rsidR="00B10998" w:rsidRDefault="00B10998">
      <w:pPr>
        <w:spacing w:after="120"/>
        <w:jc w:val="both"/>
      </w:pPr>
    </w:p>
    <w:p w14:paraId="42141B32" w14:textId="77777777" w:rsidR="00B10998" w:rsidRDefault="00B10998">
      <w:pPr>
        <w:pStyle w:val="Ttulo2"/>
        <w:keepNext/>
        <w:pBdr>
          <w:left w:val="single" w:sz="10" w:space="6" w:color="C9A35C"/>
        </w:pBdr>
      </w:pPr>
      <w:bookmarkStart w:id="165" w:name="_Toc238022156"/>
      <w:r>
        <w:t xml:space="preserve">P3-B, </w:t>
      </w:r>
      <w:proofErr w:type="gramStart"/>
      <w:r>
        <w:t>Há</w:t>
      </w:r>
      <w:proofErr w:type="gramEnd"/>
      <w:r>
        <w:t xml:space="preserve"> grave ofensa à moralidade administrativa?</w:t>
      </w:r>
      <w:bookmarkEnd w:id="165"/>
    </w:p>
    <w:p w14:paraId="186433E5" w14:textId="77777777" w:rsidR="00B10998" w:rsidRDefault="00B10998">
      <w:pPr>
        <w:pStyle w:val="Ttulo3"/>
        <w:keepNext/>
      </w:pPr>
      <w:r>
        <w:rPr>
          <w:rFonts w:ascii="Calibri" w:eastAsia="Calibri" w:hAnsi="Calibri" w:cs="Calibri"/>
        </w:rPr>
        <w:t>O que avaliar</w:t>
      </w:r>
    </w:p>
    <w:p w14:paraId="57278CCA" w14:textId="77777777" w:rsidR="00B10998" w:rsidRDefault="00B10998">
      <w:pPr>
        <w:spacing w:after="120"/>
        <w:jc w:val="both"/>
      </w:pPr>
      <w:r>
        <w:rPr>
          <w:rFonts w:ascii="Calibri" w:eastAsia="Calibri" w:hAnsi="Calibri" w:cs="Calibri"/>
          <w:color w:val="051A3D"/>
          <w:sz w:val="22"/>
          <w:szCs w:val="22"/>
        </w:rPr>
        <w:t>Esta pergunta é alcançada por três rotas distintas: (a) ato isolado grave sem uso do cargo; (b) assédio reiterado vertical sem uso do cargo; (c) assédio reiterado horizontal ou ascendente, com ou sem motivação discriminatória. Em todos os casos, avalia-se se a conduta viola flagrantemente os padrões éticos do serviço público, compromete o ambiente de trabalho de forma duradoura ou causa escândalo institucional.</w:t>
      </w:r>
    </w:p>
    <w:p w14:paraId="23510EDB" w14:textId="77777777" w:rsidR="00B10998" w:rsidRDefault="00B10998">
      <w:pPr>
        <w:spacing w:after="120"/>
        <w:jc w:val="both"/>
      </w:pPr>
      <w:r>
        <w:rPr>
          <w:rFonts w:ascii="Calibri" w:eastAsia="Calibri" w:hAnsi="Calibri" w:cs="Calibri"/>
          <w:color w:val="051A3D"/>
          <w:sz w:val="22"/>
          <w:szCs w:val="22"/>
        </w:rPr>
        <w:t>A gravidade é avaliada considerando: dimensão coletiva da conduta (afetou o ambiente como um todo ou foi bilateral?); documentação do impacto sobre a vítima (laudo, afastamento, comprometimento funcional); ostensividade (foi praticada publicamente, com visibilidade para a equipe?); duração e intensidade do padrão.</w:t>
      </w:r>
    </w:p>
    <w:p w14:paraId="77B3A97E" w14:textId="77777777" w:rsidR="00B10998" w:rsidRDefault="00B10998">
      <w:pPr>
        <w:pStyle w:val="Ttulo3"/>
        <w:keepNext/>
      </w:pPr>
      <w:r>
        <w:rPr>
          <w:rFonts w:ascii="Calibri" w:eastAsia="Calibri" w:hAnsi="Calibri" w:cs="Calibri"/>
        </w:rPr>
        <w:t>Satisfaz a condição, responda SIM (alta gravidade)</w:t>
      </w:r>
    </w:p>
    <w:p w14:paraId="427A40FB"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Conduta pública e coletiva que comprometeu o ambiente de trabalho como um todo, não apenas a relação bilateral agressor-vítima</w:t>
      </w:r>
    </w:p>
    <w:p w14:paraId="671BC0E9"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Laudo psicológico ou afastamento médico prolongado documentando impacto grave sobre a vítima</w:t>
      </w:r>
    </w:p>
    <w:p w14:paraId="2EC4A1C8"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Isolamento funcional completo da vítima, reconhecível por toda a equipe</w:t>
      </w:r>
    </w:p>
    <w:p w14:paraId="487F4827"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Intensidade e frequência do padrão que, pelo conjunto, revela violação grave dos princípios éticos da função pública</w:t>
      </w:r>
    </w:p>
    <w:p w14:paraId="55FFD97B" w14:textId="77777777" w:rsidR="00B10998" w:rsidRDefault="00B10998">
      <w:pPr>
        <w:pStyle w:val="Ttulo3"/>
        <w:keepNext/>
      </w:pPr>
      <w:r>
        <w:rPr>
          <w:rFonts w:ascii="Calibri" w:eastAsia="Calibri" w:hAnsi="Calibri" w:cs="Calibri"/>
        </w:rPr>
        <w:t>Não satisfaz a condição, responda NÃO (baixa/média gravidade)</w:t>
      </w:r>
    </w:p>
    <w:p w14:paraId="5347314E"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Conduta bilateral, entre agressor e vítima, sem dimensão coletiva significativa</w:t>
      </w:r>
    </w:p>
    <w:p w14:paraId="6D3B4D35"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Ausência de impacto documentado de alta gravidade</w:t>
      </w:r>
    </w:p>
    <w:p w14:paraId="170DDC39"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Padrão de menor intensidade, sem repercussão institucional além do sofrimento individual da vítima</w:t>
      </w:r>
    </w:p>
    <w:p w14:paraId="09C634D4" w14:textId="77777777" w:rsidR="00B10998" w:rsidRDefault="00B10998">
      <w:pPr>
        <w:pStyle w:val="Ttulo3"/>
        <w:keepNext/>
      </w:pPr>
      <w:r>
        <w:rPr>
          <w:rFonts w:ascii="Calibri" w:eastAsia="Calibri" w:hAnsi="Calibri" w:cs="Calibri"/>
        </w:rPr>
        <w:t>O que buscar nos autos</w:t>
      </w:r>
    </w:p>
    <w:p w14:paraId="13E54C63"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Depoimentos de colegas sobre percepção do ambiente de trabalho e da dinâmica da equipe</w:t>
      </w:r>
    </w:p>
    <w:p w14:paraId="5EB01B40"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Laudo ou atestado médico com conexão ao período das condutas</w:t>
      </w:r>
    </w:p>
    <w:p w14:paraId="25124350"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Atas de reunião, registros de comunicações coletivas, qualquer elemento que documente a ostensividade</w:t>
      </w:r>
    </w:p>
    <w:p w14:paraId="48AD1E77" w14:textId="77777777" w:rsidR="00B10998" w:rsidRDefault="00B10998">
      <w:pPr>
        <w:spacing w:before="80"/>
      </w:pPr>
    </w:p>
    <w:p w14:paraId="3476A33B"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GATE → Resultado C, conduta escandalosa, art. 132, V, demissão</w:t>
      </w:r>
    </w:p>
    <w:p w14:paraId="4660ECC5"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Resultado D, conduta imprópria, art. 116, II, IX e XI, advertência ou suspensão</w:t>
      </w:r>
    </w:p>
    <w:p w14:paraId="0F680F58" w14:textId="77777777" w:rsidR="00B10998" w:rsidRDefault="00B10998">
      <w:pPr>
        <w:pBdr>
          <w:bottom w:val="single" w:sz="4" w:space="1" w:color="C9A35C"/>
        </w:pBdr>
        <w:spacing w:before="200" w:after="200"/>
      </w:pPr>
    </w:p>
    <w:p w14:paraId="26216B47" w14:textId="77777777" w:rsidR="00B10998" w:rsidRDefault="00B10998">
      <w:pPr>
        <w:spacing w:before="120" w:after="60"/>
      </w:pPr>
      <w:r>
        <w:rPr>
          <w:rFonts w:ascii="Barlow Condensed" w:eastAsia="Barlow Condensed" w:hAnsi="Barlow Condensed" w:cs="Barlow Condensed"/>
          <w:b/>
          <w:bCs/>
          <w:color w:val="0B2C5F"/>
          <w:sz w:val="22"/>
          <w:szCs w:val="22"/>
        </w:rPr>
        <w:t>═══ RAMO REITERADO ═══</w:t>
      </w:r>
    </w:p>
    <w:p w14:paraId="6B1D4122" w14:textId="77777777" w:rsidR="00B10998" w:rsidRDefault="00B10998">
      <w:pPr>
        <w:spacing w:before="80"/>
      </w:pPr>
    </w:p>
    <w:p w14:paraId="5C5893FC" w14:textId="77777777" w:rsidR="00B10998" w:rsidRDefault="00B10998">
      <w:pPr>
        <w:pStyle w:val="Ttulo2"/>
        <w:keepNext/>
        <w:pBdr>
          <w:left w:val="single" w:sz="10" w:space="6" w:color="C9A35C"/>
        </w:pBdr>
      </w:pPr>
      <w:bookmarkStart w:id="166" w:name="_Toc238022157"/>
      <w:r>
        <w:t>P5, A escolha da vítima está associada a característica pessoal protegida?</w:t>
      </w:r>
      <w:bookmarkEnd w:id="166"/>
    </w:p>
    <w:p w14:paraId="4D321445" w14:textId="77777777" w:rsidR="00B10998" w:rsidRDefault="00B10998">
      <w:pPr>
        <w:pStyle w:val="Ttulo3"/>
        <w:keepNext/>
      </w:pPr>
      <w:r>
        <w:rPr>
          <w:rFonts w:ascii="Calibri" w:eastAsia="Calibri" w:hAnsi="Calibri" w:cs="Calibri"/>
        </w:rPr>
        <w:t>O que avaliar</w:t>
      </w:r>
    </w:p>
    <w:p w14:paraId="15408039" w14:textId="77777777" w:rsidR="00B10998" w:rsidRDefault="00B10998">
      <w:pPr>
        <w:spacing w:after="120"/>
        <w:jc w:val="both"/>
      </w:pPr>
      <w:r>
        <w:rPr>
          <w:rFonts w:ascii="Calibri" w:eastAsia="Calibri" w:hAnsi="Calibri" w:cs="Calibri"/>
          <w:color w:val="051A3D"/>
          <w:sz w:val="22"/>
          <w:szCs w:val="22"/>
        </w:rPr>
        <w:t>A pergunta central é: a vítima foi escolhida por quem é, ou o padrão hostil poderia ter se dirigido a qualquer servidor naquela posição? Identificada a associação a característica pessoal protegida — raça, cor, etnia, gênero, identidade de gênero, orientação sexual, religião, deficiência, idade, origem nacional ou regional, condição de saúde ou status de licença protegida —, configura-se o assédio moral discriminatório, modalidade qualificada que exige análise cumulativa pelo Eixo 4.</w:t>
      </w:r>
    </w:p>
    <w:p w14:paraId="6683C66C" w14:textId="77777777" w:rsidR="00B10998" w:rsidRDefault="00B10998">
      <w:pPr>
        <w:spacing w:after="120"/>
        <w:jc w:val="both"/>
      </w:pPr>
      <w:r>
        <w:rPr>
          <w:rFonts w:ascii="Calibri" w:eastAsia="Calibri" w:hAnsi="Calibri" w:cs="Calibri"/>
          <w:color w:val="051A3D"/>
          <w:sz w:val="22"/>
          <w:szCs w:val="22"/>
        </w:rPr>
        <w:t>Esta pergunta antecede a apuração da direção hierárquica, e a ordem é deliberada. Na versão anterior do fluxo, a verificação era feita apenas nas modalidades horizontal e ascendente, sob a premissa implícita de que, havendo hierarquia, a hierarquia já explicaria a escolha da vítima. A premissa é falsa e produzia o resultado mais indesejável possível: o alerta de cumulatividade deixava de ser emitido exatamente na hipótese de maior reprovabilidade, a do superior que persegue subordinada em razão de característica protegida. A existência de relação hierárquica não substitui nem dispensa esta verificação.</w:t>
      </w:r>
    </w:p>
    <w:p w14:paraId="68601485" w14:textId="77777777" w:rsidR="00B10998" w:rsidRDefault="00B10998">
      <w:pPr>
        <w:spacing w:after="120"/>
        <w:jc w:val="both"/>
      </w:pPr>
      <w:r>
        <w:rPr>
          <w:rFonts w:ascii="Calibri" w:eastAsia="Calibri" w:hAnsi="Calibri" w:cs="Calibri"/>
          <w:color w:val="051A3D"/>
          <w:sz w:val="22"/>
          <w:szCs w:val="22"/>
        </w:rPr>
        <w:t>A resposta afirmativa não altera o percurso analítico do Eixo 5. Ela registra o qualificador nos autos e impõe que o Eixo 4 seja percorrido separadamente ao final, com possibilidade de enquadramento simultâneo e ponderação de concurso de faltas na dosimetria do art. 128, da Lei nº 8.112, de 11 de dezembro de 1990.</w:t>
      </w:r>
    </w:p>
    <w:p w14:paraId="490012C0" w14:textId="77777777" w:rsidR="00B10998" w:rsidRDefault="00B10998">
      <w:pPr>
        <w:pStyle w:val="Ttulo3"/>
        <w:keepNext/>
      </w:pPr>
      <w:r>
        <w:rPr>
          <w:rFonts w:ascii="Calibri" w:eastAsia="Calibri" w:hAnsi="Calibri" w:cs="Calibri"/>
        </w:rPr>
        <w:t>Satisfaz a condição, responda SIM</w:t>
      </w:r>
    </w:p>
    <w:p w14:paraId="22DC20D3"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 vítima é a única, ou uma das poucas, pessoas do grupo protegido na unidade, e o padrão hostil não atinge servidores fora desse grupo</w:t>
      </w:r>
    </w:p>
    <w:p w14:paraId="71E406A8"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Há registro de comentários, referências ou expressões do agressor relacionados à característica protegida da vítima, ainda que esparsos</w:t>
      </w:r>
    </w:p>
    <w:p w14:paraId="53E04A39"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O padrão hostil iniciou-se ou intensificou-se após fato que tornou a característica visível ou conhecida — retorno de licença, revelação de condição de saúde, mudança de apresentação de gênero</w:t>
      </w:r>
    </w:p>
    <w:p w14:paraId="5E8C5BD3"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O método comparativo revela que servidores em situação funcional análoga, sem a característica, receberam tratamento diverso</w:t>
      </w:r>
    </w:p>
    <w:p w14:paraId="49AB95CD" w14:textId="77777777" w:rsidR="00B10998" w:rsidRDefault="00B10998">
      <w:pPr>
        <w:pStyle w:val="Ttulo3"/>
        <w:keepNext/>
      </w:pPr>
      <w:r>
        <w:rPr>
          <w:rFonts w:ascii="Calibri" w:eastAsia="Calibri" w:hAnsi="Calibri" w:cs="Calibri"/>
        </w:rPr>
        <w:t>Não satisfaz a condição, responda NÃO</w:t>
      </w:r>
    </w:p>
    <w:p w14:paraId="569EC5BE"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O padrão hostil atinge indistintamente servidores dentro e fora do grupo protegido</w:t>
      </w:r>
    </w:p>
    <w:p w14:paraId="2414F5EC"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 origem documentada do conflito é funcional, e não pessoal, e não há elemento que a associe à característica</w:t>
      </w:r>
    </w:p>
    <w:p w14:paraId="532B27CA"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 característica protegida existe, mas nada nos autos a vincula à escolha da vítima</w:t>
      </w:r>
    </w:p>
    <w:p w14:paraId="39A24E0B" w14:textId="77777777" w:rsidR="00B10998" w:rsidRDefault="00B10998">
      <w:pPr>
        <w:pStyle w:val="Ttulo3"/>
        <w:keepNext/>
      </w:pPr>
      <w:r>
        <w:rPr>
          <w:rFonts w:ascii="Calibri" w:eastAsia="Calibri" w:hAnsi="Calibri" w:cs="Calibri"/>
        </w:rPr>
        <w:lastRenderedPageBreak/>
        <w:t>O que buscar nos autos</w:t>
      </w:r>
    </w:p>
    <w:p w14:paraId="2298D7C9"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Composição do grupo atingido pelo padrão hostil, com identificação de quem foi e quem não foi alcançado</w:t>
      </w:r>
    </w:p>
    <w:p w14:paraId="5C9B010D"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Método comparativo aplicado a servidores em situação funcional análoga</w:t>
      </w:r>
    </w:p>
    <w:p w14:paraId="4184310E"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Cronologia entre o conhecimento da característica pela chefia ou pela equipe e o início ou a intensificação do padrão</w:t>
      </w:r>
    </w:p>
    <w:p w14:paraId="075ABE0E"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Registros de expressões ou referências do agressor à característica, em qualquer canal</w:t>
      </w:r>
    </w:p>
    <w:p w14:paraId="3F39DC01" w14:textId="77777777" w:rsidR="001D5E73" w:rsidRDefault="001D5E73">
      <w:pPr>
        <w:spacing w:after="120"/>
        <w:jc w:val="both"/>
      </w:pPr>
      <w:r>
        <w:rPr>
          <w:b/>
          <w:bCs/>
        </w:rPr>
        <w:t>Alerta, hierarquia não é explicação suficiente:</w:t>
      </w:r>
      <w:r>
        <w:t xml:space="preserve"> o fato de o agressor ser chefe da vítima não dispensa esta pergunta. O assédio moral vertical com motivação discriminatória é a hipótese mais grave do eixo, e encerrar a análise sem percorrer o Eixo 4 produz enquadramento incompleto.</w:t>
      </w:r>
    </w:p>
    <w:p w14:paraId="29B9DFB1" w14:textId="77777777" w:rsidR="001D5E73" w:rsidRDefault="001D5E73">
      <w:pPr>
        <w:spacing w:after="120"/>
        <w:jc w:val="both"/>
      </w:pPr>
      <w:r>
        <w:rPr>
          <w:b/>
          <w:bCs/>
        </w:rPr>
        <w:t>Alerta, o registro é obrigatório mesmo sem alteração de percurso:</w:t>
      </w:r>
      <w:r>
        <w:t xml:space="preserve"> a resposta afirmativa não muda o resultado do Eixo 5, mas deve constar expressamente do relatório. A omissão impede que a autoridade julgadora pondere o concurso de faltas.</w:t>
      </w:r>
    </w:p>
    <w:p w14:paraId="5AC74E29" w14:textId="77777777" w:rsidR="00B10998" w:rsidRDefault="00B10998">
      <w:pPr>
        <w:spacing w:before="80"/>
      </w:pPr>
    </w:p>
    <w:p w14:paraId="2B0E51F6" w14:textId="77777777" w:rsidR="00B10998" w:rsidRDefault="00B10998">
      <w:pPr>
        <w:spacing w:before="80" w:after="60"/>
      </w:pPr>
      <w:r>
        <w:rPr>
          <w:rFonts w:ascii="Calibri" w:eastAsia="Calibri" w:hAnsi="Calibri" w:cs="Calibri"/>
          <w:b/>
          <w:bCs/>
          <w:color w:val="0B2C5F"/>
          <w:sz w:val="22"/>
          <w:szCs w:val="22"/>
        </w:rPr>
        <w:t>SIM → P6, com alerta de assédio moral discriminatório e determinação de análise cumulativa pelo Eixo 4</w:t>
      </w:r>
    </w:p>
    <w:p w14:paraId="5F6B26C1" w14:textId="77777777" w:rsidR="00B10998" w:rsidRDefault="00B10998">
      <w:pPr>
        <w:spacing w:before="80" w:after="60"/>
      </w:pPr>
      <w:r>
        <w:rPr>
          <w:rFonts w:ascii="Calibri" w:eastAsia="Calibri" w:hAnsi="Calibri" w:cs="Calibri"/>
          <w:b/>
          <w:bCs/>
          <w:color w:val="0B2C5F"/>
          <w:sz w:val="22"/>
          <w:szCs w:val="22"/>
        </w:rPr>
        <w:t>NÃO → P6</w:t>
      </w:r>
    </w:p>
    <w:p w14:paraId="2CBA9288" w14:textId="77777777" w:rsidR="00B10998" w:rsidRDefault="00B10998">
      <w:pPr>
        <w:spacing w:before="80"/>
      </w:pPr>
    </w:p>
    <w:p w14:paraId="0C942BC6" w14:textId="77777777" w:rsidR="00B10998" w:rsidRDefault="00B10998">
      <w:pPr>
        <w:pStyle w:val="Ttulo2"/>
        <w:keepNext/>
        <w:pBdr>
          <w:left w:val="single" w:sz="10" w:space="6" w:color="C9A35C"/>
        </w:pBdr>
      </w:pPr>
      <w:bookmarkStart w:id="167" w:name="_Toc238022158"/>
      <w:r>
        <w:t>P6, Qual a direção hierárquica do assédio reiterado?</w:t>
      </w:r>
      <w:bookmarkEnd w:id="167"/>
    </w:p>
    <w:p w14:paraId="2B5FFF88" w14:textId="77777777" w:rsidR="00B10998" w:rsidRDefault="00B10998">
      <w:pPr>
        <w:pStyle w:val="Ttulo3"/>
        <w:keepNext/>
      </w:pPr>
      <w:r>
        <w:rPr>
          <w:rFonts w:ascii="Calibri" w:eastAsia="Calibri" w:hAnsi="Calibri" w:cs="Calibri"/>
        </w:rPr>
        <w:t>O que avaliar</w:t>
      </w:r>
    </w:p>
    <w:p w14:paraId="1CDACB84" w14:textId="77777777" w:rsidR="00B10998" w:rsidRDefault="00B10998">
      <w:pPr>
        <w:spacing w:after="120"/>
        <w:jc w:val="both"/>
      </w:pPr>
      <w:r>
        <w:rPr>
          <w:rFonts w:ascii="Calibri" w:eastAsia="Calibri" w:hAnsi="Calibri" w:cs="Calibri"/>
          <w:color w:val="051A3D"/>
          <w:sz w:val="22"/>
          <w:szCs w:val="22"/>
        </w:rPr>
        <w:t>A pergunta central é: o assédio vai de superior para subordinado, entre pares, ou de subordinado para superior? A direção determina o caminho analítico subsequente: o assédio vertical abre a verificação do uso do cargo (P7), que pode levar à demissão via art. 117, IX. As modalidades horizontal e ascendente não têm acesso a esse qualificador e seguem diretamente para o resultado de grave ofensa à moralidade (P3-B), uma vez que a motivação discriminatória já foi verificada em P5, antes da apuração da direção hierárquica.</w:t>
      </w:r>
    </w:p>
    <w:p w14:paraId="10BE48E5" w14:textId="77777777" w:rsidR="00B10998" w:rsidRDefault="00B10998">
      <w:pPr>
        <w:spacing w:after="120"/>
        <w:jc w:val="both"/>
      </w:pPr>
      <w:r>
        <w:rPr>
          <w:rFonts w:ascii="Calibri" w:eastAsia="Calibri" w:hAnsi="Calibri" w:cs="Calibri"/>
          <w:color w:val="051A3D"/>
          <w:sz w:val="22"/>
          <w:szCs w:val="22"/>
        </w:rPr>
        <w:t>A direção é definida pela posição hierárquica formal das partes no momento das condutas, não pela influência informal. O servidor sem cargo de chefia que exerce influência sobre a vítima por outros meios é avaliado na modalidade horizontal, não vertical.</w:t>
      </w:r>
    </w:p>
    <w:p w14:paraId="6EFF26AC" w14:textId="77777777" w:rsidR="00B10998" w:rsidRDefault="00B10998">
      <w:pPr>
        <w:pStyle w:val="Ttulo3"/>
        <w:keepNext/>
      </w:pPr>
      <w:r>
        <w:rPr>
          <w:rFonts w:ascii="Calibri" w:eastAsia="Calibri" w:hAnsi="Calibri" w:cs="Calibri"/>
        </w:rPr>
        <w:t>O que buscar nos autos</w:t>
      </w:r>
    </w:p>
    <w:p w14:paraId="4D7B7823"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Organograma da unidade e cargos das partes no período das condutas</w:t>
      </w:r>
    </w:p>
    <w:p w14:paraId="14BCC709"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Depoimentos que confirmem a natureza da relação hierárquica no contexto em que os episódios ocorreram</w:t>
      </w:r>
    </w:p>
    <w:p w14:paraId="292C6276" w14:textId="77777777" w:rsidR="00B10998" w:rsidRDefault="00B10998">
      <w:pPr>
        <w:spacing w:before="80"/>
      </w:pPr>
    </w:p>
    <w:p w14:paraId="26CA1991" w14:textId="77777777" w:rsidR="00B10998" w:rsidRDefault="00B10998">
      <w:pPr>
        <w:spacing w:before="80" w:after="60"/>
      </w:pPr>
      <w:r>
        <w:rPr>
          <w:rFonts w:ascii="Calibri" w:eastAsia="Calibri" w:hAnsi="Calibri" w:cs="Calibri"/>
          <w:b/>
          <w:bCs/>
          <w:color w:val="0B2C5F"/>
          <w:sz w:val="22"/>
          <w:szCs w:val="22"/>
        </w:rPr>
        <w:t>VERTICAL → P7</w:t>
      </w:r>
    </w:p>
    <w:p w14:paraId="32439B34" w14:textId="77777777" w:rsidR="00B10998" w:rsidRDefault="00B10998">
      <w:pPr>
        <w:spacing w:before="80" w:after="60"/>
      </w:pPr>
      <w:r>
        <w:rPr>
          <w:rFonts w:ascii="Calibri" w:eastAsia="Calibri" w:hAnsi="Calibri" w:cs="Calibri"/>
          <w:b/>
          <w:bCs/>
          <w:color w:val="0B2C5F"/>
          <w:sz w:val="22"/>
          <w:szCs w:val="22"/>
        </w:rPr>
        <w:t>HORIZONTAL → P3-B</w:t>
      </w:r>
    </w:p>
    <w:p w14:paraId="66A5F753" w14:textId="77777777" w:rsidR="00B10998" w:rsidRDefault="00B10998">
      <w:pPr>
        <w:spacing w:before="80" w:after="60"/>
      </w:pPr>
      <w:r>
        <w:rPr>
          <w:rFonts w:ascii="Calibri" w:eastAsia="Calibri" w:hAnsi="Calibri" w:cs="Calibri"/>
          <w:b/>
          <w:bCs/>
          <w:color w:val="0B2C5F"/>
          <w:sz w:val="22"/>
          <w:szCs w:val="22"/>
        </w:rPr>
        <w:t>ASCENDENTE → P3-B</w:t>
      </w:r>
    </w:p>
    <w:p w14:paraId="080E1867" w14:textId="77777777" w:rsidR="00B10998" w:rsidRDefault="00B10998">
      <w:pPr>
        <w:pBdr>
          <w:bottom w:val="single" w:sz="4" w:space="1" w:color="C9A35C"/>
        </w:pBdr>
        <w:spacing w:before="200" w:after="200"/>
      </w:pPr>
    </w:p>
    <w:p w14:paraId="1FCAD474" w14:textId="77777777" w:rsidR="00B10998" w:rsidRDefault="00B10998">
      <w:pPr>
        <w:pStyle w:val="Ttulo2"/>
        <w:keepNext/>
        <w:pBdr>
          <w:left w:val="single" w:sz="10" w:space="6" w:color="C9A35C"/>
        </w:pBdr>
      </w:pPr>
      <w:bookmarkStart w:id="168" w:name="_Toc238022159"/>
      <w:r>
        <w:t xml:space="preserve">P7, </w:t>
      </w:r>
      <w:proofErr w:type="gramStart"/>
      <w:r>
        <w:t>Houve</w:t>
      </w:r>
      <w:proofErr w:type="gramEnd"/>
      <w:r>
        <w:t xml:space="preserve"> uso do cargo ou poder hierárquico na conduta reiterada?</w:t>
      </w:r>
      <w:bookmarkEnd w:id="168"/>
    </w:p>
    <w:p w14:paraId="43451FFC" w14:textId="77777777" w:rsidR="00B10998" w:rsidRDefault="00B10998">
      <w:pPr>
        <w:pStyle w:val="Ttulo3"/>
        <w:keepNext/>
      </w:pPr>
      <w:r>
        <w:rPr>
          <w:rFonts w:ascii="Calibri" w:eastAsia="Calibri" w:hAnsi="Calibri" w:cs="Calibri"/>
        </w:rPr>
        <w:t>O que avaliar</w:t>
      </w:r>
    </w:p>
    <w:p w14:paraId="4DE8E914"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o agressor utilizou as prerrogativas do cargo, poder de avaliar, distribuir tarefas, organizar reuniões, decidir sobre progressões, acessar sistemas, como instrumentos do padrão de assédio?</w:t>
      </w:r>
      <w:r>
        <w:rPr>
          <w:rFonts w:ascii="Calibri" w:eastAsia="Calibri" w:hAnsi="Calibri" w:cs="Calibri"/>
          <w:color w:val="051A3D"/>
          <w:sz w:val="22"/>
          <w:szCs w:val="22"/>
        </w:rPr>
        <w:t xml:space="preserve"> O uso do cargo no assédio vertical é o qualificador que pode elevar o enquadramento ao art. 117, IX.</w:t>
      </w:r>
    </w:p>
    <w:p w14:paraId="7B4278A2" w14:textId="77777777" w:rsidR="00B10998" w:rsidRDefault="00B10998">
      <w:pPr>
        <w:spacing w:after="120"/>
        <w:jc w:val="both"/>
      </w:pPr>
      <w:r>
        <w:rPr>
          <w:rFonts w:ascii="Calibri" w:eastAsia="Calibri" w:hAnsi="Calibri" w:cs="Calibri"/>
          <w:color w:val="051A3D"/>
          <w:sz w:val="22"/>
          <w:szCs w:val="22"/>
        </w:rPr>
        <w:t>Uso do cargo no assédio reiterado: avaliações sistematicamente negativas sem correlação com desempenho objetivo, usadas como instrumento de pressão; atribuição contínua de tarefas impossíveis ou degradantes usando o poder de distribuição; exclusão sistemática de reuniões e decisões estratégicas usando o poder de organização da pauta; comunicados formais e institucionais empregados como instrumentos de exposição vexatória.</w:t>
      </w:r>
    </w:p>
    <w:p w14:paraId="401ACCEC" w14:textId="77777777" w:rsidR="00B10998" w:rsidRDefault="00B10998">
      <w:pPr>
        <w:pStyle w:val="Ttulo3"/>
        <w:keepNext/>
      </w:pPr>
      <w:r>
        <w:rPr>
          <w:rFonts w:ascii="Calibri" w:eastAsia="Calibri" w:hAnsi="Calibri" w:cs="Calibri"/>
        </w:rPr>
        <w:t>Satisfaz a condição, responda SIM</w:t>
      </w:r>
    </w:p>
    <w:p w14:paraId="5F344D21"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Avaliações de desempenho que, comparadas às de servidores análogos, revelam padrão sistematicamente desfavorável sem fundamento em desempenho real</w:t>
      </w:r>
    </w:p>
    <w:p w14:paraId="747FCB31"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Distribuição contínua de tarefas impossíveis ou degradantes usando o poder hierárquico de distribuição</w:t>
      </w:r>
    </w:p>
    <w:p w14:paraId="65A31FB1"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Exclusão sistemática de reuniões relevantes pelo agressor que detém o poder de organização</w:t>
      </w:r>
    </w:p>
    <w:p w14:paraId="3E03C41C"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Cobranças e comunicações humilhantes feitas em contexto institucional formal, com uso da autoridade de chefia</w:t>
      </w:r>
    </w:p>
    <w:p w14:paraId="318734D9" w14:textId="77777777" w:rsidR="00B10998" w:rsidRDefault="00B10998">
      <w:pPr>
        <w:pStyle w:val="Ttulo3"/>
        <w:keepNext/>
      </w:pPr>
      <w:r>
        <w:rPr>
          <w:rFonts w:ascii="Calibri" w:eastAsia="Calibri" w:hAnsi="Calibri" w:cs="Calibri"/>
        </w:rPr>
        <w:t>Não satisfaz a condição, responda NÃO</w:t>
      </w:r>
    </w:p>
    <w:p w14:paraId="2B033808"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Padrão de conduta hostil do superior que não emprega as prerrogativas do cargo como instrumento, humilhações verbais em contexto informal, sem instrumentalização de avaliações, designações ou controle de acesso</w:t>
      </w:r>
    </w:p>
    <w:p w14:paraId="35896485"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 xml:space="preserve">Assédio praticado por superior </w:t>
      </w:r>
      <w:proofErr w:type="gramStart"/>
      <w:r>
        <w:rPr>
          <w:rFonts w:ascii="Calibri" w:eastAsia="Calibri" w:hAnsi="Calibri" w:cs="Calibri"/>
          <w:color w:val="051A3D"/>
          <w:sz w:val="22"/>
          <w:szCs w:val="22"/>
        </w:rPr>
        <w:t>hierárquico</w:t>
      </w:r>
      <w:proofErr w:type="gramEnd"/>
      <w:r>
        <w:rPr>
          <w:rFonts w:ascii="Calibri" w:eastAsia="Calibri" w:hAnsi="Calibri" w:cs="Calibri"/>
          <w:color w:val="051A3D"/>
          <w:sz w:val="22"/>
          <w:szCs w:val="22"/>
        </w:rPr>
        <w:t xml:space="preserve"> mas sem uso ativo das prerrogativas funcionais</w:t>
      </w:r>
    </w:p>
    <w:p w14:paraId="72E22572" w14:textId="77777777" w:rsidR="00B10998" w:rsidRDefault="00B10998">
      <w:pPr>
        <w:pStyle w:val="Ttulo3"/>
        <w:keepNext/>
      </w:pPr>
      <w:r>
        <w:rPr>
          <w:rFonts w:ascii="Calibri" w:eastAsia="Calibri" w:hAnsi="Calibri" w:cs="Calibri"/>
        </w:rPr>
        <w:t>O que buscar nos autos</w:t>
      </w:r>
    </w:p>
    <w:p w14:paraId="68C36C2A"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Comparativo de avaliações, designações e distribuição de tarefas em relação a servidores análogos</w:t>
      </w:r>
    </w:p>
    <w:p w14:paraId="2C197AE0"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Atas de reuniões das quais a vítima foi excluída sem justificativa funcional</w:t>
      </w:r>
    </w:p>
    <w:p w14:paraId="688BA143"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Registros de comunicações formais empregadas de forma vexatória</w:t>
      </w:r>
    </w:p>
    <w:p w14:paraId="4FB688E4" w14:textId="77777777" w:rsidR="00B10998" w:rsidRDefault="00B10998">
      <w:pPr>
        <w:spacing w:before="80"/>
      </w:pPr>
    </w:p>
    <w:p w14:paraId="28AE6ED8" w14:textId="77777777" w:rsidR="00B10998" w:rsidRDefault="00B10998">
      <w:pPr>
        <w:spacing w:before="80" w:after="60"/>
      </w:pPr>
      <w:r>
        <w:rPr>
          <w:rFonts w:ascii="Calibri" w:eastAsia="Calibri" w:hAnsi="Calibri" w:cs="Calibri"/>
          <w:b/>
          <w:bCs/>
          <w:color w:val="1F7A4C"/>
          <w:sz w:val="22"/>
          <w:szCs w:val="22"/>
        </w:rPr>
        <w:t>SIM → P8</w:t>
      </w:r>
    </w:p>
    <w:p w14:paraId="46DF0A0B"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P3-B</w:t>
      </w:r>
    </w:p>
    <w:p w14:paraId="75911CF6" w14:textId="77777777" w:rsidR="00B10998" w:rsidRDefault="00B10998">
      <w:pPr>
        <w:pBdr>
          <w:bottom w:val="single" w:sz="4" w:space="1" w:color="C9A35C"/>
        </w:pBdr>
        <w:spacing w:before="200" w:after="200"/>
      </w:pPr>
    </w:p>
    <w:p w14:paraId="5B1108D2" w14:textId="77777777" w:rsidR="00B10998" w:rsidRDefault="00B10998">
      <w:pPr>
        <w:pStyle w:val="Ttulo2"/>
        <w:keepNext/>
        <w:pBdr>
          <w:left w:val="single" w:sz="10" w:space="6" w:color="C9A35C"/>
        </w:pBdr>
      </w:pPr>
      <w:bookmarkStart w:id="169" w:name="_Toc238022160"/>
      <w:r>
        <w:lastRenderedPageBreak/>
        <w:t>P8, A conduta reiterada com uso do cargo relaciona-se à organização do trabalho?</w:t>
      </w:r>
      <w:bookmarkEnd w:id="169"/>
    </w:p>
    <w:p w14:paraId="378C3914" w14:textId="77777777" w:rsidR="00B10998" w:rsidRDefault="00B10998">
      <w:pPr>
        <w:pStyle w:val="Ttulo3"/>
        <w:keepNext/>
      </w:pPr>
      <w:r>
        <w:rPr>
          <w:rFonts w:ascii="Calibri" w:eastAsia="Calibri" w:hAnsi="Calibri" w:cs="Calibri"/>
        </w:rPr>
        <w:t>O que avaliar</w:t>
      </w:r>
    </w:p>
    <w:p w14:paraId="19769779" w14:textId="77777777" w:rsidR="00B10998" w:rsidRDefault="00B10998">
      <w:pPr>
        <w:spacing w:after="120"/>
        <w:jc w:val="both"/>
      </w:pPr>
      <w:r>
        <w:rPr>
          <w:rFonts w:ascii="Calibri" w:eastAsia="Calibri" w:hAnsi="Calibri" w:cs="Calibri"/>
          <w:color w:val="051A3D"/>
          <w:sz w:val="22"/>
          <w:szCs w:val="22"/>
        </w:rPr>
        <w:t xml:space="preserve">Esta é a pergunta mais delicada do Eixo 5. A pergunta central é: </w:t>
      </w:r>
      <w:r>
        <w:rPr>
          <w:rFonts w:ascii="Calibri" w:eastAsia="Calibri" w:hAnsi="Calibri" w:cs="Calibri"/>
          <w:b/>
          <w:bCs/>
          <w:color w:val="051A3D"/>
          <w:sz w:val="22"/>
          <w:szCs w:val="22"/>
        </w:rPr>
        <w:t>o agressor, pelo menos aparentemente, enquadra as condutas como decisões de gestão, cobranças, redistribuições, avaliações, ou a perseguição é puramente pessoal, sem qualquer pretexto funcional?</w:t>
      </w:r>
      <w:r>
        <w:rPr>
          <w:rFonts w:ascii="Calibri" w:eastAsia="Calibri" w:hAnsi="Calibri" w:cs="Calibri"/>
          <w:color w:val="051A3D"/>
          <w:sz w:val="22"/>
          <w:szCs w:val="22"/>
        </w:rPr>
        <w:t xml:space="preserve"> Quando há conexão com o trabalho, mesmo que distorcida, mesmo que usada como pretexto, o caminho passa pela análise do elemento subjetivo (P4). Quando não há nenhuma conexão com o trabalho, a perseguição é puramente pessoal, sem disfarce gerencial, o enquadramento é direto no art. 117, IX.</w:t>
      </w:r>
    </w:p>
    <w:p w14:paraId="759DC350" w14:textId="77777777" w:rsidR="00B10998" w:rsidRDefault="00B10998">
      <w:pPr>
        <w:spacing w:after="120"/>
        <w:jc w:val="both"/>
      </w:pPr>
      <w:r>
        <w:rPr>
          <w:rFonts w:ascii="Calibri" w:eastAsia="Calibri" w:hAnsi="Calibri" w:cs="Calibri"/>
          <w:color w:val="051A3D"/>
          <w:sz w:val="22"/>
          <w:szCs w:val="22"/>
        </w:rPr>
        <w:t xml:space="preserve">Use o </w:t>
      </w:r>
      <w:r>
        <w:rPr>
          <w:rFonts w:ascii="Calibri" w:eastAsia="Calibri" w:hAnsi="Calibri" w:cs="Calibri"/>
          <w:b/>
          <w:bCs/>
          <w:color w:val="051A3D"/>
          <w:sz w:val="22"/>
          <w:szCs w:val="22"/>
        </w:rPr>
        <w:t>teste da finalidade com cinco perguntas</w:t>
      </w:r>
      <w:r>
        <w:rPr>
          <w:rFonts w:ascii="Calibri" w:eastAsia="Calibri" w:hAnsi="Calibri" w:cs="Calibri"/>
          <w:color w:val="051A3D"/>
          <w:sz w:val="22"/>
          <w:szCs w:val="22"/>
        </w:rPr>
        <w:t>:</w:t>
      </w:r>
    </w:p>
    <w:p w14:paraId="405AC368" w14:textId="77777777" w:rsidR="00B10998" w:rsidRDefault="00B10998">
      <w:pPr>
        <w:spacing w:after="120"/>
        <w:ind w:left="360"/>
        <w:jc w:val="both"/>
      </w:pPr>
      <w:r>
        <w:rPr>
          <w:rFonts w:ascii="Calibri" w:eastAsia="Calibri" w:hAnsi="Calibri" w:cs="Calibri"/>
          <w:color w:val="051A3D"/>
          <w:sz w:val="22"/>
          <w:szCs w:val="22"/>
        </w:rPr>
        <w:t>(1) A conduta é personalizada nesta vítima enquanto outros servidores análogos recebem tratamento diferente?</w:t>
      </w:r>
    </w:p>
    <w:p w14:paraId="7507439F" w14:textId="77777777" w:rsidR="00B10998" w:rsidRDefault="00B10998">
      <w:pPr>
        <w:spacing w:after="120"/>
        <w:ind w:left="360"/>
        <w:jc w:val="both"/>
      </w:pPr>
      <w:r>
        <w:rPr>
          <w:rFonts w:ascii="Calibri" w:eastAsia="Calibri" w:hAnsi="Calibri" w:cs="Calibri"/>
          <w:color w:val="051A3D"/>
          <w:sz w:val="22"/>
          <w:szCs w:val="22"/>
        </w:rPr>
        <w:t>(2) As cobranças ou tarefas são estruturadas de forma que o fracasso é inevitável?</w:t>
      </w:r>
    </w:p>
    <w:p w14:paraId="32BA189C" w14:textId="77777777" w:rsidR="00B10998" w:rsidRDefault="00B10998">
      <w:pPr>
        <w:spacing w:after="120"/>
        <w:ind w:left="360"/>
        <w:jc w:val="both"/>
      </w:pPr>
      <w:r>
        <w:rPr>
          <w:rFonts w:ascii="Calibri" w:eastAsia="Calibri" w:hAnsi="Calibri" w:cs="Calibri"/>
          <w:color w:val="051A3D"/>
          <w:sz w:val="22"/>
          <w:szCs w:val="22"/>
        </w:rPr>
        <w:t>(3) A intensidade da pressão é consistentemente desproporcional ao que o serviço objetivamente exigiria?</w:t>
      </w:r>
    </w:p>
    <w:p w14:paraId="284ED73D" w14:textId="77777777" w:rsidR="00B10998" w:rsidRDefault="00B10998">
      <w:pPr>
        <w:spacing w:after="120"/>
        <w:ind w:left="360"/>
        <w:jc w:val="both"/>
      </w:pPr>
      <w:r>
        <w:rPr>
          <w:rFonts w:ascii="Calibri" w:eastAsia="Calibri" w:hAnsi="Calibri" w:cs="Calibri"/>
          <w:color w:val="051A3D"/>
          <w:sz w:val="22"/>
          <w:szCs w:val="22"/>
        </w:rPr>
        <w:t>(4) A pressão escala quando a vítima resiste ou reclama, em vez de recuar?</w:t>
      </w:r>
    </w:p>
    <w:p w14:paraId="73A40C55" w14:textId="77777777" w:rsidR="00B10998" w:rsidRDefault="00B10998">
      <w:pPr>
        <w:spacing w:after="120"/>
        <w:ind w:left="360"/>
        <w:jc w:val="both"/>
      </w:pPr>
      <w:r>
        <w:rPr>
          <w:rFonts w:ascii="Calibri" w:eastAsia="Calibri" w:hAnsi="Calibri" w:cs="Calibri"/>
          <w:color w:val="051A3D"/>
          <w:sz w:val="22"/>
          <w:szCs w:val="22"/>
        </w:rPr>
        <w:t>(5) Há motivação identificável além do serviço, conflito pessoal, retaliação, discriminação?</w:t>
      </w:r>
    </w:p>
    <w:p w14:paraId="777A1C86" w14:textId="77777777" w:rsidR="00B10998" w:rsidRDefault="00B10998">
      <w:pPr>
        <w:spacing w:after="120"/>
        <w:jc w:val="both"/>
      </w:pPr>
      <w:r>
        <w:rPr>
          <w:rFonts w:ascii="Calibri" w:eastAsia="Calibri" w:hAnsi="Calibri" w:cs="Calibri"/>
          <w:b/>
          <w:bCs/>
          <w:color w:val="051A3D"/>
          <w:sz w:val="22"/>
          <w:szCs w:val="22"/>
        </w:rPr>
        <w:t>Três ou mais respostas afirmativas</w:t>
      </w:r>
      <w:r>
        <w:rPr>
          <w:rFonts w:ascii="Calibri" w:eastAsia="Calibri" w:hAnsi="Calibri" w:cs="Calibri"/>
          <w:color w:val="051A3D"/>
          <w:sz w:val="22"/>
          <w:szCs w:val="22"/>
        </w:rPr>
        <w:t xml:space="preserve"> constituem indício robusto de que a conexão com o trabalho é pretexto, não finalidade real. O elemento subjetivo é dolo.</w:t>
      </w:r>
    </w:p>
    <w:p w14:paraId="22A5466E" w14:textId="77777777" w:rsidR="00B10998" w:rsidRDefault="00B10998">
      <w:pPr>
        <w:pStyle w:val="Ttulo3"/>
        <w:keepNext/>
      </w:pPr>
      <w:r>
        <w:rPr>
          <w:rFonts w:ascii="Calibri" w:eastAsia="Calibri" w:hAnsi="Calibri" w:cs="Calibri"/>
        </w:rPr>
        <w:t>Satisfaz a condição, responda SIM (há conexão com o trabalho)</w:t>
      </w:r>
    </w:p>
    <w:p w14:paraId="398BA647"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O agressor enquadra cada episódio em termos de metas, desempenho, qualidade do serviço, ainda que de forma distorcida</w:t>
      </w:r>
    </w:p>
    <w:p w14:paraId="3D76D419"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As condutas têm, pelo menos superficialmente, aparência de gestão rigorosa</w:t>
      </w:r>
    </w:p>
    <w:p w14:paraId="12B3A8EA"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O debate sobre a legitimidade das cobranças é genuíno, há disputa razoável sobre se o padrão de gestão é excessivo ou abusivo</w:t>
      </w:r>
    </w:p>
    <w:p w14:paraId="1163C6B8" w14:textId="77777777" w:rsidR="00B10998" w:rsidRDefault="00B10998">
      <w:pPr>
        <w:pStyle w:val="Ttulo3"/>
        <w:keepNext/>
      </w:pPr>
      <w:r>
        <w:rPr>
          <w:rFonts w:ascii="Calibri" w:eastAsia="Calibri" w:hAnsi="Calibri" w:cs="Calibri"/>
        </w:rPr>
        <w:t>Não satisfaz a condição, responda NÃO (perseguição pessoal pura)</w:t>
      </w:r>
    </w:p>
    <w:p w14:paraId="3BCB2CAD"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As condutas não têm qualquer pretexto gerencial, a hostilidade é explicitamente pessoal e não é enquadrada como gestão</w:t>
      </w:r>
    </w:p>
    <w:p w14:paraId="7C7DCCA6"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O agressor não faz nenhum esforço para apresentar as condutas como decisões de serviço</w:t>
      </w:r>
    </w:p>
    <w:p w14:paraId="0120FA6A" w14:textId="77777777" w:rsidR="00B10998" w:rsidRDefault="00B10998">
      <w:pPr>
        <w:pStyle w:val="Ttulo3"/>
        <w:keepNext/>
      </w:pPr>
      <w:r>
        <w:rPr>
          <w:rFonts w:ascii="Calibri" w:eastAsia="Calibri" w:hAnsi="Calibri" w:cs="Calibri"/>
        </w:rPr>
        <w:t>O que buscar nos autos</w:t>
      </w:r>
    </w:p>
    <w:p w14:paraId="69335C98"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Declarações do agressor sobre a justificativa das condutas: as apresenta como decisões de gestão?</w:t>
      </w:r>
    </w:p>
    <w:p w14:paraId="727413E0"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Comparativo entre o tratamento da vítima e o de outros servidores análogos</w:t>
      </w:r>
    </w:p>
    <w:p w14:paraId="6A2B69D0"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483DC05C"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1E875111" w14:textId="77777777" w:rsidR="00B10998" w:rsidRDefault="00B10998">
            <w:pPr>
              <w:jc w:val="both"/>
            </w:pPr>
            <w:r>
              <w:rPr>
                <w:rFonts w:ascii="Calibri" w:eastAsia="Calibri" w:hAnsi="Calibri" w:cs="Calibri"/>
                <w:b/>
                <w:bCs/>
                <w:color w:val="0B2C5F"/>
                <w:sz w:val="20"/>
                <w:szCs w:val="20"/>
              </w:rPr>
              <w:lastRenderedPageBreak/>
              <w:t>Alerta, o pretexto gerencial não afasta o assédio:</w:t>
            </w:r>
            <w:r>
              <w:rPr>
                <w:rFonts w:ascii="Calibri" w:eastAsia="Calibri" w:hAnsi="Calibri" w:cs="Calibri"/>
                <w:color w:val="051A3D"/>
                <w:sz w:val="20"/>
                <w:szCs w:val="20"/>
              </w:rPr>
              <w:t xml:space="preserve"> quando a resposta for SIM, há conexão com o trabalho, isso não significa que a conduta é legítima. Significa que o elemento subjetivo precisa ser analisado em P4. A presença de três ou mais afirmativos no teste da finalidade é indício robusto de dolo, mesmo quando há pretexto gerencial.</w:t>
            </w:r>
          </w:p>
        </w:tc>
      </w:tr>
    </w:tbl>
    <w:p w14:paraId="04095255" w14:textId="77777777" w:rsidR="00B10998" w:rsidRDefault="00B10998">
      <w:pPr>
        <w:spacing w:before="80"/>
      </w:pPr>
    </w:p>
    <w:p w14:paraId="74A8303D" w14:textId="77777777" w:rsidR="00B10998" w:rsidRDefault="00B10998">
      <w:pPr>
        <w:spacing w:before="80" w:after="60"/>
      </w:pPr>
      <w:r>
        <w:rPr>
          <w:rFonts w:ascii="Calibri" w:eastAsia="Calibri" w:hAnsi="Calibri" w:cs="Calibri"/>
          <w:b/>
          <w:bCs/>
          <w:color w:val="1F7A4C"/>
          <w:sz w:val="22"/>
          <w:szCs w:val="22"/>
        </w:rPr>
        <w:t>SIM → P9 (teste de isonomia)</w:t>
      </w:r>
    </w:p>
    <w:p w14:paraId="734F7830"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GATE → Resultado A, valimento do cargo, art. 117, IX, demissão (perseguição pessoal com uso do cargo)</w:t>
      </w:r>
    </w:p>
    <w:p w14:paraId="4AC2B628" w14:textId="77777777" w:rsidR="00B10998" w:rsidRDefault="00B10998">
      <w:pPr>
        <w:pBdr>
          <w:bottom w:val="single" w:sz="4" w:space="1" w:color="C9A35C"/>
        </w:pBdr>
        <w:spacing w:before="200" w:after="200"/>
      </w:pPr>
    </w:p>
    <w:p w14:paraId="2AD30BF4" w14:textId="77777777" w:rsidR="00B10998" w:rsidRDefault="00B10998">
      <w:pPr>
        <w:pStyle w:val="Ttulo2"/>
        <w:keepNext/>
        <w:pBdr>
          <w:left w:val="single" w:sz="10" w:space="6" w:color="C9A35C"/>
        </w:pBdr>
      </w:pPr>
      <w:bookmarkStart w:id="170" w:name="_Toc238022161"/>
      <w:r>
        <w:t>P9, A medida gerencial invocada possui justificativa objetiva e documentável, aplicada de forma isonômica a servidores em situação comparável?</w:t>
      </w:r>
      <w:bookmarkEnd w:id="170"/>
    </w:p>
    <w:p w14:paraId="7D7E46EF" w14:textId="77777777" w:rsidR="00B10998" w:rsidRDefault="00B10998">
      <w:pPr>
        <w:pStyle w:val="Ttulo3"/>
        <w:keepNext/>
      </w:pPr>
      <w:r>
        <w:rPr>
          <w:rFonts w:ascii="Calibri" w:eastAsia="Calibri" w:hAnsi="Calibri" w:cs="Calibri"/>
        </w:rPr>
        <w:t>O que avaliar</w:t>
      </w:r>
    </w:p>
    <w:p w14:paraId="707440F9" w14:textId="77777777" w:rsidR="00B10998" w:rsidRDefault="00B10998">
      <w:pPr>
        <w:spacing w:after="120"/>
        <w:jc w:val="both"/>
      </w:pPr>
      <w:r>
        <w:rPr>
          <w:rFonts w:ascii="Calibri" w:eastAsia="Calibri" w:hAnsi="Calibri" w:cs="Calibri"/>
          <w:color w:val="051A3D"/>
          <w:sz w:val="22"/>
          <w:szCs w:val="22"/>
        </w:rPr>
        <w:t xml:space="preserve">Esta é a pergunta que operacionaliza o </w:t>
      </w:r>
      <w:r>
        <w:rPr>
          <w:rFonts w:ascii="Calibri" w:eastAsia="Calibri" w:hAnsi="Calibri" w:cs="Calibri"/>
          <w:b/>
          <w:bCs/>
          <w:color w:val="051A3D"/>
          <w:sz w:val="22"/>
          <w:szCs w:val="22"/>
        </w:rPr>
        <w:t>teste da finalidade</w:t>
      </w:r>
      <w:r>
        <w:rPr>
          <w:rFonts w:ascii="Calibri" w:eastAsia="Calibri" w:hAnsi="Calibri" w:cs="Calibri"/>
          <w:color w:val="051A3D"/>
          <w:sz w:val="22"/>
          <w:szCs w:val="22"/>
        </w:rPr>
        <w:t xml:space="preserve"> exposto na seção 5.8. Todo assediador que atua por meio de instrumentos de gestão apresentará cada episódio como exercício legítimo do poder diretivo. A pergunta que separa a gestão rigorosa do assédio instrumentalizado não é se a medida era formalmente possível, mas se ela foi </w:t>
      </w:r>
      <w:r>
        <w:rPr>
          <w:rFonts w:ascii="Calibri" w:eastAsia="Calibri" w:hAnsi="Calibri" w:cs="Calibri"/>
          <w:b/>
          <w:bCs/>
          <w:color w:val="051A3D"/>
          <w:sz w:val="22"/>
          <w:szCs w:val="22"/>
        </w:rPr>
        <w:t xml:space="preserve">objetivamente justificada e </w:t>
      </w:r>
      <w:proofErr w:type="spellStart"/>
      <w:r>
        <w:rPr>
          <w:rFonts w:ascii="Calibri" w:eastAsia="Calibri" w:hAnsi="Calibri" w:cs="Calibri"/>
          <w:b/>
          <w:bCs/>
          <w:color w:val="051A3D"/>
          <w:sz w:val="22"/>
          <w:szCs w:val="22"/>
        </w:rPr>
        <w:t>isonomicamente</w:t>
      </w:r>
      <w:proofErr w:type="spellEnd"/>
      <w:r>
        <w:rPr>
          <w:rFonts w:ascii="Calibri" w:eastAsia="Calibri" w:hAnsi="Calibri" w:cs="Calibri"/>
          <w:b/>
          <w:bCs/>
          <w:color w:val="051A3D"/>
          <w:sz w:val="22"/>
          <w:szCs w:val="22"/>
        </w:rPr>
        <w:t xml:space="preserve"> aplicada</w:t>
      </w:r>
      <w:r>
        <w:rPr>
          <w:rFonts w:ascii="Calibri" w:eastAsia="Calibri" w:hAnsi="Calibri" w:cs="Calibri"/>
          <w:color w:val="051A3D"/>
          <w:sz w:val="22"/>
          <w:szCs w:val="22"/>
        </w:rPr>
        <w:t>.</w:t>
      </w:r>
    </w:p>
    <w:p w14:paraId="36ED7DEE" w14:textId="77777777" w:rsidR="00B10998" w:rsidRDefault="00B10998">
      <w:pPr>
        <w:spacing w:after="120"/>
        <w:jc w:val="both"/>
      </w:pPr>
      <w:r>
        <w:rPr>
          <w:rFonts w:ascii="Calibri" w:eastAsia="Calibri" w:hAnsi="Calibri" w:cs="Calibri"/>
          <w:color w:val="051A3D"/>
          <w:sz w:val="22"/>
          <w:szCs w:val="22"/>
        </w:rPr>
        <w:t>São dois requisitos cumulativos, e ambos precisam ser demonstrados nos autos por quem invoca a legitimidade da medida.</w:t>
      </w:r>
    </w:p>
    <w:p w14:paraId="5004D579" w14:textId="77777777" w:rsidR="00B10998" w:rsidRDefault="00B10998">
      <w:pPr>
        <w:spacing w:after="120"/>
        <w:jc w:val="both"/>
      </w:pPr>
      <w:r>
        <w:rPr>
          <w:rFonts w:ascii="Calibri" w:eastAsia="Calibri" w:hAnsi="Calibri" w:cs="Calibri"/>
          <w:b/>
          <w:bCs/>
          <w:color w:val="051A3D"/>
          <w:sz w:val="22"/>
          <w:szCs w:val="22"/>
        </w:rPr>
        <w:t>Justificativa objetiva e documentável:</w:t>
      </w:r>
      <w:r>
        <w:rPr>
          <w:rFonts w:ascii="Calibri" w:eastAsia="Calibri" w:hAnsi="Calibri" w:cs="Calibri"/>
          <w:color w:val="051A3D"/>
          <w:sz w:val="22"/>
          <w:szCs w:val="22"/>
        </w:rPr>
        <w:t xml:space="preserve"> existe razão de serviço identificável, anterior à medida e registrada de algum modo, que a explique. A justificativa construída após a denúncia, ou que só existe no depoimento do servidor investigado, não satisfaz este requisito.</w:t>
      </w:r>
    </w:p>
    <w:p w14:paraId="647E5DC5" w14:textId="77777777" w:rsidR="00B10998" w:rsidRDefault="00B10998">
      <w:pPr>
        <w:spacing w:after="120"/>
        <w:jc w:val="both"/>
      </w:pPr>
      <w:r>
        <w:rPr>
          <w:rFonts w:ascii="Calibri" w:eastAsia="Calibri" w:hAnsi="Calibri" w:cs="Calibri"/>
          <w:b/>
          <w:bCs/>
          <w:color w:val="051A3D"/>
          <w:sz w:val="22"/>
          <w:szCs w:val="22"/>
        </w:rPr>
        <w:t>Aplicação isonômica:</w:t>
      </w:r>
      <w:r>
        <w:rPr>
          <w:rFonts w:ascii="Calibri" w:eastAsia="Calibri" w:hAnsi="Calibri" w:cs="Calibri"/>
          <w:color w:val="051A3D"/>
          <w:sz w:val="22"/>
          <w:szCs w:val="22"/>
        </w:rPr>
        <w:t xml:space="preserve"> outros servidores em situação comparável receberam o mesmo tratamento. Este é o critério de maior força probatória do eixo, porque é o mais difícil de simular. Se apenas a vítima foi excluída de reuniões, teve tarefas redistribuídas ou perdeu acesso a informações, enquanto pares em idêntica situação funcional não sofreram a mesma restrição, a justificativa gerencial é pretexto.</w:t>
      </w:r>
    </w:p>
    <w:p w14:paraId="5EE02E19" w14:textId="77777777" w:rsidR="00B10998" w:rsidRDefault="00B10998">
      <w:pPr>
        <w:spacing w:after="120"/>
        <w:jc w:val="both"/>
      </w:pPr>
      <w:r>
        <w:rPr>
          <w:rFonts w:ascii="Calibri" w:eastAsia="Calibri" w:hAnsi="Calibri" w:cs="Calibri"/>
          <w:color w:val="051A3D"/>
          <w:sz w:val="22"/>
          <w:szCs w:val="22"/>
        </w:rPr>
        <w:t xml:space="preserve">A resposta a esta pergunta </w:t>
      </w:r>
      <w:r>
        <w:rPr>
          <w:rFonts w:ascii="Calibri" w:eastAsia="Calibri" w:hAnsi="Calibri" w:cs="Calibri"/>
          <w:b/>
          <w:bCs/>
          <w:color w:val="051A3D"/>
          <w:sz w:val="22"/>
          <w:szCs w:val="22"/>
        </w:rPr>
        <w:t>não determina o enquadramento por si só</w:t>
      </w:r>
      <w:r>
        <w:rPr>
          <w:rFonts w:ascii="Calibri" w:eastAsia="Calibri" w:hAnsi="Calibri" w:cs="Calibri"/>
          <w:color w:val="051A3D"/>
          <w:sz w:val="22"/>
          <w:szCs w:val="22"/>
        </w:rPr>
        <w:t>. Ela determina qual das duas variantes de análise do elemento subjetivo será aplicada, e desloca o ônus argumentativo. A ausência de justificativa isonômica não presume o dolo, mas torna a alegação de culpa substancialmente mais difícil de sustentar.</w:t>
      </w:r>
    </w:p>
    <w:p w14:paraId="595565A0" w14:textId="77777777" w:rsidR="00B10998" w:rsidRDefault="00B10998">
      <w:pPr>
        <w:pStyle w:val="Ttulo3"/>
        <w:keepNext/>
      </w:pPr>
      <w:r>
        <w:rPr>
          <w:rFonts w:ascii="Calibri" w:eastAsia="Calibri" w:hAnsi="Calibri" w:cs="Calibri"/>
        </w:rPr>
        <w:t>Satisfaz a condição, responda SIM</w:t>
      </w:r>
    </w:p>
    <w:p w14:paraId="3C287E39"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Há registro contemporâneo, ainda que informal, da razão de serviço que motivou a medida</w:t>
      </w:r>
    </w:p>
    <w:p w14:paraId="787F150A"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Servidores em situação funcional comparável receberam tratamento equivalente no mesmo período</w:t>
      </w:r>
    </w:p>
    <w:p w14:paraId="3E5713A6"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 medida integra reorganização documentada da unidade, com alcance geral</w:t>
      </w:r>
    </w:p>
    <w:p w14:paraId="2D999A40"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Critérios de redistribuição de tarefas ou de acesso a informações estão formalizados e foram aplicados uniformemente</w:t>
      </w:r>
    </w:p>
    <w:p w14:paraId="78BF6602" w14:textId="77777777" w:rsidR="00B10998" w:rsidRDefault="00B10998">
      <w:pPr>
        <w:pStyle w:val="Ttulo3"/>
        <w:keepNext/>
      </w:pPr>
      <w:r>
        <w:rPr>
          <w:rFonts w:ascii="Calibri" w:eastAsia="Calibri" w:hAnsi="Calibri" w:cs="Calibri"/>
        </w:rPr>
        <w:lastRenderedPageBreak/>
        <w:t>Não satisfaz a condição, responda NÃO</w:t>
      </w:r>
    </w:p>
    <w:p w14:paraId="61B955FB"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 justificativa aparece pela primeira vez no depoimento do servidor investigado</w:t>
      </w:r>
    </w:p>
    <w:p w14:paraId="1E2476BF"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Apenas a vítima foi atingida pela medida, sem que pares em idêntica situação o fossem</w:t>
      </w:r>
    </w:p>
    <w:p w14:paraId="77EC3AD3"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 razão invocada é genérica, necessidade do serviço, reorganização, sem concretização</w:t>
      </w:r>
    </w:p>
    <w:p w14:paraId="3C99AEC2"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A medida foi adotada em proximidade temporal com conflito, denúncia ou recusa da vítima</w:t>
      </w:r>
    </w:p>
    <w:p w14:paraId="6ED216ED"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Há histórico de que a mesma medida não foi adotada em situações anteriores materialmente idênticas</w:t>
      </w:r>
    </w:p>
    <w:p w14:paraId="0CC662C2" w14:textId="77777777" w:rsidR="00B10998" w:rsidRDefault="00B10998">
      <w:pPr>
        <w:pStyle w:val="Ttulo3"/>
        <w:keepNext/>
      </w:pPr>
      <w:r>
        <w:rPr>
          <w:rFonts w:ascii="Calibri" w:eastAsia="Calibri" w:hAnsi="Calibri" w:cs="Calibri"/>
        </w:rPr>
        <w:t>O que buscar nos autos</w:t>
      </w:r>
    </w:p>
    <w:p w14:paraId="31C76C3E"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Comparativo objetivo entre o tratamento dispensado à vítima e o dispensado a pares em situação análoga, elemento central desta pergunta</w:t>
      </w:r>
    </w:p>
    <w:p w14:paraId="4A90501A"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Documentos que registrem a motivação da medida em data anterior à sua adoção</w:t>
      </w:r>
    </w:p>
    <w:p w14:paraId="1D5DDD86"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Cronologia entre a medida e eventuais conflitos, denúncias ou recusas da vítima</w:t>
      </w:r>
    </w:p>
    <w:p w14:paraId="35081C9F" w14:textId="77777777" w:rsidR="00B10998" w:rsidRDefault="00B10998">
      <w:pPr>
        <w:pStyle w:val="PargrafodaLista"/>
        <w:numPr>
          <w:ilvl w:val="0"/>
          <w:numId w:val="27"/>
        </w:numPr>
        <w:spacing w:after="80" w:line="240" w:lineRule="auto"/>
        <w:jc w:val="both"/>
      </w:pPr>
      <w:r>
        <w:rPr>
          <w:rFonts w:ascii="Calibri" w:eastAsia="Calibri" w:hAnsi="Calibri" w:cs="Calibri"/>
          <w:color w:val="051A3D"/>
          <w:sz w:val="22"/>
          <w:szCs w:val="22"/>
        </w:rPr>
        <w:t>Histórico de decisões gerenciais equivalentes na mesma unidade</w:t>
      </w:r>
    </w:p>
    <w:p w14:paraId="133EC96B" w14:textId="77777777" w:rsidR="00B10998" w:rsidRDefault="00B10998">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2950C068"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6AC1D68D" w14:textId="77777777" w:rsidR="00B10998" w:rsidRDefault="00B10998">
            <w:pPr>
              <w:jc w:val="both"/>
            </w:pPr>
            <w:r>
              <w:rPr>
                <w:rFonts w:ascii="Calibri" w:eastAsia="Calibri" w:hAnsi="Calibri" w:cs="Calibri"/>
                <w:b/>
                <w:bCs/>
                <w:color w:val="0B2C5F"/>
                <w:sz w:val="20"/>
                <w:szCs w:val="20"/>
              </w:rPr>
              <w:t>Alerta, o método comparativo é o instrumento decisivo:</w:t>
            </w:r>
            <w:r>
              <w:rPr>
                <w:rFonts w:ascii="Calibri" w:eastAsia="Calibri" w:hAnsi="Calibri" w:cs="Calibri"/>
                <w:color w:val="051A3D"/>
                <w:sz w:val="20"/>
                <w:szCs w:val="20"/>
              </w:rPr>
              <w:t xml:space="preserve"> a pergunta não é se o gestor poderia ter adotado a medida, mas se a adotou apenas contra a vítima. A comparação com pares em situação análoga é o elemento probatório que a defesa não consegue construir a posteriori.</w:t>
            </w:r>
          </w:p>
        </w:tc>
      </w:tr>
    </w:tbl>
    <w:p w14:paraId="19F21FD0" w14:textId="77777777" w:rsidR="00B10998" w:rsidRDefault="00B10998">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40BC0CC9"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78BB33B8" w14:textId="77777777" w:rsidR="00B10998" w:rsidRDefault="00B10998">
            <w:pPr>
              <w:jc w:val="both"/>
            </w:pPr>
            <w:r>
              <w:rPr>
                <w:rFonts w:ascii="Calibri" w:eastAsia="Calibri" w:hAnsi="Calibri" w:cs="Calibri"/>
                <w:b/>
                <w:bCs/>
                <w:color w:val="0B2C5F"/>
                <w:sz w:val="20"/>
                <w:szCs w:val="20"/>
              </w:rPr>
              <w:t>Alerta, a resposta afirmativa não encerra a análise:</w:t>
            </w:r>
            <w:r>
              <w:rPr>
                <w:rFonts w:ascii="Calibri" w:eastAsia="Calibri" w:hAnsi="Calibri" w:cs="Calibri"/>
                <w:color w:val="051A3D"/>
                <w:sz w:val="20"/>
                <w:szCs w:val="20"/>
              </w:rPr>
              <w:t xml:space="preserve"> a existência de justificativa objetiva e isonômica não afasta o assédio moral. Ela apenas conduz à análise do elemento subjetivo pela via ordinária (P4). Gestão formalmente correta pode, ainda assim, ter sido dirigida à degradação do servidor.</w:t>
            </w:r>
          </w:p>
        </w:tc>
      </w:tr>
    </w:tbl>
    <w:p w14:paraId="09434713" w14:textId="77777777" w:rsidR="00B10998" w:rsidRDefault="00B10998">
      <w:pPr>
        <w:spacing w:after="120"/>
        <w:jc w:val="both"/>
      </w:pPr>
    </w:p>
    <w:p w14:paraId="750A6563" w14:textId="77777777" w:rsidR="00B10998" w:rsidRDefault="00B10998">
      <w:pPr>
        <w:spacing w:before="80" w:after="60"/>
      </w:pPr>
      <w:r>
        <w:rPr>
          <w:rFonts w:ascii="Calibri" w:eastAsia="Calibri" w:hAnsi="Calibri" w:cs="Calibri"/>
          <w:b/>
          <w:bCs/>
          <w:color w:val="0B2C5F"/>
          <w:sz w:val="22"/>
          <w:szCs w:val="22"/>
        </w:rPr>
        <w:t xml:space="preserve">SIM → </w:t>
      </w:r>
      <w:r>
        <w:rPr>
          <w:rFonts w:ascii="Calibri" w:eastAsia="Calibri" w:hAnsi="Calibri" w:cs="Calibri"/>
          <w:color w:val="051A3D"/>
          <w:sz w:val="22"/>
          <w:szCs w:val="22"/>
        </w:rPr>
        <w:t>P4, elemento subjetivo</w:t>
      </w:r>
    </w:p>
    <w:p w14:paraId="2AE07DBA"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P4-B, elemento subjetivo à luz da ausência de justificativa isonômica</w:t>
      </w:r>
    </w:p>
    <w:p w14:paraId="01441EAB" w14:textId="77777777" w:rsidR="00B10998" w:rsidRDefault="00B10998">
      <w:pPr>
        <w:spacing w:after="120"/>
        <w:jc w:val="both"/>
      </w:pPr>
    </w:p>
    <w:p w14:paraId="2D592E49" w14:textId="77777777" w:rsidR="00B10998" w:rsidRDefault="00B10998">
      <w:pPr>
        <w:pStyle w:val="Ttulo3"/>
        <w:keepNext/>
      </w:pPr>
      <w:r>
        <w:rPr>
          <w:rFonts w:ascii="Calibri" w:eastAsia="Calibri" w:hAnsi="Calibri" w:cs="Calibri"/>
        </w:rPr>
        <w:t>Os quatro resultados possíveis do Eixo 5</w:t>
      </w:r>
    </w:p>
    <w:p w14:paraId="515167C8"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0849D107"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3B075104" w14:textId="77777777" w:rsidR="00B10998" w:rsidRDefault="00B10998">
            <w:pPr>
              <w:spacing w:after="80"/>
            </w:pPr>
            <w:r>
              <w:rPr>
                <w:rFonts w:ascii="Barlow Condensed" w:eastAsia="Barlow Condensed" w:hAnsi="Barlow Condensed" w:cs="Barlow Condensed"/>
                <w:b/>
                <w:bCs/>
                <w:color w:val="B42318"/>
                <w:sz w:val="24"/>
                <w:szCs w:val="24"/>
              </w:rPr>
              <w:t xml:space="preserve">Resultado A, </w:t>
            </w:r>
            <w:r>
              <w:rPr>
                <w:rFonts w:ascii="Barlow Condensed" w:eastAsia="Barlow Condensed" w:hAnsi="Barlow Condensed" w:cs="Barlow Condensed"/>
                <w:b/>
                <w:bCs/>
                <w:color w:val="0B2C5F"/>
                <w:sz w:val="24"/>
                <w:szCs w:val="24"/>
              </w:rPr>
              <w:t>Valimento do cargo no assédio moral (dolo)</w:t>
            </w:r>
          </w:p>
          <w:p w14:paraId="22BBD115" w14:textId="77777777" w:rsidR="00B10998" w:rsidRDefault="00B10998">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117, IX, demissão por força do art. 132, XIII</w:t>
            </w:r>
          </w:p>
          <w:p w14:paraId="1A50E92C"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2D0E0EF5"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0F609BE8" w14:textId="77777777" w:rsidR="00B10998" w:rsidRDefault="00B10998">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Verificar: uso instrumental do cargo demonstrado; elemento subjetivo dolo demonstrado; ou perseguição pessoal pura sem pretexto gerencial. Avaliar medidas cautelares, afastamento preventivo do agressor quando há risco de reiteração ou de interferência na instrução. Quando a motivação for discriminatória, concluir análise complementar no Eixo 4.</w:t>
            </w:r>
          </w:p>
        </w:tc>
      </w:tr>
    </w:tbl>
    <w:p w14:paraId="12E4A06F" w14:textId="77777777" w:rsidR="00B10998" w:rsidRDefault="00B10998">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6AB6E3C8"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67EB8036" w14:textId="77777777" w:rsidR="00B10998" w:rsidRDefault="00B10998">
            <w:pPr>
              <w:spacing w:after="80"/>
            </w:pPr>
            <w:r>
              <w:rPr>
                <w:rFonts w:ascii="Barlow Condensed" w:eastAsia="Barlow Condensed" w:hAnsi="Barlow Condensed" w:cs="Barlow Condensed"/>
                <w:b/>
                <w:bCs/>
                <w:color w:val="1F7A4C"/>
                <w:sz w:val="24"/>
                <w:szCs w:val="24"/>
              </w:rPr>
              <w:lastRenderedPageBreak/>
              <w:t xml:space="preserve">Resultado B, </w:t>
            </w:r>
            <w:r>
              <w:rPr>
                <w:rFonts w:ascii="Barlow Condensed" w:eastAsia="Barlow Condensed" w:hAnsi="Barlow Condensed" w:cs="Barlow Condensed"/>
                <w:b/>
                <w:bCs/>
                <w:color w:val="0B2C5F"/>
                <w:sz w:val="24"/>
                <w:szCs w:val="24"/>
              </w:rPr>
              <w:t>Gestão culposa</w:t>
            </w:r>
          </w:p>
          <w:p w14:paraId="50A2992B" w14:textId="77777777" w:rsidR="00B10998" w:rsidRDefault="00B10998">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116, II, IX e XI, deveres de lealdade às instituições, de moralidade administrativa e de urbanidade</w:t>
            </w:r>
          </w:p>
          <w:p w14:paraId="08DAE2A3"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Advertência ou suspensão, conforme dosimetria</w:t>
            </w:r>
          </w:p>
          <w:p w14:paraId="50353CCA"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2 anos (art. 142, II)</w:t>
            </w:r>
          </w:p>
          <w:p w14:paraId="2569E65A" w14:textId="77777777" w:rsidR="00B10998" w:rsidRDefault="00B10998">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Aplicar dosimetria do art. 128, considerando a extensão do padrão, o impacto sobre a vítima e a capacidade de mudança de comportamento demonstrada pelo agressor. Verificar se há necessidade de recomendação de capacitação gerencial além da sanção disciplinar.</w:t>
            </w:r>
          </w:p>
        </w:tc>
      </w:tr>
    </w:tbl>
    <w:p w14:paraId="054D6EBD" w14:textId="77777777" w:rsidR="00B10998" w:rsidRDefault="00B10998">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40A0DC4E"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069DFE8A" w14:textId="77777777" w:rsidR="00B10998" w:rsidRDefault="00B10998">
            <w:pPr>
              <w:spacing w:after="80"/>
            </w:pPr>
            <w:r>
              <w:rPr>
                <w:rFonts w:ascii="Barlow Condensed" w:eastAsia="Barlow Condensed" w:hAnsi="Barlow Condensed" w:cs="Barlow Condensed"/>
                <w:b/>
                <w:bCs/>
                <w:color w:val="B42318"/>
                <w:sz w:val="24"/>
                <w:szCs w:val="24"/>
              </w:rPr>
              <w:t xml:space="preserve">Resultado C, </w:t>
            </w:r>
            <w:r>
              <w:rPr>
                <w:rFonts w:ascii="Barlow Condensed" w:eastAsia="Barlow Condensed" w:hAnsi="Barlow Condensed" w:cs="Barlow Condensed"/>
                <w:b/>
                <w:bCs/>
                <w:color w:val="0B2C5F"/>
                <w:sz w:val="24"/>
                <w:szCs w:val="24"/>
              </w:rPr>
              <w:t>Conduta escandalosa</w:t>
            </w:r>
          </w:p>
          <w:p w14:paraId="763A983F" w14:textId="77777777" w:rsidR="00B10998" w:rsidRDefault="00B10998">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132, V, incontinência pública e conduta escandalosa</w:t>
            </w:r>
          </w:p>
          <w:p w14:paraId="40EF97DB"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42A186D9"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49BF07F3" w14:textId="77777777" w:rsidR="00B10998" w:rsidRDefault="00B10998">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Verificar a demonstração da gravidade da ofensa à moralidade administrativa, dimensão coletiva, ostensividade, impacto documentado. Aplicável ao assédio horizontal ou ascendente grave, ao assédio vertical sem </w:t>
            </w:r>
            <w:proofErr w:type="gramStart"/>
            <w:r>
              <w:rPr>
                <w:rFonts w:ascii="Calibri" w:eastAsia="Calibri" w:hAnsi="Calibri" w:cs="Calibri"/>
                <w:color w:val="051A3D"/>
                <w:sz w:val="20"/>
                <w:szCs w:val="20"/>
              </w:rPr>
              <w:t>cargo</w:t>
            </w:r>
            <w:proofErr w:type="gramEnd"/>
            <w:r>
              <w:rPr>
                <w:rFonts w:ascii="Calibri" w:eastAsia="Calibri" w:hAnsi="Calibri" w:cs="Calibri"/>
                <w:color w:val="051A3D"/>
                <w:sz w:val="20"/>
                <w:szCs w:val="20"/>
              </w:rPr>
              <w:t xml:space="preserve"> mas com alta gravidade, e ao ato isolado grave sem uso do </w:t>
            </w:r>
            <w:proofErr w:type="gramStart"/>
            <w:r>
              <w:rPr>
                <w:rFonts w:ascii="Calibri" w:eastAsia="Calibri" w:hAnsi="Calibri" w:cs="Calibri"/>
                <w:color w:val="051A3D"/>
                <w:sz w:val="20"/>
                <w:szCs w:val="20"/>
              </w:rPr>
              <w:t>cargo</w:t>
            </w:r>
            <w:proofErr w:type="gramEnd"/>
            <w:r>
              <w:rPr>
                <w:rFonts w:ascii="Calibri" w:eastAsia="Calibri" w:hAnsi="Calibri" w:cs="Calibri"/>
                <w:color w:val="051A3D"/>
                <w:sz w:val="20"/>
                <w:szCs w:val="20"/>
              </w:rPr>
              <w:t xml:space="preserve"> mas com impacto extremo.</w:t>
            </w:r>
          </w:p>
        </w:tc>
      </w:tr>
    </w:tbl>
    <w:p w14:paraId="76306CCE" w14:textId="77777777" w:rsidR="00B10998" w:rsidRDefault="00B10998">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6DA0959D"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3ACB1E30" w14:textId="77777777" w:rsidR="00B10998" w:rsidRDefault="00B10998">
            <w:pPr>
              <w:spacing w:after="80"/>
            </w:pPr>
            <w:r>
              <w:rPr>
                <w:rFonts w:ascii="Barlow Condensed" w:eastAsia="Barlow Condensed" w:hAnsi="Barlow Condensed" w:cs="Barlow Condensed"/>
                <w:b/>
                <w:bCs/>
                <w:color w:val="1F7A4C"/>
                <w:sz w:val="24"/>
                <w:szCs w:val="24"/>
              </w:rPr>
              <w:t xml:space="preserve">Resultado D, </w:t>
            </w:r>
            <w:r>
              <w:rPr>
                <w:rFonts w:ascii="Barlow Condensed" w:eastAsia="Barlow Condensed" w:hAnsi="Barlow Condensed" w:cs="Barlow Condensed"/>
                <w:b/>
                <w:bCs/>
                <w:color w:val="0B2C5F"/>
                <w:sz w:val="24"/>
                <w:szCs w:val="24"/>
              </w:rPr>
              <w:t>Conduta imprópria</w:t>
            </w:r>
          </w:p>
          <w:p w14:paraId="1D51DAF3" w14:textId="77777777" w:rsidR="00B10998" w:rsidRDefault="00B10998">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116, II, IX e XI, deveres de lealdade às instituições, de moralidade administrativa e de urbanidade</w:t>
            </w:r>
          </w:p>
          <w:p w14:paraId="68496900"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Advertência ou suspensão, conforme dosimetria</w:t>
            </w:r>
          </w:p>
          <w:p w14:paraId="634E2533"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2 anos (art. 142, II)</w:t>
            </w:r>
          </w:p>
          <w:p w14:paraId="47F60D90" w14:textId="77777777" w:rsidR="00B10998" w:rsidRDefault="00B10998">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Aplicar dosimetria do art. 128. Verificar se a instrução está completa quanto ao elemento subjetivo e à gravidade, o Resultado D não encerra a análise quando há indícios de dolo ou de impacto mais grave não apurado.</w:t>
            </w:r>
          </w:p>
          <w:p w14:paraId="457326B4" w14:textId="77777777" w:rsidR="007F53FD" w:rsidRDefault="00A47804">
            <w:r>
              <w:t>Este resultado é próprio do Eixo 5 e não se confunde com o resultado equivalente do Eixo 4, ainda que os dispositivos sejam idênticos. Quando a conduta reúne padrão hostil e motivação discriminatória, os dois enquadramentos são cumuláveis.</w:t>
            </w:r>
          </w:p>
        </w:tc>
      </w:tr>
    </w:tbl>
    <w:p w14:paraId="44989A27" w14:textId="77777777" w:rsidR="00B10998" w:rsidRDefault="00B10998">
      <w:pPr>
        <w:pBdr>
          <w:bottom w:val="single" w:sz="4" w:space="1" w:color="C9A35C"/>
        </w:pBdr>
        <w:spacing w:before="200" w:after="200"/>
      </w:pPr>
    </w:p>
    <w:p w14:paraId="2D5E9639" w14:textId="77777777" w:rsidR="00B10998" w:rsidRDefault="00B10998">
      <w:pPr>
        <w:pStyle w:val="Ttulo3"/>
        <w:keepNext/>
      </w:pPr>
      <w:r>
        <w:rPr>
          <w:rFonts w:ascii="Calibri" w:eastAsia="Calibri" w:hAnsi="Calibri" w:cs="Calibri"/>
        </w:rPr>
        <w:t>Checklist do Eixo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rsidRPr="00C50480" w14:paraId="4AF60021"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20B5CA32"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Construí a linha do tempo de todos os episódios identificáveis</w:t>
            </w:r>
          </w:p>
          <w:p w14:paraId="791AB08F"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antes de responder P1</w:t>
            </w:r>
          </w:p>
          <w:p w14:paraId="0FF45A55"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Investiguei episódios anteriores à denúncia formal,</w:t>
            </w:r>
          </w:p>
          <w:p w14:paraId="2C3A3670"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perguntando à vítima diretamente</w:t>
            </w:r>
          </w:p>
          <w:p w14:paraId="50472C12"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Apliquei o teste da finalidade com as cinco perguntas antes de</w:t>
            </w:r>
          </w:p>
          <w:p w14:paraId="55729005"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concluir sobre o elemento subjetivo</w:t>
            </w:r>
          </w:p>
          <w:p w14:paraId="270BF5B9"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Apliquei o teste de isonomia (P8) antes de analisar o elemento subjetivo, comparando o tratamento da vítima com o de pares em situação análoga</w:t>
            </w:r>
          </w:p>
          <w:p w14:paraId="10DE6EE3"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lastRenderedPageBreak/>
              <w:t>[ ]</w:t>
            </w:r>
            <w:proofErr w:type="gramEnd"/>
            <w:r>
              <w:rPr>
                <w:rFonts w:eastAsia="Courier New" w:cs="Courier New"/>
                <w:color w:val="0B2C5F"/>
                <w:sz w:val="20"/>
                <w:szCs w:val="20"/>
              </w:rPr>
              <w:t xml:space="preserve"> Se a justificativa isonômica estava ausente, fundamentei expressamente eventual conclusão por culpa ou por ausência de elemento subjetivo</w:t>
            </w:r>
          </w:p>
          <w:p w14:paraId="4050A22D"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confundi gestão rigorosa com assédio moral, verifiquei se a</w:t>
            </w:r>
          </w:p>
          <w:p w14:paraId="706A7C86"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finalidade era o resultado do serviço ou a destruição do servidor</w:t>
            </w:r>
          </w:p>
          <w:p w14:paraId="40381B43"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Quando verifiquei dolo, identifiquei os indicadores específicos</w:t>
            </w:r>
          </w:p>
          <w:p w14:paraId="437AB979"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que demonstram a intenção</w:t>
            </w:r>
          </w:p>
          <w:p w14:paraId="562A3285"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Identifiquei corretamente a direção hierárquica (P5) antes de</w:t>
            </w:r>
          </w:p>
          <w:p w14:paraId="2BE0F0CF"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avançar para P6 ou P7-B</w:t>
            </w:r>
          </w:p>
          <w:p w14:paraId="6F82FC87"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Quando o resultado foi A (dolo com cargo), verifiquei a</w:t>
            </w:r>
          </w:p>
          <w:p w14:paraId="0F1EC440"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pertinência de medidas cautelares</w:t>
            </w:r>
          </w:p>
          <w:p w14:paraId="2A5B92CF"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Quando a vítima foi escolhida por característica protegida (P7-B),</w:t>
            </w:r>
          </w:p>
          <w:p w14:paraId="161BD496"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registrei o alerta de assédio discriminatório e recomendei</w:t>
            </w:r>
          </w:p>
          <w:p w14:paraId="44B7399C"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análise no Eixo 4</w:t>
            </w:r>
          </w:p>
          <w:p w14:paraId="4429FB93"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Quando o resultado foi A ou C, acionei o </w:t>
            </w:r>
            <w:proofErr w:type="spellStart"/>
            <w:r>
              <w:rPr>
                <w:rFonts w:eastAsia="Courier New" w:cs="Courier New"/>
                <w:color w:val="0B2C5F"/>
                <w:sz w:val="20"/>
                <w:szCs w:val="20"/>
              </w:rPr>
              <w:t>gate</w:t>
            </w:r>
            <w:proofErr w:type="spellEnd"/>
            <w:r>
              <w:rPr>
                <w:rFonts w:eastAsia="Courier New" w:cs="Courier New"/>
                <w:color w:val="0B2C5F"/>
                <w:sz w:val="20"/>
                <w:szCs w:val="20"/>
              </w:rPr>
              <w:t xml:space="preserve"> de</w:t>
            </w:r>
          </w:p>
          <w:p w14:paraId="19A51171"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confirmação demissória</w:t>
            </w:r>
          </w:p>
          <w:p w14:paraId="6C9AEA20" w14:textId="77777777" w:rsidR="00B10998" w:rsidRPr="00C50480"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encerrei com Resultado D sem verificar se há indícios de</w:t>
            </w:r>
          </w:p>
          <w:p w14:paraId="0E14B1CF" w14:textId="77777777" w:rsidR="00B10998" w:rsidRPr="00C50480" w:rsidRDefault="00B10998">
            <w:pPr>
              <w:rPr>
                <w:rFonts w:eastAsia="Courier New" w:cs="Courier New"/>
                <w:color w:val="0B2C5F"/>
                <w:sz w:val="20"/>
                <w:szCs w:val="20"/>
              </w:rPr>
            </w:pPr>
            <w:r>
              <w:rPr>
                <w:rFonts w:eastAsia="Courier New" w:cs="Courier New"/>
                <w:color w:val="0B2C5F"/>
                <w:sz w:val="20"/>
                <w:szCs w:val="20"/>
              </w:rPr>
              <w:t xml:space="preserve">    elemento subjetivo mais grave não apurado</w:t>
            </w:r>
          </w:p>
        </w:tc>
      </w:tr>
    </w:tbl>
    <w:p w14:paraId="5A6FD917" w14:textId="77777777" w:rsidR="00B10998" w:rsidRDefault="00B10998">
      <w:pPr>
        <w:pBdr>
          <w:bottom w:val="single" w:sz="4" w:space="1" w:color="C9A35C"/>
        </w:pBdr>
        <w:spacing w:before="200" w:after="200"/>
      </w:pPr>
    </w:p>
    <w:p w14:paraId="0FE81ECD" w14:textId="77777777" w:rsidR="00B10998" w:rsidRDefault="00B10998">
      <w:pPr>
        <w:pStyle w:val="Ttulo3"/>
        <w:keepNext/>
      </w:pPr>
      <w:r>
        <w:rPr>
          <w:rFonts w:ascii="Calibri" w:eastAsia="Calibri" w:hAnsi="Calibri" w:cs="Calibri"/>
        </w:rPr>
        <w:t>Erros mais frequentes no Eixo 5</w:t>
      </w:r>
    </w:p>
    <w:p w14:paraId="56F250F9" w14:textId="77777777" w:rsidR="00B10998" w:rsidRDefault="00B10998">
      <w:pPr>
        <w:spacing w:after="120"/>
        <w:jc w:val="both"/>
      </w:pPr>
      <w:r>
        <w:rPr>
          <w:rFonts w:ascii="Calibri" w:eastAsia="Calibri" w:hAnsi="Calibri" w:cs="Calibri"/>
          <w:b/>
          <w:bCs/>
          <w:color w:val="051A3D"/>
          <w:sz w:val="22"/>
          <w:szCs w:val="22"/>
        </w:rPr>
        <w:t>1. Analisar episódios isoladamente em vez do padrão.</w:t>
      </w:r>
      <w:r>
        <w:rPr>
          <w:rFonts w:ascii="Calibri" w:eastAsia="Calibri" w:hAnsi="Calibri" w:cs="Calibri"/>
          <w:color w:val="051A3D"/>
          <w:sz w:val="22"/>
          <w:szCs w:val="22"/>
        </w:rPr>
        <w:t xml:space="preserve"> O assédio moral é definido pela sistematicidade, não pela gravidade de cada episódio. Analise o conjunto, a frequência, a direção constante ao mesmo servidor.</w:t>
      </w:r>
    </w:p>
    <w:p w14:paraId="29194AA2" w14:textId="77777777" w:rsidR="00B10998" w:rsidRDefault="00B10998">
      <w:pPr>
        <w:spacing w:after="120"/>
        <w:jc w:val="both"/>
      </w:pPr>
      <w:r>
        <w:rPr>
          <w:rFonts w:ascii="Calibri" w:eastAsia="Calibri" w:hAnsi="Calibri" w:cs="Calibri"/>
          <w:b/>
          <w:bCs/>
          <w:color w:val="051A3D"/>
          <w:sz w:val="22"/>
          <w:szCs w:val="22"/>
        </w:rPr>
        <w:t>2. Aceitar justificativa gerencial sem aplicar o teste da finalidade.</w:t>
      </w:r>
      <w:r>
        <w:rPr>
          <w:rFonts w:ascii="Calibri" w:eastAsia="Calibri" w:hAnsi="Calibri" w:cs="Calibri"/>
          <w:color w:val="051A3D"/>
          <w:sz w:val="22"/>
          <w:szCs w:val="22"/>
        </w:rPr>
        <w:t xml:space="preserve"> O assediador sempre apresentará cada episódio como exercício legítimo de gestão. Aplique as cinco perguntas do teste. Três ou mais afirmativos são indício robusto de que o pretexto gerencial cobre finalidade assediadora.</w:t>
      </w:r>
    </w:p>
    <w:p w14:paraId="4A50EB16" w14:textId="77777777" w:rsidR="00B10998" w:rsidRDefault="00B10998">
      <w:pPr>
        <w:spacing w:after="120"/>
        <w:jc w:val="both"/>
      </w:pPr>
      <w:r>
        <w:rPr>
          <w:rFonts w:ascii="Calibri" w:eastAsia="Calibri" w:hAnsi="Calibri" w:cs="Calibri"/>
          <w:b/>
          <w:bCs/>
          <w:color w:val="051A3D"/>
          <w:sz w:val="22"/>
          <w:szCs w:val="22"/>
        </w:rPr>
        <w:t>3. Não investigar episódios anteriores à denúncia formal.</w:t>
      </w:r>
      <w:r>
        <w:rPr>
          <w:rFonts w:ascii="Calibri" w:eastAsia="Calibri" w:hAnsi="Calibri" w:cs="Calibri"/>
          <w:color w:val="051A3D"/>
          <w:sz w:val="22"/>
          <w:szCs w:val="22"/>
        </w:rPr>
        <w:t xml:space="preserve"> A denúncia frequentemente narra apenas o episódio que transbordou. Pergunte à vítima sobre o histórico completo antes de concluir que a conduta foi um ato isolado.</w:t>
      </w:r>
    </w:p>
    <w:p w14:paraId="1D579AB6" w14:textId="77777777" w:rsidR="00B10998" w:rsidRDefault="00B10998">
      <w:pPr>
        <w:spacing w:after="120"/>
        <w:jc w:val="both"/>
      </w:pPr>
      <w:r>
        <w:rPr>
          <w:rFonts w:ascii="Calibri" w:eastAsia="Calibri" w:hAnsi="Calibri" w:cs="Calibri"/>
          <w:b/>
          <w:bCs/>
          <w:color w:val="051A3D"/>
          <w:sz w:val="22"/>
          <w:szCs w:val="22"/>
        </w:rPr>
        <w:t>4. Confundir gestão culposa com ausência de ilícito.</w:t>
      </w:r>
      <w:r>
        <w:rPr>
          <w:rFonts w:ascii="Calibri" w:eastAsia="Calibri" w:hAnsi="Calibri" w:cs="Calibri"/>
          <w:color w:val="051A3D"/>
          <w:sz w:val="22"/>
          <w:szCs w:val="22"/>
        </w:rPr>
        <w:t xml:space="preserve"> A ausência de dolo não significa ausência de infração. O gestor que produz objetivamente ambiente de degradação por negligência gerencial enquadra-se no art. 116, IX. Gestão culposa é ilícito disciplinar, não apenas inadequação de liderança.</w:t>
      </w:r>
    </w:p>
    <w:p w14:paraId="44D70B4A" w14:textId="77777777" w:rsidR="00B10998" w:rsidRDefault="00B10998">
      <w:pPr>
        <w:spacing w:after="120"/>
        <w:jc w:val="both"/>
      </w:pPr>
      <w:r>
        <w:rPr>
          <w:rFonts w:ascii="Calibri" w:eastAsia="Calibri" w:hAnsi="Calibri" w:cs="Calibri"/>
          <w:b/>
          <w:bCs/>
          <w:color w:val="051A3D"/>
          <w:sz w:val="22"/>
          <w:szCs w:val="22"/>
        </w:rPr>
        <w:t>5. Supor que a hierarquia explica a escolha da vítima.</w:t>
      </w:r>
      <w:r>
        <w:rPr>
          <w:rFonts w:ascii="Calibri" w:eastAsia="Calibri" w:hAnsi="Calibri" w:cs="Calibri"/>
          <w:color w:val="051A3D"/>
          <w:sz w:val="22"/>
          <w:szCs w:val="22"/>
        </w:rPr>
        <w:t xml:space="preserve"> A verificação de motivação discriminatória aplica-se às três direções do assédio. O superior que persegue subordinada por característica protegida pratica assédio moral discriminatório, e o enquadramento que se encerra no Eixo 5 é incompleto. A pergunta P5 foi reposicionada para o início do ramo reiterado precisamente para eliminar esse ponto cego.</w:t>
      </w:r>
    </w:p>
    <w:p w14:paraId="08D8E130" w14:textId="77777777" w:rsidR="00B10998" w:rsidRDefault="00B10998">
      <w:pPr>
        <w:spacing w:after="120"/>
        <w:jc w:val="both"/>
      </w:pPr>
      <w:r>
        <w:rPr>
          <w:rFonts w:ascii="Calibri" w:eastAsia="Calibri" w:hAnsi="Calibri" w:cs="Calibri"/>
          <w:b/>
          <w:bCs/>
          <w:color w:val="051A3D"/>
          <w:sz w:val="22"/>
          <w:szCs w:val="22"/>
        </w:rPr>
        <w:t>6. Concluir pelo patamar mais baixo sem verificar se a instrução está completa.</w:t>
      </w:r>
      <w:r>
        <w:rPr>
          <w:rFonts w:ascii="Calibri" w:eastAsia="Calibri" w:hAnsi="Calibri" w:cs="Calibri"/>
          <w:color w:val="051A3D"/>
          <w:sz w:val="22"/>
          <w:szCs w:val="22"/>
        </w:rPr>
        <w:t xml:space="preserve"> O Resultado D é o de menor gravidade, mas não é o resultado padrão quando há dúvida. Se há indícios de dolo ou de impacto mais grave não apurado, a instrução deve ser complementada antes do enquadramento.</w:t>
      </w:r>
    </w:p>
    <w:p w14:paraId="0343B6F9" w14:textId="77777777" w:rsidR="00287D58" w:rsidRDefault="003B78AF" w:rsidP="001D5E73">
      <w:r>
        <w:lastRenderedPageBreak/>
        <w:br w:type="page"/>
      </w:r>
    </w:p>
    <w:p w14:paraId="57CF1B57" w14:textId="77777777" w:rsidR="00B10998" w:rsidRDefault="00B10998" w:rsidP="0035671B">
      <w:r>
        <w:rPr>
          <w:rFonts w:ascii="Barlow Condensed" w:eastAsia="Barlow Condensed" w:hAnsi="Barlow Condensed" w:cs="Barlow Condensed"/>
          <w:b/>
          <w:bCs/>
          <w:color w:val="8C6E2C"/>
          <w:sz w:val="18"/>
          <w:szCs w:val="18"/>
        </w:rPr>
        <w:lastRenderedPageBreak/>
        <w:t>▍ EIXO 6</w:t>
      </w:r>
    </w:p>
    <w:p w14:paraId="3F58AAE1" w14:textId="77777777" w:rsidR="00B10998" w:rsidRDefault="00B10998">
      <w:pPr>
        <w:pStyle w:val="Ttulo1"/>
      </w:pPr>
      <w:bookmarkStart w:id="171" w:name="_Toc238022162"/>
      <w:r>
        <w:rPr>
          <w:caps/>
          <w:color w:val="0B2C5F"/>
          <w:sz w:val="40"/>
          <w:szCs w:val="40"/>
        </w:rPr>
        <w:t>16. EIXO 6: RETALIAÇÃO AO DENUNCIANTE, GUIA DE USO</w:t>
      </w:r>
      <w:bookmarkEnd w:id="171"/>
    </w:p>
    <w:p w14:paraId="47A05527" w14:textId="77777777" w:rsidR="00B10998" w:rsidRDefault="00B10998">
      <w:pPr>
        <w:pStyle w:val="Ttulo3"/>
        <w:keepNext/>
      </w:pPr>
      <w:r>
        <w:rPr>
          <w:rFonts w:ascii="Calibri" w:eastAsia="Calibri" w:hAnsi="Calibri" w:cs="Calibri"/>
        </w:rPr>
        <w:t>O que este eixo analisa</w:t>
      </w:r>
    </w:p>
    <w:p w14:paraId="6CEF83B8" w14:textId="77777777" w:rsidR="00B10998" w:rsidRDefault="00B10998">
      <w:pPr>
        <w:spacing w:after="120"/>
        <w:jc w:val="both"/>
      </w:pPr>
      <w:r>
        <w:rPr>
          <w:rFonts w:ascii="Calibri" w:eastAsia="Calibri" w:hAnsi="Calibri" w:cs="Calibri"/>
          <w:color w:val="051A3D"/>
          <w:sz w:val="22"/>
          <w:szCs w:val="22"/>
        </w:rPr>
        <w:t>Condutas adversas praticadas contra servidor em razão do exercício de direito funcionalmente protegido, denúncia de irregularidades, testemunho em apuração disciplinar, recusa documentada de cumprir ordem ilegal, exercício de direito funcional legítimo como recurso, greve ou representação sindical. A retaliação não se define pela forma da conduta adversa, que pode ser idêntica ao assédio moral ou à discriminação, mas pelo nexo que a liga ao ato protegido: a vítima é alvo precisamente porque exerceu um direito que o ordenamento garante.</w:t>
      </w:r>
    </w:p>
    <w:p w14:paraId="3B9D1FC8" w14:textId="77777777" w:rsidR="00B10998" w:rsidRDefault="00B10998">
      <w:pPr>
        <w:spacing w:after="120"/>
        <w:jc w:val="both"/>
      </w:pPr>
      <w:r>
        <w:rPr>
          <w:rFonts w:ascii="Calibri" w:eastAsia="Calibri" w:hAnsi="Calibri" w:cs="Calibri"/>
          <w:color w:val="051A3D"/>
          <w:sz w:val="22"/>
          <w:szCs w:val="22"/>
        </w:rPr>
        <w:t>Este eixo tem quatro perguntas e pode produzir dois resultados distintos, dependendo do uso instrumental do cargo na represália.</w:t>
      </w:r>
    </w:p>
    <w:p w14:paraId="15D911E7" w14:textId="77777777" w:rsidR="00B10998" w:rsidRDefault="00B10998">
      <w:pPr>
        <w:spacing w:after="120"/>
        <w:jc w:val="both"/>
      </w:pPr>
      <w:r>
        <w:rPr>
          <w:rFonts w:ascii="Calibri" w:eastAsia="Calibri" w:hAnsi="Calibri" w:cs="Calibri"/>
          <w:b/>
          <w:bCs/>
          <w:color w:val="051A3D"/>
          <w:sz w:val="22"/>
          <w:szCs w:val="22"/>
        </w:rPr>
        <w:t>Lembre antes de começar:</w:t>
      </w:r>
      <w:r>
        <w:rPr>
          <w:rFonts w:ascii="Calibri" w:eastAsia="Calibri" w:hAnsi="Calibri" w:cs="Calibri"/>
          <w:color w:val="051A3D"/>
          <w:sz w:val="22"/>
          <w:szCs w:val="22"/>
        </w:rPr>
        <w:t xml:space="preserve"> o elemento central deste eixo é o nexo causal, não a gravidade ou a forma da conduta adversa. A mesma remoção de ofício pode ser ato administrativo legítimo ou retaliação; o que a transforma em retaliação é a sua causa real. Sem nexo com o ato protegido, pode haver assédio moral (Eixo 5) ou discriminação (Eixo 4), mas não retaliação no sentido técnico deste eixo.</w:t>
      </w:r>
    </w:p>
    <w:p w14:paraId="43908104" w14:textId="77777777" w:rsidR="00B10998" w:rsidRDefault="00B10998">
      <w:pPr>
        <w:spacing w:after="120"/>
        <w:jc w:val="both"/>
      </w:pPr>
      <w:proofErr w:type="spellStart"/>
      <w:r>
        <w:rPr>
          <w:rFonts w:ascii="Calibri" w:eastAsia="Calibri" w:hAnsi="Calibri" w:cs="Calibri"/>
          <w:b/>
          <w:bCs/>
          <w:color w:val="051A3D"/>
          <w:sz w:val="22"/>
          <w:szCs w:val="22"/>
        </w:rPr>
        <w:t>Lembre</w:t>
      </w:r>
      <w:proofErr w:type="spellEnd"/>
      <w:r>
        <w:rPr>
          <w:rFonts w:ascii="Calibri" w:eastAsia="Calibri" w:hAnsi="Calibri" w:cs="Calibri"/>
          <w:b/>
          <w:bCs/>
          <w:color w:val="051A3D"/>
          <w:sz w:val="22"/>
          <w:szCs w:val="22"/>
        </w:rPr>
        <w:t xml:space="preserve"> também:</w:t>
      </w:r>
      <w:r>
        <w:rPr>
          <w:rFonts w:ascii="Calibri" w:eastAsia="Calibri" w:hAnsi="Calibri" w:cs="Calibri"/>
          <w:color w:val="051A3D"/>
          <w:sz w:val="22"/>
          <w:szCs w:val="22"/>
        </w:rPr>
        <w:t xml:space="preserve"> a proteção independe do resultado do ato protegido. O servidor que denunciou irregularidades que, ao final da apuração, se revelaram inexistentes permanece protegido, desde que tenha agido de boa-fé, com base em elementos razoáveis que fundamentavam a denúncia.</w:t>
      </w:r>
    </w:p>
    <w:p w14:paraId="19B255D7"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676C92AB" w14:textId="77777777">
        <w:tc>
          <w:tcPr>
            <w:tcW w:w="9638" w:type="dxa"/>
            <w:tcBorders>
              <w:top w:val="single" w:sz="6" w:space="0" w:color="B7791F"/>
              <w:left w:val="single" w:sz="18" w:space="0" w:color="B7791F"/>
              <w:bottom w:val="single" w:sz="6" w:space="0" w:color="B7791F"/>
            </w:tcBorders>
            <w:shd w:val="clear" w:color="auto" w:fill="FFFBEA"/>
            <w:tcMar>
              <w:top w:w="100" w:type="dxa"/>
              <w:left w:w="180" w:type="dxa"/>
              <w:bottom w:w="100" w:type="dxa"/>
              <w:right w:w="180" w:type="dxa"/>
            </w:tcMar>
          </w:tcPr>
          <w:p w14:paraId="6993D558" w14:textId="77777777" w:rsidR="00B10998" w:rsidRDefault="00B10998">
            <w:pPr>
              <w:jc w:val="both"/>
            </w:pPr>
            <w:r>
              <w:rPr>
                <w:rFonts w:ascii="Calibri" w:eastAsia="Calibri" w:hAnsi="Calibri" w:cs="Calibri"/>
                <w:b/>
                <w:bCs/>
                <w:color w:val="B7791F"/>
                <w:sz w:val="20"/>
                <w:szCs w:val="20"/>
              </w:rPr>
              <w:t>Atenção, competência apuratória:</w:t>
            </w:r>
            <w:r>
              <w:rPr>
                <w:rFonts w:ascii="Calibri" w:eastAsia="Calibri" w:hAnsi="Calibri" w:cs="Calibri"/>
                <w:color w:val="051A3D"/>
                <w:sz w:val="20"/>
                <w:szCs w:val="20"/>
              </w:rPr>
              <w:t xml:space="preserve"> quando a denúncia original gerou protocolo válido no Fala.BR ou sistema a ele integrado (art. 10-A do Decreto nº 10.153/2019), a competência para instaurar e julgar o PAD de retaliação é exclusiva da CGU/CRG (art. 135-A da PN CGU nº 27/2022). A </w:t>
            </w:r>
            <w:proofErr w:type="spellStart"/>
            <w:r>
              <w:rPr>
                <w:rFonts w:ascii="Calibri" w:eastAsia="Calibri" w:hAnsi="Calibri" w:cs="Calibri"/>
                <w:color w:val="051A3D"/>
                <w:sz w:val="20"/>
                <w:szCs w:val="20"/>
              </w:rPr>
              <w:t>Coger</w:t>
            </w:r>
            <w:proofErr w:type="spellEnd"/>
            <w:r>
              <w:rPr>
                <w:rFonts w:ascii="Calibri" w:eastAsia="Calibri" w:hAnsi="Calibri" w:cs="Calibri"/>
                <w:color w:val="051A3D"/>
                <w:sz w:val="20"/>
                <w:szCs w:val="20"/>
              </w:rPr>
              <w:t xml:space="preserve">/RFB não instaura, não julga e não avoca esses casos. A providência correta é remeter os autos à CGU/CRG com os elementos identificadores do ato protegido e das condutas adversas, e adotar, na alçada da </w:t>
            </w:r>
            <w:proofErr w:type="spellStart"/>
            <w:r>
              <w:rPr>
                <w:rFonts w:ascii="Calibri" w:eastAsia="Calibri" w:hAnsi="Calibri" w:cs="Calibri"/>
                <w:color w:val="051A3D"/>
                <w:sz w:val="20"/>
                <w:szCs w:val="20"/>
              </w:rPr>
              <w:t>Coger</w:t>
            </w:r>
            <w:proofErr w:type="spellEnd"/>
            <w:r>
              <w:rPr>
                <w:rFonts w:ascii="Calibri" w:eastAsia="Calibri" w:hAnsi="Calibri" w:cs="Calibri"/>
                <w:color w:val="051A3D"/>
                <w:sz w:val="20"/>
                <w:szCs w:val="20"/>
              </w:rPr>
              <w:t>/RFB, medidas cautelares imediatas de proteção ao servidor-alvo. Como toda denúncia recebida deve ser protocolada no Fala.BR, esse será o cenário padrão na Receita Federal do Brasil.</w:t>
            </w:r>
          </w:p>
        </w:tc>
      </w:tr>
    </w:tbl>
    <w:p w14:paraId="4B439412" w14:textId="77777777" w:rsidR="00B10998" w:rsidRDefault="00B10998">
      <w:pPr>
        <w:spacing w:before="120"/>
      </w:pPr>
    </w:p>
    <w:p w14:paraId="7A944A3B" w14:textId="77777777" w:rsidR="00B10998" w:rsidRDefault="00B10998">
      <w:pPr>
        <w:pStyle w:val="Ttulo3"/>
        <w:keepNext/>
      </w:pPr>
      <w:r>
        <w:rPr>
          <w:rFonts w:ascii="Calibri" w:eastAsia="Calibri" w:hAnsi="Calibri" w:cs="Calibri"/>
        </w:rPr>
        <w:t>Fluxo completo do Eixo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rsidRPr="000C0DBA" w14:paraId="6E19277C"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25F0B584"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P1, O servidor afetado praticou ato funcionalmente protegido</w:t>
            </w:r>
          </w:p>
          <w:p w14:paraId="1E705B01"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antes da conduta adversa?</w:t>
            </w:r>
          </w:p>
          <w:p w14:paraId="575FE4DE"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 Sem ilícito neste eixo, avaliar Eixo 5 se houver</w:t>
            </w:r>
          </w:p>
          <w:p w14:paraId="14DBF8A2"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padrão hostil sem ato protegido identificável</w:t>
            </w:r>
          </w:p>
          <w:p w14:paraId="55DE2C7A"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SIM → P2</w:t>
            </w:r>
          </w:p>
          <w:p w14:paraId="475D250D" w14:textId="77777777" w:rsidR="00B10998" w:rsidRPr="000C0DBA" w:rsidRDefault="00B10998">
            <w:pPr>
              <w:rPr>
                <w:rFonts w:eastAsia="Courier New" w:cs="Courier New"/>
                <w:color w:val="0B2C5F"/>
                <w:sz w:val="20"/>
                <w:szCs w:val="20"/>
              </w:rPr>
            </w:pPr>
          </w:p>
          <w:p w14:paraId="5B6350AB"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P2, </w:t>
            </w:r>
            <w:proofErr w:type="gramStart"/>
            <w:r>
              <w:rPr>
                <w:rFonts w:eastAsia="Courier New" w:cs="Courier New"/>
                <w:color w:val="0B2C5F"/>
                <w:sz w:val="20"/>
                <w:szCs w:val="20"/>
              </w:rPr>
              <w:t>Houve</w:t>
            </w:r>
            <w:proofErr w:type="gramEnd"/>
            <w:r>
              <w:rPr>
                <w:rFonts w:eastAsia="Courier New" w:cs="Courier New"/>
                <w:color w:val="0B2C5F"/>
                <w:sz w:val="20"/>
                <w:szCs w:val="20"/>
              </w:rPr>
              <w:t xml:space="preserve"> conduta adversa subsequente ao ato protegido?</w:t>
            </w:r>
          </w:p>
          <w:p w14:paraId="0C1A8E02"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 Sem ilícito disciplinar neste eixo</w:t>
            </w:r>
          </w:p>
          <w:p w14:paraId="71C6AD0D"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SIM → P3</w:t>
            </w:r>
          </w:p>
          <w:p w14:paraId="6DE9D31E" w14:textId="77777777" w:rsidR="00B10998" w:rsidRPr="000C0DBA" w:rsidRDefault="00B10998">
            <w:pPr>
              <w:rPr>
                <w:rFonts w:eastAsia="Courier New" w:cs="Courier New"/>
                <w:color w:val="0B2C5F"/>
                <w:sz w:val="20"/>
                <w:szCs w:val="20"/>
              </w:rPr>
            </w:pPr>
          </w:p>
          <w:p w14:paraId="3E55086E" w14:textId="77777777" w:rsidR="00B10998" w:rsidRPr="000C0DBA" w:rsidRDefault="00B10998">
            <w:pPr>
              <w:rPr>
                <w:rFonts w:eastAsia="Courier New" w:cs="Courier New"/>
                <w:color w:val="0B2C5F"/>
                <w:sz w:val="20"/>
                <w:szCs w:val="20"/>
              </w:rPr>
            </w:pPr>
            <w:r>
              <w:rPr>
                <w:rFonts w:eastAsia="Courier New" w:cs="Courier New"/>
                <w:color w:val="0B2C5F"/>
                <w:sz w:val="20"/>
                <w:szCs w:val="20"/>
              </w:rPr>
              <w:lastRenderedPageBreak/>
              <w:t xml:space="preserve">P3, </w:t>
            </w:r>
            <w:proofErr w:type="gramStart"/>
            <w:r>
              <w:rPr>
                <w:rFonts w:eastAsia="Courier New" w:cs="Courier New"/>
                <w:color w:val="0B2C5F"/>
                <w:sz w:val="20"/>
                <w:szCs w:val="20"/>
              </w:rPr>
              <w:t>Há</w:t>
            </w:r>
            <w:proofErr w:type="gramEnd"/>
            <w:r>
              <w:rPr>
                <w:rFonts w:eastAsia="Courier New" w:cs="Courier New"/>
                <w:color w:val="0B2C5F"/>
                <w:sz w:val="20"/>
                <w:szCs w:val="20"/>
              </w:rPr>
              <w:t xml:space="preserve"> nexo de causalidade entre o ato protegido</w:t>
            </w:r>
          </w:p>
          <w:p w14:paraId="5F313867"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e a conduta adversa?</w:t>
            </w:r>
          </w:p>
          <w:p w14:paraId="7E4DBC74"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 Sem retaliação, avaliar Eixo 5 ou Eixo 4</w:t>
            </w:r>
          </w:p>
          <w:p w14:paraId="0743A3B5"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se houver padrão hostil com outras características</w:t>
            </w:r>
          </w:p>
          <w:p w14:paraId="48EC0A14"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SIM → P4</w:t>
            </w:r>
          </w:p>
          <w:p w14:paraId="224B8B5E" w14:textId="77777777" w:rsidR="00B10998" w:rsidRPr="000C0DBA" w:rsidRDefault="00B10998">
            <w:pPr>
              <w:rPr>
                <w:rFonts w:eastAsia="Courier New" w:cs="Courier New"/>
                <w:color w:val="0B2C5F"/>
                <w:sz w:val="20"/>
                <w:szCs w:val="20"/>
              </w:rPr>
            </w:pPr>
          </w:p>
          <w:p w14:paraId="472E506B"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P4, O agressor utilizou prerrogativas funcionais como</w:t>
            </w:r>
          </w:p>
          <w:p w14:paraId="56CFE659"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instrumento da represália?</w:t>
            </w:r>
          </w:p>
          <w:p w14:paraId="00C4B722"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SIM → GATE → Resultado A, retaliação com valimento do cargo</w:t>
            </w:r>
          </w:p>
          <w:p w14:paraId="15B23BD1"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(art. 117, IX, demissão)</w:t>
            </w:r>
          </w:p>
          <w:p w14:paraId="71AD77B2"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 Resultado B, retaliação, conduta imprópria</w:t>
            </w:r>
          </w:p>
          <w:p w14:paraId="26D5EAE7"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(art. 116, IX, adv./</w:t>
            </w:r>
            <w:proofErr w:type="spellStart"/>
            <w:r>
              <w:rPr>
                <w:rFonts w:eastAsia="Courier New" w:cs="Courier New"/>
                <w:color w:val="0B2C5F"/>
                <w:sz w:val="20"/>
                <w:szCs w:val="20"/>
              </w:rPr>
              <w:t>susp</w:t>
            </w:r>
            <w:proofErr w:type="spellEnd"/>
            <w:r>
              <w:rPr>
                <w:rFonts w:eastAsia="Courier New" w:cs="Courier New"/>
                <w:color w:val="0B2C5F"/>
                <w:sz w:val="20"/>
                <w:szCs w:val="20"/>
              </w:rPr>
              <w:t>.)</w:t>
            </w:r>
          </w:p>
          <w:p w14:paraId="77A16C1E" w14:textId="77777777" w:rsidR="00B10998" w:rsidRPr="000C0DBA" w:rsidRDefault="00B10998">
            <w:pPr>
              <w:rPr>
                <w:rFonts w:eastAsia="Courier New" w:cs="Courier New"/>
                <w:color w:val="0B2C5F"/>
                <w:sz w:val="20"/>
                <w:szCs w:val="20"/>
              </w:rPr>
            </w:pPr>
          </w:p>
          <w:p w14:paraId="06BDB0B1"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ATENÇÃO, Competência: quando a denúncia gerou protocolo no</w:t>
            </w:r>
          </w:p>
          <w:p w14:paraId="36301818"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Fala.BR, remeter à CGU/CRG antes de instaurar PAD.</w:t>
            </w:r>
          </w:p>
        </w:tc>
      </w:tr>
    </w:tbl>
    <w:p w14:paraId="560CA6EC" w14:textId="77777777" w:rsidR="00B10998" w:rsidRDefault="00B10998">
      <w:pPr>
        <w:spacing w:before="200"/>
      </w:pPr>
    </w:p>
    <w:p w14:paraId="3E6C94B6" w14:textId="77777777" w:rsidR="00B10998" w:rsidRDefault="00B10998">
      <w:pPr>
        <w:pStyle w:val="Ttulo2"/>
        <w:keepNext/>
        <w:pBdr>
          <w:left w:val="single" w:sz="10" w:space="6" w:color="C9A35C"/>
        </w:pBdr>
      </w:pPr>
      <w:bookmarkStart w:id="172" w:name="_Toc238022163"/>
      <w:r>
        <w:t>P1, O servidor afetado praticou ato funcionalmente protegido antes da conduta adversa?</w:t>
      </w:r>
      <w:bookmarkEnd w:id="172"/>
    </w:p>
    <w:p w14:paraId="6691CFF3" w14:textId="77777777" w:rsidR="00B10998" w:rsidRDefault="00B10998">
      <w:pPr>
        <w:pStyle w:val="Ttulo3"/>
        <w:keepNext/>
      </w:pPr>
      <w:r>
        <w:rPr>
          <w:rFonts w:ascii="Calibri" w:eastAsia="Calibri" w:hAnsi="Calibri" w:cs="Calibri"/>
        </w:rPr>
        <w:t>O que avaliar</w:t>
      </w:r>
    </w:p>
    <w:p w14:paraId="02E38236"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o servidor exerceu, antes da conduta adversa, algum direito que o ordenamento jurídico protege contra represália?</w:t>
      </w:r>
      <w:r>
        <w:rPr>
          <w:rFonts w:ascii="Calibri" w:eastAsia="Calibri" w:hAnsi="Calibri" w:cs="Calibri"/>
          <w:color w:val="051A3D"/>
          <w:sz w:val="22"/>
          <w:szCs w:val="22"/>
        </w:rPr>
        <w:t xml:space="preserve"> O rol dos atos protegidos abrange: denúncia de irregularidades a ouvidoria, CGU, TCU, Ministério Público ou qualquer autoridade competente; testemunho em PAD ou sindicância; recusa documentada de cumprir ordem manifestamente ilegal; exercício de direito funcional legítimo, recurso hierárquico, licença, greve, representação sindical, petição a órgão de controle.</w:t>
      </w:r>
    </w:p>
    <w:p w14:paraId="6D06F86D" w14:textId="77777777" w:rsidR="00B10998" w:rsidRDefault="00B10998">
      <w:pPr>
        <w:spacing w:after="120"/>
        <w:jc w:val="both"/>
      </w:pPr>
      <w:r>
        <w:rPr>
          <w:rFonts w:ascii="Calibri" w:eastAsia="Calibri" w:hAnsi="Calibri" w:cs="Calibri"/>
          <w:color w:val="051A3D"/>
          <w:sz w:val="22"/>
          <w:szCs w:val="22"/>
        </w:rPr>
        <w:t xml:space="preserve">O ato protegido precisa ter ocorrido </w:t>
      </w:r>
      <w:r>
        <w:rPr>
          <w:rFonts w:ascii="Calibri" w:eastAsia="Calibri" w:hAnsi="Calibri" w:cs="Calibri"/>
          <w:b/>
          <w:bCs/>
          <w:color w:val="051A3D"/>
          <w:sz w:val="22"/>
          <w:szCs w:val="22"/>
        </w:rPr>
        <w:t>antes</w:t>
      </w:r>
      <w:r>
        <w:rPr>
          <w:rFonts w:ascii="Calibri" w:eastAsia="Calibri" w:hAnsi="Calibri" w:cs="Calibri"/>
          <w:color w:val="051A3D"/>
          <w:sz w:val="22"/>
          <w:szCs w:val="22"/>
        </w:rPr>
        <w:t xml:space="preserve"> da conduta adversa, o marco temporal é condição para o nexo causal. Identifique a data do ato protegido com a maior precisão possível: ela é o ponto de referência para toda a análise subsequente.</w:t>
      </w:r>
    </w:p>
    <w:p w14:paraId="3F757140" w14:textId="77777777" w:rsidR="00B10998" w:rsidRDefault="00B10998">
      <w:pPr>
        <w:spacing w:after="120"/>
        <w:jc w:val="both"/>
      </w:pPr>
      <w:r>
        <w:rPr>
          <w:rFonts w:ascii="Calibri" w:eastAsia="Calibri" w:hAnsi="Calibri" w:cs="Calibri"/>
          <w:color w:val="051A3D"/>
          <w:sz w:val="22"/>
          <w:szCs w:val="22"/>
        </w:rPr>
        <w:t>A proteção é garantida pelo art. 5º-A da Lei nº 13.608/2018, pela garantia constitucional de acesso às instâncias de controle (art. 5º, XXXIV e XXXV, CF/88) e pelo art. 3º, § 1º, da mesma lei, que estabelece que a participação na apuração de irregularidades não pode ser fundamento para responsabilização do agente.</w:t>
      </w:r>
    </w:p>
    <w:p w14:paraId="17867434" w14:textId="77777777" w:rsidR="00B10998" w:rsidRDefault="00B10998">
      <w:pPr>
        <w:pStyle w:val="Ttulo3"/>
        <w:keepNext/>
      </w:pPr>
      <w:r>
        <w:rPr>
          <w:rFonts w:ascii="Calibri" w:eastAsia="Calibri" w:hAnsi="Calibri" w:cs="Calibri"/>
        </w:rPr>
        <w:t>Satisfaz a condição, responda SIM</w:t>
      </w:r>
    </w:p>
    <w:p w14:paraId="1C249B1A"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Servidor registrou denúncia formal ou informal de irregularidade em ouvidoria, CGU, TCU, MP ou autoridade superior, com data identificável</w:t>
      </w:r>
    </w:p>
    <w:p w14:paraId="435EEE5D"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Servidor prestou depoimento como testemunha em PAD, sindicância ou qualquer apuração disciplinar</w:t>
      </w:r>
    </w:p>
    <w:p w14:paraId="2BEB4F49"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Servidor recusou formalmente ou documentadamente cumprir ordem que considerou manifestamente ilegal</w:t>
      </w:r>
    </w:p>
    <w:p w14:paraId="7D4D73C4"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lastRenderedPageBreak/>
        <w:t>Servidor exerceu direito de greve, interpôs recurso hierárquico, ingressou com representação sindical ou formulou petição a órgão de controle</w:t>
      </w:r>
    </w:p>
    <w:p w14:paraId="1F5F14A6"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Servidor atuou como comunicante em canal de denúncias, mesmo que de forma anônima, se identificável pelos fatos relatados</w:t>
      </w:r>
    </w:p>
    <w:p w14:paraId="1DA7F441" w14:textId="77777777" w:rsidR="00B10998" w:rsidRDefault="00B10998">
      <w:pPr>
        <w:pStyle w:val="Ttulo3"/>
        <w:keepNext/>
      </w:pPr>
      <w:r>
        <w:rPr>
          <w:rFonts w:ascii="Calibri" w:eastAsia="Calibri" w:hAnsi="Calibri" w:cs="Calibri"/>
        </w:rPr>
        <w:t>Não satisfaz a condição, responda NÃO</w:t>
      </w:r>
    </w:p>
    <w:p w14:paraId="4F52342F"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Servidor que formulou reclamação pessoal ou conflito interpessoal sem conotação de denúncia de irregularidade</w:t>
      </w:r>
    </w:p>
    <w:p w14:paraId="1FA8CF5C"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Ausência de qualquer ato protegido identificável anterior à conduta adversa</w:t>
      </w:r>
    </w:p>
    <w:p w14:paraId="2A27BF8F"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Ato que não se enquadra como exercício de direito funcionalmente protegido, discordância de gestão sem caráter de denúncia, crítica informal sem registro</w:t>
      </w:r>
    </w:p>
    <w:p w14:paraId="51ECA132" w14:textId="77777777" w:rsidR="00B10998" w:rsidRDefault="00B10998">
      <w:pPr>
        <w:pStyle w:val="Ttulo3"/>
        <w:keepNext/>
      </w:pPr>
      <w:r>
        <w:rPr>
          <w:rFonts w:ascii="Calibri" w:eastAsia="Calibri" w:hAnsi="Calibri" w:cs="Calibri"/>
        </w:rPr>
        <w:t>O que buscar nos autos</w:t>
      </w:r>
    </w:p>
    <w:p w14:paraId="7DF0E99B"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Protocolo da denúncia ou comunicação, com data, o elemento probatório mais valioso; quando gerado no Fala.BR, registra o número de protocolo que ativa a competência da CGU</w:t>
      </w:r>
    </w:p>
    <w:p w14:paraId="1E3ED579"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Ata de reunião ou depoimento em PAD que confirme a participação do servidor como testemunha</w:t>
      </w:r>
    </w:p>
    <w:p w14:paraId="6B9047AA"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Registro de recusa documentada de ordem ilegal: e-mail, comunicado formal, relato contemporâneo a terceiro</w:t>
      </w:r>
    </w:p>
    <w:p w14:paraId="191A3441"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Confirmação do canal receptor do ato protegido, sem necessidade de revelar o conteúdo quando houver sigilo</w:t>
      </w:r>
    </w:p>
    <w:p w14:paraId="1D535FE2"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58D8E730"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22921268" w14:textId="77777777" w:rsidR="00B10998" w:rsidRDefault="00B10998">
            <w:pPr>
              <w:jc w:val="both"/>
            </w:pPr>
            <w:r>
              <w:rPr>
                <w:rFonts w:ascii="Calibri" w:eastAsia="Calibri" w:hAnsi="Calibri" w:cs="Calibri"/>
                <w:b/>
                <w:bCs/>
                <w:color w:val="0B2C5F"/>
                <w:sz w:val="20"/>
                <w:szCs w:val="20"/>
              </w:rPr>
              <w:t>Alerta, testemunha vs. denunciante:</w:t>
            </w:r>
            <w:r>
              <w:rPr>
                <w:rFonts w:ascii="Calibri" w:eastAsia="Calibri" w:hAnsi="Calibri" w:cs="Calibri"/>
                <w:color w:val="051A3D"/>
                <w:sz w:val="20"/>
                <w:szCs w:val="20"/>
              </w:rPr>
              <w:t xml:space="preserve"> a proteção material é idêntica, mas a competência apuratória difere. Quando o ato protegido foi testemunho em apuração (não denúncia com protocolo Fala.BR), a competência segue a regra geral, a </w:t>
            </w:r>
            <w:proofErr w:type="spellStart"/>
            <w:r>
              <w:rPr>
                <w:rFonts w:ascii="Calibri" w:eastAsia="Calibri" w:hAnsi="Calibri" w:cs="Calibri"/>
                <w:color w:val="051A3D"/>
                <w:sz w:val="20"/>
                <w:szCs w:val="20"/>
              </w:rPr>
              <w:t>Coger</w:t>
            </w:r>
            <w:proofErr w:type="spellEnd"/>
            <w:r>
              <w:rPr>
                <w:rFonts w:ascii="Calibri" w:eastAsia="Calibri" w:hAnsi="Calibri" w:cs="Calibri"/>
                <w:color w:val="051A3D"/>
                <w:sz w:val="20"/>
                <w:szCs w:val="20"/>
              </w:rPr>
              <w:t>/RFB apura, ressalvadas as hipóteses do art. 4º, VIII, do Decreto nº 5.480/2005.</w:t>
            </w:r>
          </w:p>
        </w:tc>
      </w:tr>
    </w:tbl>
    <w:p w14:paraId="1429FA40" w14:textId="77777777" w:rsidR="00B10998" w:rsidRDefault="00B10998">
      <w:pPr>
        <w:spacing w:before="80"/>
      </w:pPr>
    </w:p>
    <w:p w14:paraId="29722C9D"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P2</w:t>
      </w:r>
    </w:p>
    <w:p w14:paraId="1C2641D4"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Sem ilícito neste eixo, avaliar Eixo 5 se houver padrão hostil sem ato protegido identificável</w:t>
      </w:r>
    </w:p>
    <w:p w14:paraId="02B81DBD" w14:textId="77777777" w:rsidR="00B10998" w:rsidRDefault="00B10998">
      <w:pPr>
        <w:pBdr>
          <w:bottom w:val="single" w:sz="4" w:space="1" w:color="C9A35C"/>
        </w:pBdr>
        <w:spacing w:before="200" w:after="200"/>
      </w:pPr>
    </w:p>
    <w:p w14:paraId="6C598638" w14:textId="77777777" w:rsidR="00B10998" w:rsidRDefault="00B10998">
      <w:pPr>
        <w:pStyle w:val="Ttulo2"/>
        <w:keepNext/>
        <w:pBdr>
          <w:left w:val="single" w:sz="10" w:space="6" w:color="C9A35C"/>
        </w:pBdr>
      </w:pPr>
      <w:bookmarkStart w:id="173" w:name="_Toc238022164"/>
      <w:r>
        <w:t xml:space="preserve">P2, </w:t>
      </w:r>
      <w:proofErr w:type="gramStart"/>
      <w:r>
        <w:t>Houve</w:t>
      </w:r>
      <w:proofErr w:type="gramEnd"/>
      <w:r>
        <w:t xml:space="preserve"> conduta adversa subsequente ao ato protegido?</w:t>
      </w:r>
      <w:bookmarkEnd w:id="173"/>
    </w:p>
    <w:p w14:paraId="417EF2C7" w14:textId="77777777" w:rsidR="00B10998" w:rsidRDefault="00B10998">
      <w:pPr>
        <w:pStyle w:val="Ttulo3"/>
        <w:keepNext/>
      </w:pPr>
      <w:r>
        <w:rPr>
          <w:rFonts w:ascii="Calibri" w:eastAsia="Calibri" w:hAnsi="Calibri" w:cs="Calibri"/>
        </w:rPr>
        <w:t>O que avaliar</w:t>
      </w:r>
    </w:p>
    <w:p w14:paraId="3E34A45E"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após o ato protegido, o servidor sofreu tratamento desfavorável que não ocorria antes?</w:t>
      </w:r>
      <w:r>
        <w:rPr>
          <w:rFonts w:ascii="Calibri" w:eastAsia="Calibri" w:hAnsi="Calibri" w:cs="Calibri"/>
          <w:color w:val="051A3D"/>
          <w:sz w:val="22"/>
          <w:szCs w:val="22"/>
        </w:rPr>
        <w:t xml:space="preserve"> A conduta adversa pode ter qualquer forma: é o conteúdo desfavorável, e não a aparência formal, que importa. Uma portaria de remoção tem forma válida; uma avaliação negativa tem aspecto de ato administrativo regular. O que as transforma em condutas adversas potencialmente </w:t>
      </w:r>
      <w:proofErr w:type="spellStart"/>
      <w:r>
        <w:rPr>
          <w:rFonts w:ascii="Calibri" w:eastAsia="Calibri" w:hAnsi="Calibri" w:cs="Calibri"/>
          <w:color w:val="051A3D"/>
          <w:sz w:val="22"/>
          <w:szCs w:val="22"/>
        </w:rPr>
        <w:t>retaliatorias</w:t>
      </w:r>
      <w:proofErr w:type="spellEnd"/>
      <w:r>
        <w:rPr>
          <w:rFonts w:ascii="Calibri" w:eastAsia="Calibri" w:hAnsi="Calibri" w:cs="Calibri"/>
          <w:color w:val="051A3D"/>
          <w:sz w:val="22"/>
          <w:szCs w:val="22"/>
        </w:rPr>
        <w:t xml:space="preserve"> é o contexto em que ocorrem, especialmente a ausência de justificativa objetiva e a proximidade temporal com o ato protegido.</w:t>
      </w:r>
    </w:p>
    <w:p w14:paraId="04928F75" w14:textId="77777777" w:rsidR="00B10998" w:rsidRDefault="00B10998">
      <w:pPr>
        <w:spacing w:after="120"/>
        <w:jc w:val="both"/>
      </w:pPr>
      <w:r>
        <w:rPr>
          <w:rFonts w:ascii="Calibri" w:eastAsia="Calibri" w:hAnsi="Calibri" w:cs="Calibri"/>
          <w:b/>
          <w:bCs/>
          <w:color w:val="051A3D"/>
          <w:sz w:val="22"/>
          <w:szCs w:val="22"/>
        </w:rPr>
        <w:t>Atenção ao disfarce de legitimidade:</w:t>
      </w:r>
      <w:r>
        <w:rPr>
          <w:rFonts w:ascii="Calibri" w:eastAsia="Calibri" w:hAnsi="Calibri" w:cs="Calibri"/>
          <w:color w:val="051A3D"/>
          <w:sz w:val="22"/>
          <w:szCs w:val="22"/>
        </w:rPr>
        <w:t xml:space="preserve"> a conduta adversa frequentemente tem aparência formalmente correta. Avalie a substância, por que isso ocorreu agora, para este servidor, com este histórico?</w:t>
      </w:r>
    </w:p>
    <w:p w14:paraId="05961ECD" w14:textId="77777777" w:rsidR="00B10998" w:rsidRDefault="00B10998">
      <w:pPr>
        <w:pStyle w:val="Ttulo3"/>
        <w:keepNext/>
      </w:pPr>
      <w:r>
        <w:rPr>
          <w:rFonts w:ascii="Calibri" w:eastAsia="Calibri" w:hAnsi="Calibri" w:cs="Calibri"/>
        </w:rPr>
        <w:lastRenderedPageBreak/>
        <w:t>Satisfaz a condição, responda SIM</w:t>
      </w:r>
    </w:p>
    <w:p w14:paraId="6B2840CA"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Remoção de ofício sem justificativa funcional objetiva, especialmente a primeira após histórico sem remoções</w:t>
      </w:r>
    </w:p>
    <w:p w14:paraId="024A6692"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Avaliação de desempenho negativa sem fundamento documentado, especialmente quando o histórico anterior era positivo</w:t>
      </w:r>
    </w:p>
    <w:p w14:paraId="7B4D92C7"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Exclusão de projetos, reuniões ou oportunidades de desenvolvimento profissional após o ato protegido</w:t>
      </w:r>
    </w:p>
    <w:p w14:paraId="6A04CEC9"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Padrão de assédio moral que se inicia ou intensifica após o ato protegido</w:t>
      </w:r>
    </w:p>
    <w:p w14:paraId="557DD48D"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 xml:space="preserve">Restrição de acesso a recursos, sistemas ou </w:t>
      </w:r>
      <w:proofErr w:type="gramStart"/>
      <w:r>
        <w:rPr>
          <w:rFonts w:ascii="Calibri" w:eastAsia="Calibri" w:hAnsi="Calibri" w:cs="Calibri"/>
          <w:color w:val="051A3D"/>
          <w:sz w:val="22"/>
          <w:szCs w:val="22"/>
        </w:rPr>
        <w:t>informações necessários</w:t>
      </w:r>
      <w:proofErr w:type="gramEnd"/>
      <w:r>
        <w:rPr>
          <w:rFonts w:ascii="Calibri" w:eastAsia="Calibri" w:hAnsi="Calibri" w:cs="Calibri"/>
          <w:color w:val="051A3D"/>
          <w:sz w:val="22"/>
          <w:szCs w:val="22"/>
        </w:rPr>
        <w:t xml:space="preserve"> ao trabalho</w:t>
      </w:r>
    </w:p>
    <w:p w14:paraId="575015C4"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Transferência punitiva, designação para função de menor prestígio ou com condições degradadas</w:t>
      </w:r>
    </w:p>
    <w:p w14:paraId="365FD34D" w14:textId="77777777" w:rsidR="00B10998" w:rsidRDefault="00B10998">
      <w:pPr>
        <w:pStyle w:val="Ttulo3"/>
        <w:keepNext/>
      </w:pPr>
      <w:r>
        <w:rPr>
          <w:rFonts w:ascii="Calibri" w:eastAsia="Calibri" w:hAnsi="Calibri" w:cs="Calibri"/>
        </w:rPr>
        <w:t>Não satisfaz a condição, responda NÃO</w:t>
      </w:r>
    </w:p>
    <w:p w14:paraId="1539F54F"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Tratamento desfavorável que já ocorria antes do ato protegido, sem mudança de padrão após ele</w:t>
      </w:r>
    </w:p>
    <w:p w14:paraId="6B84A459"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Medida funcional com justificativa objetiva documentada e aplicada de forma isonômica a outros servidores</w:t>
      </w:r>
    </w:p>
    <w:p w14:paraId="5AA1E391"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Ausência de qualquer conduta adversa identificável após o ato protegido</w:t>
      </w:r>
    </w:p>
    <w:p w14:paraId="0FA4079F" w14:textId="77777777" w:rsidR="00B10998" w:rsidRDefault="00B10998">
      <w:pPr>
        <w:pStyle w:val="Ttulo3"/>
        <w:keepNext/>
      </w:pPr>
      <w:r>
        <w:rPr>
          <w:rFonts w:ascii="Calibri" w:eastAsia="Calibri" w:hAnsi="Calibri" w:cs="Calibri"/>
        </w:rPr>
        <w:t>O que buscar nos autos</w:t>
      </w:r>
    </w:p>
    <w:p w14:paraId="22C51F5A"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Linha do tempo: data do ato protegido e data da conduta adversa, a proximidade temporal é o indício mais forte</w:t>
      </w:r>
    </w:p>
    <w:p w14:paraId="7F508932"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Histórico funcional do servidor antes e depois do ato protegido: avaliações, designações, remoções, acesso a projetos</w:t>
      </w:r>
    </w:p>
    <w:p w14:paraId="4FAC4AA2"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Comparativo com servidores em situação análoga que não praticaram o ato protegido</w:t>
      </w:r>
    </w:p>
    <w:p w14:paraId="1FB81247"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Ata, portaria, comunicado formal ou qualquer registro da conduta adversa com data identificável</w:t>
      </w:r>
    </w:p>
    <w:p w14:paraId="73A1F712"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68C3BB4E"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2790601B" w14:textId="77777777" w:rsidR="00B10998" w:rsidRDefault="00B10998">
            <w:pPr>
              <w:jc w:val="both"/>
            </w:pPr>
            <w:r>
              <w:rPr>
                <w:rFonts w:ascii="Calibri" w:eastAsia="Calibri" w:hAnsi="Calibri" w:cs="Calibri"/>
                <w:b/>
                <w:bCs/>
                <w:color w:val="0B2C5F"/>
                <w:sz w:val="20"/>
                <w:szCs w:val="20"/>
              </w:rPr>
              <w:t>Alerta, aparência de legitimidade:</w:t>
            </w:r>
            <w:r>
              <w:rPr>
                <w:rFonts w:ascii="Calibri" w:eastAsia="Calibri" w:hAnsi="Calibri" w:cs="Calibri"/>
                <w:color w:val="051A3D"/>
                <w:sz w:val="20"/>
                <w:szCs w:val="20"/>
              </w:rPr>
              <w:t xml:space="preserve"> a conduta adversa quase sempre terá aparência formalmente correta. Avalie a substância: por que essa medida, neste momento, para este servidor? A resposta a essa pergunta é o que diferencia o ato administrativo legítimo da represália disfarçada de ato administrativo.</w:t>
            </w:r>
          </w:p>
        </w:tc>
      </w:tr>
    </w:tbl>
    <w:p w14:paraId="37F594D3" w14:textId="77777777" w:rsidR="00B10998" w:rsidRDefault="00B10998">
      <w:pPr>
        <w:spacing w:before="80"/>
      </w:pPr>
    </w:p>
    <w:p w14:paraId="635B354C"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P3</w:t>
      </w:r>
    </w:p>
    <w:p w14:paraId="3D188BDC"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Sem ilícito disciplinar neste eixo</w:t>
      </w:r>
    </w:p>
    <w:p w14:paraId="71BA5C4C" w14:textId="77777777" w:rsidR="00B10998" w:rsidRDefault="00B10998">
      <w:pPr>
        <w:pBdr>
          <w:bottom w:val="single" w:sz="4" w:space="1" w:color="C9A35C"/>
        </w:pBdr>
        <w:spacing w:before="200" w:after="200"/>
      </w:pPr>
    </w:p>
    <w:p w14:paraId="1573C699" w14:textId="77777777" w:rsidR="00B10998" w:rsidRDefault="00B10998">
      <w:pPr>
        <w:pStyle w:val="Ttulo2"/>
        <w:keepNext/>
        <w:pBdr>
          <w:left w:val="single" w:sz="10" w:space="6" w:color="C9A35C"/>
        </w:pBdr>
      </w:pPr>
      <w:bookmarkStart w:id="174" w:name="_Toc238022165"/>
      <w:r>
        <w:t xml:space="preserve">P3, </w:t>
      </w:r>
      <w:proofErr w:type="gramStart"/>
      <w:r>
        <w:t>Há</w:t>
      </w:r>
      <w:proofErr w:type="gramEnd"/>
      <w:r>
        <w:t xml:space="preserve"> nexo de causalidade entre o ato protegido e a conduta adversa?</w:t>
      </w:r>
      <w:bookmarkEnd w:id="174"/>
    </w:p>
    <w:p w14:paraId="1596A025" w14:textId="77777777" w:rsidR="00B10998" w:rsidRDefault="00B10998">
      <w:pPr>
        <w:pStyle w:val="Ttulo3"/>
        <w:keepNext/>
      </w:pPr>
      <w:r>
        <w:rPr>
          <w:rFonts w:ascii="Calibri" w:eastAsia="Calibri" w:hAnsi="Calibri" w:cs="Calibri"/>
        </w:rPr>
        <w:t>O que avaliar</w:t>
      </w:r>
    </w:p>
    <w:p w14:paraId="4E8A66A2" w14:textId="77777777" w:rsidR="00B10998" w:rsidRDefault="00B10998">
      <w:pPr>
        <w:spacing w:after="120"/>
        <w:jc w:val="both"/>
      </w:pPr>
      <w:r>
        <w:rPr>
          <w:rFonts w:ascii="Calibri" w:eastAsia="Calibri" w:hAnsi="Calibri" w:cs="Calibri"/>
          <w:color w:val="051A3D"/>
          <w:sz w:val="22"/>
          <w:szCs w:val="22"/>
        </w:rPr>
        <w:t xml:space="preserve">Esta é a pergunta central do Eixo 6, a bifurcação que define se há retaliação ou apenas coincidência temporal de eventos independentes. A pergunta central é: </w:t>
      </w:r>
      <w:r>
        <w:rPr>
          <w:rFonts w:ascii="Calibri" w:eastAsia="Calibri" w:hAnsi="Calibri" w:cs="Calibri"/>
          <w:b/>
          <w:bCs/>
          <w:color w:val="051A3D"/>
          <w:sz w:val="22"/>
          <w:szCs w:val="22"/>
        </w:rPr>
        <w:t>a conduta adversa ocorreu porque o servidor praticou o ato protegido?</w:t>
      </w:r>
    </w:p>
    <w:p w14:paraId="2E9041B9" w14:textId="77777777" w:rsidR="00B10998" w:rsidRDefault="00B10998">
      <w:pPr>
        <w:spacing w:after="120"/>
        <w:jc w:val="both"/>
      </w:pPr>
      <w:r>
        <w:rPr>
          <w:rFonts w:ascii="Calibri" w:eastAsia="Calibri" w:hAnsi="Calibri" w:cs="Calibri"/>
          <w:color w:val="051A3D"/>
          <w:sz w:val="22"/>
          <w:szCs w:val="22"/>
        </w:rPr>
        <w:lastRenderedPageBreak/>
        <w:t>O nexo causal raramente é declarado pelo agressor. Constrói-se por inferência a partir de quatro indicadores, avaliados em conjunto:</w:t>
      </w:r>
    </w:p>
    <w:p w14:paraId="6F362D1F" w14:textId="77777777" w:rsidR="00B10998" w:rsidRDefault="00B10998">
      <w:pPr>
        <w:spacing w:after="120"/>
        <w:ind w:left="480"/>
        <w:jc w:val="both"/>
      </w:pPr>
      <w:r>
        <w:rPr>
          <w:rFonts w:ascii="Calibri" w:eastAsia="Calibri" w:hAnsi="Calibri" w:cs="Calibri"/>
          <w:b/>
          <w:bCs/>
          <w:color w:val="051A3D"/>
          <w:sz w:val="22"/>
          <w:szCs w:val="22"/>
        </w:rPr>
        <w:t>(1) Proximidade temporal:</w:t>
      </w:r>
      <w:r>
        <w:rPr>
          <w:rFonts w:ascii="Calibri" w:eastAsia="Calibri" w:hAnsi="Calibri" w:cs="Calibri"/>
          <w:color w:val="051A3D"/>
          <w:sz w:val="22"/>
          <w:szCs w:val="22"/>
        </w:rPr>
        <w:t xml:space="preserve"> a conduta adversa ocorreu nos seis meses seguintes ao ato protegido? Quanto mais próxima da data do ato protegido, mais forte o indício de nexo. A conduta adversa que ocorre nos dias ou semanas imediatamente seguintes à denúncia é o cenário de maior evidência de nexo.</w:t>
      </w:r>
    </w:p>
    <w:p w14:paraId="0C6DF314" w14:textId="77777777" w:rsidR="00B10998" w:rsidRDefault="00B10998">
      <w:pPr>
        <w:spacing w:after="120"/>
        <w:ind w:left="480"/>
        <w:jc w:val="both"/>
      </w:pPr>
      <w:r>
        <w:rPr>
          <w:rFonts w:ascii="Calibri" w:eastAsia="Calibri" w:hAnsi="Calibri" w:cs="Calibri"/>
          <w:b/>
          <w:bCs/>
          <w:color w:val="051A3D"/>
          <w:sz w:val="22"/>
          <w:szCs w:val="22"/>
        </w:rPr>
        <w:t>(2) Ausência de justificativa objetiva:</w:t>
      </w:r>
      <w:r>
        <w:rPr>
          <w:rFonts w:ascii="Calibri" w:eastAsia="Calibri" w:hAnsi="Calibri" w:cs="Calibri"/>
          <w:color w:val="051A3D"/>
          <w:sz w:val="22"/>
          <w:szCs w:val="22"/>
        </w:rPr>
        <w:t xml:space="preserve"> há razão funcional legítima e documentada para a medida desfavorável, independente do ato protegido? Se a justificativa foi construída após o fato, é inconsistente com o histórico do servidor, ou não foi aplicada a outros em situação análoga, a ausência de justificativa objetiva é indício de nexo.</w:t>
      </w:r>
    </w:p>
    <w:p w14:paraId="711300A2" w14:textId="77777777" w:rsidR="00B10998" w:rsidRDefault="00B10998">
      <w:pPr>
        <w:spacing w:after="120"/>
        <w:ind w:left="480"/>
        <w:jc w:val="both"/>
      </w:pPr>
      <w:r>
        <w:rPr>
          <w:rFonts w:ascii="Calibri" w:eastAsia="Calibri" w:hAnsi="Calibri" w:cs="Calibri"/>
          <w:b/>
          <w:bCs/>
          <w:color w:val="051A3D"/>
          <w:sz w:val="22"/>
          <w:szCs w:val="22"/>
        </w:rPr>
        <w:t>(3) Histórico favorável anterior:</w:t>
      </w:r>
      <w:r>
        <w:rPr>
          <w:rFonts w:ascii="Calibri" w:eastAsia="Calibri" w:hAnsi="Calibri" w:cs="Calibri"/>
          <w:color w:val="051A3D"/>
          <w:sz w:val="22"/>
          <w:szCs w:val="22"/>
        </w:rPr>
        <w:t xml:space="preserve"> o servidor tinha histórico de avaliações positivas, bom relacionamento funcional e ausência de medidas desfavoráveis antes do ato protegido? A ruptura abrupta do padrão histórico é indício relevante de nexo.</w:t>
      </w:r>
    </w:p>
    <w:p w14:paraId="010C33CD" w14:textId="77777777" w:rsidR="00B10998" w:rsidRDefault="00B10998">
      <w:pPr>
        <w:spacing w:after="120"/>
        <w:ind w:left="480"/>
        <w:jc w:val="both"/>
      </w:pPr>
      <w:r>
        <w:rPr>
          <w:rFonts w:ascii="Calibri" w:eastAsia="Calibri" w:hAnsi="Calibri" w:cs="Calibri"/>
          <w:b/>
          <w:bCs/>
          <w:color w:val="051A3D"/>
          <w:sz w:val="22"/>
          <w:szCs w:val="22"/>
        </w:rPr>
        <w:t>(4) Declarações reveladoras da motivação:</w:t>
      </w:r>
      <w:r>
        <w:rPr>
          <w:rFonts w:ascii="Calibri" w:eastAsia="Calibri" w:hAnsi="Calibri" w:cs="Calibri"/>
          <w:color w:val="051A3D"/>
          <w:sz w:val="22"/>
          <w:szCs w:val="22"/>
        </w:rPr>
        <w:t xml:space="preserve"> há algum registro, e-mail, depoimento, relato de testemunha, em que o agressor demonstrou ciência do ato protegido e desconforto com ele, próximo à data da conduta adversa?</w:t>
      </w:r>
    </w:p>
    <w:p w14:paraId="4C2BF725" w14:textId="77777777" w:rsidR="00B10998" w:rsidRDefault="00B10998">
      <w:pPr>
        <w:spacing w:after="120"/>
        <w:jc w:val="both"/>
      </w:pPr>
      <w:r>
        <w:rPr>
          <w:rFonts w:ascii="Calibri" w:eastAsia="Calibri" w:hAnsi="Calibri" w:cs="Calibri"/>
          <w:b/>
          <w:bCs/>
          <w:color w:val="051A3D"/>
          <w:sz w:val="22"/>
          <w:szCs w:val="22"/>
        </w:rPr>
        <w:t>A presença de três ou mais desses indicadores</w:t>
      </w:r>
      <w:r>
        <w:rPr>
          <w:rFonts w:ascii="Calibri" w:eastAsia="Calibri" w:hAnsi="Calibri" w:cs="Calibri"/>
          <w:color w:val="051A3D"/>
          <w:sz w:val="22"/>
          <w:szCs w:val="22"/>
        </w:rPr>
        <w:t xml:space="preserve"> constitui indício robusto de nexo causal. A presença de apenas um indicador isolado pode não ser suficiente.</w:t>
      </w:r>
    </w:p>
    <w:p w14:paraId="4DB51EB5" w14:textId="77777777" w:rsidR="00B10998" w:rsidRDefault="00B10998">
      <w:pPr>
        <w:pStyle w:val="Ttulo3"/>
        <w:keepNext/>
      </w:pPr>
      <w:r>
        <w:rPr>
          <w:rFonts w:ascii="Calibri" w:eastAsia="Calibri" w:hAnsi="Calibri" w:cs="Calibri"/>
        </w:rPr>
        <w:t>Satisfaz a condição, responda SIM</w:t>
      </w:r>
    </w:p>
    <w:p w14:paraId="3867EA02"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Conduta adversa nos dias ou semanas imediatamente seguintes à denúncia ou testemunho</w:t>
      </w:r>
    </w:p>
    <w:p w14:paraId="058929EB"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Ruptura abrupta de histórico funcional positivo sem justificativa objetiva</w:t>
      </w:r>
    </w:p>
    <w:p w14:paraId="7A19D204"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Comparativo com servidores análogos que não praticaram o ato protegido e não sofreram a mesma medida</w:t>
      </w:r>
    </w:p>
    <w:p w14:paraId="4B9AE5C1"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Registro de declaração do agressor que demonstre ciência do ato protegido e reação negativa a ele</w:t>
      </w:r>
    </w:p>
    <w:p w14:paraId="106CF229"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Três ou mais dos quatro indicadores positivos</w:t>
      </w:r>
    </w:p>
    <w:p w14:paraId="3E92C897" w14:textId="77777777" w:rsidR="00B10998" w:rsidRDefault="00B10998">
      <w:pPr>
        <w:pStyle w:val="Ttulo3"/>
        <w:keepNext/>
      </w:pPr>
      <w:r>
        <w:rPr>
          <w:rFonts w:ascii="Calibri" w:eastAsia="Calibri" w:hAnsi="Calibri" w:cs="Calibri"/>
        </w:rPr>
        <w:t>Não satisfaz a condição, responda NÃO</w:t>
      </w:r>
    </w:p>
    <w:p w14:paraId="20261D74"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Medida funcional com justificativa objetiva documentada, aplicada de forma isonômica</w:t>
      </w:r>
    </w:p>
    <w:p w14:paraId="7144A163"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Conduta adversa temporalmente distante do ato protegido, sem outros indicadores de nexo</w:t>
      </w:r>
    </w:p>
    <w:p w14:paraId="70F04048"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Apenas um indicador positivo isolado, sem corroboração pelos demais</w:t>
      </w:r>
    </w:p>
    <w:p w14:paraId="4BDF0AF5" w14:textId="77777777" w:rsidR="00B10998" w:rsidRDefault="00B10998">
      <w:pPr>
        <w:pStyle w:val="Ttulo3"/>
        <w:keepNext/>
      </w:pPr>
      <w:r>
        <w:rPr>
          <w:rFonts w:ascii="Calibri" w:eastAsia="Calibri" w:hAnsi="Calibri" w:cs="Calibri"/>
        </w:rPr>
        <w:t>O que buscar nos autos</w:t>
      </w:r>
    </w:p>
    <w:p w14:paraId="46B43C22"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A linha do tempo completa: data do ato protegido → data da ciência pela chefia → data da conduta adversa</w:t>
      </w:r>
    </w:p>
    <w:p w14:paraId="0B73CA1C"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Histórico funcional completo do servidor: avaliações, designações, remoções, tudo com datas</w:t>
      </w:r>
    </w:p>
    <w:p w14:paraId="741D3AE8"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Comparativo com servidores análogos que não denunciaram: sofreram as mesmas medidas?</w:t>
      </w:r>
    </w:p>
    <w:p w14:paraId="2069D2F7"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Comunicações do agressor próximas às datas relevantes: e-mails, mensagens, atas de reunião</w:t>
      </w:r>
    </w:p>
    <w:p w14:paraId="16CF0ACD"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2500927E"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1FDE0F60" w14:textId="77777777" w:rsidR="00B10998" w:rsidRDefault="00B10998">
            <w:pPr>
              <w:jc w:val="both"/>
            </w:pPr>
            <w:r>
              <w:rPr>
                <w:rFonts w:ascii="Calibri" w:eastAsia="Calibri" w:hAnsi="Calibri" w:cs="Calibri"/>
                <w:b/>
                <w:bCs/>
                <w:color w:val="0B2C5F"/>
                <w:sz w:val="20"/>
                <w:szCs w:val="20"/>
              </w:rPr>
              <w:lastRenderedPageBreak/>
              <w:t>Alerta, nexo não precisa ser confessado:</w:t>
            </w:r>
            <w:r>
              <w:rPr>
                <w:rFonts w:ascii="Calibri" w:eastAsia="Calibri" w:hAnsi="Calibri" w:cs="Calibri"/>
                <w:color w:val="051A3D"/>
                <w:sz w:val="20"/>
                <w:szCs w:val="20"/>
              </w:rPr>
              <w:t xml:space="preserve"> o agressor nunca dirá que está retaliando. O nexo é demonstrado pela convergência de indicadores, não por declaração explícita. A reconstituição da linha do tempo é o instrumento analítico central.</w:t>
            </w:r>
          </w:p>
        </w:tc>
      </w:tr>
    </w:tbl>
    <w:p w14:paraId="2200C397"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7A0A7318"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125C4D34" w14:textId="77777777" w:rsidR="00B10998" w:rsidRDefault="00B10998">
            <w:pPr>
              <w:jc w:val="both"/>
            </w:pPr>
            <w:r>
              <w:rPr>
                <w:rFonts w:ascii="Calibri" w:eastAsia="Calibri" w:hAnsi="Calibri" w:cs="Calibri"/>
                <w:b/>
                <w:bCs/>
                <w:color w:val="0B2C5F"/>
                <w:sz w:val="20"/>
                <w:szCs w:val="20"/>
              </w:rPr>
              <w:t>Alerta, ausência de prova direta não é ausência de nexo:</w:t>
            </w:r>
            <w:r>
              <w:rPr>
                <w:rFonts w:ascii="Calibri" w:eastAsia="Calibri" w:hAnsi="Calibri" w:cs="Calibri"/>
                <w:color w:val="051A3D"/>
                <w:sz w:val="20"/>
                <w:szCs w:val="20"/>
              </w:rPr>
              <w:t xml:space="preserve"> a prova do nexo é tipicamente indireta. A convergência de três ou mais indicadores, especialmente proximidade temporal + ruptura de histórico positivo + ausência de justificativa objetiva, é suficiente para a demonstração.</w:t>
            </w:r>
          </w:p>
        </w:tc>
      </w:tr>
    </w:tbl>
    <w:p w14:paraId="7DEE4A30" w14:textId="77777777" w:rsidR="00B10998" w:rsidRDefault="00B10998">
      <w:pPr>
        <w:spacing w:before="80"/>
      </w:pPr>
    </w:p>
    <w:p w14:paraId="39A117FD"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P4</w:t>
      </w:r>
    </w:p>
    <w:p w14:paraId="742204D2"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Sem retaliação, avaliar Eixo 5 se houver padrão hostil, ou Eixo 4 se houver motivação discriminatória</w:t>
      </w:r>
    </w:p>
    <w:p w14:paraId="581FEA2B" w14:textId="77777777" w:rsidR="00B10998" w:rsidRDefault="00B10998">
      <w:pPr>
        <w:pBdr>
          <w:bottom w:val="single" w:sz="4" w:space="1" w:color="C9A35C"/>
        </w:pBdr>
        <w:spacing w:before="200" w:after="200"/>
      </w:pPr>
    </w:p>
    <w:p w14:paraId="5B675374" w14:textId="77777777" w:rsidR="00B10998" w:rsidRDefault="00B10998">
      <w:pPr>
        <w:pStyle w:val="Ttulo2"/>
        <w:keepNext/>
        <w:pBdr>
          <w:left w:val="single" w:sz="10" w:space="6" w:color="C9A35C"/>
        </w:pBdr>
      </w:pPr>
      <w:bookmarkStart w:id="175" w:name="_Toc238022166"/>
      <w:r>
        <w:t>P4, O agressor utilizou prerrogativas funcionais como instrumento da represália?</w:t>
      </w:r>
      <w:bookmarkEnd w:id="175"/>
    </w:p>
    <w:p w14:paraId="25F96F32" w14:textId="77777777" w:rsidR="00B10998" w:rsidRDefault="00B10998">
      <w:pPr>
        <w:pStyle w:val="Ttulo3"/>
        <w:keepNext/>
      </w:pPr>
      <w:r>
        <w:rPr>
          <w:rFonts w:ascii="Calibri" w:eastAsia="Calibri" w:hAnsi="Calibri" w:cs="Calibri"/>
        </w:rPr>
        <w:t>O que avaliar</w:t>
      </w:r>
    </w:p>
    <w:p w14:paraId="6D2B93C6"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a conduta adversa foi praticada pelo agressor fazendo uso ativo das prerrogativas do cargo, poder de avaliar, remover, excluir de projetos, restringir acesso, decidir sobre designações?</w:t>
      </w:r>
      <w:r>
        <w:rPr>
          <w:rFonts w:ascii="Calibri" w:eastAsia="Calibri" w:hAnsi="Calibri" w:cs="Calibri"/>
          <w:color w:val="051A3D"/>
          <w:sz w:val="22"/>
          <w:szCs w:val="22"/>
        </w:rPr>
        <w:t xml:space="preserve"> O uso do cargo como instrumento da represália eleva o enquadramento ao art. 117, IX, com demissão obrigatória. Sem esse uso, o enquadramento é no art. 116, IX, com penalidade de advertência ou suspensão.</w:t>
      </w:r>
    </w:p>
    <w:p w14:paraId="3BD0FF20" w14:textId="77777777" w:rsidR="00B10998" w:rsidRDefault="00B10998">
      <w:pPr>
        <w:spacing w:after="120"/>
        <w:jc w:val="both"/>
      </w:pPr>
      <w:r>
        <w:rPr>
          <w:rFonts w:ascii="Calibri" w:eastAsia="Calibri" w:hAnsi="Calibri" w:cs="Calibri"/>
          <w:color w:val="051A3D"/>
          <w:sz w:val="22"/>
          <w:szCs w:val="22"/>
        </w:rPr>
        <w:t>O critério é o mesmo dos demais eixos: não basta que o agressor seja superior hierárquico, é necessário que as prerrogativas do cargo tenham sido ativamente empregadas como veículo da represália. A portaria de remoção assinada pelo agressor no exercício do poder de chefia é uso do cargo. O comentário depreciativo sobre a denúncia na sala de reuniões, sem qualquer instrumentalização de prerrogativa funcional, não é.</w:t>
      </w:r>
    </w:p>
    <w:p w14:paraId="5BD8538D" w14:textId="77777777" w:rsidR="00B10998" w:rsidRDefault="00B10998">
      <w:pPr>
        <w:pStyle w:val="Ttulo3"/>
        <w:keepNext/>
      </w:pPr>
      <w:r>
        <w:rPr>
          <w:rFonts w:ascii="Calibri" w:eastAsia="Calibri" w:hAnsi="Calibri" w:cs="Calibri"/>
        </w:rPr>
        <w:t>Satisfaz a condição, responda SIM</w:t>
      </w:r>
    </w:p>
    <w:p w14:paraId="150A3BC4"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Agressor que, no exercício do poder de chefia, assinou a portaria de remoção de ofício sem justificativa funcional objetiva</w:t>
      </w:r>
    </w:p>
    <w:p w14:paraId="44A38520"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Chefia que, usando o poder avaliativo, atribuiu avaliação negativa sem correspondência com o desempenho real e próxima ao ato protegido</w:t>
      </w:r>
    </w:p>
    <w:p w14:paraId="5036FBEF"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Gestor que, usando o poder de organização de projetos e reuniões, excluiu o servidor de oportunidades relevantes após a denúncia</w:t>
      </w:r>
    </w:p>
    <w:p w14:paraId="686BDB76"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Servidor com poder de acesso a sistemas que restringiu o acesso do denunciante usando essa prerrogativa como instrumento</w:t>
      </w:r>
    </w:p>
    <w:p w14:paraId="0CCF1D54" w14:textId="77777777" w:rsidR="00B10998" w:rsidRDefault="00B10998">
      <w:pPr>
        <w:pStyle w:val="Ttulo3"/>
        <w:keepNext/>
      </w:pPr>
      <w:r>
        <w:rPr>
          <w:rFonts w:ascii="Calibri" w:eastAsia="Calibri" w:hAnsi="Calibri" w:cs="Calibri"/>
        </w:rPr>
        <w:t>Não satisfaz a condição, responda NÃO</w:t>
      </w:r>
    </w:p>
    <w:p w14:paraId="00A4E2BB"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Conduta adversa praticada sem uso de prerrogativa funcional específica: pressão interpessoal, comentário depreciativo, isolamento social sem ato administrativo ou decisão gerencial formal</w:t>
      </w:r>
    </w:p>
    <w:p w14:paraId="509AD0C9"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lastRenderedPageBreak/>
        <w:t>Agressor sem poder funcional sobre a vítima, par ou subordinado que pratica represália por outros meios</w:t>
      </w:r>
    </w:p>
    <w:p w14:paraId="5E489958" w14:textId="77777777" w:rsidR="00B10998" w:rsidRDefault="00B10998">
      <w:pPr>
        <w:pStyle w:val="Ttulo3"/>
        <w:keepNext/>
      </w:pPr>
      <w:r>
        <w:rPr>
          <w:rFonts w:ascii="Calibri" w:eastAsia="Calibri" w:hAnsi="Calibri" w:cs="Calibri"/>
        </w:rPr>
        <w:t>O que buscar nos autos</w:t>
      </w:r>
    </w:p>
    <w:p w14:paraId="222FA09C"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Identificação do ato formal que constitui a conduta adversa: portaria, comunicado, avaliação, e quem o assinou ou decidiu</w:t>
      </w:r>
    </w:p>
    <w:p w14:paraId="183139C5"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Relação entre o cargo do agressor e o poder que viabilizou a conduta adversa</w:t>
      </w:r>
    </w:p>
    <w:p w14:paraId="3381FDC7" w14:textId="77777777" w:rsidR="00B10998" w:rsidRDefault="00B10998">
      <w:pPr>
        <w:pStyle w:val="PargrafodaLista"/>
        <w:numPr>
          <w:ilvl w:val="0"/>
          <w:numId w:val="28"/>
        </w:numPr>
        <w:spacing w:after="80" w:line="240" w:lineRule="auto"/>
        <w:jc w:val="both"/>
      </w:pPr>
      <w:r>
        <w:rPr>
          <w:rFonts w:ascii="Calibri" w:eastAsia="Calibri" w:hAnsi="Calibri" w:cs="Calibri"/>
          <w:color w:val="051A3D"/>
          <w:sz w:val="22"/>
          <w:szCs w:val="22"/>
        </w:rPr>
        <w:t>Histórico de uso desse poder pelo agressor em relação a outros servidores: era prática regular ou exceção direcionada?</w:t>
      </w:r>
    </w:p>
    <w:p w14:paraId="1CF19283"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455A4465"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7A8E6F8C" w14:textId="77777777" w:rsidR="00B10998" w:rsidRDefault="00B10998">
            <w:pPr>
              <w:jc w:val="both"/>
            </w:pPr>
            <w:r>
              <w:rPr>
                <w:rFonts w:ascii="Calibri" w:eastAsia="Calibri" w:hAnsi="Calibri" w:cs="Calibri"/>
                <w:b/>
                <w:bCs/>
                <w:color w:val="0B2C5F"/>
                <w:sz w:val="20"/>
                <w:szCs w:val="20"/>
              </w:rPr>
              <w:t xml:space="preserve">Alerta, anulação dos atos </w:t>
            </w:r>
            <w:proofErr w:type="spellStart"/>
            <w:r>
              <w:rPr>
                <w:rFonts w:ascii="Calibri" w:eastAsia="Calibri" w:hAnsi="Calibri" w:cs="Calibri"/>
                <w:b/>
                <w:bCs/>
                <w:color w:val="0B2C5F"/>
                <w:sz w:val="20"/>
                <w:szCs w:val="20"/>
              </w:rPr>
              <w:t>retaliadores</w:t>
            </w:r>
            <w:proofErr w:type="spellEnd"/>
            <w:r>
              <w:rPr>
                <w:rFonts w:ascii="Calibri" w:eastAsia="Calibri" w:hAnsi="Calibri" w:cs="Calibri"/>
                <w:b/>
                <w:bCs/>
                <w:color w:val="0B2C5F"/>
                <w:sz w:val="20"/>
                <w:szCs w:val="20"/>
              </w:rPr>
              <w:t>:</w:t>
            </w:r>
            <w:r>
              <w:rPr>
                <w:rFonts w:ascii="Calibri" w:eastAsia="Calibri" w:hAnsi="Calibri" w:cs="Calibri"/>
                <w:color w:val="051A3D"/>
                <w:sz w:val="20"/>
                <w:szCs w:val="20"/>
              </w:rPr>
              <w:t xml:space="preserve"> quando o resultado for A (valimento do cargo), considere recomendar à autoridade competente a anulação dos atos administrativos com motivação </w:t>
            </w:r>
            <w:proofErr w:type="spellStart"/>
            <w:r>
              <w:rPr>
                <w:rFonts w:ascii="Calibri" w:eastAsia="Calibri" w:hAnsi="Calibri" w:cs="Calibri"/>
                <w:color w:val="051A3D"/>
                <w:sz w:val="20"/>
                <w:szCs w:val="20"/>
              </w:rPr>
              <w:t>retaliadora</w:t>
            </w:r>
            <w:proofErr w:type="spellEnd"/>
            <w:r>
              <w:rPr>
                <w:rFonts w:ascii="Calibri" w:eastAsia="Calibri" w:hAnsi="Calibri" w:cs="Calibri"/>
                <w:color w:val="051A3D"/>
                <w:sz w:val="20"/>
                <w:szCs w:val="20"/>
              </w:rPr>
              <w:t xml:space="preserve"> identificada, a remoção, a avaliação, a exclusão de projeto, além da sanção disciplinar ao agressor. O desfazimento do ato retaliatório é parte da reparação ao servidor-alvo.</w:t>
            </w:r>
          </w:p>
        </w:tc>
      </w:tr>
    </w:tbl>
    <w:p w14:paraId="32FEBE51"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0835AB8A" w14:textId="77777777">
        <w:tc>
          <w:tcPr>
            <w:tcW w:w="9638" w:type="dxa"/>
            <w:tcBorders>
              <w:top w:val="single" w:sz="6" w:space="0" w:color="B7791F"/>
              <w:left w:val="single" w:sz="18" w:space="0" w:color="B7791F"/>
              <w:bottom w:val="single" w:sz="6" w:space="0" w:color="B7791F"/>
            </w:tcBorders>
            <w:shd w:val="clear" w:color="auto" w:fill="FFFBEA"/>
            <w:tcMar>
              <w:top w:w="100" w:type="dxa"/>
              <w:left w:w="180" w:type="dxa"/>
              <w:bottom w:w="100" w:type="dxa"/>
              <w:right w:w="180" w:type="dxa"/>
            </w:tcMar>
          </w:tcPr>
          <w:p w14:paraId="71D80B48" w14:textId="77777777" w:rsidR="00B10998" w:rsidRDefault="00B10998">
            <w:pPr>
              <w:jc w:val="both"/>
            </w:pPr>
            <w:r>
              <w:rPr>
                <w:rFonts w:ascii="Calibri" w:eastAsia="Calibri" w:hAnsi="Calibri" w:cs="Calibri"/>
                <w:b/>
                <w:bCs/>
                <w:color w:val="B7791F"/>
                <w:sz w:val="20"/>
                <w:szCs w:val="20"/>
              </w:rPr>
              <w:t>Providências paralelas obrigatórias (independentemente do resultado A ou B):</w:t>
            </w:r>
            <w:r>
              <w:rPr>
                <w:rFonts w:ascii="Calibri" w:eastAsia="Calibri" w:hAnsi="Calibri" w:cs="Calibri"/>
                <w:color w:val="051A3D"/>
                <w:sz w:val="20"/>
                <w:szCs w:val="20"/>
              </w:rPr>
              <w:t xml:space="preserve"> (1) verificar se a denúncia gerou protocolo Fala.BR, se sim, remeter à CGU/CRG para instauração; (2) adotar medidas cautelares de proteção ao denunciante enquanto a apuração tramita; (3) preservar a confidencialidade da identidade do denunciante nos autos; (4) comunicar o caso à CGU para registro no programa de proteção ao denunciante (Lei nº 13.608/2018); (5) avaliar comunicação ao MP quando a represália configura crime (abuso de autoridade, constrangimento ilegal).</w:t>
            </w:r>
          </w:p>
        </w:tc>
      </w:tr>
    </w:tbl>
    <w:p w14:paraId="0E0293A5" w14:textId="77777777" w:rsidR="00B10998" w:rsidRDefault="00B10998">
      <w:pPr>
        <w:spacing w:before="80"/>
      </w:pPr>
    </w:p>
    <w:p w14:paraId="13E6D17F"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GATE → Resultado A, retaliação com valimento do cargo, art. 117, IX, demissão</w:t>
      </w:r>
    </w:p>
    <w:p w14:paraId="18FFC397"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Resultado B, retaliação, conduta imprópria, art. 116, IX, advertência ou suspensão</w:t>
      </w:r>
    </w:p>
    <w:p w14:paraId="26FF3227" w14:textId="77777777" w:rsidR="00B10998" w:rsidRDefault="00B10998">
      <w:pPr>
        <w:pBdr>
          <w:bottom w:val="single" w:sz="4" w:space="1" w:color="C9A35C"/>
        </w:pBdr>
        <w:spacing w:before="200" w:after="200"/>
      </w:pPr>
    </w:p>
    <w:p w14:paraId="2733C1C9" w14:textId="77777777" w:rsidR="00B10998" w:rsidRDefault="00B10998">
      <w:pPr>
        <w:pStyle w:val="Ttulo3"/>
        <w:keepNext/>
      </w:pPr>
      <w:r>
        <w:rPr>
          <w:rFonts w:ascii="Calibri" w:eastAsia="Calibri" w:hAnsi="Calibri" w:cs="Calibri"/>
        </w:rPr>
        <w:t>Os dois resultados possíveis do Eixo 6</w:t>
      </w:r>
    </w:p>
    <w:p w14:paraId="079DF7AB"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45A76C7C"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5232FEB6" w14:textId="77777777" w:rsidR="00B10998" w:rsidRDefault="00B10998">
            <w:pPr>
              <w:spacing w:after="80"/>
            </w:pPr>
            <w:r>
              <w:rPr>
                <w:rFonts w:ascii="Barlow Condensed" w:eastAsia="Barlow Condensed" w:hAnsi="Barlow Condensed" w:cs="Barlow Condensed"/>
                <w:b/>
                <w:bCs/>
                <w:color w:val="B42318"/>
                <w:sz w:val="24"/>
                <w:szCs w:val="24"/>
              </w:rPr>
              <w:t xml:space="preserve">Resultado A, </w:t>
            </w:r>
            <w:r>
              <w:rPr>
                <w:rFonts w:ascii="Barlow Condensed" w:eastAsia="Barlow Condensed" w:hAnsi="Barlow Condensed" w:cs="Barlow Condensed"/>
                <w:b/>
                <w:bCs/>
                <w:color w:val="0B2C5F"/>
                <w:sz w:val="24"/>
                <w:szCs w:val="24"/>
              </w:rPr>
              <w:t>Retaliação com valimento do cargo</w:t>
            </w:r>
          </w:p>
          <w:p w14:paraId="096270AD" w14:textId="77777777" w:rsidR="00B10998" w:rsidRDefault="00B10998">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117, IX, demissão por força do art. 132, XIII</w:t>
            </w:r>
          </w:p>
          <w:p w14:paraId="2089472F"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4D7CA19A"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41506E62" w14:textId="77777777" w:rsidR="00B10998" w:rsidRDefault="00B10998">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Verificar competência: se a denúncia gerou protocolo Fala.BR, remeter à CGU/CRG, a </w:t>
            </w:r>
            <w:proofErr w:type="spellStart"/>
            <w:r>
              <w:rPr>
                <w:rFonts w:ascii="Calibri" w:eastAsia="Calibri" w:hAnsi="Calibri" w:cs="Calibri"/>
                <w:color w:val="051A3D"/>
                <w:sz w:val="20"/>
                <w:szCs w:val="20"/>
              </w:rPr>
              <w:t>Coger</w:t>
            </w:r>
            <w:proofErr w:type="spellEnd"/>
            <w:r>
              <w:rPr>
                <w:rFonts w:ascii="Calibri" w:eastAsia="Calibri" w:hAnsi="Calibri" w:cs="Calibri"/>
                <w:color w:val="051A3D"/>
                <w:sz w:val="20"/>
                <w:szCs w:val="20"/>
              </w:rPr>
              <w:t xml:space="preserve">/RFB não instaura. Se competente (testemunha ou denúncia sem protocolo Fala.BR), 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Verificar os quatro elementos: ato protegido com data; conduta adversa subsequente; nexo causal por três ou mais indicadores; uso ativo de prerrogativa do cargo. Recomendar à autoridade competente a anulação dos atos </w:t>
            </w:r>
            <w:proofErr w:type="spellStart"/>
            <w:r>
              <w:rPr>
                <w:rFonts w:ascii="Calibri" w:eastAsia="Calibri" w:hAnsi="Calibri" w:cs="Calibri"/>
                <w:color w:val="051A3D"/>
                <w:sz w:val="20"/>
                <w:szCs w:val="20"/>
              </w:rPr>
              <w:t>retaliadores</w:t>
            </w:r>
            <w:proofErr w:type="spellEnd"/>
            <w:r>
              <w:rPr>
                <w:rFonts w:ascii="Calibri" w:eastAsia="Calibri" w:hAnsi="Calibri" w:cs="Calibri"/>
                <w:color w:val="051A3D"/>
                <w:sz w:val="20"/>
                <w:szCs w:val="20"/>
              </w:rPr>
              <w:t>. Adotar providências paralelas de proteção ao denunciante.</w:t>
            </w:r>
          </w:p>
        </w:tc>
      </w:tr>
    </w:tbl>
    <w:p w14:paraId="42F9A471" w14:textId="77777777" w:rsidR="00B10998" w:rsidRDefault="00B10998">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674FEB55"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7E266341" w14:textId="77777777" w:rsidR="00B10998" w:rsidRDefault="00B10998">
            <w:pPr>
              <w:spacing w:after="80"/>
            </w:pPr>
            <w:r>
              <w:rPr>
                <w:rFonts w:ascii="Barlow Condensed" w:eastAsia="Barlow Condensed" w:hAnsi="Barlow Condensed" w:cs="Barlow Condensed"/>
                <w:b/>
                <w:bCs/>
                <w:color w:val="1F7A4C"/>
                <w:sz w:val="24"/>
                <w:szCs w:val="24"/>
              </w:rPr>
              <w:t xml:space="preserve">Resultado B, </w:t>
            </w:r>
            <w:r>
              <w:rPr>
                <w:rFonts w:ascii="Barlow Condensed" w:eastAsia="Barlow Condensed" w:hAnsi="Barlow Condensed" w:cs="Barlow Condensed"/>
                <w:b/>
                <w:bCs/>
                <w:color w:val="0B2C5F"/>
                <w:sz w:val="24"/>
                <w:szCs w:val="24"/>
              </w:rPr>
              <w:t>Retaliação, conduta imprópria</w:t>
            </w:r>
          </w:p>
          <w:p w14:paraId="21BABD82" w14:textId="77777777" w:rsidR="00B10998" w:rsidRDefault="00B10998">
            <w:pPr>
              <w:spacing w:after="40"/>
            </w:pPr>
            <w:r>
              <w:rPr>
                <w:rFonts w:ascii="Calibri" w:eastAsia="Calibri" w:hAnsi="Calibri" w:cs="Calibri"/>
                <w:b/>
                <w:bCs/>
                <w:color w:val="0B2C5F"/>
                <w:sz w:val="20"/>
                <w:szCs w:val="20"/>
              </w:rPr>
              <w:lastRenderedPageBreak/>
              <w:t xml:space="preserve">Dispositivo: </w:t>
            </w:r>
            <w:r>
              <w:rPr>
                <w:rFonts w:ascii="Calibri" w:eastAsia="Calibri" w:hAnsi="Calibri" w:cs="Calibri"/>
                <w:color w:val="051A3D"/>
                <w:sz w:val="20"/>
                <w:szCs w:val="20"/>
              </w:rPr>
              <w:t>art. 116, IX, manter conduta compatível com a moralidade administrativa</w:t>
            </w:r>
          </w:p>
          <w:p w14:paraId="1404F8AC"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Advertência ou suspensão, conforme dosimetria</w:t>
            </w:r>
          </w:p>
          <w:p w14:paraId="1DC4AD29"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2 anos (art. 142, II)</w:t>
            </w:r>
          </w:p>
          <w:p w14:paraId="1D33CD19" w14:textId="77777777" w:rsidR="00B10998" w:rsidRDefault="00B10998">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Verificar competência (mesmos critérios do Resultado A). Aplicar dosimetria do art. 128, considerando a gravidade da represália, o dano ao servidor-alvo e o impacto sistêmico sobre a disposição dos demais servidores de denunciar. Adotar as providências paralelas de proteção. Verificar se a instrução está completa quanto ao uso do cargo, o Resultado B não encerra a análise quando há indícios de instrumentalização não apurada.</w:t>
            </w:r>
          </w:p>
        </w:tc>
      </w:tr>
    </w:tbl>
    <w:p w14:paraId="0003FF03" w14:textId="77777777" w:rsidR="00B10998" w:rsidRDefault="00B10998">
      <w:pPr>
        <w:pBdr>
          <w:bottom w:val="single" w:sz="4" w:space="1" w:color="C9A35C"/>
        </w:pBdr>
        <w:spacing w:before="200" w:after="200"/>
      </w:pPr>
    </w:p>
    <w:p w14:paraId="345AD57B" w14:textId="77777777" w:rsidR="00B10998" w:rsidRDefault="00B10998">
      <w:pPr>
        <w:pStyle w:val="Ttulo3"/>
        <w:keepNext/>
      </w:pPr>
      <w:r>
        <w:rPr>
          <w:rFonts w:ascii="Calibri" w:eastAsia="Calibri" w:hAnsi="Calibri" w:cs="Calibri"/>
        </w:rPr>
        <w:t>Checklist do Eixo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rsidRPr="000C0DBA" w14:paraId="672BDAAA"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1BBC9CCA"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Verificar imediatamente se a denúncia gerou protocolo Fala.BR,</w:t>
            </w:r>
          </w:p>
          <w:p w14:paraId="2DD7AF2A"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se SIM, remeter à CGU/CRG antes de qualquer outro ato </w:t>
            </w:r>
            <w:proofErr w:type="spellStart"/>
            <w:r>
              <w:rPr>
                <w:rFonts w:eastAsia="Courier New" w:cs="Courier New"/>
                <w:color w:val="0B2C5F"/>
                <w:sz w:val="20"/>
                <w:szCs w:val="20"/>
              </w:rPr>
              <w:t>instauratório</w:t>
            </w:r>
            <w:proofErr w:type="spellEnd"/>
          </w:p>
          <w:p w14:paraId="46679BD0"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Identifiquei o ato protegido com data precisa ANTES de qualquer</w:t>
            </w:r>
          </w:p>
          <w:p w14:paraId="0FD14994"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outra análise</w:t>
            </w:r>
          </w:p>
          <w:p w14:paraId="6B0067D0"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Verifiquei que o ato protegido ocorreu ANTES da conduta adversa,</w:t>
            </w:r>
          </w:p>
          <w:p w14:paraId="099B877C"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o marco temporal é condição para o nexo</w:t>
            </w:r>
          </w:p>
          <w:p w14:paraId="2EA94955"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o nexo causal pelos quatro indicadores,</w:t>
            </w:r>
          </w:p>
          <w:p w14:paraId="2F6F1EF1"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apenas pela proximidade temporal isolada</w:t>
            </w:r>
          </w:p>
          <w:p w14:paraId="5502CDF4"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arquivei por ausência de justificativa expressa do agressor,</w:t>
            </w:r>
          </w:p>
          <w:p w14:paraId="67A3F1A4"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o nexo é construído por inferência</w:t>
            </w:r>
          </w:p>
          <w:p w14:paraId="1779FEEA"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a aparência formalmente legítima da conduta adversa,</w:t>
            </w:r>
          </w:p>
          <w:p w14:paraId="3E3524C9"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verifiquei a substância, não apenas a forma</w:t>
            </w:r>
          </w:p>
          <w:p w14:paraId="17D0FB54"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Verifiquei o uso instrumental do cargo,</w:t>
            </w:r>
          </w:p>
          <w:p w14:paraId="474683DB"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apenas a existência de hierarquia</w:t>
            </w:r>
          </w:p>
          <w:p w14:paraId="773D4731"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Quando o resultado foi A, recomendei a anulação dos</w:t>
            </w:r>
          </w:p>
          <w:p w14:paraId="04E10C74"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atos administrativos </w:t>
            </w:r>
            <w:proofErr w:type="spellStart"/>
            <w:r>
              <w:rPr>
                <w:rFonts w:eastAsia="Courier New" w:cs="Courier New"/>
                <w:color w:val="0B2C5F"/>
                <w:sz w:val="20"/>
                <w:szCs w:val="20"/>
              </w:rPr>
              <w:t>retaliadores</w:t>
            </w:r>
            <w:proofErr w:type="spellEnd"/>
          </w:p>
          <w:p w14:paraId="48A7761D"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Adotei as providências paralelas de proteção ao denunciante</w:t>
            </w:r>
          </w:p>
          <w:p w14:paraId="5B6B044F"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independentemente do resultado</w:t>
            </w:r>
          </w:p>
          <w:p w14:paraId="3391395F"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cumulatividade com Eixo 5 quando há padrão reiterado</w:t>
            </w:r>
          </w:p>
          <w:p w14:paraId="6552AFDA"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de condutas hostis além da represália</w:t>
            </w:r>
          </w:p>
          <w:p w14:paraId="30311CD5"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Preservei a confidencialidade da identidade do denunciante nos autos</w:t>
            </w:r>
          </w:p>
        </w:tc>
      </w:tr>
    </w:tbl>
    <w:p w14:paraId="187089F2" w14:textId="77777777" w:rsidR="00B10998" w:rsidRDefault="00B10998">
      <w:pPr>
        <w:pBdr>
          <w:bottom w:val="single" w:sz="4" w:space="1" w:color="C9A35C"/>
        </w:pBdr>
        <w:spacing w:before="200" w:after="200"/>
      </w:pPr>
    </w:p>
    <w:p w14:paraId="3068C8C1" w14:textId="77777777" w:rsidR="00B10998" w:rsidRDefault="00B10998">
      <w:pPr>
        <w:pStyle w:val="Ttulo3"/>
        <w:keepNext/>
      </w:pPr>
      <w:r>
        <w:rPr>
          <w:rFonts w:ascii="Calibri" w:eastAsia="Calibri" w:hAnsi="Calibri" w:cs="Calibri"/>
        </w:rPr>
        <w:t>Erros mais frequentes no Eixo 6</w:t>
      </w:r>
    </w:p>
    <w:p w14:paraId="3EEA64A9" w14:textId="77777777" w:rsidR="00B10998" w:rsidRDefault="00B10998">
      <w:pPr>
        <w:spacing w:after="120"/>
        <w:jc w:val="both"/>
      </w:pPr>
      <w:r>
        <w:rPr>
          <w:rFonts w:ascii="Calibri" w:eastAsia="Calibri" w:hAnsi="Calibri" w:cs="Calibri"/>
          <w:b/>
          <w:bCs/>
          <w:color w:val="051A3D"/>
          <w:sz w:val="22"/>
          <w:szCs w:val="22"/>
        </w:rPr>
        <w:t>1. Instaurar PAD de retaliação sem verificar a competência.</w:t>
      </w:r>
      <w:r>
        <w:rPr>
          <w:rFonts w:ascii="Calibri" w:eastAsia="Calibri" w:hAnsi="Calibri" w:cs="Calibri"/>
          <w:color w:val="051A3D"/>
          <w:sz w:val="22"/>
          <w:szCs w:val="22"/>
        </w:rPr>
        <w:t xml:space="preserve"> Quando a denúncia original foi protocolada no Fala.BR, a competência é exclusiva da CGU/CRG (art. 135-A da PN CGU nº 27/2022). A </w:t>
      </w:r>
      <w:proofErr w:type="spellStart"/>
      <w:r>
        <w:rPr>
          <w:rFonts w:ascii="Calibri" w:eastAsia="Calibri" w:hAnsi="Calibri" w:cs="Calibri"/>
          <w:color w:val="051A3D"/>
          <w:sz w:val="22"/>
          <w:szCs w:val="22"/>
        </w:rPr>
        <w:t>Coger</w:t>
      </w:r>
      <w:proofErr w:type="spellEnd"/>
      <w:r>
        <w:rPr>
          <w:rFonts w:ascii="Calibri" w:eastAsia="Calibri" w:hAnsi="Calibri" w:cs="Calibri"/>
          <w:color w:val="051A3D"/>
          <w:sz w:val="22"/>
          <w:szCs w:val="22"/>
        </w:rPr>
        <w:t>/RFB que instaura sem verificar este elemento pratica ato sujeito a nulidade. A verificação do protocolo Fala.BR é a primeira providência, não a última.</w:t>
      </w:r>
    </w:p>
    <w:p w14:paraId="41248B59" w14:textId="77777777" w:rsidR="00B10998" w:rsidRDefault="00B10998">
      <w:pPr>
        <w:spacing w:after="120"/>
        <w:jc w:val="both"/>
      </w:pPr>
      <w:r>
        <w:rPr>
          <w:rFonts w:ascii="Calibri" w:eastAsia="Calibri" w:hAnsi="Calibri" w:cs="Calibri"/>
          <w:b/>
          <w:bCs/>
          <w:color w:val="051A3D"/>
          <w:sz w:val="22"/>
          <w:szCs w:val="22"/>
        </w:rPr>
        <w:t>2. Confundir retaliação com assédio moral por ausência de diferenciação analítica.</w:t>
      </w:r>
      <w:r>
        <w:rPr>
          <w:rFonts w:ascii="Calibri" w:eastAsia="Calibri" w:hAnsi="Calibri" w:cs="Calibri"/>
          <w:color w:val="051A3D"/>
          <w:sz w:val="22"/>
          <w:szCs w:val="22"/>
        </w:rPr>
        <w:t xml:space="preserve"> A forma da conduta adversa pode ser idêntica em ambos os casos. O que distingue a retaliação é o nexo causal com o ato protegido, não a forma ou a intensidade da conduta. Os dois enquadramentos podem coexistir quando há padrão reiterado com nexo identificável.</w:t>
      </w:r>
    </w:p>
    <w:p w14:paraId="3202BB03" w14:textId="77777777" w:rsidR="00B10998" w:rsidRDefault="00B10998">
      <w:pPr>
        <w:spacing w:after="120"/>
        <w:jc w:val="both"/>
      </w:pPr>
      <w:r>
        <w:rPr>
          <w:rFonts w:ascii="Calibri" w:eastAsia="Calibri" w:hAnsi="Calibri" w:cs="Calibri"/>
          <w:b/>
          <w:bCs/>
          <w:color w:val="051A3D"/>
          <w:sz w:val="22"/>
          <w:szCs w:val="22"/>
        </w:rPr>
        <w:lastRenderedPageBreak/>
        <w:t>3. Aceitar a justificativa formal da conduta adversa sem avaliar a substância.</w:t>
      </w:r>
      <w:r>
        <w:rPr>
          <w:rFonts w:ascii="Calibri" w:eastAsia="Calibri" w:hAnsi="Calibri" w:cs="Calibri"/>
          <w:color w:val="051A3D"/>
          <w:sz w:val="22"/>
          <w:szCs w:val="22"/>
        </w:rPr>
        <w:t xml:space="preserve"> Portaria assinada, avaliação fundamentada, exclusão de projeto justificada, a aparência de legitimidade é a estratégia defensiva padrão na retaliação. Avalie: por que esta medida, neste momento, para este servidor, com este histórico?</w:t>
      </w:r>
    </w:p>
    <w:p w14:paraId="2DCD2839" w14:textId="77777777" w:rsidR="00B10998" w:rsidRDefault="00B10998">
      <w:pPr>
        <w:spacing w:after="120"/>
        <w:jc w:val="both"/>
      </w:pPr>
      <w:r>
        <w:rPr>
          <w:rFonts w:ascii="Calibri" w:eastAsia="Calibri" w:hAnsi="Calibri" w:cs="Calibri"/>
          <w:b/>
          <w:bCs/>
          <w:color w:val="051A3D"/>
          <w:sz w:val="22"/>
          <w:szCs w:val="22"/>
        </w:rPr>
        <w:t>4. Exigir prova direta do nexo causal.</w:t>
      </w:r>
      <w:r>
        <w:rPr>
          <w:rFonts w:ascii="Calibri" w:eastAsia="Calibri" w:hAnsi="Calibri" w:cs="Calibri"/>
          <w:color w:val="051A3D"/>
          <w:sz w:val="22"/>
          <w:szCs w:val="22"/>
        </w:rPr>
        <w:t xml:space="preserve"> O agressor nunca declarará que está retaliando. O nexo é demonstrado pela convergência de indicadores indiretos, proximidade temporal, ruptura de histórico positivo, ausência de justificativa objetiva, comparativo com pares. Três indicadores convergentes são suficientes.</w:t>
      </w:r>
    </w:p>
    <w:p w14:paraId="328CED26" w14:textId="77777777" w:rsidR="00B10998" w:rsidRDefault="00B10998">
      <w:pPr>
        <w:spacing w:after="120"/>
        <w:jc w:val="both"/>
      </w:pPr>
      <w:r>
        <w:rPr>
          <w:rFonts w:ascii="Calibri" w:eastAsia="Calibri" w:hAnsi="Calibri" w:cs="Calibri"/>
          <w:b/>
          <w:bCs/>
          <w:color w:val="051A3D"/>
          <w:sz w:val="22"/>
          <w:szCs w:val="22"/>
        </w:rPr>
        <w:t>5. Não adotar medidas cautelares de proteção ao denunciante durante a apuração.</w:t>
      </w:r>
      <w:r>
        <w:rPr>
          <w:rFonts w:ascii="Calibri" w:eastAsia="Calibri" w:hAnsi="Calibri" w:cs="Calibri"/>
          <w:color w:val="051A3D"/>
          <w:sz w:val="22"/>
          <w:szCs w:val="22"/>
        </w:rPr>
        <w:t xml:space="preserve"> A identificação de retaliação em andamento exige providência imediata. O PAD que tramita sem medidas de proteção pode resultar em nova retaliação durante a própria apuração.</w:t>
      </w:r>
    </w:p>
    <w:p w14:paraId="6372877F" w14:textId="77777777" w:rsidR="00B10998" w:rsidRDefault="00B10998">
      <w:pPr>
        <w:spacing w:after="120"/>
        <w:jc w:val="both"/>
      </w:pPr>
      <w:r>
        <w:rPr>
          <w:rFonts w:ascii="Calibri" w:eastAsia="Calibri" w:hAnsi="Calibri" w:cs="Calibri"/>
          <w:b/>
          <w:bCs/>
          <w:color w:val="051A3D"/>
          <w:sz w:val="22"/>
          <w:szCs w:val="22"/>
        </w:rPr>
        <w:t xml:space="preserve">6. Não recomendar a anulação dos atos </w:t>
      </w:r>
      <w:proofErr w:type="spellStart"/>
      <w:r>
        <w:rPr>
          <w:rFonts w:ascii="Calibri" w:eastAsia="Calibri" w:hAnsi="Calibri" w:cs="Calibri"/>
          <w:b/>
          <w:bCs/>
          <w:color w:val="051A3D"/>
          <w:sz w:val="22"/>
          <w:szCs w:val="22"/>
        </w:rPr>
        <w:t>retaliadores</w:t>
      </w:r>
      <w:proofErr w:type="spellEnd"/>
      <w:r>
        <w:rPr>
          <w:rFonts w:ascii="Calibri" w:eastAsia="Calibri" w:hAnsi="Calibri" w:cs="Calibri"/>
          <w:b/>
          <w:bCs/>
          <w:color w:val="051A3D"/>
          <w:sz w:val="22"/>
          <w:szCs w:val="22"/>
        </w:rPr>
        <w:t xml:space="preserve"> quando o Resultado A é confirmado.</w:t>
      </w:r>
      <w:r>
        <w:rPr>
          <w:rFonts w:ascii="Calibri" w:eastAsia="Calibri" w:hAnsi="Calibri" w:cs="Calibri"/>
          <w:color w:val="051A3D"/>
          <w:sz w:val="22"/>
          <w:szCs w:val="22"/>
        </w:rPr>
        <w:t xml:space="preserve"> A sanção disciplinar ao agressor não desfaz automaticamente os atos administrativos com motivação </w:t>
      </w:r>
      <w:proofErr w:type="spellStart"/>
      <w:r>
        <w:rPr>
          <w:rFonts w:ascii="Calibri" w:eastAsia="Calibri" w:hAnsi="Calibri" w:cs="Calibri"/>
          <w:color w:val="051A3D"/>
          <w:sz w:val="22"/>
          <w:szCs w:val="22"/>
        </w:rPr>
        <w:t>retaliadora</w:t>
      </w:r>
      <w:proofErr w:type="spellEnd"/>
      <w:r>
        <w:rPr>
          <w:rFonts w:ascii="Calibri" w:eastAsia="Calibri" w:hAnsi="Calibri" w:cs="Calibri"/>
          <w:color w:val="051A3D"/>
          <w:sz w:val="22"/>
          <w:szCs w:val="22"/>
        </w:rPr>
        <w:t xml:space="preserve">. A remoção, a avaliação negativa e a exclusão de projeto precisam ser separadamente </w:t>
      </w:r>
      <w:proofErr w:type="gramStart"/>
      <w:r>
        <w:rPr>
          <w:rFonts w:ascii="Calibri" w:eastAsia="Calibri" w:hAnsi="Calibri" w:cs="Calibri"/>
          <w:color w:val="051A3D"/>
          <w:sz w:val="22"/>
          <w:szCs w:val="22"/>
        </w:rPr>
        <w:t>anulados</w:t>
      </w:r>
      <w:proofErr w:type="gramEnd"/>
      <w:r>
        <w:rPr>
          <w:rFonts w:ascii="Calibri" w:eastAsia="Calibri" w:hAnsi="Calibri" w:cs="Calibri"/>
          <w:color w:val="051A3D"/>
          <w:sz w:val="22"/>
          <w:szCs w:val="22"/>
        </w:rPr>
        <w:t xml:space="preserve"> pela autoridade competente para que a reparação ao servidor-alvo seja completa.</w:t>
      </w:r>
    </w:p>
    <w:p w14:paraId="3BC4F1EC" w14:textId="77777777" w:rsidR="00B10998" w:rsidRDefault="00B10998">
      <w:r>
        <w:br w:type="page"/>
      </w:r>
    </w:p>
    <w:p w14:paraId="0D81BBF6" w14:textId="77777777" w:rsidR="00B10998" w:rsidRDefault="00B10998">
      <w:pPr>
        <w:pBdr>
          <w:left w:val="single" w:sz="12" w:space="6" w:color="C9A35C"/>
        </w:pBdr>
        <w:spacing w:before="320" w:after="40"/>
      </w:pPr>
      <w:r>
        <w:rPr>
          <w:rFonts w:ascii="Barlow Condensed" w:eastAsia="Barlow Condensed" w:hAnsi="Barlow Condensed" w:cs="Barlow Condensed"/>
          <w:b/>
          <w:bCs/>
          <w:color w:val="8C6E2C"/>
          <w:sz w:val="18"/>
          <w:szCs w:val="18"/>
        </w:rPr>
        <w:lastRenderedPageBreak/>
        <w:t>▍ EIXO 7</w:t>
      </w:r>
    </w:p>
    <w:p w14:paraId="45147BF2" w14:textId="77777777" w:rsidR="00B10998" w:rsidRDefault="00B10998">
      <w:pPr>
        <w:pStyle w:val="Ttulo1"/>
      </w:pPr>
      <w:bookmarkStart w:id="176" w:name="_Toc238022167"/>
      <w:r>
        <w:rPr>
          <w:caps/>
          <w:color w:val="0B2C5F"/>
          <w:sz w:val="40"/>
          <w:szCs w:val="40"/>
        </w:rPr>
        <w:t>17. EIXO 7: VIOLÊNCIA VERBAL / OFENSA DIRETA, GUIA DE USO</w:t>
      </w:r>
      <w:bookmarkEnd w:id="176"/>
    </w:p>
    <w:p w14:paraId="3DE3D9DE" w14:textId="77777777" w:rsidR="00B10998" w:rsidRDefault="00B10998">
      <w:pPr>
        <w:pStyle w:val="Ttulo3"/>
        <w:keepNext/>
      </w:pPr>
      <w:r>
        <w:rPr>
          <w:rFonts w:ascii="Calibri" w:eastAsia="Calibri" w:hAnsi="Calibri" w:cs="Calibri"/>
        </w:rPr>
        <w:t>O que este eixo analisa</w:t>
      </w:r>
    </w:p>
    <w:p w14:paraId="6929E327" w14:textId="77777777" w:rsidR="00B10998" w:rsidRDefault="00B10998">
      <w:pPr>
        <w:spacing w:after="120"/>
        <w:jc w:val="both"/>
      </w:pPr>
      <w:r>
        <w:rPr>
          <w:rFonts w:ascii="Calibri" w:eastAsia="Calibri" w:hAnsi="Calibri" w:cs="Calibri"/>
          <w:color w:val="051A3D"/>
          <w:sz w:val="22"/>
          <w:szCs w:val="22"/>
        </w:rPr>
        <w:t>Condutas que consistem em insulto, xingamento, humilhação, rebaixamento ou ofensa verbal direta, palavras, expressões ou gestos que visam denigrir, atacar a dignidade ou degradar a pessoa da vítima no presente, sem anúncio de consequência futura. São exemplos: vocabulário gravemente ofensivo dirigido ao servidor, comentários públicos que expõem vexatoriamente suas limitações, humilhações em reunião de equipe, expressões que atacam a integridade moral da pessoa.</w:t>
      </w:r>
    </w:p>
    <w:p w14:paraId="06FC3047" w14:textId="77777777" w:rsidR="00B10998" w:rsidRDefault="00B10998">
      <w:pPr>
        <w:spacing w:after="120"/>
        <w:jc w:val="both"/>
      </w:pPr>
      <w:r>
        <w:rPr>
          <w:rFonts w:ascii="Calibri" w:eastAsia="Calibri" w:hAnsi="Calibri" w:cs="Calibri"/>
          <w:color w:val="051A3D"/>
          <w:sz w:val="22"/>
          <w:szCs w:val="22"/>
        </w:rPr>
        <w:t>Este eixo tem sete perguntas e pode produzir quatro resultados distintos, dependendo da presença de qualificadores que redirecionam para outros eixos, da publicidade e gravidade da ofensa, do conteúdo objetivamente degradante, da repercussão documentada e do uso do cargo como instrumento de humilhação.</w:t>
      </w:r>
    </w:p>
    <w:p w14:paraId="13D4D6DB" w14:textId="77777777" w:rsidR="00B10998" w:rsidRDefault="00B10998">
      <w:pPr>
        <w:spacing w:after="120"/>
        <w:jc w:val="both"/>
      </w:pPr>
      <w:r>
        <w:rPr>
          <w:rFonts w:ascii="Calibri" w:eastAsia="Calibri" w:hAnsi="Calibri" w:cs="Calibri"/>
          <w:b/>
          <w:bCs/>
          <w:color w:val="051A3D"/>
          <w:sz w:val="22"/>
          <w:szCs w:val="22"/>
        </w:rPr>
        <w:t>Lembre antes de começar:</w:t>
      </w:r>
      <w:r>
        <w:rPr>
          <w:rFonts w:ascii="Calibri" w:eastAsia="Calibri" w:hAnsi="Calibri" w:cs="Calibri"/>
          <w:color w:val="051A3D"/>
          <w:sz w:val="22"/>
          <w:szCs w:val="22"/>
        </w:rPr>
        <w:t xml:space="preserve"> a fronteira com a ameaça (Eixo 2) é o conteúdo temporal da conduta. A violência verbal age no presente: ofende agora. A ameaça aponta para o futuro: anuncia o que acontecerá. Quando a mesma conduta combina ofensa presente e promessa de consequência futura, prevalece a análise pelo Eixo 2, com a ofensa verbal tratada como circunstância de agravamento.</w:t>
      </w:r>
    </w:p>
    <w:p w14:paraId="674358D6" w14:textId="77777777" w:rsidR="00B10998" w:rsidRDefault="00B10998">
      <w:pPr>
        <w:spacing w:after="120"/>
        <w:jc w:val="both"/>
      </w:pPr>
      <w:proofErr w:type="spellStart"/>
      <w:r>
        <w:rPr>
          <w:rFonts w:ascii="Calibri" w:eastAsia="Calibri" w:hAnsi="Calibri" w:cs="Calibri"/>
          <w:b/>
          <w:bCs/>
          <w:color w:val="051A3D"/>
          <w:sz w:val="22"/>
          <w:szCs w:val="22"/>
        </w:rPr>
        <w:t>Lembre</w:t>
      </w:r>
      <w:proofErr w:type="spellEnd"/>
      <w:r>
        <w:rPr>
          <w:rFonts w:ascii="Calibri" w:eastAsia="Calibri" w:hAnsi="Calibri" w:cs="Calibri"/>
          <w:b/>
          <w:bCs/>
          <w:color w:val="051A3D"/>
          <w:sz w:val="22"/>
          <w:szCs w:val="22"/>
        </w:rPr>
        <w:t xml:space="preserve"> também:</w:t>
      </w:r>
      <w:r>
        <w:rPr>
          <w:rFonts w:ascii="Calibri" w:eastAsia="Calibri" w:hAnsi="Calibri" w:cs="Calibri"/>
          <w:color w:val="051A3D"/>
          <w:sz w:val="22"/>
          <w:szCs w:val="22"/>
        </w:rPr>
        <w:t xml:space="preserve"> a crítica construtiva não é violência verbal. Avaliação negativa fundamentada, cobrança de resultados com critérios objetivos, comunicação direta de insatisfação com o trabalho entregue, mesmo que causem desconforto, não configuram este eixo. O que distingue a violência verbal é o objeto: a crítica legítima dirige-se ao trabalho; a violência verbal dirige-se à pessoa.</w:t>
      </w:r>
    </w:p>
    <w:p w14:paraId="1DB3FC4F"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5306BDC8"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1CE33220" w14:textId="77777777" w:rsidR="00B10998" w:rsidRDefault="00B10998">
            <w:pPr>
              <w:jc w:val="both"/>
            </w:pPr>
            <w:r>
              <w:rPr>
                <w:rFonts w:ascii="Calibri" w:eastAsia="Calibri" w:hAnsi="Calibri" w:cs="Calibri"/>
                <w:b/>
                <w:bCs/>
                <w:color w:val="0B2C5F"/>
                <w:sz w:val="20"/>
                <w:szCs w:val="20"/>
              </w:rPr>
              <w:t>Urgência prescricional:</w:t>
            </w:r>
            <w:r>
              <w:rPr>
                <w:rFonts w:ascii="Calibri" w:eastAsia="Calibri" w:hAnsi="Calibri" w:cs="Calibri"/>
                <w:color w:val="051A3D"/>
                <w:sz w:val="20"/>
                <w:szCs w:val="20"/>
              </w:rPr>
              <w:t xml:space="preserve"> o Resultado A deste eixo (falta de urbanidade, art. 116, XI) enquadra-se como advertência e sujeita-se ao prazo de 180 dias, nos termos do art. 142, III, da Lei nº 8.112, de 1990. Calcule o prazo antes de qualquer outra providência, do mesmo modo que no Eixo 2.</w:t>
            </w:r>
          </w:p>
        </w:tc>
      </w:tr>
    </w:tbl>
    <w:p w14:paraId="44AB786C" w14:textId="77777777" w:rsidR="00B10998" w:rsidRDefault="00B10998">
      <w:pPr>
        <w:spacing w:after="120"/>
        <w:jc w:val="both"/>
      </w:pPr>
    </w:p>
    <w:p w14:paraId="0137AE1D" w14:textId="77777777" w:rsidR="00B10998" w:rsidRDefault="00B10998">
      <w:pPr>
        <w:pStyle w:val="Ttulo3"/>
        <w:keepNext/>
      </w:pPr>
      <w:r>
        <w:rPr>
          <w:rFonts w:ascii="Calibri" w:eastAsia="Calibri" w:hAnsi="Calibri" w:cs="Calibri"/>
        </w:rPr>
        <w:t>Fluxo completo do Eixo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rsidRPr="000C0DBA" w14:paraId="2EA64A20"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501F5112"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P1, A conduta consistiu em ofensa verbal direta, insulto,</w:t>
            </w:r>
          </w:p>
          <w:p w14:paraId="5C7604C4"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xingamento ou humilhação, sem conteúdo </w:t>
            </w:r>
            <w:proofErr w:type="spellStart"/>
            <w:r>
              <w:rPr>
                <w:rFonts w:eastAsia="Courier New" w:cs="Courier New"/>
                <w:color w:val="0B2C5F"/>
                <w:sz w:val="20"/>
                <w:szCs w:val="20"/>
              </w:rPr>
              <w:t>ameaçatório</w:t>
            </w:r>
            <w:proofErr w:type="spellEnd"/>
            <w:r>
              <w:rPr>
                <w:rFonts w:eastAsia="Courier New" w:cs="Courier New"/>
                <w:color w:val="0B2C5F"/>
                <w:sz w:val="20"/>
                <w:szCs w:val="20"/>
              </w:rPr>
              <w:t>?</w:t>
            </w:r>
          </w:p>
          <w:p w14:paraId="36A1C7B8"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 Eixo 3 (conotação sexual). Se a conduta tiver conteúdo</w:t>
            </w:r>
          </w:p>
          <w:p w14:paraId="7777A2A0"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prospectivo, encerre esta análise e reinicie o fluxo</w:t>
            </w:r>
          </w:p>
          <w:p w14:paraId="43A6CA96"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selecionando "Ameaça" na tela inicial</w:t>
            </w:r>
          </w:p>
          <w:p w14:paraId="70B6BD12"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SIM → P2</w:t>
            </w:r>
          </w:p>
          <w:p w14:paraId="2D8060EA" w14:textId="77777777" w:rsidR="00B10998" w:rsidRPr="000C0DBA" w:rsidRDefault="00B10998">
            <w:pPr>
              <w:rPr>
                <w:rFonts w:eastAsia="Courier New" w:cs="Courier New"/>
                <w:color w:val="0B2C5F"/>
                <w:sz w:val="20"/>
                <w:szCs w:val="20"/>
              </w:rPr>
            </w:pPr>
          </w:p>
          <w:p w14:paraId="3112B0C6"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P2, A ofensa verbal teve conotação sexual?</w:t>
            </w:r>
          </w:p>
          <w:p w14:paraId="35146583"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SIM → Eixo 3 (Assédio Sexual / NT nº 3285/2023)</w:t>
            </w:r>
          </w:p>
          <w:p w14:paraId="6A87144D"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 P3</w:t>
            </w:r>
          </w:p>
          <w:p w14:paraId="5B22B346" w14:textId="77777777" w:rsidR="00B10998" w:rsidRPr="000C0DBA" w:rsidRDefault="00B10998">
            <w:pPr>
              <w:rPr>
                <w:rFonts w:eastAsia="Courier New" w:cs="Courier New"/>
                <w:color w:val="0B2C5F"/>
                <w:sz w:val="20"/>
                <w:szCs w:val="20"/>
              </w:rPr>
            </w:pPr>
          </w:p>
          <w:p w14:paraId="5D447472"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P3, A ofensa foi motivada por característica pessoal protegida</w:t>
            </w:r>
          </w:p>
          <w:p w14:paraId="26342876" w14:textId="77777777" w:rsidR="00B10998" w:rsidRPr="000C0DBA" w:rsidRDefault="00B10998">
            <w:pPr>
              <w:rPr>
                <w:rFonts w:eastAsia="Courier New" w:cs="Courier New"/>
                <w:color w:val="0B2C5F"/>
                <w:sz w:val="20"/>
                <w:szCs w:val="20"/>
              </w:rPr>
            </w:pPr>
            <w:r>
              <w:rPr>
                <w:rFonts w:eastAsia="Courier New" w:cs="Courier New"/>
                <w:color w:val="0B2C5F"/>
                <w:sz w:val="20"/>
                <w:szCs w:val="20"/>
              </w:rPr>
              <w:lastRenderedPageBreak/>
              <w:t xml:space="preserve">     da vítima?</w:t>
            </w:r>
          </w:p>
          <w:p w14:paraId="3A00F1B0"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SIM → Eixo 4 (Discriminação / NT nº 93/2024)</w:t>
            </w:r>
          </w:p>
          <w:p w14:paraId="5144B6F7"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 P4</w:t>
            </w:r>
          </w:p>
          <w:p w14:paraId="542C0D40" w14:textId="77777777" w:rsidR="00B10998" w:rsidRPr="000C0DBA" w:rsidRDefault="00B10998">
            <w:pPr>
              <w:rPr>
                <w:rFonts w:eastAsia="Courier New" w:cs="Courier New"/>
                <w:color w:val="0B2C5F"/>
                <w:sz w:val="20"/>
                <w:szCs w:val="20"/>
              </w:rPr>
            </w:pPr>
          </w:p>
          <w:p w14:paraId="39054331"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P4, A ofensa foi pública, com testemunhas, e de elevada gravidade?</w:t>
            </w:r>
          </w:p>
          <w:p w14:paraId="19EF7AB5"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 Resultado A, falta de urbanidade (art. 116, XI,</w:t>
            </w:r>
          </w:p>
          <w:p w14:paraId="1343254F"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advertência) [prazo 180 dias]</w:t>
            </w:r>
          </w:p>
          <w:p w14:paraId="11FAF9FB"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SIM → P5</w:t>
            </w:r>
          </w:p>
          <w:p w14:paraId="6454C116" w14:textId="77777777" w:rsidR="00B10998" w:rsidRPr="000C0DBA" w:rsidRDefault="00B10998">
            <w:pPr>
              <w:rPr>
                <w:rFonts w:eastAsia="Courier New" w:cs="Courier New"/>
                <w:color w:val="0B2C5F"/>
                <w:sz w:val="20"/>
                <w:szCs w:val="20"/>
              </w:rPr>
            </w:pPr>
          </w:p>
          <w:p w14:paraId="22805DF5"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P5, O conteúdo da ofensa foi objetivamente degradante,</w:t>
            </w:r>
          </w:p>
          <w:p w14:paraId="31A1483C"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aferido pelo padrão do observador razoável?</w:t>
            </w:r>
          </w:p>
          <w:p w14:paraId="135D0389"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 Resultado D, ofensa verbal pública, conduta imprópria</w:t>
            </w:r>
          </w:p>
          <w:p w14:paraId="725D5B29"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de grau moderado (art. 116, IX, suspensão)</w:t>
            </w:r>
          </w:p>
          <w:p w14:paraId="027F1D2C"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SIM → P6</w:t>
            </w:r>
          </w:p>
          <w:p w14:paraId="618EDC67" w14:textId="77777777" w:rsidR="00B10998" w:rsidRPr="000C0DBA" w:rsidRDefault="00B10998">
            <w:pPr>
              <w:rPr>
                <w:rFonts w:eastAsia="Courier New" w:cs="Courier New"/>
                <w:color w:val="0B2C5F"/>
                <w:sz w:val="20"/>
                <w:szCs w:val="20"/>
              </w:rPr>
            </w:pPr>
          </w:p>
          <w:p w14:paraId="40AA36D5"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P6, </w:t>
            </w:r>
            <w:proofErr w:type="gramStart"/>
            <w:r>
              <w:rPr>
                <w:rFonts w:eastAsia="Courier New" w:cs="Courier New"/>
                <w:color w:val="0B2C5F"/>
                <w:sz w:val="20"/>
                <w:szCs w:val="20"/>
              </w:rPr>
              <w:t>Há</w:t>
            </w:r>
            <w:proofErr w:type="gramEnd"/>
            <w:r>
              <w:rPr>
                <w:rFonts w:eastAsia="Courier New" w:cs="Courier New"/>
                <w:color w:val="0B2C5F"/>
                <w:sz w:val="20"/>
                <w:szCs w:val="20"/>
              </w:rPr>
              <w:t xml:space="preserve"> repercussão documentada nos autos, além do mínimo</w:t>
            </w:r>
          </w:p>
          <w:p w14:paraId="5D066AEF"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de publicidade já verificado em P4?</w:t>
            </w:r>
          </w:p>
          <w:p w14:paraId="5A413FB2"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 Resultado D, ofensa verbal pública, conduta imprópria</w:t>
            </w:r>
          </w:p>
          <w:p w14:paraId="14356695"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de grau moderado (art. 116, IX, suspensão)</w:t>
            </w:r>
          </w:p>
          <w:p w14:paraId="5FAD3094"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SIM → P7</w:t>
            </w:r>
          </w:p>
          <w:p w14:paraId="122D7E6D" w14:textId="77777777" w:rsidR="00B10998" w:rsidRPr="000C0DBA" w:rsidRDefault="00B10998">
            <w:pPr>
              <w:rPr>
                <w:rFonts w:eastAsia="Courier New" w:cs="Courier New"/>
                <w:color w:val="0B2C5F"/>
                <w:sz w:val="20"/>
                <w:szCs w:val="20"/>
              </w:rPr>
            </w:pPr>
          </w:p>
          <w:p w14:paraId="7657DB35"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P7, </w:t>
            </w:r>
            <w:proofErr w:type="gramStart"/>
            <w:r>
              <w:rPr>
                <w:rFonts w:eastAsia="Courier New" w:cs="Courier New"/>
                <w:color w:val="0B2C5F"/>
                <w:sz w:val="20"/>
                <w:szCs w:val="20"/>
              </w:rPr>
              <w:t>Houve</w:t>
            </w:r>
            <w:proofErr w:type="gramEnd"/>
            <w:r>
              <w:rPr>
                <w:rFonts w:eastAsia="Courier New" w:cs="Courier New"/>
                <w:color w:val="0B2C5F"/>
                <w:sz w:val="20"/>
                <w:szCs w:val="20"/>
              </w:rPr>
              <w:t xml:space="preserve"> uso do cargo ou ascendência funcional como</w:t>
            </w:r>
          </w:p>
          <w:p w14:paraId="238188A0"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instrumento da humilhação?</w:t>
            </w:r>
          </w:p>
          <w:p w14:paraId="3B632C14"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SIM → GATE → Resultado B, valimento do cargo</w:t>
            </w:r>
          </w:p>
          <w:p w14:paraId="669EDFD1"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(art. 117, IX, demissão)</w:t>
            </w:r>
          </w:p>
          <w:p w14:paraId="77FD4BFC"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 GATE → Resultado C, conduta escandalosa</w:t>
            </w:r>
          </w:p>
          <w:p w14:paraId="4B58F470"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(art. 132, V, demissão)</w:t>
            </w:r>
          </w:p>
        </w:tc>
      </w:tr>
    </w:tbl>
    <w:p w14:paraId="3C767482" w14:textId="77777777" w:rsidR="00B10998" w:rsidRDefault="00B10998">
      <w:pPr>
        <w:spacing w:before="200"/>
      </w:pPr>
    </w:p>
    <w:p w14:paraId="276072A0" w14:textId="77777777" w:rsidR="00B10998" w:rsidRDefault="00B10998">
      <w:pPr>
        <w:pStyle w:val="Ttulo2"/>
        <w:keepNext/>
        <w:pBdr>
          <w:left w:val="single" w:sz="10" w:space="6" w:color="C9A35C"/>
        </w:pBdr>
      </w:pPr>
      <w:bookmarkStart w:id="177" w:name="_Toc238022168"/>
      <w:r>
        <w:t xml:space="preserve">P1, A conduta consistiu em ofensa verbal direta, insulto, xingamento ou humilhação, sem conteúdo </w:t>
      </w:r>
      <w:proofErr w:type="spellStart"/>
      <w:r>
        <w:t>ameaçatório</w:t>
      </w:r>
      <w:proofErr w:type="spellEnd"/>
      <w:r>
        <w:t>?</w:t>
      </w:r>
      <w:bookmarkEnd w:id="177"/>
    </w:p>
    <w:p w14:paraId="3A1A1DF8" w14:textId="77777777" w:rsidR="00B10998" w:rsidRDefault="00B10998">
      <w:pPr>
        <w:pStyle w:val="Ttulo3"/>
        <w:keepNext/>
      </w:pPr>
      <w:r>
        <w:rPr>
          <w:rFonts w:ascii="Calibri" w:eastAsia="Calibri" w:hAnsi="Calibri" w:cs="Calibri"/>
        </w:rPr>
        <w:t>O que avaliar</w:t>
      </w:r>
    </w:p>
    <w:p w14:paraId="16FC95A1"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 xml:space="preserve">a conduta ofendeu a pessoa da vítima </w:t>
      </w:r>
      <w:proofErr w:type="gramStart"/>
      <w:r>
        <w:rPr>
          <w:rFonts w:ascii="Calibri" w:eastAsia="Calibri" w:hAnsi="Calibri" w:cs="Calibri"/>
          <w:b/>
          <w:bCs/>
          <w:color w:val="051A3D"/>
          <w:sz w:val="22"/>
          <w:szCs w:val="22"/>
        </w:rPr>
        <w:t>no momento em que</w:t>
      </w:r>
      <w:proofErr w:type="gramEnd"/>
      <w:r>
        <w:rPr>
          <w:rFonts w:ascii="Calibri" w:eastAsia="Calibri" w:hAnsi="Calibri" w:cs="Calibri"/>
          <w:b/>
          <w:bCs/>
          <w:color w:val="051A3D"/>
          <w:sz w:val="22"/>
          <w:szCs w:val="22"/>
        </w:rPr>
        <w:t xml:space="preserve"> foi praticada, sem anúncio de consequência futura?</w:t>
      </w:r>
      <w:r>
        <w:rPr>
          <w:rFonts w:ascii="Calibri" w:eastAsia="Calibri" w:hAnsi="Calibri" w:cs="Calibri"/>
          <w:color w:val="051A3D"/>
          <w:sz w:val="22"/>
          <w:szCs w:val="22"/>
        </w:rPr>
        <w:t xml:space="preserve"> O critério temporal é o definidor: a violência verbal age no presente; a ameaça projeta-se para o futuro.</w:t>
      </w:r>
    </w:p>
    <w:p w14:paraId="7304EF7E" w14:textId="77777777" w:rsidR="00B10998" w:rsidRDefault="00B10998">
      <w:pPr>
        <w:spacing w:after="120"/>
        <w:jc w:val="both"/>
      </w:pPr>
      <w:r>
        <w:rPr>
          <w:rFonts w:ascii="Calibri" w:eastAsia="Calibri" w:hAnsi="Calibri" w:cs="Calibri"/>
          <w:color w:val="051A3D"/>
          <w:sz w:val="22"/>
          <w:szCs w:val="22"/>
        </w:rPr>
        <w:t>Quando a conduta combina os dois elementos, ofende agora e anuncia o que acontecerá, analise primariamente pelo Eixo 2 (ameaça). A ofensa verbal componente da comunicação é circunstância de agravamento, não causa para redirecionamento ao Eixo 7.</w:t>
      </w:r>
    </w:p>
    <w:p w14:paraId="1F64A2D8" w14:textId="77777777" w:rsidR="00B10998" w:rsidRDefault="00B10998">
      <w:pPr>
        <w:spacing w:after="120"/>
        <w:jc w:val="both"/>
      </w:pPr>
      <w:r>
        <w:rPr>
          <w:rFonts w:ascii="Calibri" w:eastAsia="Calibri" w:hAnsi="Calibri" w:cs="Calibri"/>
          <w:color w:val="051A3D"/>
          <w:sz w:val="22"/>
          <w:szCs w:val="22"/>
        </w:rPr>
        <w:t>O conteúdo que caracteriza a violência verbal deste eixo: vocabulário gravemente ofensivo dirigido à pessoa; atribuição de desonestidade, incompetência extrema ou covardia em formulação que ataca o ser da vítima; humilhação pública que expõe a vítima ao ridículo ou ao constrangimento coletivo; expressões de desprezo ou degradação da pessoa em qualquer formato, verbal, escrito, gestual.</w:t>
      </w:r>
    </w:p>
    <w:p w14:paraId="72C80BDC" w14:textId="77777777" w:rsidR="00B10998" w:rsidRDefault="00B10998">
      <w:pPr>
        <w:pStyle w:val="Ttulo3"/>
        <w:keepNext/>
      </w:pPr>
      <w:r>
        <w:rPr>
          <w:rFonts w:ascii="Calibri" w:eastAsia="Calibri" w:hAnsi="Calibri" w:cs="Calibri"/>
        </w:rPr>
        <w:lastRenderedPageBreak/>
        <w:t>Satisfaz a condição, responda SIM</w:t>
      </w:r>
    </w:p>
    <w:p w14:paraId="7F7BFD7D"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Xingamentos, palavrões ou vocabulário gravemente ofensivo dirigido ao servidor</w:t>
      </w:r>
    </w:p>
    <w:p w14:paraId="52B8AD4E"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Humilhação pública que expõe a vítima a ridículo diante de colegas ou usuários</w:t>
      </w:r>
    </w:p>
    <w:p w14:paraId="11DD5DC9"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Comentários que atacam a integridade moral da pessoa, atribuição de desonestidade, covardia, incapacidade intelectual grave</w:t>
      </w:r>
    </w:p>
    <w:p w14:paraId="74639054"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Expressões de desprezo intenso ou degradação da pessoa, sem conteúdo prospectivo</w:t>
      </w:r>
    </w:p>
    <w:p w14:paraId="2AA4DC14"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Gestos ou expressões não verbais com claro conteúdo humilhante e imediato</w:t>
      </w:r>
    </w:p>
    <w:p w14:paraId="119BC4F5" w14:textId="77777777" w:rsidR="00B10998" w:rsidRDefault="00B10998">
      <w:pPr>
        <w:pStyle w:val="Ttulo3"/>
        <w:keepNext/>
      </w:pPr>
      <w:r>
        <w:rPr>
          <w:rFonts w:ascii="Calibri" w:eastAsia="Calibri" w:hAnsi="Calibri" w:cs="Calibri"/>
        </w:rPr>
        <w:t>Não satisfaz a condição, responda NÃO</w:t>
      </w:r>
    </w:p>
    <w:p w14:paraId="1FDFAEBE"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Comunicação que inclui anúncio de mal futuro, prevalece o Eixo 2</w:t>
      </w:r>
    </w:p>
    <w:p w14:paraId="633F6A4A"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Crítica ao trabalho, por mais intensa e direta que seja, sem ataque à pessoa da vítima</w:t>
      </w:r>
    </w:p>
    <w:p w14:paraId="12DD8CBA"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Avaliação negativa com referência a fatos objetivos, não é violência verbal mesmo que cause sofrimento</w:t>
      </w:r>
    </w:p>
    <w:p w14:paraId="586C6800"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Conduta com conteúdo sexual, verificar P2 antes de responder NÃO nesta pergunta</w:t>
      </w:r>
    </w:p>
    <w:p w14:paraId="51DEBD30" w14:textId="77777777" w:rsidR="00B10998" w:rsidRDefault="00B10998">
      <w:pPr>
        <w:pStyle w:val="Ttulo3"/>
        <w:keepNext/>
      </w:pPr>
      <w:r>
        <w:rPr>
          <w:rFonts w:ascii="Calibri" w:eastAsia="Calibri" w:hAnsi="Calibri" w:cs="Calibri"/>
        </w:rPr>
        <w:t>O que buscar nos autos</w:t>
      </w:r>
    </w:p>
    <w:p w14:paraId="690CB792"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Transcrição literal das expressões utilizadas, o conteúdo exato é o elemento probatório central</w:t>
      </w:r>
    </w:p>
    <w:p w14:paraId="27EB53C7"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Depoimentos de testemunhas sobre o que foi dito, o tom empregado e o contexto</w:t>
      </w:r>
    </w:p>
    <w:p w14:paraId="09F9B6D0"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Registros eletrônicos quando a ofensa foi por escrito: e-mail, mensagem, comunicado</w:t>
      </w:r>
    </w:p>
    <w:p w14:paraId="4BE701E8"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Relato da vítima com identificação precisa das circunstâncias: onde, quando, quem presenciou</w:t>
      </w:r>
    </w:p>
    <w:p w14:paraId="784111E5"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24FE5A21"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73587E9E" w14:textId="77777777" w:rsidR="00B10998" w:rsidRDefault="00B10998">
            <w:pPr>
              <w:jc w:val="both"/>
            </w:pPr>
            <w:r>
              <w:rPr>
                <w:rFonts w:ascii="Calibri" w:eastAsia="Calibri" w:hAnsi="Calibri" w:cs="Calibri"/>
                <w:b/>
                <w:bCs/>
                <w:color w:val="0B2C5F"/>
                <w:sz w:val="20"/>
                <w:szCs w:val="20"/>
              </w:rPr>
              <w:t>Alerta, fronteira com a ameaça:</w:t>
            </w:r>
            <w:r>
              <w:rPr>
                <w:rFonts w:ascii="Calibri" w:eastAsia="Calibri" w:hAnsi="Calibri" w:cs="Calibri"/>
                <w:color w:val="051A3D"/>
                <w:sz w:val="20"/>
                <w:szCs w:val="20"/>
              </w:rPr>
              <w:t xml:space="preserve"> quando a conduta inclui tanto ofensa presente quanto anúncio de consequência futura, não tente dividir a análise entre os dois eixos. Percorra o Eixo 2 e trate a ofensa verbal como agravante na dosimetria. O que é ameaça permanece ameaça mesmo que acompanhado de insulto.</w:t>
            </w:r>
          </w:p>
        </w:tc>
      </w:tr>
    </w:tbl>
    <w:p w14:paraId="4CD458AA" w14:textId="77777777" w:rsidR="00B10998" w:rsidRDefault="00B10998">
      <w:pPr>
        <w:spacing w:before="80"/>
      </w:pPr>
    </w:p>
    <w:p w14:paraId="095A3FD6" w14:textId="77777777" w:rsidR="001D5E73" w:rsidRDefault="001D5E73">
      <w:pPr>
        <w:spacing w:after="120"/>
        <w:jc w:val="both"/>
      </w:pPr>
      <w:r>
        <w:rPr>
          <w:b/>
          <w:bCs/>
        </w:rPr>
        <w:t>Regra de prevalência:</w:t>
      </w:r>
      <w:r>
        <w:t xml:space="preserve"> quando a conduta combina ofensa presente e promessa de consequência futura, encaminhe ao Eixo 2. A ofensa verbal é tratada como circunstância de agravamento na dosimetria, e não como enquadramento autônomo. A mesma regra está enunciada no cap. 12.</w:t>
      </w:r>
    </w:p>
    <w:p w14:paraId="664FB28E"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P2</w:t>
      </w:r>
    </w:p>
    <w:p w14:paraId="1A81EC2C" w14:textId="77777777" w:rsidR="00B10998" w:rsidRDefault="00B10998">
      <w:pPr>
        <w:spacing w:before="80" w:after="60"/>
      </w:pPr>
      <w:r>
        <w:rPr>
          <w:rFonts w:ascii="Calibri" w:eastAsia="Calibri" w:hAnsi="Calibri" w:cs="Calibri"/>
          <w:b/>
          <w:bCs/>
          <w:color w:val="0B2C5F"/>
          <w:sz w:val="22"/>
          <w:szCs w:val="22"/>
        </w:rPr>
        <w:t xml:space="preserve">NÃO, há anúncio de mal futuro → </w:t>
      </w:r>
      <w:r>
        <w:rPr>
          <w:rFonts w:ascii="Calibri" w:eastAsia="Calibri" w:hAnsi="Calibri" w:cs="Calibri"/>
          <w:color w:val="051A3D"/>
          <w:sz w:val="22"/>
          <w:szCs w:val="22"/>
        </w:rPr>
        <w:t>Eixo 2 (Ameaça, NT nº 544/2024)</w:t>
      </w:r>
    </w:p>
    <w:p w14:paraId="054E0DC2" w14:textId="77777777" w:rsidR="00B10998" w:rsidRDefault="00B10998">
      <w:pPr>
        <w:spacing w:before="80" w:after="60"/>
      </w:pPr>
      <w:r>
        <w:rPr>
          <w:rFonts w:ascii="Calibri" w:eastAsia="Calibri" w:hAnsi="Calibri" w:cs="Calibri"/>
          <w:b/>
          <w:bCs/>
          <w:color w:val="0B2C5F"/>
          <w:sz w:val="22"/>
          <w:szCs w:val="22"/>
        </w:rPr>
        <w:t xml:space="preserve">NÃO, conduta com conotação sexual → </w:t>
      </w:r>
      <w:r>
        <w:rPr>
          <w:rFonts w:ascii="Calibri" w:eastAsia="Calibri" w:hAnsi="Calibri" w:cs="Calibri"/>
          <w:color w:val="051A3D"/>
          <w:sz w:val="22"/>
          <w:szCs w:val="22"/>
        </w:rPr>
        <w:t>Eixo 3 (Assédio Sexual, NT nº 3285/2023)</w:t>
      </w:r>
    </w:p>
    <w:p w14:paraId="1E7280AE" w14:textId="77777777" w:rsidR="00B10998" w:rsidRDefault="00B10998">
      <w:pPr>
        <w:pBdr>
          <w:bottom w:val="single" w:sz="4" w:space="1" w:color="C9A35C"/>
        </w:pBdr>
        <w:spacing w:before="200" w:after="200"/>
      </w:pPr>
    </w:p>
    <w:p w14:paraId="29BF4557" w14:textId="77777777" w:rsidR="00B10998" w:rsidRDefault="00B10998">
      <w:pPr>
        <w:pStyle w:val="Ttulo2"/>
        <w:keepNext/>
        <w:pBdr>
          <w:left w:val="single" w:sz="10" w:space="6" w:color="C9A35C"/>
        </w:pBdr>
      </w:pPr>
      <w:bookmarkStart w:id="178" w:name="_Toc238022169"/>
      <w:r>
        <w:t>P2, A ofensa verbal teve conotação sexual?</w:t>
      </w:r>
      <w:bookmarkEnd w:id="178"/>
    </w:p>
    <w:p w14:paraId="29D3E1F0" w14:textId="77777777" w:rsidR="00B10998" w:rsidRDefault="00B10998">
      <w:pPr>
        <w:pStyle w:val="Ttulo3"/>
        <w:keepNext/>
      </w:pPr>
      <w:r>
        <w:rPr>
          <w:rFonts w:ascii="Calibri" w:eastAsia="Calibri" w:hAnsi="Calibri" w:cs="Calibri"/>
        </w:rPr>
        <w:t>O que avaliar</w:t>
      </w:r>
    </w:p>
    <w:p w14:paraId="408F8B08"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a ofensa verbal tem conteúdo sexual objetivamente identificável, comentário sobre o corpo com conotação sexual, vocabulário de cunho sexual, humilhação baseada em características ou comportamentos sexuais?</w:t>
      </w:r>
      <w:r>
        <w:rPr>
          <w:rFonts w:ascii="Calibri" w:eastAsia="Calibri" w:hAnsi="Calibri" w:cs="Calibri"/>
          <w:color w:val="051A3D"/>
          <w:sz w:val="22"/>
          <w:szCs w:val="22"/>
        </w:rPr>
        <w:t xml:space="preserve"> Quando sim, o Eixo 7 redireciona integralmente para o </w:t>
      </w:r>
      <w:r>
        <w:rPr>
          <w:rFonts w:ascii="Calibri" w:eastAsia="Calibri" w:hAnsi="Calibri" w:cs="Calibri"/>
          <w:color w:val="051A3D"/>
          <w:sz w:val="22"/>
          <w:szCs w:val="22"/>
        </w:rPr>
        <w:lastRenderedPageBreak/>
        <w:t>Eixo 3, onde o fluxo especializado da NT nº 3285/2023 é aplicado. A ofensa verbal com conotação sexual é, simultaneamente, ato de conotação sexual, e o tipo mais específico prevalece.</w:t>
      </w:r>
    </w:p>
    <w:p w14:paraId="5DD57963" w14:textId="77777777" w:rsidR="00B10998" w:rsidRDefault="00B10998">
      <w:pPr>
        <w:spacing w:after="120"/>
        <w:jc w:val="both"/>
      </w:pPr>
      <w:r>
        <w:rPr>
          <w:rFonts w:ascii="Calibri" w:eastAsia="Calibri" w:hAnsi="Calibri" w:cs="Calibri"/>
          <w:color w:val="051A3D"/>
          <w:sz w:val="22"/>
          <w:szCs w:val="22"/>
        </w:rPr>
        <w:t>Exemplos que redirecionam para o Eixo 3: comentários sobre a vida sexual da vítima com intenção de humilhação; vocabulário sexual ofensivo dirigido à vítima; humilhação baseada na orientação sexual ou na identidade de gênero com conteúdo sexualizado; piadas de conotação sexual dirigidas especificamente à vítima.</w:t>
      </w:r>
    </w:p>
    <w:p w14:paraId="619EAFBE" w14:textId="77777777" w:rsidR="00B10998" w:rsidRDefault="00B10998">
      <w:pPr>
        <w:pStyle w:val="Ttulo3"/>
        <w:keepNext/>
      </w:pPr>
      <w:r>
        <w:rPr>
          <w:rFonts w:ascii="Calibri" w:eastAsia="Calibri" w:hAnsi="Calibri" w:cs="Calibri"/>
        </w:rPr>
        <w:t>Satisfaz a condição, responda SIM</w:t>
      </w:r>
    </w:p>
    <w:p w14:paraId="1FC8F1A1"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Ofensa que faz referência à vida sexual ou ao corpo da vítima com conteúdo sexual e intenção de humilhar</w:t>
      </w:r>
    </w:p>
    <w:p w14:paraId="7AEA6CA6"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Vocabulário de cunho sexual empregado como instrumento de degradação</w:t>
      </w:r>
    </w:p>
    <w:p w14:paraId="0E57213B"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Humilhação baseada na orientação sexual ou identidade de gênero com conteúdo sexualizado</w:t>
      </w:r>
    </w:p>
    <w:p w14:paraId="3FA290E7" w14:textId="77777777" w:rsidR="00B10998" w:rsidRDefault="00B10998">
      <w:pPr>
        <w:pStyle w:val="Ttulo3"/>
        <w:keepNext/>
      </w:pPr>
      <w:r>
        <w:rPr>
          <w:rFonts w:ascii="Calibri" w:eastAsia="Calibri" w:hAnsi="Calibri" w:cs="Calibri"/>
        </w:rPr>
        <w:t>Não satisfaz a condição, responda NÃO</w:t>
      </w:r>
    </w:p>
    <w:p w14:paraId="5A9DB7CC"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Ofensa sem qualquer referência ou conotação sexual, xingamento genérico, ataque à competência ou integridade</w:t>
      </w:r>
    </w:p>
    <w:p w14:paraId="6FA0EAB1"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Referência à orientação sexual ou identidade de gênero como motivação discriminatória sem conteúdo sexualizado, avalie P3 (discriminação)</w:t>
      </w:r>
    </w:p>
    <w:p w14:paraId="0B58837D" w14:textId="77777777" w:rsidR="00B10998" w:rsidRDefault="00B10998">
      <w:pPr>
        <w:pStyle w:val="Ttulo3"/>
        <w:keepNext/>
      </w:pPr>
      <w:r>
        <w:rPr>
          <w:rFonts w:ascii="Calibri" w:eastAsia="Calibri" w:hAnsi="Calibri" w:cs="Calibri"/>
        </w:rPr>
        <w:t>O que buscar nos autos</w:t>
      </w:r>
    </w:p>
    <w:p w14:paraId="5DB8F733"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Conteúdo exato das expressões: é objetivamente identificável como tendo conotação sexual?</w:t>
      </w:r>
    </w:p>
    <w:p w14:paraId="1BF0407D" w14:textId="77777777" w:rsidR="00B10998" w:rsidRDefault="00B10998">
      <w:pPr>
        <w:spacing w:before="80"/>
      </w:pPr>
    </w:p>
    <w:p w14:paraId="6AE6B088"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Eixo 3 (Assédio Sexual / NT nº 3285/2023), percorrer integralmente o fluxo do Eixo 3</w:t>
      </w:r>
    </w:p>
    <w:p w14:paraId="2F0F494B"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P3</w:t>
      </w:r>
    </w:p>
    <w:p w14:paraId="787B8DB2" w14:textId="77777777" w:rsidR="00B10998" w:rsidRDefault="00B10998">
      <w:pPr>
        <w:pBdr>
          <w:bottom w:val="single" w:sz="4" w:space="1" w:color="C9A35C"/>
        </w:pBdr>
        <w:spacing w:before="200" w:after="200"/>
      </w:pPr>
    </w:p>
    <w:p w14:paraId="36F7E27F" w14:textId="77777777" w:rsidR="00B10998" w:rsidRDefault="00B10998">
      <w:pPr>
        <w:pStyle w:val="Ttulo2"/>
        <w:keepNext/>
        <w:pBdr>
          <w:left w:val="single" w:sz="10" w:space="6" w:color="C9A35C"/>
        </w:pBdr>
      </w:pPr>
      <w:bookmarkStart w:id="179" w:name="_Toc238022170"/>
      <w:r>
        <w:t>P3, A ofensa foi motivada por característica pessoal protegida da vítima?</w:t>
      </w:r>
      <w:bookmarkEnd w:id="179"/>
    </w:p>
    <w:p w14:paraId="5EB8ED4A" w14:textId="77777777" w:rsidR="00B10998" w:rsidRDefault="00B10998">
      <w:pPr>
        <w:pStyle w:val="Ttulo3"/>
        <w:keepNext/>
      </w:pPr>
      <w:r>
        <w:rPr>
          <w:rFonts w:ascii="Calibri" w:eastAsia="Calibri" w:hAnsi="Calibri" w:cs="Calibri"/>
        </w:rPr>
        <w:t>O que avaliar</w:t>
      </w:r>
    </w:p>
    <w:p w14:paraId="777410D6"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a vítima foi ofendida em razão da sua raça, cor, etnia, gênero, identidade de gênero, orientação sexual, religião, deficiência, origem, idade ou outra característica protegida?</w:t>
      </w:r>
      <w:r>
        <w:rPr>
          <w:rFonts w:ascii="Calibri" w:eastAsia="Calibri" w:hAnsi="Calibri" w:cs="Calibri"/>
          <w:color w:val="051A3D"/>
          <w:sz w:val="22"/>
          <w:szCs w:val="22"/>
        </w:rPr>
        <w:t xml:space="preserve"> Quando sim, o Eixo 7 redireciona para o Eixo 4, onde a análise discriminatória especializada é realizada. A ofensa verbal discriminatória, insulto racista, xingamento homofóbico, humilhação por deficiência, é, simultaneamente, conduta discriminatória.</w:t>
      </w:r>
    </w:p>
    <w:p w14:paraId="3AB6E398" w14:textId="77777777" w:rsidR="00B10998" w:rsidRDefault="00B10998">
      <w:pPr>
        <w:spacing w:after="120"/>
        <w:jc w:val="both"/>
      </w:pPr>
      <w:r>
        <w:rPr>
          <w:rFonts w:ascii="Calibri" w:eastAsia="Calibri" w:hAnsi="Calibri" w:cs="Calibri"/>
          <w:color w:val="051A3D"/>
          <w:sz w:val="22"/>
          <w:szCs w:val="22"/>
        </w:rPr>
        <w:t>A motivação discriminatória pode ser explícita (o agressor usa vocabulário que revela claramente o preconceito) ou implícita (o alvo da ofensa, o contexto e o padrão de comportamento do agressor revelam a motivação). Quando a motivação é implícita, aplique o mesmo método comparativo do Eixo 4: outros servidores sem a característica protegida são tratados da mesma forma?</w:t>
      </w:r>
    </w:p>
    <w:p w14:paraId="15460FD2" w14:textId="77777777" w:rsidR="00B10998" w:rsidRDefault="00B10998">
      <w:pPr>
        <w:pStyle w:val="Ttulo3"/>
        <w:keepNext/>
      </w:pPr>
      <w:r>
        <w:rPr>
          <w:rFonts w:ascii="Calibri" w:eastAsia="Calibri" w:hAnsi="Calibri" w:cs="Calibri"/>
        </w:rPr>
        <w:lastRenderedPageBreak/>
        <w:t>Satisfaz a condição, responda SIM</w:t>
      </w:r>
    </w:p>
    <w:p w14:paraId="3BD99759"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Ofensa com vocabulário que revela explicitamente preconceito racial, de gênero, religioso, por orientação sexual ou por deficiência</w:t>
      </w:r>
    </w:p>
    <w:p w14:paraId="259003AE"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Humilhação que faz referência à característica protegida da vítima como objeto ou justificativa da ofensa</w:t>
      </w:r>
    </w:p>
    <w:p w14:paraId="20E9F597"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Padrão de ofensas dirigidas sistematicamente a servidores com a mesma característica protegida</w:t>
      </w:r>
    </w:p>
    <w:p w14:paraId="4A7F715B" w14:textId="77777777" w:rsidR="00B10998" w:rsidRDefault="00B10998">
      <w:pPr>
        <w:pStyle w:val="Ttulo3"/>
        <w:keepNext/>
      </w:pPr>
      <w:r>
        <w:rPr>
          <w:rFonts w:ascii="Calibri" w:eastAsia="Calibri" w:hAnsi="Calibri" w:cs="Calibri"/>
        </w:rPr>
        <w:t>Não satisfaz a condição, responda NÃO</w:t>
      </w:r>
    </w:p>
    <w:p w14:paraId="162C7F30"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Ofensa genérica sem qualquer elemento que vincule a conduta a característica protegida da vítima</w:t>
      </w:r>
    </w:p>
    <w:p w14:paraId="441800B8"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Conflito interpessoal sem motivação discriminatória identificável</w:t>
      </w:r>
    </w:p>
    <w:p w14:paraId="67E07A18" w14:textId="77777777" w:rsidR="00B10998" w:rsidRDefault="00B10998">
      <w:pPr>
        <w:pStyle w:val="Ttulo3"/>
        <w:keepNext/>
      </w:pPr>
      <w:r>
        <w:rPr>
          <w:rFonts w:ascii="Calibri" w:eastAsia="Calibri" w:hAnsi="Calibri" w:cs="Calibri"/>
        </w:rPr>
        <w:t>O que buscar nos autos</w:t>
      </w:r>
    </w:p>
    <w:p w14:paraId="29B8D019"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Conteúdo das expressões: fazem referência à característica protegida?</w:t>
      </w:r>
    </w:p>
    <w:p w14:paraId="32141FB5"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Depoimentos de testemunhas sobre o contexto e o padrão de comportamento do agressor em relação a outros servidores com a mesma característica</w:t>
      </w:r>
    </w:p>
    <w:p w14:paraId="49112750"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Histórico de relacionamento do agressor com a vítima e com outros membros de eventuais grupos protegidos na equipe</w:t>
      </w:r>
    </w:p>
    <w:p w14:paraId="321E099F" w14:textId="77777777" w:rsidR="00B10998" w:rsidRDefault="00B10998">
      <w:pPr>
        <w:spacing w:before="80"/>
      </w:pPr>
    </w:p>
    <w:p w14:paraId="4563DF45"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Eixo 4 (Discriminação / NT nº 93/2024), percorrer integralmente o fluxo do Eixo 4</w:t>
      </w:r>
    </w:p>
    <w:p w14:paraId="237930FC"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P4</w:t>
      </w:r>
    </w:p>
    <w:p w14:paraId="7B5901FE" w14:textId="77777777" w:rsidR="00B10998" w:rsidRDefault="00B10998">
      <w:pPr>
        <w:pBdr>
          <w:bottom w:val="single" w:sz="4" w:space="1" w:color="C9A35C"/>
        </w:pBdr>
        <w:spacing w:before="200" w:after="200"/>
      </w:pPr>
    </w:p>
    <w:p w14:paraId="20AE744C" w14:textId="77777777" w:rsidR="00B10998" w:rsidRDefault="00B10998">
      <w:pPr>
        <w:pStyle w:val="Ttulo2"/>
        <w:keepNext/>
        <w:pBdr>
          <w:left w:val="single" w:sz="10" w:space="6" w:color="C9A35C"/>
        </w:pBdr>
      </w:pPr>
      <w:bookmarkStart w:id="180" w:name="_Toc238022171"/>
      <w:r>
        <w:t>P4, A ofensa foi pública e de elevada gravidade?</w:t>
      </w:r>
      <w:bookmarkEnd w:id="180"/>
    </w:p>
    <w:p w14:paraId="5FB0475F" w14:textId="77777777" w:rsidR="00B10998" w:rsidRDefault="00B10998">
      <w:pPr>
        <w:pStyle w:val="Ttulo3"/>
        <w:keepNext/>
      </w:pPr>
      <w:r>
        <w:rPr>
          <w:rFonts w:ascii="Calibri" w:eastAsia="Calibri" w:hAnsi="Calibri" w:cs="Calibri"/>
        </w:rPr>
        <w:t>O que avaliar</w:t>
      </w:r>
    </w:p>
    <w:p w14:paraId="08AEF775"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a ofensa foi praticada diante de outras pessoas além da vítima, e o conteúdo é suficientemente grave para causar escândalo?</w:t>
      </w:r>
      <w:r>
        <w:rPr>
          <w:rFonts w:ascii="Calibri" w:eastAsia="Calibri" w:hAnsi="Calibri" w:cs="Calibri"/>
          <w:color w:val="051A3D"/>
          <w:sz w:val="22"/>
          <w:szCs w:val="22"/>
        </w:rPr>
        <w:t xml:space="preserve"> A publicidade e a gravidade são os dois qualificadores que elevam o enquadramento do art. 116, XI (falta de urbanidade, advertência) para o patamar demissório. </w:t>
      </w:r>
      <w:r>
        <w:rPr>
          <w:rFonts w:ascii="Calibri" w:eastAsia="Calibri" w:hAnsi="Calibri" w:cs="Calibri"/>
          <w:b/>
          <w:bCs/>
          <w:color w:val="051A3D"/>
          <w:sz w:val="22"/>
          <w:szCs w:val="22"/>
        </w:rPr>
        <w:t>Os dois qualificadores precisam estar presentes simultaneamente:</w:t>
      </w:r>
      <w:r>
        <w:rPr>
          <w:rFonts w:ascii="Calibri" w:eastAsia="Calibri" w:hAnsi="Calibri" w:cs="Calibri"/>
          <w:color w:val="051A3D"/>
          <w:sz w:val="22"/>
          <w:szCs w:val="22"/>
        </w:rPr>
        <w:t xml:space="preserve"> a ofensa privada grave não satisfaz; a ofensa pública de baixa intensidade também não.</w:t>
      </w:r>
    </w:p>
    <w:p w14:paraId="3B580537" w14:textId="77777777" w:rsidR="00B10998" w:rsidRDefault="00B10998">
      <w:pPr>
        <w:spacing w:after="120"/>
        <w:jc w:val="both"/>
      </w:pPr>
      <w:r>
        <w:rPr>
          <w:rFonts w:ascii="Calibri" w:eastAsia="Calibri" w:hAnsi="Calibri" w:cs="Calibri"/>
          <w:b/>
          <w:bCs/>
          <w:color w:val="051A3D"/>
          <w:sz w:val="22"/>
          <w:szCs w:val="22"/>
        </w:rPr>
        <w:t>Publicidade:</w:t>
      </w:r>
      <w:r>
        <w:rPr>
          <w:rFonts w:ascii="Calibri" w:eastAsia="Calibri" w:hAnsi="Calibri" w:cs="Calibri"/>
          <w:color w:val="051A3D"/>
          <w:sz w:val="22"/>
          <w:szCs w:val="22"/>
        </w:rPr>
        <w:t xml:space="preserve"> a ofensa é pública quando proferida em reunião de equipe, independentemente do número de participantes, no ambiente físico comum com presença de outros servidores, em comunicação institucional com múltiplos destinatários (e-mail para lista, mensagem em grupo de trabalho), ou em evento externo em que o servidor representa a instituição. A publicidade não exige plateia numerosa: três testemunhas são suficientes para que a ofensa tenha dimensão pública e produza efeito sobre o ambiente coletivo.</w:t>
      </w:r>
    </w:p>
    <w:p w14:paraId="3ACCF449" w14:textId="77777777" w:rsidR="00B10998" w:rsidRDefault="00B10998">
      <w:pPr>
        <w:spacing w:after="120"/>
        <w:jc w:val="both"/>
      </w:pPr>
      <w:r>
        <w:rPr>
          <w:rFonts w:ascii="Calibri" w:eastAsia="Calibri" w:hAnsi="Calibri" w:cs="Calibri"/>
          <w:b/>
          <w:bCs/>
          <w:color w:val="051A3D"/>
          <w:sz w:val="22"/>
          <w:szCs w:val="22"/>
        </w:rPr>
        <w:t>Gravidade:</w:t>
      </w:r>
      <w:r>
        <w:rPr>
          <w:rFonts w:ascii="Calibri" w:eastAsia="Calibri" w:hAnsi="Calibri" w:cs="Calibri"/>
          <w:color w:val="051A3D"/>
          <w:sz w:val="22"/>
          <w:szCs w:val="22"/>
        </w:rPr>
        <w:t xml:space="preserve"> avalie objetivamente pelo conteúdo das expressões, pelo contexto e pelo impacto razoavelmente esperável. Circunstâncias que elevam a gravidade: conteúdo que ataca a integridade moral da pessoa, atribuição de desonestidade, covardia, incapacidade grave; vocabulário de alta </w:t>
      </w:r>
      <w:r>
        <w:rPr>
          <w:rFonts w:ascii="Calibri" w:eastAsia="Calibri" w:hAnsi="Calibri" w:cs="Calibri"/>
          <w:color w:val="051A3D"/>
          <w:sz w:val="22"/>
          <w:szCs w:val="22"/>
        </w:rPr>
        <w:lastRenderedPageBreak/>
        <w:t>reprovabilidade objetiva; impacto documentado na vítima (laudo, afastamento, relato contemporâneo); reiteração, ainda que cada episódio isolado possa parecer de menor intensidade; contexto de assimetria hierárquica que amplifica o efeito da ofensa.</w:t>
      </w:r>
    </w:p>
    <w:p w14:paraId="63C45E2C" w14:textId="77777777" w:rsidR="00B10998" w:rsidRDefault="00B10998">
      <w:pPr>
        <w:pStyle w:val="Ttulo3"/>
        <w:keepNext/>
      </w:pPr>
      <w:r>
        <w:rPr>
          <w:rFonts w:ascii="Calibri" w:eastAsia="Calibri" w:hAnsi="Calibri" w:cs="Calibri"/>
        </w:rPr>
        <w:t>Satisfaz ambas as condições, responda SIM</w:t>
      </w:r>
    </w:p>
    <w:p w14:paraId="7F5DAD06"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Ofensa proferida em reunião de equipe com colegas presentes, com conteúdo gravemente ofensivo à dignidade pessoal da vítima</w:t>
      </w:r>
    </w:p>
    <w:p w14:paraId="47C3C6BA"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Humilhação pública em comunicação eletrônica coletiva com vocabulário de alta reprovabilidade</w:t>
      </w:r>
    </w:p>
    <w:p w14:paraId="3CAB97AD"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Xingamento proferido no ambiente comum da repartição, presenciado por colegas, com conteúdo que vai além da rudeza para atingir a integridade da pessoa</w:t>
      </w:r>
    </w:p>
    <w:p w14:paraId="1DE693FA"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Impacto documentado na vítima reforça a avaliação de gravidade elevada mesmo quando o conteúdo isolado poderia ser classificado como moderado</w:t>
      </w:r>
    </w:p>
    <w:p w14:paraId="31C7A647" w14:textId="77777777" w:rsidR="00B10998" w:rsidRDefault="00B10998">
      <w:pPr>
        <w:pStyle w:val="Ttulo3"/>
        <w:keepNext/>
      </w:pPr>
      <w:r>
        <w:rPr>
          <w:rFonts w:ascii="Calibri" w:eastAsia="Calibri" w:hAnsi="Calibri" w:cs="Calibri"/>
        </w:rPr>
        <w:t>Não satisfaz, responda NÃO (ao menos uma condição ausente)</w:t>
      </w:r>
    </w:p>
    <w:p w14:paraId="5342BE12"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 xml:space="preserve">Ofensa </w:t>
      </w:r>
      <w:proofErr w:type="gramStart"/>
      <w:r>
        <w:rPr>
          <w:rFonts w:ascii="Calibri" w:eastAsia="Calibri" w:hAnsi="Calibri" w:cs="Calibri"/>
          <w:color w:val="051A3D"/>
          <w:sz w:val="22"/>
          <w:szCs w:val="22"/>
        </w:rPr>
        <w:t>grave</w:t>
      </w:r>
      <w:proofErr w:type="gramEnd"/>
      <w:r>
        <w:rPr>
          <w:rFonts w:ascii="Calibri" w:eastAsia="Calibri" w:hAnsi="Calibri" w:cs="Calibri"/>
          <w:color w:val="051A3D"/>
          <w:sz w:val="22"/>
          <w:szCs w:val="22"/>
        </w:rPr>
        <w:t xml:space="preserve"> mas privada, proferida a sós com a vítima sem testemunhas, ausente a publicidade</w:t>
      </w:r>
    </w:p>
    <w:p w14:paraId="42828EEE"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 xml:space="preserve">Ofensa </w:t>
      </w:r>
      <w:proofErr w:type="gramStart"/>
      <w:r>
        <w:rPr>
          <w:rFonts w:ascii="Calibri" w:eastAsia="Calibri" w:hAnsi="Calibri" w:cs="Calibri"/>
          <w:color w:val="051A3D"/>
          <w:sz w:val="22"/>
          <w:szCs w:val="22"/>
        </w:rPr>
        <w:t>pública</w:t>
      </w:r>
      <w:proofErr w:type="gramEnd"/>
      <w:r>
        <w:rPr>
          <w:rFonts w:ascii="Calibri" w:eastAsia="Calibri" w:hAnsi="Calibri" w:cs="Calibri"/>
          <w:color w:val="051A3D"/>
          <w:sz w:val="22"/>
          <w:szCs w:val="22"/>
        </w:rPr>
        <w:t xml:space="preserve"> mas de baixa intensidade, rispidez ou grosseria que não atinge o limiar do escandaloso</w:t>
      </w:r>
    </w:p>
    <w:p w14:paraId="25B22ADC"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 xml:space="preserve">Episódio </w:t>
      </w:r>
      <w:proofErr w:type="gramStart"/>
      <w:r>
        <w:rPr>
          <w:rFonts w:ascii="Calibri" w:eastAsia="Calibri" w:hAnsi="Calibri" w:cs="Calibri"/>
          <w:color w:val="051A3D"/>
          <w:sz w:val="22"/>
          <w:szCs w:val="22"/>
        </w:rPr>
        <w:t>desagradável</w:t>
      </w:r>
      <w:proofErr w:type="gramEnd"/>
      <w:r>
        <w:rPr>
          <w:rFonts w:ascii="Calibri" w:eastAsia="Calibri" w:hAnsi="Calibri" w:cs="Calibri"/>
          <w:color w:val="051A3D"/>
          <w:sz w:val="22"/>
          <w:szCs w:val="22"/>
        </w:rPr>
        <w:t xml:space="preserve"> mas que, avaliado objetivamente, permanece no âmbito da falta de urbanidade</w:t>
      </w:r>
    </w:p>
    <w:p w14:paraId="3F231110" w14:textId="77777777" w:rsidR="00B10998" w:rsidRDefault="00B10998">
      <w:pPr>
        <w:pStyle w:val="Ttulo3"/>
        <w:keepNext/>
      </w:pPr>
      <w:r>
        <w:rPr>
          <w:rFonts w:ascii="Calibri" w:eastAsia="Calibri" w:hAnsi="Calibri" w:cs="Calibri"/>
        </w:rPr>
        <w:t>O que buscar nos autos</w:t>
      </w:r>
    </w:p>
    <w:p w14:paraId="3F52762B"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Depoimentos de testemunhas sobre o que presenciaram: o que foi dito, o tom, o contexto, o número de presentes</w:t>
      </w:r>
    </w:p>
    <w:p w14:paraId="598C23EA"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Conteúdo exato das expressões, avaliado objetivamente, não pela percepção do agressor ('foi brincadeira') nem pela reação específica da vítima</w:t>
      </w:r>
    </w:p>
    <w:p w14:paraId="704AAF1B"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Laudo, atestado ou relato contemporâneo que demonstre impacto sobre a vítima</w:t>
      </w:r>
    </w:p>
    <w:p w14:paraId="7C2C9C9C"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Registro do contexto: reunião formal, ambiente coletivo, comunicação institucional</w:t>
      </w:r>
    </w:p>
    <w:p w14:paraId="56810BF9"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577EF1EE"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2FB540AD" w14:textId="77777777" w:rsidR="00B10998" w:rsidRDefault="00B10998">
            <w:pPr>
              <w:jc w:val="both"/>
            </w:pPr>
            <w:r>
              <w:rPr>
                <w:rFonts w:ascii="Calibri" w:eastAsia="Calibri" w:hAnsi="Calibri" w:cs="Calibri"/>
                <w:b/>
                <w:bCs/>
                <w:color w:val="0B2C5F"/>
                <w:sz w:val="20"/>
                <w:szCs w:val="20"/>
              </w:rPr>
              <w:t>Alerta, a publicidade não exige numeroso auditório:</w:t>
            </w:r>
            <w:r>
              <w:rPr>
                <w:rFonts w:ascii="Calibri" w:eastAsia="Calibri" w:hAnsi="Calibri" w:cs="Calibri"/>
                <w:color w:val="051A3D"/>
                <w:sz w:val="20"/>
                <w:szCs w:val="20"/>
              </w:rPr>
              <w:t xml:space="preserve"> a ofensa praticada em reunião com quatro colegas presentes é pública, tanto quanto a proferida em assembleia. O que importa é que a ofensa saiu da esfera privada entre agressor e vítima para o espaço coletivo do trabalho.</w:t>
            </w:r>
          </w:p>
        </w:tc>
      </w:tr>
    </w:tbl>
    <w:p w14:paraId="3C14236F"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7A5F14DE"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6BA02958" w14:textId="77777777" w:rsidR="00B10998" w:rsidRDefault="00B10998">
            <w:pPr>
              <w:jc w:val="both"/>
            </w:pPr>
            <w:r>
              <w:rPr>
                <w:rFonts w:ascii="Calibri" w:eastAsia="Calibri" w:hAnsi="Calibri" w:cs="Calibri"/>
                <w:b/>
                <w:bCs/>
                <w:color w:val="0B2C5F"/>
                <w:sz w:val="20"/>
                <w:szCs w:val="20"/>
              </w:rPr>
              <w:t>Alerta, a justificativa 'foi brincadeira' não afasta a gravidade:</w:t>
            </w:r>
            <w:r>
              <w:rPr>
                <w:rFonts w:ascii="Calibri" w:eastAsia="Calibri" w:hAnsi="Calibri" w:cs="Calibri"/>
                <w:color w:val="051A3D"/>
                <w:sz w:val="20"/>
                <w:szCs w:val="20"/>
              </w:rPr>
              <w:t xml:space="preserve"> o padrão de avaliação da gravidade é objetivo, pelo conteúdo da ofensa e pelo impacto razoavelmente esperável, não pela intenção declarada do agressor.</w:t>
            </w:r>
          </w:p>
        </w:tc>
      </w:tr>
    </w:tbl>
    <w:p w14:paraId="2CB08B40" w14:textId="77777777" w:rsidR="00B10998" w:rsidRDefault="00B10998">
      <w:pPr>
        <w:spacing w:before="80"/>
      </w:pPr>
    </w:p>
    <w:p w14:paraId="0BDAE0CF"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P5</w:t>
      </w:r>
    </w:p>
    <w:p w14:paraId="66EF0E68"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Resultado A, falta de urbanidade, art. 116, XI, advertência</w:t>
      </w:r>
    </w:p>
    <w:p w14:paraId="7C08A83C" w14:textId="77777777" w:rsidR="00B10998" w:rsidRDefault="00B10998">
      <w:pPr>
        <w:pBdr>
          <w:bottom w:val="single" w:sz="4" w:space="1" w:color="C9A35C"/>
        </w:pBdr>
        <w:spacing w:before="200" w:after="200"/>
      </w:pPr>
    </w:p>
    <w:p w14:paraId="732AFAAF" w14:textId="77777777" w:rsidR="00B10998" w:rsidRDefault="00B10998">
      <w:pPr>
        <w:pStyle w:val="Ttulo2"/>
        <w:keepNext/>
        <w:pBdr>
          <w:left w:val="single" w:sz="10" w:space="6" w:color="C9A35C"/>
        </w:pBdr>
      </w:pPr>
      <w:bookmarkStart w:id="181" w:name="_Toc233913004_c208"/>
      <w:bookmarkStart w:id="182" w:name="_Toc238022172"/>
      <w:r>
        <w:lastRenderedPageBreak/>
        <w:t>P5, O conteúdo da ofensa foi objetivamente degradante, aferido pelo padrão do observador razoável?</w:t>
      </w:r>
      <w:bookmarkEnd w:id="181"/>
      <w:bookmarkEnd w:id="182"/>
    </w:p>
    <w:p w14:paraId="52DFF333" w14:textId="77777777" w:rsidR="00B10998" w:rsidRDefault="00B10998">
      <w:pPr>
        <w:pStyle w:val="Ttulo3"/>
        <w:keepNext/>
      </w:pPr>
      <w:r>
        <w:rPr>
          <w:rFonts w:ascii="Calibri" w:eastAsia="Calibri" w:hAnsi="Calibri" w:cs="Calibri"/>
        </w:rPr>
        <w:t>O que avaliar</w:t>
      </w:r>
    </w:p>
    <w:p w14:paraId="7481CD75"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o conteúdo das expressões empregadas, em si mesmo, atinge a dignidade da pessoa, ou apenas exprime hostilidade, grosseria ou descontrole?</w:t>
      </w:r>
      <w:r>
        <w:rPr>
          <w:rFonts w:ascii="Calibri" w:eastAsia="Calibri" w:hAnsi="Calibri" w:cs="Calibri"/>
          <w:color w:val="051A3D"/>
          <w:sz w:val="22"/>
          <w:szCs w:val="22"/>
        </w:rPr>
        <w:t xml:space="preserve"> A via demissória do Eixo 7 exige dois requisitos cumulativos além da publicidade e da gravidade aferidas em P4. Este é o primeiro deles.</w:t>
      </w:r>
    </w:p>
    <w:p w14:paraId="32B3EADB" w14:textId="77777777" w:rsidR="00B10998" w:rsidRDefault="00B10998">
      <w:pPr>
        <w:spacing w:after="120"/>
        <w:jc w:val="both"/>
      </w:pPr>
      <w:r>
        <w:rPr>
          <w:rFonts w:ascii="Calibri" w:eastAsia="Calibri" w:hAnsi="Calibri" w:cs="Calibri"/>
          <w:b/>
          <w:bCs/>
          <w:color w:val="051A3D"/>
          <w:sz w:val="22"/>
          <w:szCs w:val="22"/>
        </w:rPr>
        <w:t>O parâmetro é o do observador razoável, e não a percepção subjetiva da vítima nem a intenção declarada do agressor. A pergunta que a comissão deve responder é se um terceiro, colocado diante do conteúdo exato das expressões e do contexto em que foram proferidas, reconheceria nelas ataque à dignidade da pessoa.</w:t>
      </w:r>
    </w:p>
    <w:p w14:paraId="3B459605" w14:textId="77777777" w:rsidR="00B10998" w:rsidRDefault="00B10998">
      <w:pPr>
        <w:spacing w:after="120"/>
        <w:jc w:val="both"/>
      </w:pPr>
      <w:r>
        <w:rPr>
          <w:rFonts w:ascii="Calibri" w:eastAsia="Calibri" w:hAnsi="Calibri" w:cs="Calibri"/>
          <w:color w:val="051A3D"/>
          <w:sz w:val="22"/>
          <w:szCs w:val="22"/>
        </w:rPr>
        <w:t xml:space="preserve">A distinção prática mais relevante é entre a expressão que </w:t>
      </w:r>
      <w:r>
        <w:rPr>
          <w:rFonts w:ascii="Calibri" w:eastAsia="Calibri" w:hAnsi="Calibri" w:cs="Calibri"/>
          <w:b/>
          <w:bCs/>
          <w:color w:val="051A3D"/>
          <w:sz w:val="22"/>
          <w:szCs w:val="22"/>
        </w:rPr>
        <w:t>agride</w:t>
      </w:r>
      <w:r>
        <w:rPr>
          <w:rFonts w:ascii="Calibri" w:eastAsia="Calibri" w:hAnsi="Calibri" w:cs="Calibri"/>
          <w:color w:val="051A3D"/>
          <w:sz w:val="22"/>
          <w:szCs w:val="22"/>
        </w:rPr>
        <w:t xml:space="preserve"> e a expressão que </w:t>
      </w:r>
      <w:r>
        <w:rPr>
          <w:rFonts w:ascii="Calibri" w:eastAsia="Calibri" w:hAnsi="Calibri" w:cs="Calibri"/>
          <w:b/>
          <w:bCs/>
          <w:color w:val="051A3D"/>
          <w:sz w:val="22"/>
          <w:szCs w:val="22"/>
        </w:rPr>
        <w:t>degrada</w:t>
      </w:r>
      <w:r>
        <w:rPr>
          <w:rFonts w:ascii="Calibri" w:eastAsia="Calibri" w:hAnsi="Calibri" w:cs="Calibri"/>
          <w:color w:val="051A3D"/>
          <w:sz w:val="22"/>
          <w:szCs w:val="22"/>
        </w:rPr>
        <w:t>. Xingamento genérico proferido em momento de descontrole agride. Expressão que atinge a pessoa em atributo de sua identidade, condição ou intimidade, ou que a reduz publicamente à condição de objeto de escárnio, degrada. Apenas a segunda satisfaz este requisito.</w:t>
      </w:r>
    </w:p>
    <w:p w14:paraId="77991C13" w14:textId="77777777" w:rsidR="00B10998" w:rsidRDefault="00B10998">
      <w:pPr>
        <w:pStyle w:val="Ttulo3"/>
        <w:keepNext/>
      </w:pPr>
      <w:r>
        <w:rPr>
          <w:rFonts w:ascii="Calibri" w:eastAsia="Calibri" w:hAnsi="Calibri" w:cs="Calibri"/>
        </w:rPr>
        <w:t>Satisfaz a condição, responda SIM</w:t>
      </w:r>
    </w:p>
    <w:p w14:paraId="47D6F213"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Expressões que atacam atributo de identidade, condição pessoal, aparência, origem ou intimidade da vítima</w:t>
      </w:r>
    </w:p>
    <w:p w14:paraId="1C118F68"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Exposição pública de fragilidade, limitação, erro ou circunstância pessoal da vítima com finalidade de escárnio</w:t>
      </w:r>
    </w:p>
    <w:p w14:paraId="68B74DB7"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Vocabulário que reduz a vítima à condição de incapaz, imprestável ou indigna da função, dirigido à pessoa e não ao trabalho</w:t>
      </w:r>
    </w:p>
    <w:p w14:paraId="5B2D4384"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Ofensa proferida diante de subordinados da própria vítima, com efeito de desautorização pessoal</w:t>
      </w:r>
    </w:p>
    <w:p w14:paraId="7283F737" w14:textId="77777777" w:rsidR="00B10998" w:rsidRDefault="00B10998">
      <w:pPr>
        <w:pStyle w:val="Ttulo3"/>
        <w:keepNext/>
      </w:pPr>
      <w:r>
        <w:rPr>
          <w:rFonts w:ascii="Calibri" w:eastAsia="Calibri" w:hAnsi="Calibri" w:cs="Calibri"/>
        </w:rPr>
        <w:t>Não satisfaz a condição, responda NÃO</w:t>
      </w:r>
    </w:p>
    <w:p w14:paraId="4BAFF822"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Palavrão ou expressão grosseira proferida em momento de descontrole, sem direção a atributo pessoal da vítima</w:t>
      </w:r>
    </w:p>
    <w:p w14:paraId="38CF13A2"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Crítica dura ao trabalho entregue, ainda que em tom elevado e diante de terceiros</w:t>
      </w:r>
    </w:p>
    <w:p w14:paraId="7B30FB2D"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Expressão de irritação genérica, não individualizada</w:t>
      </w:r>
    </w:p>
    <w:p w14:paraId="2120D892"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Discussão acalorada com troca recíproca de grosserias sem conteúdo degradante</w:t>
      </w:r>
    </w:p>
    <w:p w14:paraId="0421302F" w14:textId="77777777" w:rsidR="00B10998" w:rsidRDefault="00B10998">
      <w:pPr>
        <w:pStyle w:val="Ttulo3"/>
        <w:keepNext/>
      </w:pPr>
      <w:r>
        <w:rPr>
          <w:rFonts w:ascii="Calibri" w:eastAsia="Calibri" w:hAnsi="Calibri" w:cs="Calibri"/>
        </w:rPr>
        <w:t>O que buscar nos autos</w:t>
      </w:r>
    </w:p>
    <w:p w14:paraId="08423812"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Transcrição literal das expressões, palavra por palavra, elemento indispensável; a descrição indireta pelo depoente não substitui a transcrição</w:t>
      </w:r>
    </w:p>
    <w:p w14:paraId="6F6DB878"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Contexto imediato, a quem a fala foi dirigida, quem estava presente, qual a relação funcional entre os presentes</w:t>
      </w:r>
    </w:p>
    <w:p w14:paraId="5F4ABAB2"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Registros eletrônicos, quando a ofensa foi escrita</w:t>
      </w:r>
    </w:p>
    <w:p w14:paraId="50E9161B" w14:textId="77777777" w:rsidR="00B10998" w:rsidRDefault="00B10998">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7861CAA8"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1901E2AD" w14:textId="77777777" w:rsidR="00B10998" w:rsidRDefault="00B10998">
            <w:pPr>
              <w:jc w:val="both"/>
            </w:pPr>
            <w:r>
              <w:rPr>
                <w:rFonts w:ascii="Calibri" w:eastAsia="Calibri" w:hAnsi="Calibri" w:cs="Calibri"/>
                <w:b/>
                <w:bCs/>
                <w:color w:val="0B2C5F"/>
                <w:sz w:val="20"/>
                <w:szCs w:val="20"/>
              </w:rPr>
              <w:lastRenderedPageBreak/>
              <w:t>Alerta, o critério é o conteúdo, não a reação:</w:t>
            </w:r>
            <w:r>
              <w:rPr>
                <w:rFonts w:ascii="Calibri" w:eastAsia="Calibri" w:hAnsi="Calibri" w:cs="Calibri"/>
                <w:color w:val="051A3D"/>
                <w:sz w:val="20"/>
                <w:szCs w:val="20"/>
              </w:rPr>
              <w:t xml:space="preserve"> o choro, o afastamento ou o adoecimento da vítima são elementos de repercussão, examinados em P6. Aqui, avalia-se exclusivamente o conteúdo das expressões. Não antecipe a análise de P6 nesta pergunta, nem a substitua por ela.</w:t>
            </w:r>
          </w:p>
        </w:tc>
      </w:tr>
    </w:tbl>
    <w:p w14:paraId="5AA877A1" w14:textId="77777777" w:rsidR="00B10998" w:rsidRDefault="00B10998">
      <w:pPr>
        <w:spacing w:after="120"/>
        <w:jc w:val="both"/>
      </w:pPr>
    </w:p>
    <w:p w14:paraId="0C024B36"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P6</w:t>
      </w:r>
    </w:p>
    <w:p w14:paraId="4F0C036C" w14:textId="77777777" w:rsidR="00B10998" w:rsidRDefault="00B10998">
      <w:pPr>
        <w:spacing w:before="80" w:after="60"/>
      </w:pPr>
      <w:r>
        <w:rPr>
          <w:rFonts w:ascii="Calibri" w:eastAsia="Calibri" w:hAnsi="Calibri" w:cs="Calibri"/>
          <w:b/>
          <w:bCs/>
          <w:color w:val="1F7A4C"/>
          <w:sz w:val="22"/>
          <w:szCs w:val="22"/>
        </w:rPr>
        <w:t xml:space="preserve">NÃO → </w:t>
      </w:r>
      <w:r>
        <w:rPr>
          <w:rFonts w:ascii="Calibri" w:eastAsia="Calibri" w:hAnsi="Calibri" w:cs="Calibri"/>
          <w:color w:val="051A3D"/>
          <w:sz w:val="22"/>
          <w:szCs w:val="22"/>
        </w:rPr>
        <w:t>Resultado D, ofensa verbal pública, conduta imprópria de grau moderado, art. 116, IX</w:t>
      </w:r>
    </w:p>
    <w:p w14:paraId="1AEC37E7" w14:textId="77777777" w:rsidR="00B10998" w:rsidRDefault="00B10998">
      <w:pPr>
        <w:spacing w:after="120"/>
        <w:jc w:val="both"/>
      </w:pPr>
    </w:p>
    <w:p w14:paraId="73296172" w14:textId="77777777" w:rsidR="00B10998" w:rsidRDefault="00B10998">
      <w:pPr>
        <w:pStyle w:val="Ttulo2"/>
        <w:keepNext/>
        <w:pBdr>
          <w:left w:val="single" w:sz="10" w:space="6" w:color="C9A35C"/>
        </w:pBdr>
      </w:pPr>
      <w:bookmarkStart w:id="183" w:name="_Toc233913004_c209"/>
      <w:bookmarkStart w:id="184" w:name="_Toc238022173"/>
      <w:r>
        <w:t xml:space="preserve">P6, </w:t>
      </w:r>
      <w:proofErr w:type="gramStart"/>
      <w:r>
        <w:t>Há</w:t>
      </w:r>
      <w:proofErr w:type="gramEnd"/>
      <w:r>
        <w:t xml:space="preserve"> repercussão documentada nos autos, além do mínimo de publicidade já verificado em P4?</w:t>
      </w:r>
      <w:bookmarkEnd w:id="183"/>
      <w:bookmarkEnd w:id="184"/>
    </w:p>
    <w:p w14:paraId="158C4C07" w14:textId="77777777" w:rsidR="00B10998" w:rsidRDefault="00B10998">
      <w:pPr>
        <w:pStyle w:val="Ttulo3"/>
        <w:keepNext/>
      </w:pPr>
      <w:r>
        <w:rPr>
          <w:rFonts w:ascii="Calibri" w:eastAsia="Calibri" w:hAnsi="Calibri" w:cs="Calibri"/>
        </w:rPr>
        <w:t>O que avaliar</w:t>
      </w:r>
    </w:p>
    <w:p w14:paraId="424D5487"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os autos demonstram efeitos concretos da ofensa, distintos do simples fato de ela ter sido presenciada por terceiros?</w:t>
      </w:r>
      <w:r>
        <w:rPr>
          <w:rFonts w:ascii="Calibri" w:eastAsia="Calibri" w:hAnsi="Calibri" w:cs="Calibri"/>
          <w:color w:val="051A3D"/>
          <w:sz w:val="22"/>
          <w:szCs w:val="22"/>
        </w:rPr>
        <w:t xml:space="preserve"> Este é o segundo requisito cumulativo da via demissória.</w:t>
      </w:r>
    </w:p>
    <w:p w14:paraId="2BB08A6C" w14:textId="77777777" w:rsidR="00B10998" w:rsidRDefault="00B10998">
      <w:pPr>
        <w:spacing w:after="120"/>
        <w:jc w:val="both"/>
      </w:pPr>
      <w:r>
        <w:rPr>
          <w:rFonts w:ascii="Calibri" w:eastAsia="Calibri" w:hAnsi="Calibri" w:cs="Calibri"/>
          <w:color w:val="051A3D"/>
          <w:sz w:val="22"/>
          <w:szCs w:val="22"/>
        </w:rPr>
        <w:t xml:space="preserve">A distinção entre publicidade e repercussão é o ponto de maior risco de erro do eixo, e a orientação é expressa: </w:t>
      </w:r>
      <w:r>
        <w:rPr>
          <w:rFonts w:ascii="Calibri" w:eastAsia="Calibri" w:hAnsi="Calibri" w:cs="Calibri"/>
          <w:b/>
          <w:bCs/>
          <w:color w:val="051A3D"/>
          <w:sz w:val="22"/>
          <w:szCs w:val="22"/>
        </w:rPr>
        <w:t>a mesma prova não pode servir simultaneamente aos dois requisitos.</w:t>
      </w:r>
      <w:r>
        <w:rPr>
          <w:rFonts w:ascii="Calibri" w:eastAsia="Calibri" w:hAnsi="Calibri" w:cs="Calibri"/>
          <w:color w:val="051A3D"/>
          <w:sz w:val="22"/>
          <w:szCs w:val="22"/>
        </w:rPr>
        <w:t xml:space="preserve"> A presença de testemunhas demonstra a dimensão pública da ofensa e foi aferida em P4. A repercussão é outra coisa: são os efeitos que a ofensa produziu sobre a vítima, sobre a equipe ou sobre o funcionamento da unidade.</w:t>
      </w:r>
    </w:p>
    <w:p w14:paraId="2EBB20BC" w14:textId="77777777" w:rsidR="00B10998" w:rsidRDefault="00B10998">
      <w:pPr>
        <w:spacing w:after="120"/>
        <w:jc w:val="both"/>
      </w:pPr>
      <w:r>
        <w:rPr>
          <w:rFonts w:ascii="Calibri" w:eastAsia="Calibri" w:hAnsi="Calibri" w:cs="Calibri"/>
          <w:b/>
          <w:bCs/>
          <w:color w:val="051A3D"/>
          <w:sz w:val="22"/>
          <w:szCs w:val="22"/>
        </w:rPr>
        <w:t>Exigir repercussão documentada não é exigir laudo. É exigir que o relatório aponte, com base nos autos, o que mudou depois da ofensa.</w:t>
      </w:r>
    </w:p>
    <w:p w14:paraId="5BE39B6B" w14:textId="77777777" w:rsidR="00B10998" w:rsidRDefault="00B10998">
      <w:pPr>
        <w:pStyle w:val="Ttulo3"/>
        <w:keepNext/>
      </w:pPr>
      <w:r>
        <w:rPr>
          <w:rFonts w:ascii="Calibri" w:eastAsia="Calibri" w:hAnsi="Calibri" w:cs="Calibri"/>
        </w:rPr>
        <w:t>Satisfaz a condição, responda SIM</w:t>
      </w:r>
    </w:p>
    <w:p w14:paraId="45CE50E1"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Afastamento por licença médica, atendimento em saúde ocupacional ou acompanhamento psicológico posterior aos fatos</w:t>
      </w:r>
    </w:p>
    <w:p w14:paraId="1701AEFE"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Pedido de remoção, de mudança de equipe ou de alteração de subordinação motivado pelos fatos</w:t>
      </w:r>
    </w:p>
    <w:p w14:paraId="36A3054A"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Alteração documentada no desempenho, na assiduidade ou na participação da vítima após o episódio</w:t>
      </w:r>
    </w:p>
    <w:p w14:paraId="270EB882"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Manifestação formal de outros servidores sobre o efeito do episódio no ambiente da equipe</w:t>
      </w:r>
    </w:p>
    <w:p w14:paraId="7AC917C8"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Necessidade de intervenção da chefia, da ouvidoria ou de mediação em razão do episódio</w:t>
      </w:r>
    </w:p>
    <w:p w14:paraId="0FA25B94"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Repercussão externa à unidade, quando a ofensa alcançou usuários ou terceiros</w:t>
      </w:r>
    </w:p>
    <w:p w14:paraId="62A0036C" w14:textId="77777777" w:rsidR="00B10998" w:rsidRDefault="00B10998">
      <w:pPr>
        <w:pStyle w:val="Ttulo3"/>
        <w:keepNext/>
      </w:pPr>
      <w:r>
        <w:rPr>
          <w:rFonts w:ascii="Calibri" w:eastAsia="Calibri" w:hAnsi="Calibri" w:cs="Calibri"/>
        </w:rPr>
        <w:t>Não satisfaz a condição, responda NÃO</w:t>
      </w:r>
    </w:p>
    <w:p w14:paraId="2FB02B17"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Os autos registram apenas que houve testemunhas, sem qualquer efeito posterior documentado</w:t>
      </w:r>
    </w:p>
    <w:p w14:paraId="1471D791"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A repercussão é afirmada genericamente no relato, sem elemento que a concretize</w:t>
      </w:r>
    </w:p>
    <w:p w14:paraId="6E6790B7"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O único elemento invocado como repercussão é o mesmo já usado para demonstrar a publicidade</w:t>
      </w:r>
    </w:p>
    <w:p w14:paraId="1627C1C8" w14:textId="77777777" w:rsidR="00B10998" w:rsidRDefault="00B10998">
      <w:pPr>
        <w:pStyle w:val="Ttulo3"/>
        <w:keepNext/>
      </w:pPr>
      <w:r>
        <w:rPr>
          <w:rFonts w:ascii="Calibri" w:eastAsia="Calibri" w:hAnsi="Calibri" w:cs="Calibri"/>
        </w:rPr>
        <w:lastRenderedPageBreak/>
        <w:t>O que buscar nos autos</w:t>
      </w:r>
    </w:p>
    <w:p w14:paraId="0E41CE88"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Registros de saúde ocupacional, licenças e atendimentos posteriores à data dos fatos</w:t>
      </w:r>
    </w:p>
    <w:p w14:paraId="0D9CE5B7"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Requerimentos de remoção ou de alteração funcional protocolados após o episódio</w:t>
      </w:r>
    </w:p>
    <w:p w14:paraId="57255AB2"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Depoimentos de colegas sobre o ambiente da equipe antes e depois</w:t>
      </w:r>
    </w:p>
    <w:p w14:paraId="4F1547DD"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Registros de intervenção da chefia ou de canais de integridade</w:t>
      </w:r>
    </w:p>
    <w:p w14:paraId="7E72C405" w14:textId="77777777" w:rsidR="00B10998" w:rsidRDefault="00B10998">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382B57D6"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13D6F2BF" w14:textId="77777777" w:rsidR="00B10998" w:rsidRDefault="00B10998">
            <w:pPr>
              <w:jc w:val="both"/>
            </w:pPr>
            <w:r>
              <w:rPr>
                <w:rFonts w:ascii="Calibri" w:eastAsia="Calibri" w:hAnsi="Calibri" w:cs="Calibri"/>
                <w:b/>
                <w:bCs/>
                <w:color w:val="0B2C5F"/>
                <w:sz w:val="20"/>
                <w:szCs w:val="20"/>
              </w:rPr>
              <w:t>Alerta, publicidade e repercussão são requisitos distintos:</w:t>
            </w:r>
            <w:r>
              <w:rPr>
                <w:rFonts w:ascii="Calibri" w:eastAsia="Calibri" w:hAnsi="Calibri" w:cs="Calibri"/>
                <w:color w:val="051A3D"/>
                <w:sz w:val="20"/>
                <w:szCs w:val="20"/>
              </w:rPr>
              <w:t xml:space="preserve"> registre no relatório, de forma expressa, qual elemento dos autos demonstra a publicidade e qual demonstra a repercussão. A utilização do mesmo elemento para ambos é vício de fundamentação que compromete a sustentação do enquadramento demissório.</w:t>
            </w:r>
          </w:p>
        </w:tc>
      </w:tr>
    </w:tbl>
    <w:p w14:paraId="71D58D66" w14:textId="77777777" w:rsidR="00B10998" w:rsidRDefault="00B10998">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6009DCFC"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289E6809" w14:textId="77777777" w:rsidR="00B10998" w:rsidRDefault="00B10998">
            <w:pPr>
              <w:jc w:val="both"/>
            </w:pPr>
            <w:r>
              <w:rPr>
                <w:rFonts w:ascii="Calibri" w:eastAsia="Calibri" w:hAnsi="Calibri" w:cs="Calibri"/>
                <w:b/>
                <w:bCs/>
                <w:color w:val="0B2C5F"/>
                <w:sz w:val="20"/>
                <w:szCs w:val="20"/>
              </w:rPr>
              <w:t>Alerta, a ausência deste requisito não encerra a instrução:</w:t>
            </w:r>
            <w:r>
              <w:rPr>
                <w:rFonts w:ascii="Calibri" w:eastAsia="Calibri" w:hAnsi="Calibri" w:cs="Calibri"/>
                <w:color w:val="051A3D"/>
                <w:sz w:val="20"/>
                <w:szCs w:val="20"/>
              </w:rPr>
              <w:t xml:space="preserve"> o Resultado D não é conclusão definitiva. A demonstração superveniente do conteúdo degradante e da repercussão desloca a conduta ao patamar demissório. Registre no relatório qual requisito não se configurou e por quê.</w:t>
            </w:r>
          </w:p>
        </w:tc>
      </w:tr>
    </w:tbl>
    <w:p w14:paraId="756FA6D4" w14:textId="77777777" w:rsidR="00B10998" w:rsidRDefault="00B10998">
      <w:pPr>
        <w:spacing w:after="120"/>
        <w:jc w:val="both"/>
      </w:pPr>
    </w:p>
    <w:p w14:paraId="576019CF"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P7</w:t>
      </w:r>
    </w:p>
    <w:p w14:paraId="1CCB11B6" w14:textId="77777777" w:rsidR="00B10998" w:rsidRDefault="00B10998">
      <w:pPr>
        <w:spacing w:before="80" w:after="60"/>
      </w:pPr>
      <w:r>
        <w:rPr>
          <w:rFonts w:ascii="Calibri" w:eastAsia="Calibri" w:hAnsi="Calibri" w:cs="Calibri"/>
          <w:b/>
          <w:bCs/>
          <w:color w:val="1F7A4C"/>
          <w:sz w:val="22"/>
          <w:szCs w:val="22"/>
        </w:rPr>
        <w:t xml:space="preserve">NÃO → </w:t>
      </w:r>
      <w:r>
        <w:rPr>
          <w:rFonts w:ascii="Calibri" w:eastAsia="Calibri" w:hAnsi="Calibri" w:cs="Calibri"/>
          <w:color w:val="051A3D"/>
          <w:sz w:val="22"/>
          <w:szCs w:val="22"/>
        </w:rPr>
        <w:t>Resultado D, ofensa verbal pública, conduta imprópria de grau moderado, art. 116, IX</w:t>
      </w:r>
    </w:p>
    <w:p w14:paraId="35734218" w14:textId="77777777" w:rsidR="00B10998" w:rsidRDefault="00B10998">
      <w:pPr>
        <w:spacing w:after="120"/>
        <w:jc w:val="both"/>
      </w:pPr>
    </w:p>
    <w:p w14:paraId="21BB576E" w14:textId="77777777" w:rsidR="00B10998" w:rsidRDefault="00B10998">
      <w:pPr>
        <w:pStyle w:val="Ttulo2"/>
        <w:keepNext/>
        <w:pBdr>
          <w:left w:val="single" w:sz="10" w:space="6" w:color="C9A35C"/>
        </w:pBdr>
      </w:pPr>
      <w:bookmarkStart w:id="185" w:name="_Toc238022174"/>
      <w:r>
        <w:t xml:space="preserve">P7, </w:t>
      </w:r>
      <w:proofErr w:type="gramStart"/>
      <w:r>
        <w:t>Houve</w:t>
      </w:r>
      <w:proofErr w:type="gramEnd"/>
      <w:r>
        <w:t xml:space="preserve"> uso do cargo ou ascendência funcional como instrumento da humilhação?</w:t>
      </w:r>
      <w:bookmarkEnd w:id="185"/>
    </w:p>
    <w:p w14:paraId="2B15E018" w14:textId="77777777" w:rsidR="00B10998" w:rsidRDefault="00B10998">
      <w:pPr>
        <w:pStyle w:val="Ttulo3"/>
        <w:keepNext/>
      </w:pPr>
      <w:r>
        <w:rPr>
          <w:rFonts w:ascii="Calibri" w:eastAsia="Calibri" w:hAnsi="Calibri" w:cs="Calibri"/>
        </w:rPr>
        <w:t>O que avaliar</w:t>
      </w:r>
    </w:p>
    <w:p w14:paraId="0142B6FD"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o agressor utilizou a autoridade ou as prerrogativas do cargo para amplificar, viabilizar ou conferir dimensão institucional à ofensa pública e grave?</w:t>
      </w:r>
      <w:r>
        <w:rPr>
          <w:rFonts w:ascii="Calibri" w:eastAsia="Calibri" w:hAnsi="Calibri" w:cs="Calibri"/>
          <w:color w:val="051A3D"/>
          <w:sz w:val="22"/>
          <w:szCs w:val="22"/>
        </w:rPr>
        <w:t xml:space="preserve"> O uso do cargo é o qualificador que distingue o enquadramento no art. 117, IX (demissão obrigatória, Resultado B) do enquadramento no art. 132, V (também demissão, mas por via diferente, Resultado C). Nas duas hipóteses o resultado é demissório; o que muda é o dispositivo e a fundamentação.</w:t>
      </w:r>
    </w:p>
    <w:p w14:paraId="7772B936" w14:textId="77777777" w:rsidR="00B10998" w:rsidRDefault="00B10998">
      <w:pPr>
        <w:spacing w:after="120"/>
        <w:jc w:val="both"/>
      </w:pPr>
      <w:r>
        <w:rPr>
          <w:rFonts w:ascii="Calibri" w:eastAsia="Calibri" w:hAnsi="Calibri" w:cs="Calibri"/>
          <w:color w:val="051A3D"/>
          <w:sz w:val="22"/>
          <w:szCs w:val="22"/>
        </w:rPr>
        <w:t>O uso do cargo na violência verbal manifesta-se quando: o agressor emprega a autoridade funcional para praticar a ofensa em contexto institucional formal onde essa autoridade está presente (reunião de avaliação, comunicado oficial, ato de gestão); usa a posição hierárquica para garantir que a vítima não possa responder, sair da situação ou recusar o ambiente; combina a ofensa verbal com ato funcional contemporâneo ou subsequente que demonstra instrumentalização da autoridade (a humilhação seguida de avaliação negativa, de exclusão de projeto, de designação punitiva).</w:t>
      </w:r>
    </w:p>
    <w:p w14:paraId="07383A64" w14:textId="77777777" w:rsidR="00B10998" w:rsidRDefault="00B10998">
      <w:pPr>
        <w:spacing w:after="120"/>
        <w:jc w:val="both"/>
      </w:pPr>
      <w:r>
        <w:rPr>
          <w:rFonts w:ascii="Calibri" w:eastAsia="Calibri" w:hAnsi="Calibri" w:cs="Calibri"/>
          <w:color w:val="051A3D"/>
          <w:sz w:val="22"/>
          <w:szCs w:val="22"/>
        </w:rPr>
        <w:t>O critério é o mesmo dos demais eixos: não basta a existência de hierarquia entre as partes. É preciso que as prerrogativas do cargo tenham sido ativamente empregadas como instrumento da humilhação.</w:t>
      </w:r>
    </w:p>
    <w:p w14:paraId="1324D164" w14:textId="77777777" w:rsidR="00B10998" w:rsidRDefault="00B10998">
      <w:pPr>
        <w:pStyle w:val="Ttulo3"/>
        <w:keepNext/>
      </w:pPr>
      <w:r>
        <w:rPr>
          <w:rFonts w:ascii="Calibri" w:eastAsia="Calibri" w:hAnsi="Calibri" w:cs="Calibri"/>
        </w:rPr>
        <w:t>Satisfaz a condição, responda SIM</w:t>
      </w:r>
    </w:p>
    <w:p w14:paraId="0681B29D"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Chefia que usa a autoridade de direção de reunião para expor vexatoriamente o subordinado diante da equipe, valendo-se da posição hierárquica para impedir que a vítima se retire ou responda</w:t>
      </w:r>
    </w:p>
    <w:p w14:paraId="38ADD6E0"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lastRenderedPageBreak/>
        <w:t>Superior que combina a ofensa verbal com ato administrativo contemporâneo (avaliação negativa, exclusão de projeto) que demonstra o uso da autoridade como instrumento</w:t>
      </w:r>
    </w:p>
    <w:p w14:paraId="00191ECE"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Ofensa proferida em comunicado oficial ou documento funcional assinado no exercício do cargo, com conteúdo gravemente humilhante</w:t>
      </w:r>
    </w:p>
    <w:p w14:paraId="5EBF66A1"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Agressor que usa a posição de chefia para garantir que a humilhação seja presenciada pela equipe que ele organiza e convoca</w:t>
      </w:r>
    </w:p>
    <w:p w14:paraId="6FD10541" w14:textId="77777777" w:rsidR="00B10998" w:rsidRDefault="00B10998">
      <w:pPr>
        <w:pStyle w:val="Ttulo3"/>
        <w:keepNext/>
      </w:pPr>
      <w:r>
        <w:rPr>
          <w:rFonts w:ascii="Calibri" w:eastAsia="Calibri" w:hAnsi="Calibri" w:cs="Calibri"/>
        </w:rPr>
        <w:t>Não satisfaz a condição, responda NÃO</w:t>
      </w:r>
    </w:p>
    <w:p w14:paraId="40C38321"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Superior hierárquico que profere ofensa grave e pública sem qualquer uso das prerrogativas do cargo como instrumento, a hierarquia é o contexto, não o meio da ofensa</w:t>
      </w:r>
    </w:p>
    <w:p w14:paraId="278A4DD9"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Par ou subordinado que pratica ofensa verbal pública e grave sem relação funcional de ascendência sobre a vítima</w:t>
      </w:r>
    </w:p>
    <w:p w14:paraId="7FD954E5" w14:textId="77777777" w:rsidR="00B10998" w:rsidRDefault="00B10998">
      <w:pPr>
        <w:pStyle w:val="Ttulo3"/>
        <w:keepNext/>
      </w:pPr>
      <w:r>
        <w:rPr>
          <w:rFonts w:ascii="Calibri" w:eastAsia="Calibri" w:hAnsi="Calibri" w:cs="Calibri"/>
        </w:rPr>
        <w:t>O que buscar nos autos</w:t>
      </w:r>
    </w:p>
    <w:p w14:paraId="4F9AD7F1"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Natureza do contexto em que a ofensa ocorreu: reunião formal convocada pelo agressor, comunicado oficial, ato de gestão?</w:t>
      </w:r>
    </w:p>
    <w:p w14:paraId="025B110C"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Relação entre a posição do agressor e o poder que ele exerceu (ou não) no contexto da ofensa</w:t>
      </w:r>
    </w:p>
    <w:p w14:paraId="7AA99A53" w14:textId="77777777" w:rsidR="00B10998" w:rsidRDefault="00B10998">
      <w:pPr>
        <w:pStyle w:val="PargrafodaLista"/>
        <w:numPr>
          <w:ilvl w:val="0"/>
          <w:numId w:val="29"/>
        </w:numPr>
        <w:spacing w:after="80" w:line="240" w:lineRule="auto"/>
        <w:jc w:val="both"/>
      </w:pPr>
      <w:r>
        <w:rPr>
          <w:rFonts w:ascii="Calibri" w:eastAsia="Calibri" w:hAnsi="Calibri" w:cs="Calibri"/>
          <w:color w:val="051A3D"/>
          <w:sz w:val="22"/>
          <w:szCs w:val="22"/>
        </w:rPr>
        <w:t>Ato funcional contemporâneo ou subsequente que demonstre instrumentalização da autoridade</w:t>
      </w:r>
    </w:p>
    <w:p w14:paraId="57925F5C"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1BB7E1FF"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25612AE9" w14:textId="77777777" w:rsidR="00B10998" w:rsidRDefault="00B10998">
            <w:pPr>
              <w:jc w:val="both"/>
            </w:pPr>
            <w:r>
              <w:rPr>
                <w:rFonts w:ascii="Calibri" w:eastAsia="Calibri" w:hAnsi="Calibri" w:cs="Calibri"/>
                <w:b/>
                <w:bCs/>
                <w:color w:val="0B2C5F"/>
                <w:sz w:val="20"/>
                <w:szCs w:val="20"/>
              </w:rPr>
              <w:t>Alerta, cumulatividade com assédio moral:</w:t>
            </w:r>
            <w:r>
              <w:rPr>
                <w:rFonts w:ascii="Calibri" w:eastAsia="Calibri" w:hAnsi="Calibri" w:cs="Calibri"/>
                <w:color w:val="051A3D"/>
                <w:sz w:val="20"/>
                <w:szCs w:val="20"/>
              </w:rPr>
              <w:t xml:space="preserve"> quando há reiteração das ofensas contra a mesma vítima, a análise pelo Eixo 5 é recomendada. O padrão reiterado de violência verbal configura o tipo de condutas abusivas repetitivas que a NT nº 93/2024 identifica como assédio moral.</w:t>
            </w:r>
          </w:p>
        </w:tc>
      </w:tr>
    </w:tbl>
    <w:p w14:paraId="7865B3B3" w14:textId="77777777" w:rsidR="00B10998" w:rsidRDefault="00B10998">
      <w:pPr>
        <w:spacing w:before="80"/>
      </w:pPr>
    </w:p>
    <w:p w14:paraId="70ABBF7A"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GATE → Resultado B, ofensa verbal com valimento do cargo, art. 117, IX, demissão</w:t>
      </w:r>
    </w:p>
    <w:p w14:paraId="07DDA96E"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GATE → Resultado C, ofensa verbal, conduta escandalosa, art. 132, V, demissão</w:t>
      </w:r>
    </w:p>
    <w:p w14:paraId="5DB9890C" w14:textId="77777777" w:rsidR="00B10998" w:rsidRDefault="00B10998">
      <w:pPr>
        <w:pBdr>
          <w:bottom w:val="single" w:sz="4" w:space="1" w:color="C9A35C"/>
        </w:pBdr>
        <w:spacing w:before="200" w:after="200"/>
      </w:pPr>
    </w:p>
    <w:p w14:paraId="31CB7205" w14:textId="77777777" w:rsidR="00B10998" w:rsidRDefault="00B10998">
      <w:pPr>
        <w:pStyle w:val="Ttulo3"/>
        <w:keepNext/>
      </w:pPr>
      <w:r>
        <w:rPr>
          <w:rFonts w:ascii="Calibri" w:eastAsia="Calibri" w:hAnsi="Calibri" w:cs="Calibri"/>
        </w:rPr>
        <w:t>Os quatro resultados possíveis do Eixo 7</w:t>
      </w:r>
    </w:p>
    <w:p w14:paraId="64E1E96E"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28C72D98"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49C502F8" w14:textId="77777777" w:rsidR="00B10998" w:rsidRDefault="00B10998">
            <w:pPr>
              <w:spacing w:after="80"/>
            </w:pPr>
            <w:r>
              <w:rPr>
                <w:rFonts w:ascii="Barlow Condensed" w:eastAsia="Barlow Condensed" w:hAnsi="Barlow Condensed" w:cs="Barlow Condensed"/>
                <w:b/>
                <w:bCs/>
                <w:color w:val="1F7A4C"/>
                <w:sz w:val="24"/>
                <w:szCs w:val="24"/>
              </w:rPr>
              <w:t xml:space="preserve">Resultado A, </w:t>
            </w:r>
            <w:r>
              <w:rPr>
                <w:rFonts w:ascii="Barlow Condensed" w:eastAsia="Barlow Condensed" w:hAnsi="Barlow Condensed" w:cs="Barlow Condensed"/>
                <w:b/>
                <w:bCs/>
                <w:color w:val="0B2C5F"/>
                <w:sz w:val="24"/>
                <w:szCs w:val="24"/>
              </w:rPr>
              <w:t>Falta de urbanidade</w:t>
            </w:r>
          </w:p>
          <w:p w14:paraId="260FAE0D" w14:textId="77777777" w:rsidR="00B10998" w:rsidRDefault="00B10998">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116, XI, dever de tratar com urbanidade as pessoas</w:t>
            </w:r>
          </w:p>
          <w:p w14:paraId="4294E6EA"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Advertência</w:t>
            </w:r>
          </w:p>
          <w:p w14:paraId="656B6FB4"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180 dias (art. 142, III), prazo crítico, verificar imediatamente</w:t>
            </w:r>
          </w:p>
          <w:p w14:paraId="65A93E48" w14:textId="77777777" w:rsidR="00B10998" w:rsidRDefault="00B10998">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Calcular o prazo antes de qualquer outra providência. A penalidade de advertência sujeita-se ao prazo mais curto do sistema disciplinar, contado da data em que a autoridade competente tomou conhecimento do fato. Aplicar, na sequência, a dosimetria do art. 128, da Lei nº 8.112, de 1990. Verificar se há reiteração das ofensas que configure padrão de assédio moral (Eixo 5).</w:t>
            </w:r>
          </w:p>
        </w:tc>
      </w:tr>
    </w:tbl>
    <w:p w14:paraId="7C2CE719" w14:textId="77777777" w:rsidR="00B10998" w:rsidRDefault="00B10998">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185073E0"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61AAA3D7" w14:textId="77777777" w:rsidR="00B10998" w:rsidRDefault="00B10998">
            <w:pPr>
              <w:spacing w:after="80"/>
            </w:pPr>
            <w:r>
              <w:rPr>
                <w:rFonts w:ascii="Barlow Condensed" w:eastAsia="Barlow Condensed" w:hAnsi="Barlow Condensed" w:cs="Barlow Condensed"/>
                <w:b/>
                <w:bCs/>
                <w:color w:val="B42318"/>
                <w:sz w:val="24"/>
                <w:szCs w:val="24"/>
              </w:rPr>
              <w:lastRenderedPageBreak/>
              <w:t xml:space="preserve">Resultado B, </w:t>
            </w:r>
            <w:r>
              <w:rPr>
                <w:rFonts w:ascii="Barlow Condensed" w:eastAsia="Barlow Condensed" w:hAnsi="Barlow Condensed" w:cs="Barlow Condensed"/>
                <w:b/>
                <w:bCs/>
                <w:color w:val="0B2C5F"/>
                <w:sz w:val="24"/>
                <w:szCs w:val="24"/>
              </w:rPr>
              <w:t>Valimento do cargo na ofensa verbal</w:t>
            </w:r>
          </w:p>
          <w:p w14:paraId="6A5C4F63" w14:textId="77777777" w:rsidR="00B10998" w:rsidRDefault="00B10998">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117, IX, demissão por força do art. 132, XIII</w:t>
            </w:r>
          </w:p>
          <w:p w14:paraId="725E7276"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2C5A0F7B"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1610A9D8" w14:textId="77777777" w:rsidR="00B10998" w:rsidRDefault="00B10998">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Verificar: ofensa pública e grave demonstrada; uso instrumental do cargo demonstrado, não apenas existência de hierarquia. Avaliar cumulatividade com Eixo 5 quando há reiteração.</w:t>
            </w:r>
          </w:p>
        </w:tc>
      </w:tr>
    </w:tbl>
    <w:p w14:paraId="617A18E3" w14:textId="77777777" w:rsidR="00B10998" w:rsidRDefault="00B10998">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62BBEB69"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2419A55E" w14:textId="77777777" w:rsidR="00B10998" w:rsidRDefault="00B10998">
            <w:pPr>
              <w:spacing w:after="80"/>
            </w:pPr>
            <w:r>
              <w:rPr>
                <w:rFonts w:ascii="Barlow Condensed" w:eastAsia="Barlow Condensed" w:hAnsi="Barlow Condensed" w:cs="Barlow Condensed"/>
                <w:b/>
                <w:bCs/>
                <w:color w:val="B42318"/>
                <w:sz w:val="24"/>
                <w:szCs w:val="24"/>
              </w:rPr>
              <w:t xml:space="preserve">Resultado C, </w:t>
            </w:r>
            <w:r>
              <w:rPr>
                <w:rFonts w:ascii="Barlow Condensed" w:eastAsia="Barlow Condensed" w:hAnsi="Barlow Condensed" w:cs="Barlow Condensed"/>
                <w:b/>
                <w:bCs/>
                <w:color w:val="0B2C5F"/>
                <w:sz w:val="24"/>
                <w:szCs w:val="24"/>
              </w:rPr>
              <w:t>Conduta escandalosa</w:t>
            </w:r>
          </w:p>
          <w:p w14:paraId="06E9C604" w14:textId="77777777" w:rsidR="00B10998" w:rsidRDefault="00B10998">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132, V, incontinência pública e conduta escandalosa na repartição</w:t>
            </w:r>
          </w:p>
          <w:p w14:paraId="515E4A23"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294F13E2"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59BA7F8B" w14:textId="77777777" w:rsidR="00B10998" w:rsidRDefault="00B10998">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Verificar: publicidade demonstrada (presença de testemunhas); gravidade demonstrada objetivamente (conteúdo das expressões + contexto + impacto). Avaliar cumulatividade com Eixo 5 quando há reiteração.</w:t>
            </w:r>
          </w:p>
        </w:tc>
      </w:tr>
    </w:tbl>
    <w:p w14:paraId="5E42F4E8" w14:textId="77777777" w:rsidR="00B10998" w:rsidRDefault="00B10998">
      <w:pPr>
        <w:pBdr>
          <w:bottom w:val="single" w:sz="4" w:space="1" w:color="C9A35C"/>
        </w:pBdr>
        <w:spacing w:before="200"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14:paraId="6340F4B3"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49BA5959" w14:textId="77777777" w:rsidR="00B10998" w:rsidRDefault="00B10998">
            <w:pPr>
              <w:spacing w:after="80"/>
            </w:pPr>
            <w:r>
              <w:rPr>
                <w:rFonts w:ascii="Barlow Condensed" w:eastAsia="Barlow Condensed" w:hAnsi="Barlow Condensed" w:cs="Barlow Condensed"/>
                <w:b/>
                <w:bCs/>
                <w:color w:val="1F7A4C"/>
                <w:sz w:val="24"/>
                <w:szCs w:val="24"/>
              </w:rPr>
              <w:t>Resultado D, Ofensa verbal pública, conduta imprópria de grau moderado</w:t>
            </w:r>
          </w:p>
          <w:p w14:paraId="0D0288D9" w14:textId="77777777" w:rsidR="00B10998" w:rsidRDefault="00B10998">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116, IX, manter conduta compatível com a moralidade administrativa</w:t>
            </w:r>
          </w:p>
          <w:p w14:paraId="35489452"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Suspensão, alcançável pela aplicação direta do art. 130 ou pela conversão motivada de advertência em suspensão (art. 129, in fine), dispensada a reincidência quando o primeiro episódio já ostentar gravidade suficiente</w:t>
            </w:r>
          </w:p>
          <w:p w14:paraId="3C6EDD10"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2 anos (art. 142, II)</w:t>
            </w:r>
          </w:p>
          <w:p w14:paraId="04238F66" w14:textId="77777777" w:rsidR="00B10998" w:rsidRDefault="00B10998">
            <w:pPr>
              <w:spacing w:after="40"/>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Este resultado corresponde à ofensa verbal pública e de elevada gravidade que não satisfaz, cumulativamente, os dois requisitos da via demissória, o conteúdo objetivamente degradante e a repercussão documentada. Registrar expressamente no relatório qual dos dois requisitos não se configurou e com base em quais elementos dos autos. Aplicar a dosimetria do art. 128, da Lei nº 8.112, de 1990, ponderando a intensidade da ofensa, o impacto concreto sobre a vítima, o contexto de assimetria hierárquica e os antecedentes funcionais. Verificar se a instrução está completa quanto aos dois requisitos, a demonstração superveniente de ambos desloca a conduta ao patamar demissório. Avaliar cumulatividade com o Eixo 5 quando houver reiteração contra a mesma vítima.</w:t>
            </w:r>
          </w:p>
        </w:tc>
      </w:tr>
    </w:tbl>
    <w:p w14:paraId="4DF85D27" w14:textId="77777777" w:rsidR="00B10998" w:rsidRDefault="00B10998">
      <w:pPr>
        <w:spacing w:after="120"/>
        <w:jc w:val="both"/>
      </w:pPr>
    </w:p>
    <w:p w14:paraId="4C1A911C" w14:textId="77777777" w:rsidR="00B10998" w:rsidRDefault="00B10998">
      <w:pPr>
        <w:pStyle w:val="Ttulo3"/>
        <w:keepNext/>
      </w:pPr>
      <w:r>
        <w:rPr>
          <w:rFonts w:ascii="Calibri" w:eastAsia="Calibri" w:hAnsi="Calibri" w:cs="Calibri"/>
        </w:rPr>
        <w:t>Checklist do Eixo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10998" w:rsidRPr="000C0DBA" w14:paraId="7B8F3C30"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323DC740"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Calculei o prazo prescricional de 180 dias ANTES de qualquer outra providência, quando a conduta puder ser enquadrada como falta de urbanidade</w:t>
            </w:r>
          </w:p>
          <w:p w14:paraId="0711A132"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Verifiquei que a conduta é ofensa verbal, não ameaça</w:t>
            </w:r>
          </w:p>
          <w:p w14:paraId="4A619E74"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(sem conteúdo prospectivo) e não conduta discriminatória</w:t>
            </w:r>
          </w:p>
          <w:p w14:paraId="1E08B730"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como categoria autônoma</w:t>
            </w:r>
          </w:p>
          <w:p w14:paraId="4F686741"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lastRenderedPageBreak/>
              <w:t>[ ]</w:t>
            </w:r>
            <w:proofErr w:type="gramEnd"/>
            <w:r>
              <w:rPr>
                <w:rFonts w:eastAsia="Courier New" w:cs="Courier New"/>
                <w:color w:val="0B2C5F"/>
                <w:sz w:val="20"/>
                <w:szCs w:val="20"/>
              </w:rPr>
              <w:t xml:space="preserve"> Verifiquei P2 (conotação sexual) antes de avançar para P3,</w:t>
            </w:r>
          </w:p>
          <w:p w14:paraId="734E1901"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não pulei etapa de redirecionamento</w:t>
            </w:r>
          </w:p>
          <w:p w14:paraId="162226E3"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Verifiquei P3 (motivação discriminatória) antes de avaliar</w:t>
            </w:r>
          </w:p>
          <w:p w14:paraId="373A9F1E"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publicidade e gravidade, o redirecionamento para Eixo 4</w:t>
            </w:r>
          </w:p>
          <w:p w14:paraId="5EF714C4"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é obrigatório quando a motivação está presente</w:t>
            </w:r>
          </w:p>
          <w:p w14:paraId="47E49F5C"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publicidade e gravidade de forma conjunta em P4,</w:t>
            </w:r>
          </w:p>
          <w:p w14:paraId="28C26570"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os dois qualificadores precisam estar presentes simultaneamente</w:t>
            </w:r>
          </w:p>
          <w:p w14:paraId="44BA4B6F"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exigi auditório numeroso para configurar publicidade,</w:t>
            </w:r>
          </w:p>
          <w:p w14:paraId="39ECC1AF"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três testemunhas são suficientes</w:t>
            </w:r>
          </w:p>
          <w:p w14:paraId="4ACF20AE"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aceitei 'foi brincadeira' como argumento que afasta a</w:t>
            </w:r>
          </w:p>
          <w:p w14:paraId="07257F58"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gravidade, o padrão é objetivo</w:t>
            </w:r>
          </w:p>
          <w:p w14:paraId="4492F510"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Distingui uso do cargo como instrumento (P7) de hierarquia</w:t>
            </w:r>
          </w:p>
          <w:p w14:paraId="54D03317"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como contexto, não marquei SIM apenas porque o agressor</w:t>
            </w:r>
          </w:p>
          <w:p w14:paraId="5244CFBF"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é superior hierárquico</w:t>
            </w:r>
          </w:p>
          <w:p w14:paraId="34E2BCC9"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cumulatividade com Eixo 5 quando há reiteração</w:t>
            </w:r>
          </w:p>
          <w:p w14:paraId="79714228"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das ofensas contra a mesma vítima</w:t>
            </w:r>
          </w:p>
          <w:p w14:paraId="09040241"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Acionei o </w:t>
            </w:r>
            <w:proofErr w:type="spellStart"/>
            <w:r>
              <w:rPr>
                <w:rFonts w:eastAsia="Courier New" w:cs="Courier New"/>
                <w:color w:val="0B2C5F"/>
                <w:sz w:val="20"/>
                <w:szCs w:val="20"/>
              </w:rPr>
              <w:t>gate</w:t>
            </w:r>
            <w:proofErr w:type="spellEnd"/>
            <w:r>
              <w:rPr>
                <w:rFonts w:eastAsia="Courier New" w:cs="Courier New"/>
                <w:color w:val="0B2C5F"/>
                <w:sz w:val="20"/>
                <w:szCs w:val="20"/>
              </w:rPr>
              <w:t xml:space="preserve"> de confirmação demissória quando o resultado</w:t>
            </w:r>
          </w:p>
          <w:p w14:paraId="79D725B1"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foi B ou C</w:t>
            </w:r>
          </w:p>
          <w:p w14:paraId="4DCDEC57"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Verifiquei separadamente o conteúdo objetivamente degradante (P5) e a repercussão documentada (P6), sem usar o mesmo elemento probatório para os dois requisitos</w:t>
            </w:r>
          </w:p>
          <w:p w14:paraId="6FF094F4"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Registrei no relatório, quando concluí pelo Resultado D, qual dos dois requisitos cumulativos não se configurou</w:t>
            </w:r>
          </w:p>
        </w:tc>
      </w:tr>
    </w:tbl>
    <w:p w14:paraId="4104FED7" w14:textId="77777777" w:rsidR="00B10998" w:rsidRDefault="00B10998">
      <w:pPr>
        <w:pBdr>
          <w:bottom w:val="single" w:sz="4" w:space="1" w:color="C9A35C"/>
        </w:pBdr>
        <w:spacing w:before="200" w:after="200"/>
      </w:pPr>
    </w:p>
    <w:p w14:paraId="77B14C41" w14:textId="77777777" w:rsidR="00B10998" w:rsidRDefault="00B10998">
      <w:pPr>
        <w:pStyle w:val="Ttulo3"/>
        <w:keepNext/>
      </w:pPr>
      <w:r>
        <w:rPr>
          <w:rFonts w:ascii="Calibri" w:eastAsia="Calibri" w:hAnsi="Calibri" w:cs="Calibri"/>
        </w:rPr>
        <w:t>Erros mais frequentes no Eixo 7</w:t>
      </w:r>
    </w:p>
    <w:p w14:paraId="67C744C2" w14:textId="77777777" w:rsidR="00B10998" w:rsidRDefault="00B10998">
      <w:pPr>
        <w:spacing w:after="120"/>
        <w:jc w:val="both"/>
      </w:pPr>
      <w:r>
        <w:rPr>
          <w:rFonts w:ascii="Calibri" w:eastAsia="Calibri" w:hAnsi="Calibri" w:cs="Calibri"/>
          <w:b/>
          <w:bCs/>
          <w:color w:val="051A3D"/>
          <w:sz w:val="22"/>
          <w:szCs w:val="22"/>
        </w:rPr>
        <w:t xml:space="preserve">1. Tratar a falta de urbanidade como sujeita ao prazo de 2 anos. </w:t>
      </w:r>
      <w:r>
        <w:rPr>
          <w:rFonts w:ascii="Calibri" w:eastAsia="Calibri" w:hAnsi="Calibri" w:cs="Calibri"/>
          <w:color w:val="051A3D"/>
          <w:sz w:val="22"/>
          <w:szCs w:val="22"/>
        </w:rPr>
        <w:t>A advertência prescreve em 180 dias (art. 142, III, da Lei nº 8.112, de 1990). O prazo de 2 anos do inciso II aplica-se à suspensão. A confusão entre os dois incisos é causa recorrente de perda de prazo em condutas de menor gravidade aparente.</w:t>
      </w:r>
    </w:p>
    <w:p w14:paraId="62A5BD16" w14:textId="77777777" w:rsidR="00B10998" w:rsidRDefault="00B10998">
      <w:pPr>
        <w:spacing w:after="120"/>
        <w:jc w:val="both"/>
      </w:pPr>
      <w:r>
        <w:rPr>
          <w:rFonts w:ascii="Calibri" w:eastAsia="Calibri" w:hAnsi="Calibri" w:cs="Calibri"/>
          <w:b/>
          <w:bCs/>
          <w:color w:val="051A3D"/>
          <w:sz w:val="22"/>
          <w:szCs w:val="22"/>
        </w:rPr>
        <w:t>2. Não verificar os qualificadores de redirecionamento antes de avaliar publicidade e gravidade.</w:t>
      </w:r>
      <w:r>
        <w:rPr>
          <w:rFonts w:ascii="Calibri" w:eastAsia="Calibri" w:hAnsi="Calibri" w:cs="Calibri"/>
          <w:color w:val="051A3D"/>
          <w:sz w:val="22"/>
          <w:szCs w:val="22"/>
        </w:rPr>
        <w:t xml:space="preserve"> P2 e P3 são filtros obrigatórios: a ofensa com conotação sexual vai para o Eixo 3; a ofensa discriminatória vai para o Eixo 4. Avançar para P4 sem percorrer esses filtros resulta em enquadramento incorreto no Eixo 7 para conduta que pertence a eixo especializado.</w:t>
      </w:r>
    </w:p>
    <w:p w14:paraId="0B53E371" w14:textId="77777777" w:rsidR="00B10998" w:rsidRDefault="00B10998">
      <w:pPr>
        <w:spacing w:after="120"/>
        <w:jc w:val="both"/>
      </w:pPr>
      <w:r>
        <w:rPr>
          <w:rFonts w:ascii="Calibri" w:eastAsia="Calibri" w:hAnsi="Calibri" w:cs="Calibri"/>
          <w:b/>
          <w:bCs/>
          <w:color w:val="051A3D"/>
          <w:sz w:val="22"/>
          <w:szCs w:val="22"/>
        </w:rPr>
        <w:t>3. Confundir crítica construtiva com violência verbal.</w:t>
      </w:r>
      <w:r>
        <w:rPr>
          <w:rFonts w:ascii="Calibri" w:eastAsia="Calibri" w:hAnsi="Calibri" w:cs="Calibri"/>
          <w:color w:val="051A3D"/>
          <w:sz w:val="22"/>
          <w:szCs w:val="22"/>
        </w:rPr>
        <w:t xml:space="preserve"> A avaliação negativa fundamentada, a cobrança intensa de resultados e a comunicação direta de insatisfação com o trabalho não são violência verbal, mesmo que causem sofrimento. O operador deve verificar se a conduta ataca a pessoa ou o trabalho.</w:t>
      </w:r>
    </w:p>
    <w:p w14:paraId="2C490F7D" w14:textId="77777777" w:rsidR="00B10998" w:rsidRDefault="00B10998">
      <w:pPr>
        <w:spacing w:after="120"/>
        <w:jc w:val="both"/>
      </w:pPr>
      <w:r>
        <w:rPr>
          <w:rFonts w:ascii="Calibri" w:eastAsia="Calibri" w:hAnsi="Calibri" w:cs="Calibri"/>
          <w:b/>
          <w:bCs/>
          <w:color w:val="051A3D"/>
          <w:sz w:val="22"/>
          <w:szCs w:val="22"/>
        </w:rPr>
        <w:t>4. Aceitar a justificativa 'foi brincadeira' ou 'é meu jeito de falar' como afastamento da gravidade.</w:t>
      </w:r>
      <w:r>
        <w:rPr>
          <w:rFonts w:ascii="Calibri" w:eastAsia="Calibri" w:hAnsi="Calibri" w:cs="Calibri"/>
          <w:color w:val="051A3D"/>
          <w:sz w:val="22"/>
          <w:szCs w:val="22"/>
        </w:rPr>
        <w:t xml:space="preserve"> O padrão de avaliação da gravidade é objetivo, pelo conteúdo da ofensa e pelo impacto razoavelmente esperável. A intenção declarada do agressor é irrelevante para a avaliação da gravidade, embora possa ser considerada na dosimetria.</w:t>
      </w:r>
    </w:p>
    <w:p w14:paraId="09E3F30C" w14:textId="77777777" w:rsidR="00B10998" w:rsidRDefault="00B10998">
      <w:pPr>
        <w:spacing w:after="120"/>
        <w:jc w:val="both"/>
      </w:pPr>
      <w:r>
        <w:rPr>
          <w:rFonts w:ascii="Calibri" w:eastAsia="Calibri" w:hAnsi="Calibri" w:cs="Calibri"/>
          <w:b/>
          <w:bCs/>
          <w:color w:val="051A3D"/>
          <w:sz w:val="22"/>
          <w:szCs w:val="22"/>
        </w:rPr>
        <w:t>5. Confundir existência de hierarquia com uso do cargo como instrumento.</w:t>
      </w:r>
      <w:r>
        <w:rPr>
          <w:rFonts w:ascii="Calibri" w:eastAsia="Calibri" w:hAnsi="Calibri" w:cs="Calibri"/>
          <w:color w:val="051A3D"/>
          <w:sz w:val="22"/>
          <w:szCs w:val="22"/>
        </w:rPr>
        <w:t xml:space="preserve"> Em P7, o que determina o Resultado B (art. 117, IX) é o uso ativo das prerrogativas funcionais como instrumento da humilhação, </w:t>
      </w:r>
      <w:r>
        <w:rPr>
          <w:rFonts w:ascii="Calibri" w:eastAsia="Calibri" w:hAnsi="Calibri" w:cs="Calibri"/>
          <w:color w:val="051A3D"/>
          <w:sz w:val="22"/>
          <w:szCs w:val="22"/>
        </w:rPr>
        <w:lastRenderedPageBreak/>
        <w:t>não a mera posição hierárquica do agressor. Superior que ofende sem usar o cargo como instrumento enquadra-se no Resultado C (art. 132, V), não no B.</w:t>
      </w:r>
    </w:p>
    <w:p w14:paraId="08EFD586" w14:textId="77777777" w:rsidR="00B10998" w:rsidRDefault="00B10998">
      <w:pPr>
        <w:spacing w:after="120"/>
        <w:jc w:val="both"/>
      </w:pPr>
      <w:r>
        <w:rPr>
          <w:rFonts w:ascii="Calibri" w:eastAsia="Calibri" w:hAnsi="Calibri" w:cs="Calibri"/>
          <w:b/>
          <w:bCs/>
          <w:color w:val="051A3D"/>
          <w:sz w:val="22"/>
          <w:szCs w:val="22"/>
        </w:rPr>
        <w:t>6. Não avaliar cumulatividade com assédio moral quando há reiteração.</w:t>
      </w:r>
      <w:r>
        <w:rPr>
          <w:rFonts w:ascii="Calibri" w:eastAsia="Calibri" w:hAnsi="Calibri" w:cs="Calibri"/>
          <w:color w:val="051A3D"/>
          <w:sz w:val="22"/>
          <w:szCs w:val="22"/>
        </w:rPr>
        <w:t xml:space="preserve"> O padrão reiterado de ofensas verbais contra a mesma vítima configura o tipo de condutas abusivas repetitivas que caracteriza o assédio moral. Encerrar a análise no Eixo 7 sem verificar o Eixo 5 resulta em enquadramento incompleto quando há padrão.</w:t>
      </w:r>
    </w:p>
    <w:p w14:paraId="73DF3810" w14:textId="77777777" w:rsidR="00B10998" w:rsidRDefault="00B10998">
      <w:pPr>
        <w:spacing w:after="120"/>
        <w:jc w:val="both"/>
      </w:pPr>
      <w:r>
        <w:rPr>
          <w:rFonts w:ascii="Calibri" w:eastAsia="Calibri" w:hAnsi="Calibri" w:cs="Calibri"/>
          <w:b/>
          <w:bCs/>
          <w:color w:val="051A3D"/>
          <w:sz w:val="22"/>
          <w:szCs w:val="22"/>
        </w:rPr>
        <w:t xml:space="preserve">7. Presumir a via demissória a partir da mera publicidade da ofensa. </w:t>
      </w:r>
      <w:r>
        <w:rPr>
          <w:rFonts w:ascii="Calibri" w:eastAsia="Calibri" w:hAnsi="Calibri" w:cs="Calibri"/>
          <w:color w:val="051A3D"/>
          <w:sz w:val="22"/>
          <w:szCs w:val="22"/>
        </w:rPr>
        <w:t>A constatação de que a ofensa foi pública e grave abre o exame dos dois requisitos cumulativos, mas não os presume. Concluir pelo art. 132, V, ou pelo art. 117, IX sem demonstrar separadamente o conteúdo degradante e a repercussão documentada é vício de fundamentação com alto risco de reversão.</w:t>
      </w:r>
    </w:p>
    <w:p w14:paraId="5576BB77" w14:textId="77777777" w:rsidR="00B10998" w:rsidRDefault="00B10998">
      <w:r>
        <w:br w:type="page"/>
      </w:r>
    </w:p>
    <w:p w14:paraId="4702B599" w14:textId="77777777" w:rsidR="00B10998" w:rsidRDefault="00B10998">
      <w:pPr>
        <w:pBdr>
          <w:left w:val="single" w:sz="12" w:space="6" w:color="C9A35C"/>
        </w:pBdr>
        <w:spacing w:before="320" w:after="40"/>
      </w:pPr>
      <w:r>
        <w:rPr>
          <w:rFonts w:ascii="Barlow Condensed" w:eastAsia="Barlow Condensed" w:hAnsi="Barlow Condensed" w:cs="Barlow Condensed"/>
          <w:b/>
          <w:bCs/>
          <w:color w:val="8C6E2C"/>
          <w:sz w:val="18"/>
          <w:szCs w:val="18"/>
        </w:rPr>
        <w:lastRenderedPageBreak/>
        <w:t>▍ EIXO 8</w:t>
      </w:r>
    </w:p>
    <w:p w14:paraId="4DFD819A" w14:textId="77777777" w:rsidR="00B10998" w:rsidRDefault="00B10998">
      <w:pPr>
        <w:pStyle w:val="Ttulo1"/>
      </w:pPr>
      <w:bookmarkStart w:id="186" w:name="_Toc238022175"/>
      <w:r>
        <w:rPr>
          <w:caps/>
          <w:color w:val="0B2C5F"/>
          <w:sz w:val="40"/>
          <w:szCs w:val="40"/>
        </w:rPr>
        <w:t>18. EIXO 8: STALKING FUNCIONAL (ART. 147-A CP), GUIA DE USO</w:t>
      </w:r>
      <w:bookmarkEnd w:id="186"/>
    </w:p>
    <w:p w14:paraId="1161D4AE" w14:textId="77777777" w:rsidR="00B10998" w:rsidRDefault="00B10998">
      <w:pPr>
        <w:pStyle w:val="Ttulo3"/>
        <w:keepNext/>
      </w:pPr>
      <w:r>
        <w:rPr>
          <w:rFonts w:ascii="Calibri" w:eastAsia="Calibri" w:hAnsi="Calibri" w:cs="Calibri"/>
        </w:rPr>
        <w:t>O que este eixo analisa</w:t>
      </w:r>
    </w:p>
    <w:p w14:paraId="7128C19E" w14:textId="77777777" w:rsidR="00B10998" w:rsidRDefault="00B10998">
      <w:pPr>
        <w:spacing w:after="120"/>
        <w:jc w:val="both"/>
      </w:pPr>
      <w:r>
        <w:rPr>
          <w:rFonts w:ascii="Calibri" w:eastAsia="Calibri" w:hAnsi="Calibri" w:cs="Calibri"/>
          <w:color w:val="051A3D"/>
          <w:sz w:val="22"/>
          <w:szCs w:val="22"/>
        </w:rPr>
        <w:t>Padrão reiterado de perseguição, monitoramento ou contato insistente indesejado no ambiente de trabalho ou com nexo funcional, mensagens sistemáticas por canais institucionais após pedido de cessação, presença repetida e não justificada na área de trabalho da vítima, acesso a sistemas corporativos para monitorar horários ou dados da vítima, uso de colegas como intermediários para manter contato não desejado, vigilância por câmeras ou sistemas de controle de acesso. Articula o art. 147-A do Código Penal (Lei nº 14.132/2021) com o art. 116, IX da Lei nº 8.112, de 1990.</w:t>
      </w:r>
    </w:p>
    <w:p w14:paraId="4398C342" w14:textId="77777777" w:rsidR="00B10998" w:rsidRDefault="00B10998">
      <w:pPr>
        <w:spacing w:after="120"/>
        <w:jc w:val="both"/>
      </w:pPr>
      <w:r>
        <w:t>Este eixo tem três perguntas e pode produzir quatro resultados distintos, dependendo da existência do padrão persecutório, do nexo funcional que o vincula ao ambiente de trabalho e do uso de prerrogativas funcionais específicas como instrumento.</w:t>
      </w:r>
    </w:p>
    <w:p w14:paraId="5687945D" w14:textId="77777777" w:rsidR="00B10998" w:rsidRDefault="00B10998">
      <w:pPr>
        <w:spacing w:after="120"/>
        <w:jc w:val="both"/>
      </w:pPr>
      <w:r>
        <w:rPr>
          <w:rFonts w:ascii="Calibri" w:eastAsia="Calibri" w:hAnsi="Calibri" w:cs="Calibri"/>
          <w:b/>
          <w:bCs/>
          <w:color w:val="051A3D"/>
          <w:sz w:val="22"/>
          <w:szCs w:val="22"/>
        </w:rPr>
        <w:t>Lembre antes de começar:</w:t>
      </w:r>
      <w:r>
        <w:rPr>
          <w:rFonts w:ascii="Calibri" w:eastAsia="Calibri" w:hAnsi="Calibri" w:cs="Calibri"/>
          <w:color w:val="051A3D"/>
          <w:sz w:val="22"/>
          <w:szCs w:val="22"/>
        </w:rPr>
        <w:t xml:space="preserve"> o </w:t>
      </w:r>
      <w:proofErr w:type="spellStart"/>
      <w:r>
        <w:rPr>
          <w:rFonts w:ascii="Calibri" w:eastAsia="Calibri" w:hAnsi="Calibri" w:cs="Calibri"/>
          <w:color w:val="051A3D"/>
          <w:sz w:val="22"/>
          <w:szCs w:val="22"/>
        </w:rPr>
        <w:t>stalking</w:t>
      </w:r>
      <w:proofErr w:type="spellEnd"/>
      <w:r>
        <w:rPr>
          <w:rFonts w:ascii="Calibri" w:eastAsia="Calibri" w:hAnsi="Calibri" w:cs="Calibri"/>
          <w:color w:val="051A3D"/>
          <w:sz w:val="22"/>
          <w:szCs w:val="22"/>
        </w:rPr>
        <w:t xml:space="preserve"> não se define pela forma de cada ato isolado, define-se pelo padrão. Construa a linha do tempo completa de todos os episódios antes de responder qualquer pergunta. Uma mensagem não solicitada é </w:t>
      </w:r>
      <w:proofErr w:type="gramStart"/>
      <w:r>
        <w:rPr>
          <w:rFonts w:ascii="Calibri" w:eastAsia="Calibri" w:hAnsi="Calibri" w:cs="Calibri"/>
          <w:color w:val="051A3D"/>
          <w:sz w:val="22"/>
          <w:szCs w:val="22"/>
        </w:rPr>
        <w:t>incômodo</w:t>
      </w:r>
      <w:proofErr w:type="gramEnd"/>
      <w:r>
        <w:rPr>
          <w:rFonts w:ascii="Calibri" w:eastAsia="Calibri" w:hAnsi="Calibri" w:cs="Calibri"/>
          <w:color w:val="051A3D"/>
          <w:sz w:val="22"/>
          <w:szCs w:val="22"/>
        </w:rPr>
        <w:t xml:space="preserve">; cinquenta mensagens não solicitadas ao longo de dois meses, após pedido de cessação, é </w:t>
      </w:r>
      <w:proofErr w:type="spellStart"/>
      <w:r>
        <w:rPr>
          <w:rFonts w:ascii="Calibri" w:eastAsia="Calibri" w:hAnsi="Calibri" w:cs="Calibri"/>
          <w:color w:val="051A3D"/>
          <w:sz w:val="22"/>
          <w:szCs w:val="22"/>
        </w:rPr>
        <w:t>stalking</w:t>
      </w:r>
      <w:proofErr w:type="spellEnd"/>
      <w:r>
        <w:rPr>
          <w:rFonts w:ascii="Calibri" w:eastAsia="Calibri" w:hAnsi="Calibri" w:cs="Calibri"/>
          <w:color w:val="051A3D"/>
          <w:sz w:val="22"/>
          <w:szCs w:val="22"/>
        </w:rPr>
        <w:t>. Um único episódio nunca configura este eixo.</w:t>
      </w:r>
    </w:p>
    <w:p w14:paraId="2A53A860" w14:textId="77777777" w:rsidR="00B10998" w:rsidRDefault="00B10998">
      <w:pPr>
        <w:spacing w:after="120"/>
        <w:jc w:val="both"/>
      </w:pPr>
      <w:proofErr w:type="spellStart"/>
      <w:r>
        <w:rPr>
          <w:rFonts w:ascii="Calibri" w:eastAsia="Calibri" w:hAnsi="Calibri" w:cs="Calibri"/>
          <w:b/>
          <w:bCs/>
          <w:color w:val="051A3D"/>
          <w:sz w:val="22"/>
          <w:szCs w:val="22"/>
        </w:rPr>
        <w:t>Lembre</w:t>
      </w:r>
      <w:proofErr w:type="spellEnd"/>
      <w:r>
        <w:rPr>
          <w:rFonts w:ascii="Calibri" w:eastAsia="Calibri" w:hAnsi="Calibri" w:cs="Calibri"/>
          <w:b/>
          <w:bCs/>
          <w:color w:val="051A3D"/>
          <w:sz w:val="22"/>
          <w:szCs w:val="22"/>
        </w:rPr>
        <w:t xml:space="preserve"> também:</w:t>
      </w:r>
      <w:r>
        <w:rPr>
          <w:rFonts w:ascii="Calibri" w:eastAsia="Calibri" w:hAnsi="Calibri" w:cs="Calibri"/>
          <w:color w:val="051A3D"/>
          <w:sz w:val="22"/>
          <w:szCs w:val="22"/>
        </w:rPr>
        <w:t xml:space="preserve"> os meios privados não afastam o enquadramento disciplinar quando há nexo funcional. O agressor que usa WhatsApp pessoal, redes sociais ou seguimento físico fora da repartição para perseguir colega de trabalho pode ser enquadrado no art. 116, IX, desde que o padrão tenha nexo com a relação funcional e produza repercussão no ambiente de trabalho da vítima. O meio privado afasta apenas o patamar mais grave (art. 117, IX), não o ilícito disciplinar em si.</w:t>
      </w:r>
    </w:p>
    <w:p w14:paraId="666F36A0"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44BFD81D" w14:textId="77777777">
        <w:tc>
          <w:tcPr>
            <w:tcW w:w="9638" w:type="dxa"/>
            <w:tcBorders>
              <w:top w:val="single" w:sz="6" w:space="0" w:color="B42318"/>
              <w:left w:val="single" w:sz="18" w:space="0" w:color="B42318"/>
              <w:bottom w:val="single" w:sz="6" w:space="0" w:color="B42318"/>
            </w:tcBorders>
            <w:shd w:val="clear" w:color="auto" w:fill="FFF0F0"/>
            <w:tcMar>
              <w:top w:w="100" w:type="dxa"/>
              <w:left w:w="180" w:type="dxa"/>
              <w:bottom w:w="100" w:type="dxa"/>
              <w:right w:w="180" w:type="dxa"/>
            </w:tcMar>
          </w:tcPr>
          <w:p w14:paraId="538F8A77" w14:textId="77777777" w:rsidR="00B10998" w:rsidRDefault="00B10998">
            <w:pPr>
              <w:jc w:val="both"/>
            </w:pPr>
            <w:r>
              <w:rPr>
                <w:rFonts w:ascii="Calibri" w:eastAsia="Calibri" w:hAnsi="Calibri" w:cs="Calibri"/>
                <w:b/>
                <w:bCs/>
                <w:color w:val="B42318"/>
                <w:sz w:val="20"/>
                <w:szCs w:val="20"/>
              </w:rPr>
              <w:t>URGÊNCIA DE PRESERVAÇÃO PROBATÓRIA:</w:t>
            </w:r>
            <w:r>
              <w:rPr>
                <w:rFonts w:ascii="Calibri" w:eastAsia="Calibri" w:hAnsi="Calibri" w:cs="Calibri"/>
                <w:color w:val="051A3D"/>
                <w:sz w:val="20"/>
                <w:szCs w:val="20"/>
              </w:rPr>
              <w:t xml:space="preserve"> logs de acesso a sistemas, histórico de mensagens institucionais e registros de câmeras têm políticas de retenção que podem apagá-los em semanas. Preserve imediatamente, antes de qualquer outra providência de apuração. Essa preservação é a primeira ação, não a última.</w:t>
            </w:r>
          </w:p>
        </w:tc>
      </w:tr>
    </w:tbl>
    <w:p w14:paraId="0ED2A50F" w14:textId="77777777" w:rsidR="00B10998" w:rsidRDefault="00B10998">
      <w:pPr>
        <w:spacing w:before="120"/>
      </w:pPr>
    </w:p>
    <w:p w14:paraId="4212DFBB" w14:textId="77777777" w:rsidR="00B10998" w:rsidRDefault="00B10998">
      <w:pPr>
        <w:pStyle w:val="Ttulo3"/>
        <w:keepNext/>
      </w:pPr>
      <w:r>
        <w:rPr>
          <w:rFonts w:ascii="Calibri" w:eastAsia="Calibri" w:hAnsi="Calibri" w:cs="Calibri"/>
        </w:rPr>
        <w:t>Fluxo completo do Eixo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rsidRPr="000C0DBA" w14:paraId="4569F440"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691DD402" w14:textId="77777777" w:rsidR="007F53FD" w:rsidRDefault="00A47804">
            <w:r>
              <w:t xml:space="preserve">P1, </w:t>
            </w:r>
            <w:proofErr w:type="gramStart"/>
            <w:r>
              <w:t>Há</w:t>
            </w:r>
            <w:proofErr w:type="gramEnd"/>
            <w:r>
              <w:t xml:space="preserve"> padrão reiterado de perseguição, monitoramento ou</w:t>
            </w:r>
          </w:p>
          <w:p w14:paraId="385B5114" w14:textId="77777777" w:rsidR="007F53FD" w:rsidRDefault="00A47804">
            <w:r>
              <w:t xml:space="preserve">    contato insistente indesejado?</w:t>
            </w:r>
          </w:p>
          <w:p w14:paraId="22424BE0" w14:textId="77777777" w:rsidR="007F53FD" w:rsidRDefault="00A47804">
            <w:r>
              <w:t xml:space="preserve">  NÃO → Resultado D, episódio isolado, fora do âmbito do</w:t>
            </w:r>
          </w:p>
          <w:p w14:paraId="6465A185" w14:textId="77777777" w:rsidR="007F53FD" w:rsidRDefault="00A47804">
            <w:r>
              <w:t xml:space="preserve">        </w:t>
            </w:r>
            <w:proofErr w:type="spellStart"/>
            <w:r>
              <w:t>stalking</w:t>
            </w:r>
            <w:proofErr w:type="spellEnd"/>
            <w:r>
              <w:t xml:space="preserve"> funcional. Analisar nos Eixos 2, 3 ou 7</w:t>
            </w:r>
          </w:p>
          <w:p w14:paraId="29F260A8" w14:textId="77777777" w:rsidR="007F53FD" w:rsidRDefault="00A47804">
            <w:r>
              <w:t xml:space="preserve">        conforme a natureza do conteúdo.</w:t>
            </w:r>
          </w:p>
          <w:p w14:paraId="5272D1BD" w14:textId="77777777" w:rsidR="007F53FD" w:rsidRDefault="00A47804">
            <w:r>
              <w:t xml:space="preserve">  SIM → P2</w:t>
            </w:r>
          </w:p>
          <w:p w14:paraId="19E52F28" w14:textId="77777777" w:rsidR="007F53FD" w:rsidRDefault="007F53FD"/>
          <w:p w14:paraId="084ECFCD" w14:textId="77777777" w:rsidR="007F53FD" w:rsidRDefault="00A47804">
            <w:r>
              <w:t>P2, O padrão persecutório apresenta nexo funcional — meio</w:t>
            </w:r>
          </w:p>
          <w:p w14:paraId="52869CC6" w14:textId="77777777" w:rsidR="007F53FD" w:rsidRDefault="00A47804">
            <w:r>
              <w:t xml:space="preserve">    institucional, uso de recursos funcionais ou repercussão</w:t>
            </w:r>
          </w:p>
          <w:p w14:paraId="113945B4" w14:textId="77777777" w:rsidR="007F53FD" w:rsidRDefault="00A47804">
            <w:r>
              <w:t xml:space="preserve">    funcional demonstrável?</w:t>
            </w:r>
          </w:p>
          <w:p w14:paraId="5D33C1D6" w14:textId="77777777" w:rsidR="007F53FD" w:rsidRDefault="00A47804">
            <w:r>
              <w:t xml:space="preserve">  NÃO → Resultado C, sem nexo funcional. Arquivamento no plano</w:t>
            </w:r>
          </w:p>
          <w:p w14:paraId="25A01878" w14:textId="77777777" w:rsidR="007F53FD" w:rsidRDefault="00A47804">
            <w:r>
              <w:t xml:space="preserve">        disciplinar e comunicação ao Ministério Público pelo</w:t>
            </w:r>
          </w:p>
          <w:p w14:paraId="09D77263" w14:textId="77777777" w:rsidR="007F53FD" w:rsidRDefault="00A47804">
            <w:r>
              <w:lastRenderedPageBreak/>
              <w:t xml:space="preserve">        art. 147-A do Código Penal.</w:t>
            </w:r>
          </w:p>
          <w:p w14:paraId="294BFBAF" w14:textId="77777777" w:rsidR="007F53FD" w:rsidRDefault="00A47804">
            <w:r>
              <w:t xml:space="preserve">  SIM → P3</w:t>
            </w:r>
          </w:p>
          <w:p w14:paraId="6303397F" w14:textId="77777777" w:rsidR="007F53FD" w:rsidRDefault="007F53FD"/>
          <w:p w14:paraId="0DC19D93" w14:textId="77777777" w:rsidR="007F53FD" w:rsidRDefault="00A47804">
            <w:r>
              <w:t>P3, O agressor utilizou prerrogativas funcionais específicas</w:t>
            </w:r>
          </w:p>
          <w:p w14:paraId="57C6BB1C" w14:textId="77777777" w:rsidR="007F53FD" w:rsidRDefault="00A47804">
            <w:r>
              <w:t xml:space="preserve">    como instrumento da perseguição?</w:t>
            </w:r>
          </w:p>
          <w:p w14:paraId="7E050F8A" w14:textId="77777777" w:rsidR="007F53FD" w:rsidRDefault="00A47804">
            <w:r>
              <w:t xml:space="preserve">  SIM → GATE → Resultado A, </w:t>
            </w:r>
            <w:proofErr w:type="spellStart"/>
            <w:r>
              <w:t>stalking</w:t>
            </w:r>
            <w:proofErr w:type="spellEnd"/>
            <w:r>
              <w:t xml:space="preserve"> com valimento do cargo</w:t>
            </w:r>
          </w:p>
          <w:p w14:paraId="23321054" w14:textId="77777777" w:rsidR="007F53FD" w:rsidRDefault="00A47804">
            <w:r>
              <w:t xml:space="preserve">               (art. 117, IX, demissão)</w:t>
            </w:r>
          </w:p>
          <w:p w14:paraId="52A92F45" w14:textId="77777777" w:rsidR="007F53FD" w:rsidRDefault="00A47804">
            <w:r>
              <w:t xml:space="preserve">  NÃO → Resultado B, </w:t>
            </w:r>
            <w:proofErr w:type="spellStart"/>
            <w:r>
              <w:t>stalking</w:t>
            </w:r>
            <w:proofErr w:type="spellEnd"/>
            <w:r>
              <w:t xml:space="preserve"> funcional, conduta imprópria</w:t>
            </w:r>
          </w:p>
          <w:p w14:paraId="3F875238" w14:textId="77777777" w:rsidR="007F53FD" w:rsidRDefault="00A47804">
            <w:r>
              <w:t xml:space="preserve">        (art. 116, IX, suspensão)</w:t>
            </w:r>
          </w:p>
        </w:tc>
      </w:tr>
    </w:tbl>
    <w:p w14:paraId="0CCC2726" w14:textId="77777777" w:rsidR="00B10998" w:rsidRDefault="00B10998">
      <w:pPr>
        <w:spacing w:before="200"/>
      </w:pPr>
    </w:p>
    <w:p w14:paraId="0F06A5DD" w14:textId="77777777" w:rsidR="007F53FD" w:rsidRDefault="00A47804">
      <w:pPr>
        <w:pStyle w:val="Ttulo2"/>
      </w:pPr>
      <w:bookmarkStart w:id="187" w:name="_Toc238022176"/>
      <w:r>
        <w:t xml:space="preserve">P1, </w:t>
      </w:r>
      <w:proofErr w:type="gramStart"/>
      <w:r>
        <w:t>Há</w:t>
      </w:r>
      <w:proofErr w:type="gramEnd"/>
      <w:r>
        <w:t xml:space="preserve"> padrão reiterado de perseguição, monitoramento ou contato insistente indesejado?</w:t>
      </w:r>
      <w:bookmarkEnd w:id="187"/>
    </w:p>
    <w:p w14:paraId="0D15C696" w14:textId="77777777" w:rsidR="007F53FD" w:rsidRDefault="00A47804">
      <w:pPr>
        <w:pStyle w:val="Ttulo3"/>
      </w:pPr>
      <w:r>
        <w:t>O que avaliar</w:t>
      </w:r>
    </w:p>
    <w:p w14:paraId="17701DEB" w14:textId="77777777" w:rsidR="007F53FD" w:rsidRDefault="00A47804">
      <w:r>
        <w:t>A pergunta central é: há um conjunto de episódios, ao longo do tempo, que configura padrão de perseguição, e a vítima manifestou, por qualquer meio, que o contato é indesejado? Dois critérios precisam estar presentes simultaneamente para caracterizar o padrão. O nexo funcional que vincula esse padrão ao ambiente de trabalho é aferido separadamente, na pergunta seguinte.</w:t>
      </w:r>
    </w:p>
    <w:p w14:paraId="43388767" w14:textId="77777777" w:rsidR="007F53FD" w:rsidRDefault="00A47804">
      <w:r>
        <w:t>(1) Reiteração: mais de um episódio com continuidade temporal. O número mínimo de episódios não é fixo, mas a reiteração implica padrão, não coincidência. Dois episódios separados por meses e sem conexão não constituem padrão; dez episódios ao longo de duas semanas, com escalada após tentativas de cessação, constituem padrão robusto.</w:t>
      </w:r>
    </w:p>
    <w:p w14:paraId="6AAF5BBF" w14:textId="77777777" w:rsidR="007F53FD" w:rsidRDefault="00A47804">
      <w:r>
        <w:t xml:space="preserve">(2) </w:t>
      </w:r>
      <w:proofErr w:type="spellStart"/>
      <w:r>
        <w:t>Indesejabilidade</w:t>
      </w:r>
      <w:proofErr w:type="spellEnd"/>
      <w:r>
        <w:t xml:space="preserve">: a vítima manifestou, expressa ou inequivocamente por comportamento, que o contato é indesejado. A manifestação não precisa ser formal: o afastamento consistente da vítima, a mudança de rotas dentro da repartição, a recusa sistemática de contato são formas de sinalizar a </w:t>
      </w:r>
      <w:proofErr w:type="spellStart"/>
      <w:r>
        <w:t>indesejabilidade</w:t>
      </w:r>
      <w:proofErr w:type="spellEnd"/>
      <w:r>
        <w:t xml:space="preserve"> tão válidas quanto o pedido verbal. O agressor que prossegue após qualquer desses sinais age com conhecimento da </w:t>
      </w:r>
      <w:proofErr w:type="spellStart"/>
      <w:r>
        <w:t>indesejabilidade</w:t>
      </w:r>
      <w:proofErr w:type="spellEnd"/>
      <w:r>
        <w:t>.</w:t>
      </w:r>
    </w:p>
    <w:p w14:paraId="645FACB7" w14:textId="77777777" w:rsidR="007F53FD" w:rsidRDefault="00A47804">
      <w:r>
        <w:t>Construa a linha do tempo completa com data, hora e meio de cada episódio antes de responder. Inclua os pedidos de cessação e a resposta do agressor a eles, e qualquer escalada após os pedidos de cessação.</w:t>
      </w:r>
    </w:p>
    <w:p w14:paraId="4571CBC3" w14:textId="77777777" w:rsidR="007F53FD" w:rsidRDefault="00A47804">
      <w:pPr>
        <w:pStyle w:val="Ttulo3"/>
      </w:pPr>
      <w:r>
        <w:t>Satisfaz a condição, responda SIM</w:t>
      </w:r>
    </w:p>
    <w:p w14:paraId="39A2C52B" w14:textId="77777777" w:rsidR="007F53FD" w:rsidRDefault="00A47804">
      <w:pPr>
        <w:pStyle w:val="PargrafodaLista"/>
      </w:pPr>
      <w:r>
        <w:t>Mensagens repetidas por canais institucionais (e-mail, sistema de mensagens corporativo) após pedido expresso de cessação</w:t>
      </w:r>
    </w:p>
    <w:p w14:paraId="3472C77B" w14:textId="77777777" w:rsidR="007F53FD" w:rsidRDefault="00A47804">
      <w:pPr>
        <w:pStyle w:val="PargrafodaLista"/>
      </w:pPr>
      <w:r>
        <w:t xml:space="preserve">Presença repetida na área de trabalho ou mesa da vítima sem justificativa funcional, especialmente após sinalização de </w:t>
      </w:r>
      <w:proofErr w:type="spellStart"/>
      <w:r>
        <w:t>indesejabilidade</w:t>
      </w:r>
      <w:proofErr w:type="spellEnd"/>
    </w:p>
    <w:p w14:paraId="325B90C0" w14:textId="77777777" w:rsidR="007F53FD" w:rsidRDefault="00A47804">
      <w:pPr>
        <w:pStyle w:val="PargrafodaLista"/>
      </w:pPr>
      <w:r>
        <w:t>Acesso sistemático ao sistema de controle de ponto ou a dados corporativos da vítima para monitorar horários e atividades</w:t>
      </w:r>
    </w:p>
    <w:p w14:paraId="7DCCF222" w14:textId="77777777" w:rsidR="007F53FD" w:rsidRDefault="00A47804">
      <w:pPr>
        <w:pStyle w:val="PargrafodaLista"/>
      </w:pPr>
      <w:r>
        <w:t>Uso de colegas como intermediários para manter contato com a vítima após recusa direta</w:t>
      </w:r>
    </w:p>
    <w:p w14:paraId="3A720122" w14:textId="77777777" w:rsidR="007F53FD" w:rsidRDefault="00A47804">
      <w:pPr>
        <w:pStyle w:val="PargrafodaLista"/>
      </w:pPr>
      <w:r>
        <w:t>Convocação de reuniões funcionais sem pauta real, como pretexto para contato forçado</w:t>
      </w:r>
    </w:p>
    <w:p w14:paraId="42A235B7" w14:textId="77777777" w:rsidR="007F53FD" w:rsidRDefault="00A47804">
      <w:pPr>
        <w:pStyle w:val="PargrafodaLista"/>
      </w:pPr>
      <w:r>
        <w:t>Seguimento sistemático da vítima dentro do ambiente da repartição, monitoramento de deslocamentos</w:t>
      </w:r>
    </w:p>
    <w:p w14:paraId="63F38871" w14:textId="77777777" w:rsidR="007F53FD" w:rsidRDefault="00A47804">
      <w:pPr>
        <w:pStyle w:val="Ttulo3"/>
      </w:pPr>
      <w:r>
        <w:t>Não satisfaz a condição, responda NÃO</w:t>
      </w:r>
    </w:p>
    <w:p w14:paraId="10C64486" w14:textId="77777777" w:rsidR="007F53FD" w:rsidRDefault="00A47804">
      <w:pPr>
        <w:pStyle w:val="PargrafodaLista"/>
      </w:pPr>
      <w:r>
        <w:t>Episódio único de contato indesejado, por mais grave que seja, não configura padrão</w:t>
      </w:r>
    </w:p>
    <w:p w14:paraId="213F8A9E" w14:textId="77777777" w:rsidR="007F53FD" w:rsidRDefault="00A47804">
      <w:pPr>
        <w:pStyle w:val="PargrafodaLista"/>
      </w:pPr>
      <w:r>
        <w:t>Contato profissional necessário dentro de atribuições funcionais regulares, mesmo que incômodo para a vítima</w:t>
      </w:r>
    </w:p>
    <w:p w14:paraId="1DB5A33F" w14:textId="77777777" w:rsidR="007F53FD" w:rsidRDefault="00A47804">
      <w:pPr>
        <w:pStyle w:val="PargrafodaLista"/>
      </w:pPr>
      <w:r>
        <w:t>Conflito interpessoal sem padrão persecutório identificável</w:t>
      </w:r>
    </w:p>
    <w:p w14:paraId="5C44652D" w14:textId="77777777" w:rsidR="007F53FD" w:rsidRDefault="00A47804">
      <w:pPr>
        <w:pStyle w:val="Ttulo3"/>
      </w:pPr>
      <w:r>
        <w:t>O que buscar nos autos</w:t>
      </w:r>
    </w:p>
    <w:p w14:paraId="46EA5F84" w14:textId="77777777" w:rsidR="007F53FD" w:rsidRDefault="00A47804">
      <w:pPr>
        <w:pStyle w:val="PargrafodaLista"/>
      </w:pPr>
      <w:r>
        <w:t>Histórico completo de mensagens institucionais entre as partes, com datas e frequência</w:t>
      </w:r>
    </w:p>
    <w:p w14:paraId="285F2192" w14:textId="77777777" w:rsidR="007F53FD" w:rsidRDefault="00A47804">
      <w:pPr>
        <w:pStyle w:val="PargrafodaLista"/>
      </w:pPr>
      <w:r>
        <w:lastRenderedPageBreak/>
        <w:t>Logs de acesso do agressor a sistemas corporativos que registrem consulta a dados da vítima</w:t>
      </w:r>
    </w:p>
    <w:p w14:paraId="6497B6FA" w14:textId="77777777" w:rsidR="007F53FD" w:rsidRDefault="00A47804">
      <w:pPr>
        <w:pStyle w:val="PargrafodaLista"/>
      </w:pPr>
      <w:r>
        <w:t>Registros de câmeras de segurança que documentem presença repetida do agressor na área da vítima</w:t>
      </w:r>
    </w:p>
    <w:p w14:paraId="2B5385F7" w14:textId="77777777" w:rsidR="007F53FD" w:rsidRDefault="00A47804">
      <w:pPr>
        <w:pStyle w:val="PargrafodaLista"/>
      </w:pPr>
      <w:r>
        <w:t>Relato da vítima com identificação precisa de cada episódio: data, hora, meio, conteúdo e reação</w:t>
      </w:r>
    </w:p>
    <w:p w14:paraId="3E4712D9" w14:textId="77777777" w:rsidR="007F53FD" w:rsidRDefault="00A47804">
      <w:pPr>
        <w:pStyle w:val="PargrafodaLista"/>
      </w:pPr>
      <w:r>
        <w:t>Depoimentos de testemunhas que presenciaram episódios ou que foram abordados como intermediários</w:t>
      </w:r>
    </w:p>
    <w:p w14:paraId="47AAD890" w14:textId="77777777" w:rsidR="007F53FD" w:rsidRDefault="00A47804">
      <w:pPr>
        <w:pStyle w:val="PargrafodaLista"/>
      </w:pPr>
      <w:r>
        <w:t>Registros dos pedidos de cessação e da resposta do agressor, especialmente se o padrão escalou após os pedidos</w:t>
      </w:r>
    </w:p>
    <w:p w14:paraId="0042DBF7" w14:textId="77777777" w:rsidR="007F53FD" w:rsidRDefault="007F53FD"/>
    <w:p w14:paraId="1FFD496E" w14:textId="77777777" w:rsidR="007F53FD" w:rsidRDefault="00A47804">
      <w:r>
        <w:t>URGÊNCIA: preserve logs de sistemas, histórico de mensagens e registros de câmeras imediatamente, antes de qualquer outra providência. Esses registros têm prazo de retenção limitado e podem ser apagados automaticamente.</w:t>
      </w:r>
    </w:p>
    <w:p w14:paraId="52F6CB5E" w14:textId="77777777" w:rsidR="007F53FD" w:rsidRDefault="007F53FD"/>
    <w:p w14:paraId="60E4A52C" w14:textId="77777777" w:rsidR="007F53FD" w:rsidRDefault="00A47804">
      <w:r>
        <w:rPr>
          <w:b/>
        </w:rPr>
        <w:t xml:space="preserve">Alerta, ato único não é </w:t>
      </w:r>
      <w:proofErr w:type="spellStart"/>
      <w:r>
        <w:rPr>
          <w:b/>
        </w:rPr>
        <w:t>stalking</w:t>
      </w:r>
      <w:proofErr w:type="spellEnd"/>
      <w:r>
        <w:rPr>
          <w:b/>
        </w:rPr>
        <w:t xml:space="preserve">: </w:t>
      </w:r>
      <w:r>
        <w:t xml:space="preserve">não enquadre no Eixo 8 por episódio único, mesmo que grave ou perturbador. O ato único isolado pode configurar ameaça (Eixo 2), violência verbal (Eixo 7) ou outros tipos, mas não </w:t>
      </w:r>
      <w:proofErr w:type="spellStart"/>
      <w:r>
        <w:t>stalking</w:t>
      </w:r>
      <w:proofErr w:type="spellEnd"/>
      <w:r>
        <w:t>, que exige reiteração como elemento constitutivo.</w:t>
      </w:r>
    </w:p>
    <w:p w14:paraId="3EA16286" w14:textId="77777777" w:rsidR="007F53FD" w:rsidRDefault="007F53FD"/>
    <w:p w14:paraId="504D8AD7" w14:textId="77777777" w:rsidR="007F53FD" w:rsidRDefault="00A47804">
      <w:r>
        <w:rPr>
          <w:b/>
        </w:rPr>
        <w:t xml:space="preserve">SIM → </w:t>
      </w:r>
      <w:r>
        <w:t>P2</w:t>
      </w:r>
    </w:p>
    <w:p w14:paraId="49D443FB" w14:textId="77777777" w:rsidR="007F53FD" w:rsidRDefault="00A47804">
      <w:r>
        <w:rPr>
          <w:b/>
        </w:rPr>
        <w:t xml:space="preserve">NÃO → </w:t>
      </w:r>
      <w:r>
        <w:t xml:space="preserve">Resultado D, episódio isolado, fora do âmbito do </w:t>
      </w:r>
      <w:proofErr w:type="spellStart"/>
      <w:r>
        <w:t>stalking</w:t>
      </w:r>
      <w:proofErr w:type="spellEnd"/>
      <w:r>
        <w:t xml:space="preserve"> funcional. Analisar nos Eixos 2, 3 ou 7 conforme a natureza do conteúdo.</w:t>
      </w:r>
    </w:p>
    <w:p w14:paraId="6F40C0E8" w14:textId="77777777" w:rsidR="007F53FD" w:rsidRDefault="007F53FD"/>
    <w:p w14:paraId="2235847C" w14:textId="77777777" w:rsidR="007F53FD" w:rsidRDefault="00A47804">
      <w:pPr>
        <w:pStyle w:val="Ttulo2"/>
      </w:pPr>
      <w:bookmarkStart w:id="188" w:name="_Toc238022177"/>
      <w:r>
        <w:t>P2, O padrão persecutório apresenta nexo funcional — praticado por meio institucional, com uso de recursos funcionais, ou com repercussão funcional demonstrável?</w:t>
      </w:r>
      <w:bookmarkEnd w:id="188"/>
    </w:p>
    <w:p w14:paraId="7A285ACA" w14:textId="77777777" w:rsidR="007F53FD" w:rsidRDefault="00A47804">
      <w:pPr>
        <w:pStyle w:val="Ttulo3"/>
      </w:pPr>
      <w:r>
        <w:t>O que avaliar</w:t>
      </w:r>
    </w:p>
    <w:p w14:paraId="792FFE1A" w14:textId="77777777" w:rsidR="007F53FD" w:rsidRDefault="00A47804">
      <w:r>
        <w:t>A pergunta central é: o padrão ingressa no âmbito disciplinar, seja pelo meio empregado, seja pelos efeitos produzidos? As duas vias são autônomas e qualquer delas basta.</w:t>
      </w:r>
    </w:p>
    <w:p w14:paraId="41341C10" w14:textId="77777777" w:rsidR="007F53FD" w:rsidRDefault="00A47804">
      <w:r>
        <w:t>Nexo pelo meio. Mensagens por canais institucionais, presença repetida e não justificada na área de trabalho da vítima, acesso a sistemas corporativos para monitorar horários ou dados pessoais, emprego de colegas como intermediários, vigilância por câmeras ou por sistemas de controle de acesso.</w:t>
      </w:r>
    </w:p>
    <w:p w14:paraId="07256BF4" w14:textId="77777777" w:rsidR="007F53FD" w:rsidRDefault="00A47804">
      <w:r>
        <w:t>Nexo pelo efeito. A perseguição praticada por canal privado — aplicativo pessoal, rede social, seguimento físico fora da repartição — satisfaz igualmente o elemento quando produz repercussão demonstrável sobre o ambiente ou as condições de trabalho da vítima: pedido de remoção, alteração de rotina para evitar o agressor, afastamento, comprometimento do desempenho.</w:t>
      </w:r>
    </w:p>
    <w:p w14:paraId="41AB36D3" w14:textId="77777777" w:rsidR="007F53FD" w:rsidRDefault="00A47804">
      <w:r>
        <w:t>O meio privado não afasta o ilícito disciplinar. Afasta apenas o patamar do art. 117, IX, aferido em P3, que exige o emprego de prerrogativa que somente o cargo confere. Documentar os efeitos do padrão sobre o ambiente e as condições de trabalho da vítima é o que conecta a conduta privada ao ilícito disciplinar.</w:t>
      </w:r>
    </w:p>
    <w:p w14:paraId="6063058E" w14:textId="77777777" w:rsidR="007F53FD" w:rsidRDefault="00A47804">
      <w:r>
        <w:t>Meios funcionais que estabelecem conexão: e-mail institucional; sistema de mensagens corporativo; sistema de controle de ponto ou acesso; sistemas de dados do órgão; reuniões de trabalho; espaços físicos da repartição; câmeras ou recursos de monitoramento institucionais.</w:t>
      </w:r>
    </w:p>
    <w:p w14:paraId="51D90EAC" w14:textId="77777777" w:rsidR="007F53FD" w:rsidRDefault="00A47804">
      <w:r>
        <w:t>Repercussão funcional que estabelece conexão quando os meios são privados: a vítima passou a evitar espaços da repartição por medo de encontrar o agressor; a vítima pediu transferência de setor ou unidade para escapar do contato diário obrigatório; a vítima apresenta laudo psicológico documentando que o estado de hipervigilância afeta seu desempenho no trabalho; a vítima modificou horários de entrada e saída para reduzir o contato com o agressor; a vítima passou a incluir sistematicamente terceiros em inter</w:t>
      </w:r>
      <w:r>
        <w:t>ações que antes seriam bilaterais, para evitar ficar a sós com o agressor no ambiente de trabalho.</w:t>
      </w:r>
    </w:p>
    <w:p w14:paraId="0F14C084" w14:textId="77777777" w:rsidR="007F53FD" w:rsidRDefault="00A47804">
      <w:pPr>
        <w:pStyle w:val="Ttulo3"/>
      </w:pPr>
      <w:r>
        <w:t>Satisfaz a condição, responda SIM</w:t>
      </w:r>
    </w:p>
    <w:p w14:paraId="2A2A4E3D" w14:textId="77777777" w:rsidR="007F53FD" w:rsidRDefault="00A47804">
      <w:pPr>
        <w:pStyle w:val="PargrafodaLista"/>
      </w:pPr>
      <w:r>
        <w:t>Perseguição por meios funcionais: e-mail institucional, mensagens corporativas, sistemas do órgão, ambiente físico da repartição</w:t>
      </w:r>
    </w:p>
    <w:p w14:paraId="34083C2C" w14:textId="77777777" w:rsidR="007F53FD" w:rsidRDefault="00A47804">
      <w:pPr>
        <w:pStyle w:val="PargrafodaLista"/>
      </w:pPr>
      <w:r>
        <w:lastRenderedPageBreak/>
        <w:t>Perseguição por meios privados (WhatsApp, redes sociais, seguimento externo) com repercussão funcional demonstrável: laudo, pedido de transferência, alteração de rotinas na repartição, afastamento médico com conexão ao padrão</w:t>
      </w:r>
    </w:p>
    <w:p w14:paraId="3AF93ECC" w14:textId="77777777" w:rsidR="007F53FD" w:rsidRDefault="00A47804">
      <w:pPr>
        <w:pStyle w:val="Ttulo3"/>
      </w:pPr>
      <w:r>
        <w:t>Não satisfaz a condição, responda NÃO</w:t>
      </w:r>
    </w:p>
    <w:p w14:paraId="06EAF7A6" w14:textId="77777777" w:rsidR="007F53FD" w:rsidRDefault="00A47804">
      <w:pPr>
        <w:pStyle w:val="PargrafodaLista"/>
      </w:pPr>
      <w:r>
        <w:t xml:space="preserve">Perseguição inteiramente por meios privados, entre pessoas que mantêm relação </w:t>
      </w:r>
      <w:proofErr w:type="gramStart"/>
      <w:r>
        <w:t>funcional</w:t>
      </w:r>
      <w:proofErr w:type="gramEnd"/>
      <w:r>
        <w:t xml:space="preserve"> mas cuja perseguição ocorre completamente fora do ambiente de trabalho e sem qualquer repercussão funcional demonstrável</w:t>
      </w:r>
    </w:p>
    <w:p w14:paraId="7F2B3F1E" w14:textId="77777777" w:rsidR="007F53FD" w:rsidRDefault="00A47804">
      <w:pPr>
        <w:pStyle w:val="Ttulo3"/>
      </w:pPr>
      <w:r>
        <w:t>O que buscar nos autos</w:t>
      </w:r>
    </w:p>
    <w:p w14:paraId="39215B5C" w14:textId="77777777" w:rsidR="007F53FD" w:rsidRDefault="00A47804">
      <w:pPr>
        <w:pStyle w:val="PargrafodaLista"/>
      </w:pPr>
      <w:r>
        <w:t>Canal por meio do qual cada episódio ocorreu: institucional ou privado?</w:t>
      </w:r>
    </w:p>
    <w:p w14:paraId="4FBA9CD5" w14:textId="77777777" w:rsidR="007F53FD" w:rsidRDefault="00A47804">
      <w:pPr>
        <w:pStyle w:val="PargrafodaLista"/>
      </w:pPr>
      <w:r>
        <w:t>Quando os meios são privados: laudo, pedido de transferência, relato de alteração de rotinas na repartição, atestado médico com conexão temporal ao padrão</w:t>
      </w:r>
    </w:p>
    <w:p w14:paraId="451F6B00" w14:textId="77777777" w:rsidR="007F53FD" w:rsidRDefault="00A47804">
      <w:pPr>
        <w:pStyle w:val="PargrafodaLista"/>
      </w:pPr>
      <w:r>
        <w:t>Depoimentos de colegas que observaram alterações no comportamento da vítima no ambiente de trabalho</w:t>
      </w:r>
    </w:p>
    <w:p w14:paraId="6158ADBF" w14:textId="77777777" w:rsidR="007F53FD" w:rsidRDefault="007F53FD"/>
    <w:p w14:paraId="220E74EB" w14:textId="77777777" w:rsidR="007F53FD" w:rsidRDefault="00A47804">
      <w:r>
        <w:rPr>
          <w:b/>
        </w:rPr>
        <w:t xml:space="preserve">Alerta, meio privado não afasta o ilícito disciplinar: </w:t>
      </w:r>
      <w:r>
        <w:t xml:space="preserve">quando os meios são </w:t>
      </w:r>
      <w:proofErr w:type="gramStart"/>
      <w:r>
        <w:t>privados</w:t>
      </w:r>
      <w:proofErr w:type="gramEnd"/>
      <w:r>
        <w:t xml:space="preserve"> mas há repercussão funcional demonstrável, o enquadramento disciplinar no art. 116, IX é plenamente cabível. A ausência de meio funcional afasta apenas o Resultado A (art. 117, IX), não o Resultado B (art. 116, IX). Documente expressamente a repercussão funcional quando os meios forem privados.</w:t>
      </w:r>
    </w:p>
    <w:p w14:paraId="1FA830DE" w14:textId="77777777" w:rsidR="007F53FD" w:rsidRDefault="007F53FD"/>
    <w:p w14:paraId="126771CB" w14:textId="77777777" w:rsidR="007F53FD" w:rsidRDefault="00A47804">
      <w:r>
        <w:rPr>
          <w:b/>
        </w:rPr>
        <w:t xml:space="preserve">SIM → </w:t>
      </w:r>
      <w:r>
        <w:t>P3</w:t>
      </w:r>
    </w:p>
    <w:p w14:paraId="2585349E" w14:textId="77777777" w:rsidR="007F53FD" w:rsidRDefault="00A47804">
      <w:r>
        <w:rPr>
          <w:b/>
        </w:rPr>
        <w:t xml:space="preserve">NÃO → </w:t>
      </w:r>
      <w:r>
        <w:t>Resultado C, sem nexo funcional, arquivamento no plano disciplinar com comunicação ao Ministério Público</w:t>
      </w:r>
    </w:p>
    <w:p w14:paraId="024049E6" w14:textId="77777777" w:rsidR="007F53FD" w:rsidRDefault="007F53FD"/>
    <w:p w14:paraId="775FAE61" w14:textId="77777777" w:rsidR="00B10998" w:rsidRDefault="00B10998">
      <w:pPr>
        <w:pStyle w:val="Ttulo2"/>
        <w:keepNext/>
        <w:pBdr>
          <w:left w:val="single" w:sz="10" w:space="6" w:color="C9A35C"/>
        </w:pBdr>
      </w:pPr>
      <w:bookmarkStart w:id="189" w:name="_Toc238022178"/>
      <w:r>
        <w:t>P3, O agressor utilizou prerrogativas funcionais específicas como instrumento da perseguição?</w:t>
      </w:r>
      <w:bookmarkEnd w:id="189"/>
    </w:p>
    <w:p w14:paraId="2CB1B76D" w14:textId="77777777" w:rsidR="00B10998" w:rsidRDefault="00B10998">
      <w:pPr>
        <w:pStyle w:val="Ttulo3"/>
        <w:keepNext/>
      </w:pPr>
      <w:r>
        <w:rPr>
          <w:rFonts w:ascii="Calibri" w:eastAsia="Calibri" w:hAnsi="Calibri" w:cs="Calibri"/>
        </w:rPr>
        <w:t>O que avaliar</w:t>
      </w:r>
    </w:p>
    <w:p w14:paraId="38D6A8A4" w14:textId="77777777" w:rsidR="00B10998" w:rsidRDefault="00B10998">
      <w:pPr>
        <w:spacing w:after="120"/>
        <w:jc w:val="both"/>
      </w:pPr>
      <w:r>
        <w:rPr>
          <w:rFonts w:ascii="Calibri" w:eastAsia="Calibri" w:hAnsi="Calibri" w:cs="Calibri"/>
          <w:color w:val="051A3D"/>
          <w:sz w:val="22"/>
          <w:szCs w:val="22"/>
        </w:rPr>
        <w:t xml:space="preserve">A pergunta central é: </w:t>
      </w:r>
      <w:r>
        <w:rPr>
          <w:rFonts w:ascii="Calibri" w:eastAsia="Calibri" w:hAnsi="Calibri" w:cs="Calibri"/>
          <w:b/>
          <w:bCs/>
          <w:color w:val="051A3D"/>
          <w:sz w:val="22"/>
          <w:szCs w:val="22"/>
        </w:rPr>
        <w:t>o agressor fez algo que apenas o cargo lhe permite fazer?</w:t>
      </w:r>
      <w:r>
        <w:rPr>
          <w:rFonts w:ascii="Calibri" w:eastAsia="Calibri" w:hAnsi="Calibri" w:cs="Calibri"/>
          <w:color w:val="051A3D"/>
          <w:sz w:val="22"/>
          <w:szCs w:val="22"/>
        </w:rPr>
        <w:t xml:space="preserve"> Esta é a pergunta que determina o patamar do enquadramento, não a existência do ilícito, que já foi estabelecida em P1 e P2. O critério decisivo não é o meio empregado (institucional vs. privado) mas a exclusividade: o agressor se valeu de algo que apenas as prerrogativas do cargo conferem, ou usou meios disponíveis a qualquer servidor sem cargo específico?</w:t>
      </w:r>
    </w:p>
    <w:p w14:paraId="1E105F77" w14:textId="77777777" w:rsidR="00B10998" w:rsidRDefault="00B10998">
      <w:pPr>
        <w:spacing w:after="120"/>
        <w:jc w:val="both"/>
      </w:pPr>
      <w:r>
        <w:rPr>
          <w:rFonts w:ascii="Calibri" w:eastAsia="Calibri" w:hAnsi="Calibri" w:cs="Calibri"/>
          <w:color w:val="051A3D"/>
          <w:sz w:val="22"/>
          <w:szCs w:val="22"/>
        </w:rPr>
        <w:t xml:space="preserve">A distinção é importante porque o e-mail institucional está disponível a qualquer servidor, usá-lo para perseguição é ilícito, mas não configura 'valimento do cargo' no sentido do art. 117, IX. O que configura valimento é o uso de prerrogativa </w:t>
      </w:r>
      <w:r>
        <w:rPr>
          <w:rFonts w:ascii="Calibri" w:eastAsia="Calibri" w:hAnsi="Calibri" w:cs="Calibri"/>
          <w:b/>
          <w:bCs/>
          <w:color w:val="051A3D"/>
          <w:sz w:val="22"/>
          <w:szCs w:val="22"/>
        </w:rPr>
        <w:t>específica</w:t>
      </w:r>
      <w:r>
        <w:rPr>
          <w:rFonts w:ascii="Calibri" w:eastAsia="Calibri" w:hAnsi="Calibri" w:cs="Calibri"/>
          <w:color w:val="051A3D"/>
          <w:sz w:val="22"/>
          <w:szCs w:val="22"/>
        </w:rPr>
        <w:t xml:space="preserve"> do cargo: a credencial que dá acesso ao sistema de ponto ou a dados pessoais; o poder hierárquico que autoriza a presença em área restrita; a autoridade de chefia que permite convocar reuniões e garantir contato forçado com a vítima.</w:t>
      </w:r>
    </w:p>
    <w:p w14:paraId="752B216F" w14:textId="77777777" w:rsidR="00B10998" w:rsidRDefault="00B10998">
      <w:pPr>
        <w:pStyle w:val="Ttulo3"/>
        <w:keepNext/>
      </w:pPr>
      <w:r>
        <w:rPr>
          <w:rFonts w:ascii="Calibri" w:eastAsia="Calibri" w:hAnsi="Calibri" w:cs="Calibri"/>
        </w:rPr>
        <w:t>Satisfaz a condição, responda SIM</w:t>
      </w:r>
    </w:p>
    <w:p w14:paraId="12AE8AED"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t>Agressor acessa o sistema de controle de ponto ou de dados pessoais da vítima usando credencial específica da função, o que apenas o cargo lhe permite</w:t>
      </w:r>
    </w:p>
    <w:p w14:paraId="4D145347"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t>Agressor usa o poder hierárquico para justificar ou garantir presença na área de trabalho da vítima, em situações que outros servidores sem cargo não poderiam justificar</w:t>
      </w:r>
    </w:p>
    <w:p w14:paraId="1FCBB8F1"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t>Agressor convoca reuniões funcionais formais, usando a autoridade de chefia, como pretexto para contato forçado com a vítima</w:t>
      </w:r>
    </w:p>
    <w:p w14:paraId="6582A979"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lastRenderedPageBreak/>
        <w:t>Agressor acessa dados corporativos da vítima (histórico funcional, avaliações, informações pessoais) usando credencial de acesso privilegiado conferida pelo cargo</w:t>
      </w:r>
    </w:p>
    <w:p w14:paraId="60AC8270" w14:textId="77777777" w:rsidR="00B10998" w:rsidRDefault="00B10998">
      <w:pPr>
        <w:pStyle w:val="Ttulo3"/>
        <w:keepNext/>
      </w:pPr>
      <w:r>
        <w:rPr>
          <w:rFonts w:ascii="Calibri" w:eastAsia="Calibri" w:hAnsi="Calibri" w:cs="Calibri"/>
        </w:rPr>
        <w:t>Não satisfaz a condição, responda NÃO</w:t>
      </w:r>
    </w:p>
    <w:p w14:paraId="5514E9B7"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t>Agressor usa e-mail institucional ou canais corporativos disponíveis a qualquer servidor, sem prerrogativa exclusiva do cargo</w:t>
      </w:r>
    </w:p>
    <w:p w14:paraId="1E56E1F5"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t>Agressor frequenta corredores comuns, refeitório ou espaços coletivos da repartição sem qualquer uso de prerrogativa funcional</w:t>
      </w:r>
    </w:p>
    <w:p w14:paraId="06272AA1"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t>Agressor e vítima são pares sem relação de hierarquia, não há prerrogativa de cargo para instrumentalizar</w:t>
      </w:r>
    </w:p>
    <w:p w14:paraId="279B25ED"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t>A perseguição ocorre exclusivamente por meios privados, mesmo que haja nexo funcional</w:t>
      </w:r>
    </w:p>
    <w:p w14:paraId="060ABADC" w14:textId="77777777" w:rsidR="00B10998" w:rsidRDefault="00B10998">
      <w:pPr>
        <w:pStyle w:val="Ttulo3"/>
        <w:keepNext/>
      </w:pPr>
      <w:r>
        <w:rPr>
          <w:rFonts w:ascii="Calibri" w:eastAsia="Calibri" w:hAnsi="Calibri" w:cs="Calibri"/>
        </w:rPr>
        <w:t>O que buscar nos autos</w:t>
      </w:r>
    </w:p>
    <w:p w14:paraId="64AF4184"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t>Identificação precisa da prerrogativa funcional empregada: qual sistema, qual credencial, qual poder de chefia foi usado?</w:t>
      </w:r>
    </w:p>
    <w:p w14:paraId="32715C9D"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t>Logs de acesso com identificação do perfil do usuário que realizou as consultas aos dados da vítima</w:t>
      </w:r>
    </w:p>
    <w:p w14:paraId="41FACFF2"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t>Atas de reunião convocadas pelo agressor sem pauta funcional real</w:t>
      </w:r>
    </w:p>
    <w:p w14:paraId="4E0859BE" w14:textId="77777777" w:rsidR="00B10998" w:rsidRDefault="00B10998">
      <w:pPr>
        <w:pStyle w:val="PargrafodaLista"/>
        <w:numPr>
          <w:ilvl w:val="0"/>
          <w:numId w:val="30"/>
        </w:numPr>
        <w:spacing w:after="80" w:line="240" w:lineRule="auto"/>
        <w:jc w:val="both"/>
      </w:pPr>
      <w:r>
        <w:rPr>
          <w:rFonts w:ascii="Calibri" w:eastAsia="Calibri" w:hAnsi="Calibri" w:cs="Calibri"/>
          <w:color w:val="051A3D"/>
          <w:sz w:val="22"/>
          <w:szCs w:val="22"/>
        </w:rPr>
        <w:t>Testemunhos sobre uso de autoridade hierárquica para justificar presença na área da vítima</w:t>
      </w:r>
    </w:p>
    <w:p w14:paraId="3167BE44"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02462FB5"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73FB1449" w14:textId="77777777" w:rsidR="00B10998" w:rsidRDefault="00B10998">
            <w:pPr>
              <w:jc w:val="both"/>
            </w:pPr>
            <w:r>
              <w:rPr>
                <w:rFonts w:ascii="Calibri" w:eastAsia="Calibri" w:hAnsi="Calibri" w:cs="Calibri"/>
                <w:b/>
                <w:bCs/>
                <w:color w:val="0B2C5F"/>
                <w:sz w:val="20"/>
                <w:szCs w:val="20"/>
              </w:rPr>
              <w:t>Alerta, e-mail institucional não é prerrogativa exclusiva do cargo:</w:t>
            </w:r>
            <w:r>
              <w:rPr>
                <w:rFonts w:ascii="Calibri" w:eastAsia="Calibri" w:hAnsi="Calibri" w:cs="Calibri"/>
                <w:color w:val="051A3D"/>
                <w:sz w:val="20"/>
                <w:szCs w:val="20"/>
              </w:rPr>
              <w:t xml:space="preserve"> o e-mail institucional está disponível a qualquer servidor. Usá-lo para perseguição é ilícito (Resultado B), mas não constitui valimento do cargo para fins do art. 117, IX (Resultado A). Identifique com precisão qual prerrogativa específica foi empregada antes de marcar SIM.</w:t>
            </w:r>
          </w:p>
        </w:tc>
      </w:tr>
    </w:tbl>
    <w:p w14:paraId="59A0D78B"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7E3EE4A1" w14:textId="77777777">
        <w:tc>
          <w:tcPr>
            <w:tcW w:w="9638" w:type="dxa"/>
            <w:tcBorders>
              <w:top w:val="single" w:sz="6" w:space="0" w:color="B42318"/>
              <w:left w:val="single" w:sz="18" w:space="0" w:color="B42318"/>
              <w:bottom w:val="single" w:sz="6" w:space="0" w:color="B42318"/>
            </w:tcBorders>
            <w:shd w:val="clear" w:color="auto" w:fill="FFF0F0"/>
            <w:tcMar>
              <w:top w:w="100" w:type="dxa"/>
              <w:left w:w="180" w:type="dxa"/>
              <w:bottom w:w="100" w:type="dxa"/>
              <w:right w:w="180" w:type="dxa"/>
            </w:tcMar>
          </w:tcPr>
          <w:p w14:paraId="0A79D076" w14:textId="77777777" w:rsidR="00B10998" w:rsidRDefault="00B10998">
            <w:pPr>
              <w:jc w:val="both"/>
            </w:pPr>
            <w:r>
              <w:rPr>
                <w:rFonts w:ascii="Calibri" w:eastAsia="Calibri" w:hAnsi="Calibri" w:cs="Calibri"/>
                <w:b/>
                <w:bCs/>
                <w:color w:val="B42318"/>
                <w:sz w:val="20"/>
                <w:szCs w:val="20"/>
              </w:rPr>
              <w:t>Alerta, providências imediatas obrigatórias (independentemente do resultado):</w:t>
            </w:r>
            <w:r>
              <w:rPr>
                <w:rFonts w:ascii="Calibri" w:eastAsia="Calibri" w:hAnsi="Calibri" w:cs="Calibri"/>
                <w:color w:val="051A3D"/>
                <w:sz w:val="20"/>
                <w:szCs w:val="20"/>
              </w:rPr>
              <w:t xml:space="preserve"> (1) avaliar medidas cautelares de proteção à vítima, afastamento preventivo do agressor, restrição de acesso a sistemas nos quais monitorou a vítima; (2) comunicar ao MP quando satisfeitos os elementos do art. 147-A do CP, as instâncias penal e disciplinar são independentes; (3) comunicar à autoridade de dados (LGPD) quando houve acesso indevido a dados pessoais por sistemas corporativos; (4) avaliar cumulatividade com Eixo 5 (Assédio Moral) quando o padrão produziu impacto psicológico documentável. O </w:t>
            </w:r>
            <w:proofErr w:type="spellStart"/>
            <w:r>
              <w:rPr>
                <w:rFonts w:ascii="Calibri" w:eastAsia="Calibri" w:hAnsi="Calibri" w:cs="Calibri"/>
                <w:color w:val="051A3D"/>
                <w:sz w:val="20"/>
                <w:szCs w:val="20"/>
              </w:rPr>
              <w:t>stalking</w:t>
            </w:r>
            <w:proofErr w:type="spellEnd"/>
            <w:r>
              <w:rPr>
                <w:rFonts w:ascii="Calibri" w:eastAsia="Calibri" w:hAnsi="Calibri" w:cs="Calibri"/>
                <w:color w:val="051A3D"/>
                <w:sz w:val="20"/>
                <w:szCs w:val="20"/>
              </w:rPr>
              <w:t xml:space="preserve"> tende à escalada, não aguarde a conclusão do PAD para adotar medidas cautelares.</w:t>
            </w:r>
          </w:p>
        </w:tc>
      </w:tr>
    </w:tbl>
    <w:p w14:paraId="4DD5E34F" w14:textId="77777777" w:rsidR="00B10998" w:rsidRDefault="00B10998">
      <w:pPr>
        <w:spacing w:before="80"/>
      </w:pPr>
    </w:p>
    <w:p w14:paraId="217E1A0E" w14:textId="77777777" w:rsidR="00B10998" w:rsidRDefault="00B10998">
      <w:pPr>
        <w:spacing w:before="80" w:after="60"/>
      </w:pPr>
      <w:r>
        <w:rPr>
          <w:rFonts w:ascii="Calibri" w:eastAsia="Calibri" w:hAnsi="Calibri" w:cs="Calibri"/>
          <w:b/>
          <w:bCs/>
          <w:color w:val="1F7A4C"/>
          <w:sz w:val="22"/>
          <w:szCs w:val="22"/>
        </w:rPr>
        <w:t xml:space="preserve">SIM → </w:t>
      </w:r>
      <w:r>
        <w:rPr>
          <w:rFonts w:ascii="Calibri" w:eastAsia="Calibri" w:hAnsi="Calibri" w:cs="Calibri"/>
          <w:color w:val="051A3D"/>
          <w:sz w:val="22"/>
          <w:szCs w:val="22"/>
        </w:rPr>
        <w:t xml:space="preserve">GATE → Resultado A, </w:t>
      </w:r>
      <w:proofErr w:type="spellStart"/>
      <w:r>
        <w:rPr>
          <w:rFonts w:ascii="Calibri" w:eastAsia="Calibri" w:hAnsi="Calibri" w:cs="Calibri"/>
          <w:color w:val="051A3D"/>
          <w:sz w:val="22"/>
          <w:szCs w:val="22"/>
        </w:rPr>
        <w:t>stalking</w:t>
      </w:r>
      <w:proofErr w:type="spellEnd"/>
      <w:r>
        <w:rPr>
          <w:rFonts w:ascii="Calibri" w:eastAsia="Calibri" w:hAnsi="Calibri" w:cs="Calibri"/>
          <w:color w:val="051A3D"/>
          <w:sz w:val="22"/>
          <w:szCs w:val="22"/>
        </w:rPr>
        <w:t xml:space="preserve"> com valimento do cargo, art. 117, IX, demissão</w:t>
      </w:r>
    </w:p>
    <w:p w14:paraId="7DBA4214" w14:textId="77777777" w:rsidR="00B10998" w:rsidRDefault="00B10998">
      <w:pPr>
        <w:spacing w:before="80" w:after="60"/>
      </w:pPr>
      <w:r>
        <w:rPr>
          <w:rFonts w:ascii="Calibri" w:eastAsia="Calibri" w:hAnsi="Calibri" w:cs="Calibri"/>
          <w:b/>
          <w:bCs/>
          <w:color w:val="0B2C5F"/>
          <w:sz w:val="22"/>
          <w:szCs w:val="22"/>
        </w:rPr>
        <w:t xml:space="preserve">NÃO → </w:t>
      </w:r>
      <w:r>
        <w:rPr>
          <w:rFonts w:ascii="Calibri" w:eastAsia="Calibri" w:hAnsi="Calibri" w:cs="Calibri"/>
          <w:color w:val="051A3D"/>
          <w:sz w:val="22"/>
          <w:szCs w:val="22"/>
        </w:rPr>
        <w:t xml:space="preserve">Resultado B, </w:t>
      </w:r>
      <w:proofErr w:type="spellStart"/>
      <w:r>
        <w:rPr>
          <w:rFonts w:ascii="Calibri" w:eastAsia="Calibri" w:hAnsi="Calibri" w:cs="Calibri"/>
          <w:color w:val="051A3D"/>
          <w:sz w:val="22"/>
          <w:szCs w:val="22"/>
        </w:rPr>
        <w:t>stalking</w:t>
      </w:r>
      <w:proofErr w:type="spellEnd"/>
      <w:r>
        <w:rPr>
          <w:rFonts w:ascii="Calibri" w:eastAsia="Calibri" w:hAnsi="Calibri" w:cs="Calibri"/>
          <w:color w:val="051A3D"/>
          <w:sz w:val="22"/>
          <w:szCs w:val="22"/>
        </w:rPr>
        <w:t xml:space="preserve"> funcional, conduta imprópria, art. 116, IX, suspensão</w:t>
      </w:r>
    </w:p>
    <w:p w14:paraId="6D8605E7" w14:textId="77777777" w:rsidR="00B10998" w:rsidRDefault="00B10998">
      <w:pPr>
        <w:pBdr>
          <w:bottom w:val="single" w:sz="4" w:space="1" w:color="C9A35C"/>
        </w:pBdr>
        <w:spacing w:before="200" w:after="200"/>
      </w:pPr>
    </w:p>
    <w:p w14:paraId="499D6CDF" w14:textId="77777777" w:rsidR="00B10998" w:rsidRDefault="00B10998">
      <w:pPr>
        <w:pStyle w:val="Ttulo3"/>
        <w:keepNext/>
      </w:pPr>
      <w:r>
        <w:t>Os quatro resultados possíveis do Eixo 8</w:t>
      </w:r>
    </w:p>
    <w:p w14:paraId="37668DE4" w14:textId="77777777" w:rsidR="00B10998" w:rsidRDefault="00B10998">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322FA89D" w14:textId="77777777">
        <w:tc>
          <w:tcPr>
            <w:tcW w:w="9638" w:type="dxa"/>
            <w:tcBorders>
              <w:top w:val="single" w:sz="6" w:space="0" w:color="B42318"/>
              <w:left w:val="single" w:sz="18" w:space="0" w:color="B42318"/>
              <w:bottom w:val="single" w:sz="6" w:space="0" w:color="B42318"/>
            </w:tcBorders>
            <w:shd w:val="clear" w:color="auto" w:fill="FFF5F5"/>
            <w:tcMar>
              <w:top w:w="120" w:type="dxa"/>
              <w:left w:w="200" w:type="dxa"/>
              <w:bottom w:w="120" w:type="dxa"/>
              <w:right w:w="200" w:type="dxa"/>
            </w:tcMar>
          </w:tcPr>
          <w:p w14:paraId="745E265D" w14:textId="77777777" w:rsidR="00B10998" w:rsidRDefault="00B10998">
            <w:pPr>
              <w:spacing w:after="80"/>
            </w:pPr>
            <w:r>
              <w:rPr>
                <w:rFonts w:ascii="Barlow Condensed" w:eastAsia="Barlow Condensed" w:hAnsi="Barlow Condensed" w:cs="Barlow Condensed"/>
                <w:b/>
                <w:bCs/>
                <w:color w:val="B42318"/>
                <w:sz w:val="24"/>
                <w:szCs w:val="24"/>
              </w:rPr>
              <w:t xml:space="preserve">Resultado A, </w:t>
            </w:r>
            <w:proofErr w:type="spellStart"/>
            <w:r>
              <w:rPr>
                <w:rFonts w:ascii="Barlow Condensed" w:eastAsia="Barlow Condensed" w:hAnsi="Barlow Condensed" w:cs="Barlow Condensed"/>
                <w:b/>
                <w:bCs/>
                <w:color w:val="0B2C5F"/>
                <w:sz w:val="24"/>
                <w:szCs w:val="24"/>
              </w:rPr>
              <w:t>Stalking</w:t>
            </w:r>
            <w:proofErr w:type="spellEnd"/>
            <w:r>
              <w:rPr>
                <w:rFonts w:ascii="Barlow Condensed" w:eastAsia="Barlow Condensed" w:hAnsi="Barlow Condensed" w:cs="Barlow Condensed"/>
                <w:b/>
                <w:bCs/>
                <w:color w:val="0B2C5F"/>
                <w:sz w:val="24"/>
                <w:szCs w:val="24"/>
              </w:rPr>
              <w:t xml:space="preserve"> com valimento do cargo</w:t>
            </w:r>
          </w:p>
          <w:p w14:paraId="5AF2A303" w14:textId="77777777" w:rsidR="00B10998" w:rsidRDefault="00B10998">
            <w:pPr>
              <w:spacing w:after="40"/>
            </w:pPr>
            <w:r>
              <w:rPr>
                <w:rFonts w:ascii="Calibri" w:eastAsia="Calibri" w:hAnsi="Calibri" w:cs="Calibri"/>
                <w:b/>
                <w:bCs/>
                <w:color w:val="0B2C5F"/>
                <w:sz w:val="20"/>
                <w:szCs w:val="20"/>
              </w:rPr>
              <w:lastRenderedPageBreak/>
              <w:t xml:space="preserve">Dispositivo: </w:t>
            </w:r>
            <w:r>
              <w:rPr>
                <w:rFonts w:ascii="Calibri" w:eastAsia="Calibri" w:hAnsi="Calibri" w:cs="Calibri"/>
                <w:color w:val="051A3D"/>
                <w:sz w:val="20"/>
                <w:szCs w:val="20"/>
              </w:rPr>
              <w:t>art. 117, IX, demissão por força do art. 132, XIII</w:t>
            </w:r>
          </w:p>
          <w:p w14:paraId="29649337"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Demissão, ato vinculado (Súmula 650/STJ)</w:t>
            </w:r>
          </w:p>
          <w:p w14:paraId="127078C1"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5 anos (art. 142, I)</w:t>
            </w:r>
          </w:p>
          <w:p w14:paraId="7FD53A6F" w14:textId="77777777" w:rsidR="00B10998" w:rsidRDefault="00B10998">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 xml:space="preserve">Acionar o </w:t>
            </w:r>
            <w:proofErr w:type="spellStart"/>
            <w:r>
              <w:rPr>
                <w:rFonts w:ascii="Calibri" w:eastAsia="Calibri" w:hAnsi="Calibri" w:cs="Calibri"/>
                <w:color w:val="051A3D"/>
                <w:sz w:val="20"/>
                <w:szCs w:val="20"/>
              </w:rPr>
              <w:t>gate</w:t>
            </w:r>
            <w:proofErr w:type="spellEnd"/>
            <w:r>
              <w:rPr>
                <w:rFonts w:ascii="Calibri" w:eastAsia="Calibri" w:hAnsi="Calibri" w:cs="Calibri"/>
                <w:color w:val="051A3D"/>
                <w:sz w:val="20"/>
                <w:szCs w:val="20"/>
              </w:rPr>
              <w:t xml:space="preserve"> de confirmação demissória. Verificar: padrão reiterado demonstrado; nexo funcional ou repercussão funcional demonstrada; prerrogativa específica do cargo empregada como instrumento identificada e documentada. Adotar medidas cautelares imediatas de proteção à vítima e restrição de acesso do agressor aos sistemas. Comunicar ao MP pelo art. 147-A do CP. Comunicar à autoridade de dados quando houve acesso indevido (LGPD). Avaliar cumulatividade com Eixo 5.</w:t>
            </w:r>
          </w:p>
        </w:tc>
      </w:tr>
    </w:tbl>
    <w:p w14:paraId="69646547" w14:textId="77777777" w:rsidR="00B10998" w:rsidRDefault="00B10998">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74533EB4"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4B8E3141" w14:textId="77777777" w:rsidR="00B10998" w:rsidRDefault="00B10998">
            <w:pPr>
              <w:spacing w:after="80"/>
            </w:pPr>
            <w:r>
              <w:rPr>
                <w:rFonts w:ascii="Barlow Condensed" w:eastAsia="Barlow Condensed" w:hAnsi="Barlow Condensed" w:cs="Barlow Condensed"/>
                <w:b/>
                <w:bCs/>
                <w:color w:val="1F7A4C"/>
                <w:sz w:val="24"/>
                <w:szCs w:val="24"/>
              </w:rPr>
              <w:t xml:space="preserve">Resultado B, </w:t>
            </w:r>
            <w:proofErr w:type="spellStart"/>
            <w:r>
              <w:rPr>
                <w:rFonts w:ascii="Barlow Condensed" w:eastAsia="Barlow Condensed" w:hAnsi="Barlow Condensed" w:cs="Barlow Condensed"/>
                <w:b/>
                <w:bCs/>
                <w:color w:val="0B2C5F"/>
                <w:sz w:val="24"/>
                <w:szCs w:val="24"/>
              </w:rPr>
              <w:t>Stalking</w:t>
            </w:r>
            <w:proofErr w:type="spellEnd"/>
            <w:r>
              <w:rPr>
                <w:rFonts w:ascii="Barlow Condensed" w:eastAsia="Barlow Condensed" w:hAnsi="Barlow Condensed" w:cs="Barlow Condensed"/>
                <w:b/>
                <w:bCs/>
                <w:color w:val="0B2C5F"/>
                <w:sz w:val="24"/>
                <w:szCs w:val="24"/>
              </w:rPr>
              <w:t xml:space="preserve"> funcional, conduta imprópria</w:t>
            </w:r>
          </w:p>
          <w:p w14:paraId="29046A00" w14:textId="77777777" w:rsidR="00B10998" w:rsidRDefault="00B10998">
            <w:pPr>
              <w:spacing w:after="40"/>
            </w:pPr>
            <w:r>
              <w:rPr>
                <w:rFonts w:ascii="Calibri" w:eastAsia="Calibri" w:hAnsi="Calibri" w:cs="Calibri"/>
                <w:b/>
                <w:bCs/>
                <w:color w:val="0B2C5F"/>
                <w:sz w:val="20"/>
                <w:szCs w:val="20"/>
              </w:rPr>
              <w:t xml:space="preserve">Dispositivo: </w:t>
            </w:r>
            <w:r>
              <w:rPr>
                <w:rFonts w:ascii="Calibri" w:eastAsia="Calibri" w:hAnsi="Calibri" w:cs="Calibri"/>
                <w:color w:val="051A3D"/>
                <w:sz w:val="20"/>
                <w:szCs w:val="20"/>
              </w:rPr>
              <w:t>art. 116, IX, manter conduta compatível com a moralidade administrativa</w:t>
            </w:r>
          </w:p>
          <w:p w14:paraId="29633E3E" w14:textId="77777777" w:rsidR="00B10998" w:rsidRDefault="00B10998">
            <w:pPr>
              <w:spacing w:after="40"/>
            </w:pPr>
            <w:r>
              <w:rPr>
                <w:rFonts w:ascii="Calibri" w:eastAsia="Calibri" w:hAnsi="Calibri" w:cs="Calibri"/>
                <w:b/>
                <w:bCs/>
                <w:color w:val="0B2C5F"/>
                <w:sz w:val="20"/>
                <w:szCs w:val="20"/>
              </w:rPr>
              <w:t xml:space="preserve">Penalidade: </w:t>
            </w:r>
            <w:r>
              <w:rPr>
                <w:rFonts w:ascii="Calibri" w:eastAsia="Calibri" w:hAnsi="Calibri" w:cs="Calibri"/>
                <w:color w:val="051A3D"/>
                <w:sz w:val="20"/>
                <w:szCs w:val="20"/>
              </w:rPr>
              <w:t>Suspensão, conforme dosimetria</w:t>
            </w:r>
          </w:p>
          <w:p w14:paraId="5F57ABDC" w14:textId="77777777" w:rsidR="00B10998" w:rsidRDefault="00B10998">
            <w:pPr>
              <w:spacing w:after="40"/>
            </w:pPr>
            <w:r>
              <w:rPr>
                <w:rFonts w:ascii="Calibri" w:eastAsia="Calibri" w:hAnsi="Calibri" w:cs="Calibri"/>
                <w:b/>
                <w:bCs/>
                <w:color w:val="0B2C5F"/>
                <w:sz w:val="20"/>
                <w:szCs w:val="20"/>
              </w:rPr>
              <w:t xml:space="preserve">Prazo prescricional: </w:t>
            </w:r>
            <w:r>
              <w:rPr>
                <w:rFonts w:ascii="Calibri" w:eastAsia="Calibri" w:hAnsi="Calibri" w:cs="Calibri"/>
                <w:color w:val="051A3D"/>
                <w:sz w:val="20"/>
                <w:szCs w:val="20"/>
              </w:rPr>
              <w:t>2 anos (art. 142, II)</w:t>
            </w:r>
          </w:p>
          <w:p w14:paraId="416900DF" w14:textId="77777777" w:rsidR="00B10998" w:rsidRDefault="00B10998">
            <w:pPr>
              <w:jc w:val="both"/>
            </w:pPr>
            <w:r>
              <w:rPr>
                <w:rFonts w:ascii="Calibri" w:eastAsia="Calibri" w:hAnsi="Calibri" w:cs="Calibri"/>
                <w:b/>
                <w:bCs/>
                <w:color w:val="0B2C5F"/>
                <w:sz w:val="20"/>
                <w:szCs w:val="20"/>
              </w:rPr>
              <w:t xml:space="preserve">O que fazer: </w:t>
            </w:r>
            <w:r>
              <w:rPr>
                <w:rFonts w:ascii="Calibri" w:eastAsia="Calibri" w:hAnsi="Calibri" w:cs="Calibri"/>
                <w:color w:val="051A3D"/>
                <w:sz w:val="20"/>
                <w:szCs w:val="20"/>
              </w:rPr>
              <w:t>Aplicar dosimetria do art. 128, considerando a duração e a intensidade do padrão, o impacto sobre a vítima e a extensão da repercussão funcional. Adotar medidas cautelares imediatas de proteção à vítima. Comunicar ao MP pelo art. 147-A do CP quando os elementos do tipo penal estiverem presentes. Quando os meios forem privados, documentar expressamente a repercussão funcional que fundamenta o enquadramento disciplinar. Avaliar cumulatividade com Eixo 5 quando há impacto psicológico documentável.</w:t>
            </w:r>
          </w:p>
        </w:tc>
      </w:tr>
    </w:tbl>
    <w:p w14:paraId="38997B79" w14:textId="77777777" w:rsidR="00B10998" w:rsidRDefault="00B10998">
      <w:pPr>
        <w:pBdr>
          <w:bottom w:val="single" w:sz="4" w:space="1" w:color="C9A35C"/>
        </w:pBdr>
        <w:spacing w:before="200"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14:paraId="699D15BD" w14:textId="77777777">
        <w:tc>
          <w:tcPr>
            <w:tcW w:w="9638" w:type="dxa"/>
            <w:tcBorders>
              <w:top w:val="single" w:sz="6" w:space="0" w:color="1F7A4C"/>
              <w:left w:val="single" w:sz="18" w:space="0" w:color="1F7A4C"/>
              <w:bottom w:val="single" w:sz="6" w:space="0" w:color="1F7A4C"/>
            </w:tcBorders>
            <w:shd w:val="clear" w:color="auto" w:fill="F0FFF4"/>
            <w:tcMar>
              <w:top w:w="120" w:type="dxa"/>
              <w:left w:w="200" w:type="dxa"/>
              <w:bottom w:w="120" w:type="dxa"/>
              <w:right w:w="200" w:type="dxa"/>
            </w:tcMar>
          </w:tcPr>
          <w:p w14:paraId="7322A300" w14:textId="77777777" w:rsidR="00B10998" w:rsidRDefault="00B10998">
            <w:pPr>
              <w:spacing w:after="80"/>
            </w:pPr>
            <w:r>
              <w:t xml:space="preserve">Resultado C, </w:t>
            </w:r>
            <w:proofErr w:type="gramStart"/>
            <w:r>
              <w:t>Sem</w:t>
            </w:r>
            <w:proofErr w:type="gramEnd"/>
            <w:r>
              <w:t xml:space="preserve"> nexo funcional</w:t>
            </w:r>
          </w:p>
          <w:p w14:paraId="12D4333C" w14:textId="77777777" w:rsidR="00B10998" w:rsidRDefault="00B10998">
            <w:pPr>
              <w:spacing w:after="40"/>
            </w:pPr>
            <w:r>
              <w:t>Dispositivo: Nenhum no plano disciplinar. Ausente o nexo funcional, elemento de incidência do regime</w:t>
            </w:r>
          </w:p>
          <w:p w14:paraId="71BE3E90" w14:textId="77777777" w:rsidR="00B10998" w:rsidRDefault="00B10998">
            <w:pPr>
              <w:spacing w:after="40"/>
            </w:pPr>
            <w:r>
              <w:t>Penalidade: Nenhuma</w:t>
            </w:r>
          </w:p>
          <w:p w14:paraId="2A731C3D" w14:textId="77777777" w:rsidR="00B10998" w:rsidRDefault="00B10998">
            <w:pPr>
              <w:spacing w:after="40"/>
            </w:pPr>
            <w:r>
              <w:t>Prazo prescricional: Não aplicável no plano disciplinar</w:t>
            </w:r>
          </w:p>
          <w:p w14:paraId="1D0F28CE" w14:textId="77777777" w:rsidR="00B10998" w:rsidRDefault="00B10998">
            <w:pPr>
              <w:spacing w:after="40"/>
            </w:pPr>
            <w:r>
              <w:t>O que fazer: Registrar nos autos os motivos pelos quais o nexo funcional não se configurou, tanto pelo meio quanto pelo efeito. Comunicar ao Ministério Público pelo art. 147-A do Código Penal, introduzido pela Lei nº 14.132, de 31 de março de 2021, que tipifica a perseguição reiterada independentemente de vínculo funcional entre as partes — providência autônoma, que não depende do desfecho disciplinar (art. 125, da Lei nº 8.112, de 1990). Orientar a vítima quanto ao registro de ocorrência perante as autoridades policiais. Reavaliar o enquadramento caso sobrevenham elementos que demonstrem repercussão funcional superveniente.</w:t>
            </w:r>
          </w:p>
        </w:tc>
      </w:tr>
    </w:tbl>
    <w:p w14:paraId="4A57E89F" w14:textId="77777777" w:rsidR="00B10998" w:rsidRDefault="00B10998">
      <w:pPr>
        <w:spacing w:after="120"/>
        <w:jc w:val="both"/>
      </w:pPr>
    </w:p>
    <w:p w14:paraId="29840A5C" w14:textId="77777777" w:rsidR="007F53FD" w:rsidRDefault="00A47804">
      <w:r>
        <w:t xml:space="preserve">Resultado D, Episódio isolado, fora do âmbito do </w:t>
      </w:r>
      <w:proofErr w:type="spellStart"/>
      <w:r>
        <w:t>stalking</w:t>
      </w:r>
      <w:proofErr w:type="spellEnd"/>
      <w:r>
        <w:t xml:space="preserve"> funcional</w:t>
      </w:r>
    </w:p>
    <w:p w14:paraId="498E22CB" w14:textId="77777777" w:rsidR="007F53FD" w:rsidRDefault="00A47804">
      <w:r>
        <w:t>Dispositivo: Nenhum quanto a este eixo. Ausente a reiteração, elemento constitutivo do tipo</w:t>
      </w:r>
    </w:p>
    <w:p w14:paraId="6CD9A880" w14:textId="77777777" w:rsidR="007F53FD" w:rsidRDefault="00A47804">
      <w:r>
        <w:t>Penalidade: Determinável apenas após o reenquadramento no eixo correspondente</w:t>
      </w:r>
    </w:p>
    <w:p w14:paraId="75221FC5" w14:textId="77777777" w:rsidR="007F53FD" w:rsidRDefault="00A47804">
      <w:r>
        <w:t>Prazo prescricional: Determinável após o reenquadramento. Atenção: se o episódio corresponder a ameaça leve ou a falta de urbanidade, o prazo é de 180 dias (art. 142, III)</w:t>
      </w:r>
    </w:p>
    <w:p w14:paraId="3929D0B6" w14:textId="77777777" w:rsidR="007F53FD" w:rsidRDefault="00A47804">
      <w:r>
        <w:t xml:space="preserve">O que fazer: Antes de concluir pelo ato isolado, questionar expressamente a vítima sobre episódios anteriores não formalizados — a denúncia narra, com frequência, apenas o episódio que transbordou, e a reiteração pode estar presente sem constar da peça inicial. Preservar imediatamente os registros eletrônicos e os logs de acesso, cuja retenção automática é de poucas semanas. Reiniciar a análise pelo eixo correspondente à natureza do </w:t>
      </w:r>
      <w:r>
        <w:lastRenderedPageBreak/>
        <w:t>conteúdo do episódio, Eixo 2, 3 ou 7. Avaliar medidas cautelares de proteção à vítima independentemente do reenquadramento, dado que a perseguição tende à escalada quando não interrompida.</w:t>
      </w:r>
    </w:p>
    <w:p w14:paraId="1438B19C" w14:textId="77777777" w:rsidR="007F53FD" w:rsidRDefault="007F53FD"/>
    <w:p w14:paraId="5E0258D4" w14:textId="77777777" w:rsidR="00B10998" w:rsidRDefault="00B10998">
      <w:pPr>
        <w:pStyle w:val="Ttulo3"/>
        <w:keepNext/>
      </w:pPr>
      <w:r>
        <w:rPr>
          <w:rFonts w:ascii="Calibri" w:eastAsia="Calibri" w:hAnsi="Calibri" w:cs="Calibri"/>
        </w:rPr>
        <w:t>Quadro resumo: meio da perseguição × resultado disciplinar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rsidRPr="000C0DBA" w14:paraId="07888719"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1B16AED6" w14:textId="77777777" w:rsidR="00B10998" w:rsidRPr="000C0DBA" w:rsidRDefault="00B10998">
            <w:pPr>
              <w:rPr>
                <w:rFonts w:eastAsia="Courier New" w:cs="Courier New"/>
                <w:color w:val="0B2C5F"/>
                <w:sz w:val="20"/>
                <w:szCs w:val="20"/>
              </w:rPr>
            </w:pPr>
            <w:proofErr w:type="spellStart"/>
            <w:r>
              <w:rPr>
                <w:rFonts w:eastAsia="Courier New" w:cs="Courier New"/>
                <w:color w:val="0B2C5F"/>
                <w:sz w:val="20"/>
                <w:szCs w:val="20"/>
              </w:rPr>
              <w:t>Stalking</w:t>
            </w:r>
            <w:proofErr w:type="spellEnd"/>
            <w:r>
              <w:rPr>
                <w:rFonts w:eastAsia="Courier New" w:cs="Courier New"/>
                <w:color w:val="0B2C5F"/>
                <w:sz w:val="20"/>
                <w:szCs w:val="20"/>
              </w:rPr>
              <w:t xml:space="preserve"> por sistemas corporativos com credencial exclusiva do cargo</w:t>
            </w:r>
          </w:p>
          <w:p w14:paraId="503DF7D8"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(acesso ao sistema de ponto, dados pessoais, convocação de reuniões)</w:t>
            </w:r>
          </w:p>
          <w:p w14:paraId="745A0AD5"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 Art. 117, IX, DEMISSÃO</w:t>
            </w:r>
          </w:p>
          <w:p w14:paraId="3D5E86C3" w14:textId="77777777" w:rsidR="00B10998" w:rsidRPr="000C0DBA" w:rsidRDefault="00B10998">
            <w:pPr>
              <w:rPr>
                <w:rFonts w:eastAsia="Courier New" w:cs="Courier New"/>
                <w:color w:val="0B2C5F"/>
                <w:sz w:val="20"/>
                <w:szCs w:val="20"/>
              </w:rPr>
            </w:pPr>
          </w:p>
          <w:p w14:paraId="6E64CA91" w14:textId="77777777" w:rsidR="00B10998" w:rsidRPr="000C0DBA" w:rsidRDefault="00B10998">
            <w:pPr>
              <w:rPr>
                <w:rFonts w:eastAsia="Courier New" w:cs="Courier New"/>
                <w:color w:val="0B2C5F"/>
                <w:sz w:val="20"/>
                <w:szCs w:val="20"/>
              </w:rPr>
            </w:pPr>
            <w:proofErr w:type="spellStart"/>
            <w:r>
              <w:rPr>
                <w:rFonts w:eastAsia="Courier New" w:cs="Courier New"/>
                <w:color w:val="0B2C5F"/>
                <w:sz w:val="20"/>
                <w:szCs w:val="20"/>
              </w:rPr>
              <w:t>Stalking</w:t>
            </w:r>
            <w:proofErr w:type="spellEnd"/>
            <w:r>
              <w:rPr>
                <w:rFonts w:eastAsia="Courier New" w:cs="Courier New"/>
                <w:color w:val="0B2C5F"/>
                <w:sz w:val="20"/>
                <w:szCs w:val="20"/>
              </w:rPr>
              <w:t xml:space="preserve"> por meios funcionais compartilhados</w:t>
            </w:r>
          </w:p>
          <w:p w14:paraId="2BBC13D0"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(e-mail institucional, mensagens corporativas, presença na repartição)</w:t>
            </w:r>
          </w:p>
          <w:p w14:paraId="6950E535"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sem uso de prerrogativa exclusiva do cargo</w:t>
            </w:r>
          </w:p>
          <w:p w14:paraId="5F760981"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 Art. 116, IX, SUSPENSÃO</w:t>
            </w:r>
          </w:p>
          <w:p w14:paraId="4E577F3E" w14:textId="77777777" w:rsidR="00B10998" w:rsidRPr="000C0DBA" w:rsidRDefault="00B10998">
            <w:pPr>
              <w:rPr>
                <w:rFonts w:eastAsia="Courier New" w:cs="Courier New"/>
                <w:color w:val="0B2C5F"/>
                <w:sz w:val="20"/>
                <w:szCs w:val="20"/>
              </w:rPr>
            </w:pPr>
          </w:p>
          <w:p w14:paraId="0DB93E26" w14:textId="77777777" w:rsidR="00B10998" w:rsidRPr="000C0DBA" w:rsidRDefault="00B10998">
            <w:pPr>
              <w:rPr>
                <w:rFonts w:eastAsia="Courier New" w:cs="Courier New"/>
                <w:color w:val="0B2C5F"/>
                <w:sz w:val="20"/>
                <w:szCs w:val="20"/>
              </w:rPr>
            </w:pPr>
            <w:proofErr w:type="spellStart"/>
            <w:r>
              <w:rPr>
                <w:rFonts w:eastAsia="Courier New" w:cs="Courier New"/>
                <w:color w:val="0B2C5F"/>
                <w:sz w:val="20"/>
                <w:szCs w:val="20"/>
              </w:rPr>
              <w:t>Stalking</w:t>
            </w:r>
            <w:proofErr w:type="spellEnd"/>
            <w:r>
              <w:rPr>
                <w:rFonts w:eastAsia="Courier New" w:cs="Courier New"/>
                <w:color w:val="0B2C5F"/>
                <w:sz w:val="20"/>
                <w:szCs w:val="20"/>
              </w:rPr>
              <w:t xml:space="preserve"> por meios privados (WhatsApp, redes sociais, seguimento físico)</w:t>
            </w:r>
          </w:p>
          <w:p w14:paraId="1691FC5E"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com nexo funcional e repercussão funcional demonstrável</w:t>
            </w:r>
          </w:p>
          <w:p w14:paraId="798B5D57"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 Art. 116, IX, SUSPENSÃO</w:t>
            </w:r>
          </w:p>
          <w:p w14:paraId="7288BF79" w14:textId="77777777" w:rsidR="00B10998" w:rsidRPr="000C0DBA" w:rsidRDefault="00B10998">
            <w:pPr>
              <w:rPr>
                <w:rFonts w:eastAsia="Courier New" w:cs="Courier New"/>
                <w:color w:val="0B2C5F"/>
                <w:sz w:val="20"/>
                <w:szCs w:val="20"/>
              </w:rPr>
            </w:pPr>
          </w:p>
          <w:p w14:paraId="03268251" w14:textId="77777777" w:rsidR="00B10998" w:rsidRPr="000C0DBA" w:rsidRDefault="00B10998">
            <w:pPr>
              <w:rPr>
                <w:rFonts w:eastAsia="Courier New" w:cs="Courier New"/>
                <w:color w:val="0B2C5F"/>
                <w:sz w:val="20"/>
                <w:szCs w:val="20"/>
              </w:rPr>
            </w:pPr>
            <w:proofErr w:type="spellStart"/>
            <w:r>
              <w:rPr>
                <w:rFonts w:eastAsia="Courier New" w:cs="Courier New"/>
                <w:color w:val="0B2C5F"/>
                <w:sz w:val="20"/>
                <w:szCs w:val="20"/>
              </w:rPr>
              <w:t>Stalking</w:t>
            </w:r>
            <w:proofErr w:type="spellEnd"/>
            <w:r>
              <w:rPr>
                <w:rFonts w:eastAsia="Courier New" w:cs="Courier New"/>
                <w:color w:val="0B2C5F"/>
                <w:sz w:val="20"/>
                <w:szCs w:val="20"/>
              </w:rPr>
              <w:t xml:space="preserve"> por meios privados sem nexo funcional identificável</w:t>
            </w:r>
          </w:p>
          <w:p w14:paraId="77620C8D"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 Fora do âmbito disciplinar, comunicar ao MP pelo art. 147-A CP</w:t>
            </w:r>
          </w:p>
        </w:tc>
      </w:tr>
    </w:tbl>
    <w:p w14:paraId="1BB376AB" w14:textId="77777777" w:rsidR="00B10998" w:rsidRDefault="00B10998">
      <w:pPr>
        <w:pBdr>
          <w:bottom w:val="single" w:sz="4" w:space="1" w:color="C9A35C"/>
        </w:pBdr>
        <w:spacing w:before="200" w:after="200"/>
      </w:pPr>
    </w:p>
    <w:p w14:paraId="4EDC3485" w14:textId="77777777" w:rsidR="00B10998" w:rsidRDefault="00B10998">
      <w:pPr>
        <w:pStyle w:val="Ttulo3"/>
        <w:keepNext/>
      </w:pPr>
      <w:r>
        <w:rPr>
          <w:rFonts w:ascii="Calibri" w:eastAsia="Calibri" w:hAnsi="Calibri" w:cs="Calibri"/>
        </w:rPr>
        <w:t>Checklist do Eixo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0998" w:rsidRPr="000C0DBA" w14:paraId="7B399A8A"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70D7A735"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Construí a linha do tempo completa de todos os episódios</w:t>
            </w:r>
          </w:p>
          <w:p w14:paraId="1C3694BE"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com data, hora e meio antes de responder P1</w:t>
            </w:r>
          </w:p>
          <w:p w14:paraId="74F4F37E"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PRESERVEI IMEDIATAMENTE logs de sistemas, histórico de</w:t>
            </w:r>
          </w:p>
          <w:p w14:paraId="742E2AFF"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mensagens e registros de câmeras, antes de qualquer</w:t>
            </w:r>
          </w:p>
          <w:p w14:paraId="2A346D27"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outra providência</w:t>
            </w:r>
          </w:p>
          <w:p w14:paraId="384C3607"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Verifiquei os três critérios de padrão: reiteração,</w:t>
            </w:r>
          </w:p>
          <w:p w14:paraId="5EC1819C"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w:t>
            </w:r>
            <w:proofErr w:type="spellStart"/>
            <w:r>
              <w:rPr>
                <w:rFonts w:eastAsia="Courier New" w:cs="Courier New"/>
                <w:color w:val="0B2C5F"/>
                <w:sz w:val="20"/>
                <w:szCs w:val="20"/>
              </w:rPr>
              <w:t>indesejabilidade</w:t>
            </w:r>
            <w:proofErr w:type="spellEnd"/>
            <w:r>
              <w:rPr>
                <w:rFonts w:eastAsia="Courier New" w:cs="Courier New"/>
                <w:color w:val="0B2C5F"/>
                <w:sz w:val="20"/>
                <w:szCs w:val="20"/>
              </w:rPr>
              <w:t xml:space="preserve"> e perturbação</w:t>
            </w:r>
          </w:p>
          <w:p w14:paraId="40961A0F"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Não enquadrei no Eixo 8 com base em episódio único,</w:t>
            </w:r>
          </w:p>
          <w:p w14:paraId="597289DD"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w:t>
            </w:r>
            <w:proofErr w:type="spellStart"/>
            <w:r>
              <w:rPr>
                <w:rFonts w:eastAsia="Courier New" w:cs="Courier New"/>
                <w:color w:val="0B2C5F"/>
                <w:sz w:val="20"/>
                <w:szCs w:val="20"/>
              </w:rPr>
              <w:t>stalking</w:t>
            </w:r>
            <w:proofErr w:type="spellEnd"/>
            <w:r>
              <w:rPr>
                <w:rFonts w:eastAsia="Courier New" w:cs="Courier New"/>
                <w:color w:val="0B2C5F"/>
                <w:sz w:val="20"/>
                <w:szCs w:val="20"/>
              </w:rPr>
              <w:t xml:space="preserve"> exige reiteração como elemento constitutivo</w:t>
            </w:r>
          </w:p>
          <w:p w14:paraId="1A1FCA04"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Quando os meios são privados, documentei expressamente</w:t>
            </w:r>
          </w:p>
          <w:p w14:paraId="5095B00D"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a repercussão funcional como elemento de conexão disciplinar</w:t>
            </w:r>
          </w:p>
          <w:p w14:paraId="198FD032"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Identifiquei com precisão a prerrogativa funcional</w:t>
            </w:r>
          </w:p>
          <w:p w14:paraId="3D32D01A"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específica empregada antes de marcar SIM em P2,</w:t>
            </w:r>
          </w:p>
          <w:p w14:paraId="6166494A"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e-mail institucional comum não é prerrogativa exclusiva</w:t>
            </w:r>
          </w:p>
          <w:p w14:paraId="2C167F8A"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Adotei medidas cautelares de proteção à vítima SEM</w:t>
            </w:r>
          </w:p>
          <w:p w14:paraId="76279AEF"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aguardar a conclusão do PAD</w:t>
            </w:r>
          </w:p>
          <w:p w14:paraId="686FBFCD"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comunicação ao MP pelo art. 147-A do CP</w:t>
            </w:r>
          </w:p>
          <w:p w14:paraId="221E1AC7"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independentemente do resultado disciplinar</w:t>
            </w:r>
          </w:p>
          <w:p w14:paraId="77F60F11"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comunicação à autoridade de dados (LGPD)</w:t>
            </w:r>
          </w:p>
          <w:p w14:paraId="35AD0A05"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quando houve acesso indevido a dados pessoais</w:t>
            </w:r>
          </w:p>
          <w:p w14:paraId="4A662B9F" w14:textId="77777777" w:rsidR="00B10998" w:rsidRPr="000C0DBA" w:rsidRDefault="00B10998">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Avaliei cumulatividade com Eixo 5 quando há impacto</w:t>
            </w:r>
          </w:p>
          <w:p w14:paraId="4CA44961" w14:textId="77777777" w:rsidR="00B10998" w:rsidRPr="000C0DBA" w:rsidRDefault="00B10998">
            <w:pPr>
              <w:rPr>
                <w:rFonts w:eastAsia="Courier New" w:cs="Courier New"/>
                <w:color w:val="0B2C5F"/>
                <w:sz w:val="20"/>
                <w:szCs w:val="20"/>
              </w:rPr>
            </w:pPr>
            <w:r>
              <w:rPr>
                <w:rFonts w:eastAsia="Courier New" w:cs="Courier New"/>
                <w:color w:val="0B2C5F"/>
                <w:sz w:val="20"/>
                <w:szCs w:val="20"/>
              </w:rPr>
              <w:t xml:space="preserve">    psicológico documentável sobre a vítima</w:t>
            </w:r>
          </w:p>
          <w:p w14:paraId="559FE72D" w14:textId="77777777" w:rsidR="007F53FD" w:rsidRDefault="00A47804">
            <w:proofErr w:type="gramStart"/>
            <w:r>
              <w:lastRenderedPageBreak/>
              <w:t>[ ]</w:t>
            </w:r>
            <w:proofErr w:type="gramEnd"/>
            <w:r>
              <w:t xml:space="preserve"> Verifiquei a reiteração e a </w:t>
            </w:r>
            <w:proofErr w:type="spellStart"/>
            <w:r>
              <w:t>indesejabilidade</w:t>
            </w:r>
            <w:proofErr w:type="spellEnd"/>
            <w:r>
              <w:t xml:space="preserve"> em P1, e o</w:t>
            </w:r>
          </w:p>
          <w:p w14:paraId="72749A7D" w14:textId="77777777" w:rsidR="007F53FD" w:rsidRDefault="00A47804">
            <w:r>
              <w:t xml:space="preserve">    nexo funcional separadamente em P2, sem confundir os elementos</w:t>
            </w:r>
          </w:p>
          <w:p w14:paraId="7E5791E3" w14:textId="77777777" w:rsidR="007F53FD" w:rsidRDefault="00A47804">
            <w:proofErr w:type="gramStart"/>
            <w:r>
              <w:t>[ ]</w:t>
            </w:r>
            <w:proofErr w:type="gramEnd"/>
            <w:r>
              <w:t xml:space="preserve"> Antes de concluir pelo episódio isolado, questionei a</w:t>
            </w:r>
          </w:p>
          <w:p w14:paraId="0084A1A3" w14:textId="77777777" w:rsidR="007F53FD" w:rsidRDefault="00A47804">
            <w:r>
              <w:t xml:space="preserve">    vítima sobre episódios anteriores não formalizados</w:t>
            </w:r>
          </w:p>
        </w:tc>
      </w:tr>
    </w:tbl>
    <w:p w14:paraId="6BEAA667" w14:textId="77777777" w:rsidR="00B10998" w:rsidRDefault="00B10998">
      <w:pPr>
        <w:pBdr>
          <w:bottom w:val="single" w:sz="4" w:space="1" w:color="C9A35C"/>
        </w:pBdr>
        <w:spacing w:before="200" w:after="200"/>
      </w:pPr>
    </w:p>
    <w:p w14:paraId="23FEB5FB" w14:textId="77777777" w:rsidR="00B10998" w:rsidRDefault="00B10998">
      <w:pPr>
        <w:pStyle w:val="Ttulo3"/>
        <w:keepNext/>
      </w:pPr>
      <w:r>
        <w:rPr>
          <w:rFonts w:ascii="Calibri" w:eastAsia="Calibri" w:hAnsi="Calibri" w:cs="Calibri"/>
        </w:rPr>
        <w:t>Erros mais frequentes no Eixo 8</w:t>
      </w:r>
    </w:p>
    <w:p w14:paraId="7D981BB2" w14:textId="77777777" w:rsidR="00B10998" w:rsidRDefault="00B10998">
      <w:pPr>
        <w:spacing w:after="120"/>
        <w:jc w:val="both"/>
      </w:pPr>
      <w:r>
        <w:rPr>
          <w:b/>
        </w:rPr>
        <w:t>1. Confundir ausência de reiteração com ausência de nexo funcional.</w:t>
      </w:r>
      <w:r>
        <w:t xml:space="preserve"> São elementos distintos, verificados em perguntas distintas, com consequências opostas. O episódio isolado entre colegas de trabalho remete aos eixos de ameaça, conduta sexual ou violência verbal. O padrão reiterado sem vínculo funcional entre as partes conduz ao arquivamento disciplinar com comunicação ao Ministério Público. Tratar as duas hipóteses como uma só produz relatório com fundamentação incorreta.</w:t>
      </w:r>
    </w:p>
    <w:p w14:paraId="4F6B80BC" w14:textId="77777777" w:rsidR="00B10998" w:rsidRDefault="00B10998">
      <w:pPr>
        <w:spacing w:after="120"/>
        <w:jc w:val="both"/>
      </w:pPr>
      <w:r>
        <w:rPr>
          <w:rFonts w:ascii="Calibri" w:eastAsia="Calibri" w:hAnsi="Calibri" w:cs="Calibri"/>
          <w:b/>
          <w:bCs/>
          <w:color w:val="051A3D"/>
          <w:sz w:val="22"/>
          <w:szCs w:val="22"/>
        </w:rPr>
        <w:t>2. Não preservar os registros eletrônicos antes de qualquer outra providência.</w:t>
      </w:r>
      <w:r>
        <w:rPr>
          <w:rFonts w:ascii="Calibri" w:eastAsia="Calibri" w:hAnsi="Calibri" w:cs="Calibri"/>
          <w:color w:val="051A3D"/>
          <w:sz w:val="22"/>
          <w:szCs w:val="22"/>
        </w:rPr>
        <w:t xml:space="preserve"> Logs de acesso a sistemas e histórico de mensagens são apagados automaticamente por rotinas do sistema em prazos curtos. A instrução que começa pela coleta de depoimentos antes da preservação dos registros digitais frequentemente chega tarde demais. A ordem correta é: preserve primeiro, instrua depois.</w:t>
      </w:r>
    </w:p>
    <w:p w14:paraId="6A369CE9" w14:textId="77777777" w:rsidR="00B10998" w:rsidRDefault="00B10998">
      <w:pPr>
        <w:spacing w:after="120"/>
        <w:jc w:val="both"/>
      </w:pPr>
      <w:r>
        <w:rPr>
          <w:rFonts w:ascii="Calibri" w:eastAsia="Calibri" w:hAnsi="Calibri" w:cs="Calibri"/>
          <w:b/>
          <w:bCs/>
          <w:color w:val="051A3D"/>
          <w:sz w:val="22"/>
          <w:szCs w:val="22"/>
        </w:rPr>
        <w:t>3. Concluir pela ausência de ilícito disciplinar porque os meios são privados.</w:t>
      </w:r>
      <w:r>
        <w:rPr>
          <w:rFonts w:ascii="Calibri" w:eastAsia="Calibri" w:hAnsi="Calibri" w:cs="Calibri"/>
          <w:color w:val="051A3D"/>
          <w:sz w:val="22"/>
          <w:szCs w:val="22"/>
        </w:rPr>
        <w:t xml:space="preserve"> O meio privado não afasta o enquadramento disciplinar quando há repercussão funcional demonstrável. Documente os efeitos do padrão sobre o ambiente e as condições de trabalho da vítima, essa documentação é o elemento que conecta a conduta privada ao ilícito disciplinar.</w:t>
      </w:r>
    </w:p>
    <w:p w14:paraId="4C2E9712" w14:textId="77777777" w:rsidR="00B10998" w:rsidRDefault="00B10998">
      <w:pPr>
        <w:spacing w:after="120"/>
        <w:jc w:val="both"/>
      </w:pPr>
      <w:r>
        <w:rPr>
          <w:rFonts w:ascii="Calibri" w:eastAsia="Calibri" w:hAnsi="Calibri" w:cs="Calibri"/>
          <w:b/>
          <w:bCs/>
          <w:color w:val="051A3D"/>
          <w:sz w:val="22"/>
          <w:szCs w:val="22"/>
        </w:rPr>
        <w:t>4. Confundir e-mail institucional com prerrogativa exclusiva do cargo.</w:t>
      </w:r>
      <w:r>
        <w:rPr>
          <w:rFonts w:ascii="Calibri" w:eastAsia="Calibri" w:hAnsi="Calibri" w:cs="Calibri"/>
          <w:color w:val="051A3D"/>
          <w:sz w:val="22"/>
          <w:szCs w:val="22"/>
        </w:rPr>
        <w:t xml:space="preserve"> O e-mail institucional está disponível a qualquer servidor. Usá-lo para perseguição é ilícito (Resultado B), mas não constitui valimento do cargo para fins do art. 117, IX (Resultado A). O que determina o Resultado A é o uso de credencial ou poder que apenas o cargo confere, sistema de ponto, acesso a dados pessoais, poder de convocar reuniões formais.</w:t>
      </w:r>
    </w:p>
    <w:p w14:paraId="3266741E" w14:textId="77777777" w:rsidR="00B10998" w:rsidRDefault="00B10998">
      <w:pPr>
        <w:spacing w:after="120"/>
        <w:jc w:val="both"/>
      </w:pPr>
      <w:r>
        <w:rPr>
          <w:rFonts w:ascii="Calibri" w:eastAsia="Calibri" w:hAnsi="Calibri" w:cs="Calibri"/>
          <w:b/>
          <w:bCs/>
          <w:color w:val="051A3D"/>
          <w:sz w:val="22"/>
          <w:szCs w:val="22"/>
        </w:rPr>
        <w:t>5. Não adotar medidas cautelares de proteção à vítima imediatamente.</w:t>
      </w:r>
      <w:r>
        <w:rPr>
          <w:rFonts w:ascii="Calibri" w:eastAsia="Calibri" w:hAnsi="Calibri" w:cs="Calibri"/>
          <w:color w:val="051A3D"/>
          <w:sz w:val="22"/>
          <w:szCs w:val="22"/>
        </w:rPr>
        <w:t xml:space="preserve"> O </w:t>
      </w:r>
      <w:proofErr w:type="spellStart"/>
      <w:r>
        <w:rPr>
          <w:rFonts w:ascii="Calibri" w:eastAsia="Calibri" w:hAnsi="Calibri" w:cs="Calibri"/>
          <w:color w:val="051A3D"/>
          <w:sz w:val="22"/>
          <w:szCs w:val="22"/>
        </w:rPr>
        <w:t>stalking</w:t>
      </w:r>
      <w:proofErr w:type="spellEnd"/>
      <w:r>
        <w:rPr>
          <w:rFonts w:ascii="Calibri" w:eastAsia="Calibri" w:hAnsi="Calibri" w:cs="Calibri"/>
          <w:color w:val="051A3D"/>
          <w:sz w:val="22"/>
          <w:szCs w:val="22"/>
        </w:rPr>
        <w:t xml:space="preserve"> tende à escalada quando não interrompido. A apuração que demora sem medidas cautelares de proteção pode resultar em dano progressivo e potencialmente irreversível à vítima. A avaliação de medidas cautelares é providência do início do processo, não do final.</w:t>
      </w:r>
    </w:p>
    <w:p w14:paraId="1F816FED" w14:textId="77777777" w:rsidR="00B10998" w:rsidRDefault="00B10998">
      <w:pPr>
        <w:spacing w:after="120"/>
        <w:jc w:val="both"/>
      </w:pPr>
      <w:r>
        <w:rPr>
          <w:rFonts w:ascii="Calibri" w:eastAsia="Calibri" w:hAnsi="Calibri" w:cs="Calibri"/>
          <w:b/>
          <w:bCs/>
          <w:color w:val="051A3D"/>
          <w:sz w:val="22"/>
          <w:szCs w:val="22"/>
        </w:rPr>
        <w:t>6. Não comunicar ao MP pelo art. 147-A do CP.</w:t>
      </w:r>
      <w:r>
        <w:rPr>
          <w:rFonts w:ascii="Calibri" w:eastAsia="Calibri" w:hAnsi="Calibri" w:cs="Calibri"/>
          <w:color w:val="051A3D"/>
          <w:sz w:val="22"/>
          <w:szCs w:val="22"/>
        </w:rPr>
        <w:t xml:space="preserve"> O </w:t>
      </w:r>
      <w:proofErr w:type="spellStart"/>
      <w:r>
        <w:rPr>
          <w:rFonts w:ascii="Calibri" w:eastAsia="Calibri" w:hAnsi="Calibri" w:cs="Calibri"/>
          <w:color w:val="051A3D"/>
          <w:sz w:val="22"/>
          <w:szCs w:val="22"/>
        </w:rPr>
        <w:t>stalking</w:t>
      </w:r>
      <w:proofErr w:type="spellEnd"/>
      <w:r>
        <w:rPr>
          <w:rFonts w:ascii="Calibri" w:eastAsia="Calibri" w:hAnsi="Calibri" w:cs="Calibri"/>
          <w:color w:val="051A3D"/>
          <w:sz w:val="22"/>
          <w:szCs w:val="22"/>
        </w:rPr>
        <w:t xml:space="preserve"> que satisfaz os elementos do tipo penal deve ser comunicado às autoridades criminais independentemente do resultado disciplinar. As </w:t>
      </w:r>
      <w:proofErr w:type="gramStart"/>
      <w:r>
        <w:rPr>
          <w:rFonts w:ascii="Calibri" w:eastAsia="Calibri" w:hAnsi="Calibri" w:cs="Calibri"/>
          <w:color w:val="051A3D"/>
          <w:sz w:val="22"/>
          <w:szCs w:val="22"/>
        </w:rPr>
        <w:t>instâncias penal</w:t>
      </w:r>
      <w:proofErr w:type="gramEnd"/>
      <w:r>
        <w:rPr>
          <w:rFonts w:ascii="Calibri" w:eastAsia="Calibri" w:hAnsi="Calibri" w:cs="Calibri"/>
          <w:color w:val="051A3D"/>
          <w:sz w:val="22"/>
          <w:szCs w:val="22"/>
        </w:rPr>
        <w:t xml:space="preserve"> e disciplinar são independentes, a comunicação não depende de conclusão do PAD e pode ser feita pela vítima ou pela autoridade que tomou conhecimento dos fatos.</w:t>
      </w:r>
    </w:p>
    <w:p w14:paraId="43AFA672" w14:textId="77777777" w:rsidR="0057368A" w:rsidRDefault="0057368A">
      <w:r>
        <w:br w:type="page"/>
      </w:r>
    </w:p>
    <w:p w14:paraId="44914AF7" w14:textId="77777777" w:rsidR="00375852" w:rsidRDefault="00375852">
      <w:pPr>
        <w:pBdr>
          <w:left w:val="single" w:sz="12" w:space="6" w:color="C9A35C"/>
        </w:pBdr>
        <w:spacing w:before="320" w:after="40"/>
      </w:pPr>
      <w:r>
        <w:rPr>
          <w:rFonts w:ascii="Barlow Condensed" w:eastAsia="Barlow Condensed" w:hAnsi="Barlow Condensed" w:cs="Barlow Condensed"/>
          <w:b/>
          <w:bCs/>
          <w:color w:val="8C6E2C"/>
          <w:sz w:val="18"/>
          <w:szCs w:val="18"/>
        </w:rPr>
        <w:lastRenderedPageBreak/>
        <w:t>▍ QUADRO GERAL</w:t>
      </w:r>
    </w:p>
    <w:p w14:paraId="14F5C09F" w14:textId="77777777" w:rsidR="00375852" w:rsidRDefault="00375852">
      <w:pPr>
        <w:pStyle w:val="Ttulo1"/>
      </w:pPr>
      <w:bookmarkStart w:id="190" w:name="_Toc238022179"/>
      <w:r>
        <w:rPr>
          <w:caps/>
          <w:color w:val="0B2C5F"/>
          <w:sz w:val="40"/>
          <w:szCs w:val="40"/>
        </w:rPr>
        <w:t>19. QUADRO GERAL DE RESULTADOS ORIENTATIVOS</w:t>
      </w:r>
      <w:bookmarkEnd w:id="190"/>
    </w:p>
    <w:p w14:paraId="32EB53E7" w14:textId="77777777" w:rsidR="001D5E73" w:rsidRDefault="001D5E73">
      <w:pPr>
        <w:spacing w:after="120"/>
        <w:jc w:val="both"/>
      </w:pPr>
      <w:r>
        <w:t xml:space="preserve">A tabela abaixo consolida os 32 resultados numerados da ferramenta </w:t>
      </w:r>
      <w:proofErr w:type="spellStart"/>
      <w:r>
        <w:t>Integritas</w:t>
      </w:r>
      <w:proofErr w:type="spellEnd"/>
      <w:r>
        <w:t xml:space="preserve">, organizados por eixo, com o enquadramento disciplinar orientativo, a penalidade de referência e o prazo prescricional aplicável. A ela somam-se 8 saídas de arquivamento ou de redirecionamento, identificadas por travessão, que não compõem a </w:t>
      </w:r>
      <w:proofErr w:type="gramStart"/>
      <w:r>
        <w:t>numeração</w:t>
      </w:r>
      <w:proofErr w:type="gramEnd"/>
      <w:r>
        <w:t xml:space="preserve"> mas integram o fluxo de decisão.</w:t>
      </w:r>
    </w:p>
    <w:p w14:paraId="08FE8AFB" w14:textId="77777777" w:rsidR="001D5E73" w:rsidRDefault="001D5E73">
      <w:pPr>
        <w:spacing w:after="120"/>
        <w:jc w:val="both"/>
      </w:pPr>
      <w:r>
        <w:t xml:space="preserve">Os enquadramentos são orientativos. A penalidade efetiva resulta da dosimetria do art. 128, da Lei nº 8.112, de 11 de dezembro de 1990. Resultados marcados com asterisco exigem passagem pelo </w:t>
      </w:r>
      <w:proofErr w:type="spellStart"/>
      <w:r>
        <w:t>gate</w:t>
      </w:r>
      <w:proofErr w:type="spellEnd"/>
      <w:r>
        <w:t xml:space="preserve"> de confirmação demissória antes da tipificação final.</w:t>
      </w:r>
    </w:p>
    <w:p w14:paraId="28266C4B" w14:textId="77777777" w:rsidR="00375852" w:rsidRDefault="00375852">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5852" w14:paraId="7A612FDB"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65153A0F" w14:textId="77777777" w:rsidR="001D5E73" w:rsidRDefault="001D5E73">
            <w:pPr>
              <w:jc w:val="both"/>
            </w:pPr>
            <w:r>
              <w:t>Urgência prescricional. Dois resultados sujeitam-se ao prazo de 180 dias, o mais curto do sistema disciplinar: a ameaça leve (nº 8) e a falta de urbanidade (nº 30). Ambos correspondem à penalidade de advertência, regida pelo art. 142, III, da Lei nº 8.112, de 1990. Calcule o prazo antes de qualquer outra providência. Atenção adicional ao episódio isolado do Eixo 8, cujo reenquadramento pode conduzir a qualquer dos dois.</w:t>
            </w:r>
          </w:p>
        </w:tc>
      </w:tr>
    </w:tbl>
    <w:p w14:paraId="7D75DFAA" w14:textId="77777777" w:rsidR="00375852" w:rsidRDefault="00375852">
      <w:pPr>
        <w:spacing w:after="12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500"/>
        <w:gridCol w:w="2200"/>
        <w:gridCol w:w="1638"/>
        <w:gridCol w:w="1500"/>
      </w:tblGrid>
      <w:tr w:rsidR="00375852" w14:paraId="760532B0" w14:textId="77777777">
        <w:trPr>
          <w:tblHeader/>
        </w:trPr>
        <w:tc>
          <w:tcPr>
            <w:tcW w:w="600" w:type="dxa"/>
            <w:tcBorders>
              <w:top w:val="single" w:sz="4" w:space="0" w:color="C9A35C"/>
              <w:left w:val="single" w:sz="2" w:space="0" w:color="C9A35C"/>
              <w:bottom w:val="single" w:sz="4" w:space="0" w:color="C9A35C"/>
              <w:right w:val="single" w:sz="2" w:space="0" w:color="C9A35C"/>
            </w:tcBorders>
            <w:shd w:val="clear" w:color="auto" w:fill="0B2C5F"/>
            <w:tcMar>
              <w:top w:w="80" w:type="dxa"/>
              <w:left w:w="100" w:type="dxa"/>
              <w:bottom w:w="80" w:type="dxa"/>
              <w:right w:w="100" w:type="dxa"/>
            </w:tcMar>
            <w:vAlign w:val="center"/>
          </w:tcPr>
          <w:p w14:paraId="2E126762" w14:textId="77777777" w:rsidR="00375852" w:rsidRDefault="00375852">
            <w:pPr>
              <w:jc w:val="center"/>
            </w:pPr>
            <w:r>
              <w:rPr>
                <w:rFonts w:ascii="Barlow Condensed" w:eastAsia="Barlow Condensed" w:hAnsi="Barlow Condensed" w:cs="Barlow Condensed"/>
                <w:b/>
                <w:bCs/>
                <w:color w:val="FFFFFF"/>
                <w:sz w:val="18"/>
                <w:szCs w:val="18"/>
              </w:rPr>
              <w:t>#</w:t>
            </w:r>
          </w:p>
        </w:tc>
        <w:tc>
          <w:tcPr>
            <w:tcW w:w="3200" w:type="dxa"/>
            <w:tcBorders>
              <w:top w:val="single" w:sz="4" w:space="0" w:color="C9A35C"/>
              <w:left w:val="single" w:sz="2" w:space="0" w:color="C9A35C"/>
              <w:bottom w:val="single" w:sz="4" w:space="0" w:color="C9A35C"/>
              <w:right w:val="single" w:sz="2" w:space="0" w:color="C9A35C"/>
            </w:tcBorders>
            <w:shd w:val="clear" w:color="auto" w:fill="0B2C5F"/>
            <w:tcMar>
              <w:top w:w="80" w:type="dxa"/>
              <w:left w:w="100" w:type="dxa"/>
              <w:bottom w:w="80" w:type="dxa"/>
              <w:right w:w="100" w:type="dxa"/>
            </w:tcMar>
            <w:vAlign w:val="center"/>
          </w:tcPr>
          <w:p w14:paraId="1314E05D" w14:textId="77777777" w:rsidR="00375852" w:rsidRDefault="00375852">
            <w:pPr>
              <w:jc w:val="center"/>
            </w:pPr>
            <w:r>
              <w:rPr>
                <w:rFonts w:ascii="Barlow Condensed" w:eastAsia="Barlow Condensed" w:hAnsi="Barlow Condensed" w:cs="Barlow Condensed"/>
                <w:b/>
                <w:bCs/>
                <w:color w:val="FFFFFF"/>
                <w:sz w:val="18"/>
                <w:szCs w:val="18"/>
              </w:rPr>
              <w:t>Resultado</w:t>
            </w:r>
          </w:p>
        </w:tc>
        <w:tc>
          <w:tcPr>
            <w:tcW w:w="500" w:type="dxa"/>
            <w:tcBorders>
              <w:top w:val="single" w:sz="4" w:space="0" w:color="C9A35C"/>
              <w:left w:val="single" w:sz="2" w:space="0" w:color="C9A35C"/>
              <w:bottom w:val="single" w:sz="4" w:space="0" w:color="C9A35C"/>
              <w:right w:val="single" w:sz="2" w:space="0" w:color="C9A35C"/>
            </w:tcBorders>
            <w:shd w:val="clear" w:color="auto" w:fill="0B2C5F"/>
            <w:tcMar>
              <w:top w:w="80" w:type="dxa"/>
              <w:left w:w="100" w:type="dxa"/>
              <w:bottom w:w="80" w:type="dxa"/>
              <w:right w:w="100" w:type="dxa"/>
            </w:tcMar>
            <w:vAlign w:val="center"/>
          </w:tcPr>
          <w:p w14:paraId="22F00762" w14:textId="77777777" w:rsidR="00375852" w:rsidRDefault="00375852">
            <w:pPr>
              <w:jc w:val="center"/>
            </w:pPr>
            <w:r>
              <w:rPr>
                <w:rFonts w:ascii="Barlow Condensed" w:eastAsia="Barlow Condensed" w:hAnsi="Barlow Condensed" w:cs="Barlow Condensed"/>
                <w:b/>
                <w:bCs/>
                <w:color w:val="FFFFFF"/>
                <w:sz w:val="18"/>
                <w:szCs w:val="18"/>
              </w:rPr>
              <w:t>Eixo</w:t>
            </w:r>
          </w:p>
        </w:tc>
        <w:tc>
          <w:tcPr>
            <w:tcW w:w="2200" w:type="dxa"/>
            <w:tcBorders>
              <w:top w:val="single" w:sz="4" w:space="0" w:color="C9A35C"/>
              <w:left w:val="single" w:sz="2" w:space="0" w:color="C9A35C"/>
              <w:bottom w:val="single" w:sz="4" w:space="0" w:color="C9A35C"/>
              <w:right w:val="single" w:sz="2" w:space="0" w:color="C9A35C"/>
            </w:tcBorders>
            <w:shd w:val="clear" w:color="auto" w:fill="0B2C5F"/>
            <w:tcMar>
              <w:top w:w="80" w:type="dxa"/>
              <w:left w:w="100" w:type="dxa"/>
              <w:bottom w:w="80" w:type="dxa"/>
              <w:right w:w="100" w:type="dxa"/>
            </w:tcMar>
            <w:vAlign w:val="center"/>
          </w:tcPr>
          <w:p w14:paraId="6D580BE5" w14:textId="77777777" w:rsidR="00375852" w:rsidRDefault="00375852">
            <w:pPr>
              <w:jc w:val="center"/>
            </w:pPr>
            <w:r>
              <w:rPr>
                <w:rFonts w:ascii="Barlow Condensed" w:eastAsia="Barlow Condensed" w:hAnsi="Barlow Condensed" w:cs="Barlow Condensed"/>
                <w:b/>
                <w:bCs/>
                <w:color w:val="FFFFFF"/>
                <w:sz w:val="18"/>
                <w:szCs w:val="18"/>
              </w:rPr>
              <w:t>Dispositivo</w:t>
            </w:r>
          </w:p>
        </w:tc>
        <w:tc>
          <w:tcPr>
            <w:tcW w:w="1638" w:type="dxa"/>
            <w:tcBorders>
              <w:top w:val="single" w:sz="4" w:space="0" w:color="C9A35C"/>
              <w:left w:val="single" w:sz="2" w:space="0" w:color="C9A35C"/>
              <w:bottom w:val="single" w:sz="4" w:space="0" w:color="C9A35C"/>
              <w:right w:val="single" w:sz="2" w:space="0" w:color="C9A35C"/>
            </w:tcBorders>
            <w:shd w:val="clear" w:color="auto" w:fill="0B2C5F"/>
            <w:tcMar>
              <w:top w:w="80" w:type="dxa"/>
              <w:left w:w="100" w:type="dxa"/>
              <w:bottom w:w="80" w:type="dxa"/>
              <w:right w:w="100" w:type="dxa"/>
            </w:tcMar>
            <w:vAlign w:val="center"/>
          </w:tcPr>
          <w:p w14:paraId="65CD5377" w14:textId="77777777" w:rsidR="00375852" w:rsidRDefault="00375852">
            <w:pPr>
              <w:jc w:val="center"/>
            </w:pPr>
            <w:r>
              <w:rPr>
                <w:rFonts w:ascii="Barlow Condensed" w:eastAsia="Barlow Condensed" w:hAnsi="Barlow Condensed" w:cs="Barlow Condensed"/>
                <w:b/>
                <w:bCs/>
                <w:color w:val="FFFFFF"/>
                <w:sz w:val="18"/>
                <w:szCs w:val="18"/>
              </w:rPr>
              <w:t>Penalidade</w:t>
            </w:r>
          </w:p>
        </w:tc>
        <w:tc>
          <w:tcPr>
            <w:tcW w:w="1500" w:type="dxa"/>
            <w:tcBorders>
              <w:top w:val="single" w:sz="4" w:space="0" w:color="C9A35C"/>
              <w:left w:val="single" w:sz="2" w:space="0" w:color="C9A35C"/>
              <w:bottom w:val="single" w:sz="4" w:space="0" w:color="C9A35C"/>
              <w:right w:val="single" w:sz="2" w:space="0" w:color="C9A35C"/>
            </w:tcBorders>
            <w:shd w:val="clear" w:color="auto" w:fill="0B2C5F"/>
            <w:tcMar>
              <w:top w:w="80" w:type="dxa"/>
              <w:left w:w="100" w:type="dxa"/>
              <w:bottom w:w="80" w:type="dxa"/>
              <w:right w:w="100" w:type="dxa"/>
            </w:tcMar>
            <w:vAlign w:val="center"/>
          </w:tcPr>
          <w:p w14:paraId="1107DF10" w14:textId="77777777" w:rsidR="00375852" w:rsidRDefault="00375852">
            <w:pPr>
              <w:jc w:val="center"/>
            </w:pPr>
            <w:r>
              <w:rPr>
                <w:rFonts w:ascii="Barlow Condensed" w:eastAsia="Barlow Condensed" w:hAnsi="Barlow Condensed" w:cs="Barlow Condensed"/>
                <w:b/>
                <w:bCs/>
                <w:color w:val="FFFFFF"/>
                <w:sz w:val="18"/>
                <w:szCs w:val="18"/>
              </w:rPr>
              <w:t>Prescrição</w:t>
            </w:r>
          </w:p>
        </w:tc>
      </w:tr>
      <w:tr w:rsidR="00375852" w14:paraId="1F2E125C" w14:textId="77777777">
        <w:tc>
          <w:tcPr>
            <w:tcW w:w="9638" w:type="dxa"/>
            <w:gridSpan w:val="6"/>
            <w:tcBorders>
              <w:top w:val="single" w:sz="4" w:space="0" w:color="C9A35C"/>
              <w:left w:val="single" w:sz="2" w:space="0" w:color="D0D9E8"/>
              <w:bottom w:val="single" w:sz="2" w:space="0" w:color="1E4C99"/>
              <w:right w:val="single" w:sz="2" w:space="0" w:color="D0D9E8"/>
            </w:tcBorders>
            <w:shd w:val="clear" w:color="auto" w:fill="DCE6F4"/>
            <w:tcMar>
              <w:top w:w="60" w:type="dxa"/>
              <w:left w:w="100" w:type="dxa"/>
              <w:bottom w:w="60" w:type="dxa"/>
              <w:right w:w="100" w:type="dxa"/>
            </w:tcMar>
          </w:tcPr>
          <w:p w14:paraId="40768DE3" w14:textId="77777777" w:rsidR="00375852" w:rsidRDefault="00375852">
            <w:r>
              <w:rPr>
                <w:rFonts w:ascii="Barlow Condensed" w:eastAsia="Barlow Condensed" w:hAnsi="Barlow Condensed" w:cs="Barlow Condensed"/>
                <w:b/>
                <w:bCs/>
                <w:color w:val="0B2C5F"/>
                <w:sz w:val="18"/>
                <w:szCs w:val="18"/>
              </w:rPr>
              <w:t>EIXO 1, Agressão Física (art. 132, VII)</w:t>
            </w:r>
          </w:p>
        </w:tc>
      </w:tr>
      <w:tr w:rsidR="00375852" w14:paraId="5B24FDC5"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583258B" w14:textId="77777777" w:rsidR="00375852" w:rsidRDefault="00375852">
            <w:pPr>
              <w:jc w:val="center"/>
            </w:pPr>
            <w:r>
              <w:rPr>
                <w:rFonts w:ascii="Courier New" w:eastAsia="Courier New" w:hAnsi="Courier New" w:cs="Courier New"/>
                <w:b/>
                <w:bCs/>
                <w:color w:val="0B2C5F"/>
                <w:sz w:val="18"/>
                <w:szCs w:val="18"/>
              </w:rPr>
              <w:t>1</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3442255" w14:textId="77777777" w:rsidR="00375852" w:rsidRDefault="00375852">
            <w:r>
              <w:rPr>
                <w:rFonts w:ascii="Calibri" w:eastAsia="Calibri" w:hAnsi="Calibri" w:cs="Calibri"/>
                <w:color w:val="051A3D"/>
                <w:sz w:val="18"/>
                <w:szCs w:val="18"/>
              </w:rPr>
              <w:t>Agressão sem nexo funcional, com repercussão funcional</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7E5F2BD" w14:textId="77777777" w:rsidR="00375852" w:rsidRDefault="00375852">
            <w:pPr>
              <w:jc w:val="center"/>
            </w:pPr>
            <w:r>
              <w:rPr>
                <w:rFonts w:ascii="Calibri" w:eastAsia="Calibri" w:hAnsi="Calibri" w:cs="Calibri"/>
                <w:b/>
                <w:bCs/>
                <w:color w:val="0B2C5F"/>
                <w:sz w:val="18"/>
                <w:szCs w:val="18"/>
              </w:rPr>
              <w:t>1</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B9E3106" w14:textId="77777777" w:rsidR="00375852" w:rsidRDefault="00375852">
            <w:r>
              <w:rPr>
                <w:rFonts w:ascii="Courier New" w:eastAsia="Courier New" w:hAnsi="Courier New" w:cs="Courier New"/>
                <w:color w:val="0B2C5F"/>
                <w:sz w:val="17"/>
                <w:szCs w:val="17"/>
              </w:rPr>
              <w:t>Art. 116, IX</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0ECB9078" w14:textId="77777777" w:rsidR="00375852" w:rsidRDefault="00375852">
            <w:pPr>
              <w:jc w:val="center"/>
            </w:pPr>
            <w:r>
              <w:rPr>
                <w:rFonts w:ascii="Calibri" w:eastAsia="Calibri" w:hAnsi="Calibri" w:cs="Calibri"/>
                <w:color w:val="1F7A4C"/>
                <w:sz w:val="18"/>
                <w:szCs w:val="18"/>
              </w:rPr>
              <w:t>Adv./</w:t>
            </w:r>
            <w:proofErr w:type="spellStart"/>
            <w:r>
              <w:rPr>
                <w:rFonts w:ascii="Calibri" w:eastAsia="Calibri" w:hAnsi="Calibri" w:cs="Calibri"/>
                <w:color w:val="1F7A4C"/>
                <w:sz w:val="18"/>
                <w:szCs w:val="18"/>
              </w:rPr>
              <w:t>Susp</w:t>
            </w:r>
            <w:proofErr w:type="spellEnd"/>
            <w:r>
              <w:rPr>
                <w:rFonts w:ascii="Calibri" w:eastAsia="Calibri" w:hAnsi="Calibri" w:cs="Calibri"/>
                <w:color w:val="1F7A4C"/>
                <w:sz w:val="18"/>
                <w:szCs w:val="18"/>
              </w:rPr>
              <w:t>.</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3272048A" w14:textId="77777777" w:rsidR="00375852" w:rsidRDefault="00375852">
            <w:pPr>
              <w:jc w:val="center"/>
            </w:pPr>
            <w:r>
              <w:rPr>
                <w:rFonts w:ascii="Courier New" w:eastAsia="Courier New" w:hAnsi="Courier New" w:cs="Courier New"/>
                <w:color w:val="0B2C5F"/>
                <w:sz w:val="17"/>
                <w:szCs w:val="17"/>
              </w:rPr>
              <w:t>2 anos</w:t>
            </w:r>
          </w:p>
        </w:tc>
      </w:tr>
      <w:tr w:rsidR="00375852" w14:paraId="24B2E5FD"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5284E07" w14:textId="77777777" w:rsidR="00375852" w:rsidRDefault="00375852">
            <w:pPr>
              <w:jc w:val="center"/>
            </w:pPr>
            <w:r>
              <w:rPr>
                <w:rFonts w:ascii="Courier New" w:eastAsia="Courier New" w:hAnsi="Courier New" w:cs="Courier New"/>
                <w:b/>
                <w:bCs/>
                <w:color w:val="0B2C5F"/>
                <w:sz w:val="18"/>
                <w:szCs w:val="18"/>
              </w:rPr>
              <w:t>2</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64625C0" w14:textId="77777777" w:rsidR="00375852" w:rsidRDefault="00375852">
            <w:r>
              <w:rPr>
                <w:rFonts w:ascii="Calibri" w:eastAsia="Calibri" w:hAnsi="Calibri" w:cs="Calibri"/>
                <w:color w:val="051A3D"/>
                <w:sz w:val="18"/>
                <w:szCs w:val="18"/>
              </w:rPr>
              <w:t>Ofensa física em serviço</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C233455" w14:textId="77777777" w:rsidR="00375852" w:rsidRDefault="00375852">
            <w:pPr>
              <w:jc w:val="center"/>
            </w:pPr>
            <w:r>
              <w:rPr>
                <w:rFonts w:ascii="Calibri" w:eastAsia="Calibri" w:hAnsi="Calibri" w:cs="Calibri"/>
                <w:b/>
                <w:bCs/>
                <w:color w:val="0B2C5F"/>
                <w:sz w:val="18"/>
                <w:szCs w:val="18"/>
              </w:rPr>
              <w:t>1</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D9B64D6" w14:textId="77777777" w:rsidR="00375852" w:rsidRDefault="00375852">
            <w:r>
              <w:rPr>
                <w:rFonts w:ascii="Courier New" w:eastAsia="Courier New" w:hAnsi="Courier New" w:cs="Courier New"/>
                <w:color w:val="0B2C5F"/>
                <w:sz w:val="17"/>
                <w:szCs w:val="17"/>
              </w:rPr>
              <w:t>Art. 132, VII</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D785C48"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D78F744" w14:textId="77777777" w:rsidR="00375852" w:rsidRDefault="00375852">
            <w:pPr>
              <w:jc w:val="center"/>
            </w:pPr>
            <w:r>
              <w:rPr>
                <w:rFonts w:ascii="Courier New" w:eastAsia="Courier New" w:hAnsi="Courier New" w:cs="Courier New"/>
                <w:color w:val="0B2C5F"/>
                <w:sz w:val="17"/>
                <w:szCs w:val="17"/>
              </w:rPr>
              <w:t>5 anos</w:t>
            </w:r>
          </w:p>
        </w:tc>
      </w:tr>
      <w:tr w:rsidR="00375852" w14:paraId="12D57141"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E2DDF2B" w14:textId="77777777" w:rsidR="00375852" w:rsidRDefault="00375852">
            <w:pPr>
              <w:jc w:val="center"/>
            </w:pPr>
            <w:r>
              <w:rPr>
                <w:rFonts w:ascii="Courier New" w:eastAsia="Courier New" w:hAnsi="Courier New" w:cs="Courier New"/>
                <w:b/>
                <w:bCs/>
                <w:color w:val="0B2C5F"/>
                <w:sz w:val="18"/>
                <w:szCs w:val="18"/>
              </w:rPr>
              <w:t>3</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40D760AB" w14:textId="77777777" w:rsidR="00375852" w:rsidRDefault="00375852">
            <w:r>
              <w:rPr>
                <w:rFonts w:ascii="Calibri" w:eastAsia="Calibri" w:hAnsi="Calibri" w:cs="Calibri"/>
                <w:color w:val="051A3D"/>
                <w:sz w:val="18"/>
                <w:szCs w:val="18"/>
              </w:rPr>
              <w:t>Excesso doloso na legítima defesa</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1A45744" w14:textId="77777777" w:rsidR="00375852" w:rsidRDefault="00375852">
            <w:pPr>
              <w:jc w:val="center"/>
            </w:pPr>
            <w:r>
              <w:rPr>
                <w:rFonts w:ascii="Calibri" w:eastAsia="Calibri" w:hAnsi="Calibri" w:cs="Calibri"/>
                <w:b/>
                <w:bCs/>
                <w:color w:val="0B2C5F"/>
                <w:sz w:val="18"/>
                <w:szCs w:val="18"/>
              </w:rPr>
              <w:t>1</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8B488B2" w14:textId="77777777" w:rsidR="00375852" w:rsidRDefault="00375852">
            <w:r>
              <w:rPr>
                <w:rFonts w:ascii="Courier New" w:eastAsia="Courier New" w:hAnsi="Courier New" w:cs="Courier New"/>
                <w:color w:val="0B2C5F"/>
                <w:sz w:val="17"/>
                <w:szCs w:val="17"/>
              </w:rPr>
              <w:t>Art. 132, VII / Art. 116, IX</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00ECE8F6"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1BB1E61C" w14:textId="77777777" w:rsidR="00375852" w:rsidRDefault="00375852">
            <w:pPr>
              <w:jc w:val="center"/>
            </w:pPr>
            <w:r>
              <w:rPr>
                <w:rFonts w:ascii="Courier New" w:eastAsia="Courier New" w:hAnsi="Courier New" w:cs="Courier New"/>
                <w:color w:val="0B2C5F"/>
                <w:sz w:val="17"/>
                <w:szCs w:val="17"/>
              </w:rPr>
              <w:t>5 anos</w:t>
            </w:r>
          </w:p>
        </w:tc>
      </w:tr>
      <w:tr w:rsidR="00375852" w14:paraId="59C4A64B"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2166889E" w14:textId="77777777" w:rsidR="00375852" w:rsidRDefault="00375852">
            <w:pPr>
              <w:jc w:val="center"/>
            </w:pPr>
            <w:r>
              <w:rPr>
                <w:rFonts w:ascii="Courier New" w:eastAsia="Courier New" w:hAnsi="Courier New" w:cs="Courier New"/>
                <w:b/>
                <w:bCs/>
                <w:color w:val="0B2C5F"/>
                <w:sz w:val="18"/>
                <w:szCs w:val="18"/>
              </w:rPr>
              <w:t>4</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593E7DB" w14:textId="77777777" w:rsidR="00375852" w:rsidRDefault="00375852">
            <w:r>
              <w:rPr>
                <w:rFonts w:ascii="Calibri" w:eastAsia="Calibri" w:hAnsi="Calibri" w:cs="Calibri"/>
                <w:color w:val="051A3D"/>
                <w:sz w:val="18"/>
                <w:szCs w:val="18"/>
              </w:rPr>
              <w:t>Excesso culposo na legítima defesa</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632A592" w14:textId="77777777" w:rsidR="00375852" w:rsidRDefault="00375852">
            <w:pPr>
              <w:jc w:val="center"/>
            </w:pPr>
            <w:r>
              <w:rPr>
                <w:rFonts w:ascii="Calibri" w:eastAsia="Calibri" w:hAnsi="Calibri" w:cs="Calibri"/>
                <w:b/>
                <w:bCs/>
                <w:color w:val="0B2C5F"/>
                <w:sz w:val="18"/>
                <w:szCs w:val="18"/>
              </w:rPr>
              <w:t>1</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2006AE94" w14:textId="77777777" w:rsidR="00375852" w:rsidRDefault="00375852">
            <w:r>
              <w:rPr>
                <w:rFonts w:ascii="Courier New" w:eastAsia="Courier New" w:hAnsi="Courier New" w:cs="Courier New"/>
                <w:color w:val="0B2C5F"/>
                <w:sz w:val="17"/>
                <w:szCs w:val="17"/>
              </w:rPr>
              <w:t>Art. 116, IX</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3B6423C1" w14:textId="77777777" w:rsidR="00375852" w:rsidRDefault="00375852">
            <w:pPr>
              <w:jc w:val="center"/>
            </w:pPr>
            <w:r>
              <w:rPr>
                <w:rFonts w:ascii="Calibri" w:eastAsia="Calibri" w:hAnsi="Calibri" w:cs="Calibri"/>
                <w:color w:val="1F7A4C"/>
                <w:sz w:val="18"/>
                <w:szCs w:val="18"/>
              </w:rPr>
              <w:t>Suspensão</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0BBC819A" w14:textId="77777777" w:rsidR="00375852" w:rsidRDefault="00375852">
            <w:pPr>
              <w:jc w:val="center"/>
            </w:pPr>
            <w:r>
              <w:rPr>
                <w:rFonts w:ascii="Courier New" w:eastAsia="Courier New" w:hAnsi="Courier New" w:cs="Courier New"/>
                <w:color w:val="0B2C5F"/>
                <w:sz w:val="17"/>
                <w:szCs w:val="17"/>
              </w:rPr>
              <w:t>2 anos</w:t>
            </w:r>
          </w:p>
        </w:tc>
      </w:tr>
      <w:tr w:rsidR="00375852" w14:paraId="3C56E158" w14:textId="77777777">
        <w:tc>
          <w:tcPr>
            <w:tcW w:w="6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682C71AC" w14:textId="77777777" w:rsidR="00375852" w:rsidRDefault="00375852">
            <w:pPr>
              <w:jc w:val="center"/>
            </w:pPr>
            <w:r>
              <w:rPr>
                <w:rFonts w:ascii="Courier New" w:eastAsia="Courier New" w:hAnsi="Courier New" w:cs="Courier New"/>
                <w:b/>
                <w:bCs/>
                <w:color w:val="0B2C5F"/>
                <w:sz w:val="18"/>
                <w:szCs w:val="18"/>
              </w:rPr>
              <w:t>—</w:t>
            </w:r>
          </w:p>
        </w:tc>
        <w:tc>
          <w:tcPr>
            <w:tcW w:w="3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0C11B8F1" w14:textId="77777777" w:rsidR="00375852" w:rsidRDefault="00375852">
            <w:r>
              <w:rPr>
                <w:rFonts w:ascii="Calibri" w:eastAsia="Calibri" w:hAnsi="Calibri" w:cs="Calibri"/>
                <w:color w:val="051A3D"/>
                <w:sz w:val="18"/>
                <w:szCs w:val="18"/>
              </w:rPr>
              <w:t>Agressão fora do âmbito disciplinar</w:t>
            </w:r>
          </w:p>
        </w:tc>
        <w:tc>
          <w:tcPr>
            <w:tcW w:w="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1EF0A6C8" w14:textId="77777777" w:rsidR="00375852" w:rsidRDefault="00375852">
            <w:pPr>
              <w:jc w:val="center"/>
            </w:pPr>
            <w:r>
              <w:rPr>
                <w:rFonts w:ascii="Calibri" w:eastAsia="Calibri" w:hAnsi="Calibri" w:cs="Calibri"/>
                <w:b/>
                <w:bCs/>
                <w:color w:val="0B2C5F"/>
                <w:sz w:val="18"/>
                <w:szCs w:val="18"/>
              </w:rPr>
              <w:t>1</w:t>
            </w:r>
          </w:p>
        </w:tc>
        <w:tc>
          <w:tcPr>
            <w:tcW w:w="2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113B0719" w14:textId="77777777" w:rsidR="00375852" w:rsidRDefault="00375852">
            <w:r>
              <w:rPr>
                <w:rFonts w:ascii="Courier New" w:eastAsia="Courier New" w:hAnsi="Courier New" w:cs="Courier New"/>
                <w:color w:val="0B2C5F"/>
                <w:sz w:val="17"/>
                <w:szCs w:val="17"/>
              </w:rPr>
              <w:t>—</w:t>
            </w:r>
          </w:p>
        </w:tc>
        <w:tc>
          <w:tcPr>
            <w:tcW w:w="1638"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208C05A7" w14:textId="77777777" w:rsidR="00375852" w:rsidRDefault="00375852">
            <w:pPr>
              <w:jc w:val="center"/>
            </w:pPr>
            <w:r>
              <w:rPr>
                <w:rFonts w:ascii="Calibri" w:eastAsia="Calibri" w:hAnsi="Calibri" w:cs="Calibri"/>
                <w:color w:val="5B6781"/>
                <w:sz w:val="18"/>
                <w:szCs w:val="18"/>
              </w:rPr>
              <w:t>Arquivamento</w:t>
            </w:r>
          </w:p>
        </w:tc>
        <w:tc>
          <w:tcPr>
            <w:tcW w:w="1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36C19AA8" w14:textId="77777777" w:rsidR="00375852" w:rsidRDefault="00375852">
            <w:pPr>
              <w:jc w:val="center"/>
            </w:pPr>
            <w:r>
              <w:rPr>
                <w:rFonts w:ascii="Courier New" w:eastAsia="Courier New" w:hAnsi="Courier New" w:cs="Courier New"/>
                <w:color w:val="0B2C5F"/>
                <w:sz w:val="17"/>
                <w:szCs w:val="17"/>
              </w:rPr>
              <w:t>—</w:t>
            </w:r>
          </w:p>
        </w:tc>
      </w:tr>
      <w:tr w:rsidR="00375852" w14:paraId="1C52FA00" w14:textId="77777777">
        <w:tc>
          <w:tcPr>
            <w:tcW w:w="6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6C0FBD4A" w14:textId="77777777" w:rsidR="00375852" w:rsidRDefault="00375852">
            <w:pPr>
              <w:jc w:val="center"/>
            </w:pPr>
            <w:r>
              <w:rPr>
                <w:rFonts w:ascii="Courier New" w:eastAsia="Courier New" w:hAnsi="Courier New" w:cs="Courier New"/>
                <w:b/>
                <w:bCs/>
                <w:color w:val="0B2C5F"/>
                <w:sz w:val="18"/>
                <w:szCs w:val="18"/>
              </w:rPr>
              <w:t>—</w:t>
            </w:r>
          </w:p>
        </w:tc>
        <w:tc>
          <w:tcPr>
            <w:tcW w:w="3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32DDB54C" w14:textId="77777777" w:rsidR="00375852" w:rsidRDefault="00375852">
            <w:r>
              <w:rPr>
                <w:rFonts w:ascii="Calibri" w:eastAsia="Calibri" w:hAnsi="Calibri" w:cs="Calibri"/>
                <w:color w:val="051A3D"/>
                <w:sz w:val="18"/>
                <w:szCs w:val="18"/>
              </w:rPr>
              <w:t>Contato físico sem dolo, ausência de agressão</w:t>
            </w:r>
          </w:p>
        </w:tc>
        <w:tc>
          <w:tcPr>
            <w:tcW w:w="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7E80F05C" w14:textId="77777777" w:rsidR="00375852" w:rsidRDefault="00375852">
            <w:pPr>
              <w:jc w:val="center"/>
            </w:pPr>
            <w:r>
              <w:rPr>
                <w:rFonts w:ascii="Calibri" w:eastAsia="Calibri" w:hAnsi="Calibri" w:cs="Calibri"/>
                <w:b/>
                <w:bCs/>
                <w:color w:val="0B2C5F"/>
                <w:sz w:val="18"/>
                <w:szCs w:val="18"/>
              </w:rPr>
              <w:t>1</w:t>
            </w:r>
          </w:p>
        </w:tc>
        <w:tc>
          <w:tcPr>
            <w:tcW w:w="2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3391EBC3" w14:textId="77777777" w:rsidR="00375852" w:rsidRDefault="00375852">
            <w:r>
              <w:rPr>
                <w:rFonts w:ascii="Courier New" w:eastAsia="Courier New" w:hAnsi="Courier New" w:cs="Courier New"/>
                <w:color w:val="0B2C5F"/>
                <w:sz w:val="17"/>
                <w:szCs w:val="17"/>
              </w:rPr>
              <w:t>—</w:t>
            </w:r>
          </w:p>
        </w:tc>
        <w:tc>
          <w:tcPr>
            <w:tcW w:w="1638"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000E78E0" w14:textId="77777777" w:rsidR="00375852" w:rsidRDefault="00375852">
            <w:pPr>
              <w:jc w:val="center"/>
            </w:pPr>
            <w:r>
              <w:rPr>
                <w:rFonts w:ascii="Calibri" w:eastAsia="Calibri" w:hAnsi="Calibri" w:cs="Calibri"/>
                <w:color w:val="5B6781"/>
                <w:sz w:val="18"/>
                <w:szCs w:val="18"/>
              </w:rPr>
              <w:t>Arquivamento</w:t>
            </w:r>
          </w:p>
        </w:tc>
        <w:tc>
          <w:tcPr>
            <w:tcW w:w="1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463FE578" w14:textId="77777777" w:rsidR="00375852" w:rsidRDefault="00375852">
            <w:pPr>
              <w:jc w:val="center"/>
            </w:pPr>
            <w:r>
              <w:rPr>
                <w:rFonts w:ascii="Courier New" w:eastAsia="Courier New" w:hAnsi="Courier New" w:cs="Courier New"/>
                <w:color w:val="0B2C5F"/>
                <w:sz w:val="17"/>
                <w:szCs w:val="17"/>
              </w:rPr>
              <w:t>—</w:t>
            </w:r>
          </w:p>
        </w:tc>
      </w:tr>
      <w:tr w:rsidR="00375852" w14:paraId="1ED27064" w14:textId="77777777">
        <w:tc>
          <w:tcPr>
            <w:tcW w:w="6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364D851A" w14:textId="77777777" w:rsidR="00375852" w:rsidRDefault="00375852">
            <w:pPr>
              <w:jc w:val="center"/>
            </w:pPr>
            <w:r>
              <w:rPr>
                <w:rFonts w:ascii="Courier New" w:eastAsia="Courier New" w:hAnsi="Courier New" w:cs="Courier New"/>
                <w:b/>
                <w:bCs/>
                <w:color w:val="0B2C5F"/>
                <w:sz w:val="18"/>
                <w:szCs w:val="18"/>
              </w:rPr>
              <w:t>—</w:t>
            </w:r>
          </w:p>
        </w:tc>
        <w:tc>
          <w:tcPr>
            <w:tcW w:w="3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56F80BA3" w14:textId="77777777" w:rsidR="00375852" w:rsidRDefault="00375852">
            <w:r>
              <w:rPr>
                <w:rFonts w:ascii="Calibri" w:eastAsia="Calibri" w:hAnsi="Calibri" w:cs="Calibri"/>
                <w:color w:val="051A3D"/>
                <w:sz w:val="18"/>
                <w:szCs w:val="18"/>
              </w:rPr>
              <w:t>Sem ilícito, legítima defesa integral reconhecida</w:t>
            </w:r>
          </w:p>
        </w:tc>
        <w:tc>
          <w:tcPr>
            <w:tcW w:w="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04E35A37" w14:textId="77777777" w:rsidR="00375852" w:rsidRDefault="00375852">
            <w:pPr>
              <w:jc w:val="center"/>
            </w:pPr>
            <w:r>
              <w:rPr>
                <w:rFonts w:ascii="Calibri" w:eastAsia="Calibri" w:hAnsi="Calibri" w:cs="Calibri"/>
                <w:b/>
                <w:bCs/>
                <w:color w:val="0B2C5F"/>
                <w:sz w:val="18"/>
                <w:szCs w:val="18"/>
              </w:rPr>
              <w:t>1</w:t>
            </w:r>
          </w:p>
        </w:tc>
        <w:tc>
          <w:tcPr>
            <w:tcW w:w="2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210895F9" w14:textId="77777777" w:rsidR="00375852" w:rsidRDefault="00375852">
            <w:r>
              <w:rPr>
                <w:rFonts w:ascii="Courier New" w:eastAsia="Courier New" w:hAnsi="Courier New" w:cs="Courier New"/>
                <w:color w:val="0B2C5F"/>
                <w:sz w:val="17"/>
                <w:szCs w:val="17"/>
              </w:rPr>
              <w:t>—</w:t>
            </w:r>
          </w:p>
        </w:tc>
        <w:tc>
          <w:tcPr>
            <w:tcW w:w="1638"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616E2874" w14:textId="77777777" w:rsidR="00375852" w:rsidRDefault="00375852">
            <w:pPr>
              <w:jc w:val="center"/>
            </w:pPr>
            <w:r>
              <w:rPr>
                <w:rFonts w:ascii="Calibri" w:eastAsia="Calibri" w:hAnsi="Calibri" w:cs="Calibri"/>
                <w:color w:val="5B6781"/>
                <w:sz w:val="18"/>
                <w:szCs w:val="18"/>
              </w:rPr>
              <w:t>Arquivamento</w:t>
            </w:r>
          </w:p>
        </w:tc>
        <w:tc>
          <w:tcPr>
            <w:tcW w:w="1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5A12D06B" w14:textId="77777777" w:rsidR="00375852" w:rsidRDefault="00375852">
            <w:pPr>
              <w:jc w:val="center"/>
            </w:pPr>
            <w:r>
              <w:rPr>
                <w:rFonts w:ascii="Courier New" w:eastAsia="Courier New" w:hAnsi="Courier New" w:cs="Courier New"/>
                <w:color w:val="0B2C5F"/>
                <w:sz w:val="17"/>
                <w:szCs w:val="17"/>
              </w:rPr>
              <w:t>—</w:t>
            </w:r>
          </w:p>
        </w:tc>
      </w:tr>
      <w:tr w:rsidR="00375852" w14:paraId="3104292A" w14:textId="77777777">
        <w:tc>
          <w:tcPr>
            <w:tcW w:w="9638" w:type="dxa"/>
            <w:gridSpan w:val="6"/>
            <w:tcBorders>
              <w:top w:val="single" w:sz="4" w:space="0" w:color="C9A35C"/>
              <w:left w:val="single" w:sz="2" w:space="0" w:color="D0D9E8"/>
              <w:bottom w:val="single" w:sz="2" w:space="0" w:color="1E4C99"/>
              <w:right w:val="single" w:sz="2" w:space="0" w:color="D0D9E8"/>
            </w:tcBorders>
            <w:shd w:val="clear" w:color="auto" w:fill="DCE6F4"/>
            <w:tcMar>
              <w:top w:w="60" w:type="dxa"/>
              <w:left w:w="100" w:type="dxa"/>
              <w:bottom w:w="60" w:type="dxa"/>
              <w:right w:w="100" w:type="dxa"/>
            </w:tcMar>
          </w:tcPr>
          <w:p w14:paraId="0A2E65CD" w14:textId="77777777" w:rsidR="00375852" w:rsidRDefault="00375852">
            <w:r>
              <w:rPr>
                <w:rFonts w:ascii="Barlow Condensed" w:eastAsia="Barlow Condensed" w:hAnsi="Barlow Condensed" w:cs="Barlow Condensed"/>
                <w:b/>
                <w:bCs/>
                <w:color w:val="0B2C5F"/>
                <w:sz w:val="18"/>
                <w:szCs w:val="18"/>
              </w:rPr>
              <w:t>EIXO 2, Ameaça (NT nº 544, de 2024)</w:t>
            </w:r>
          </w:p>
        </w:tc>
      </w:tr>
      <w:tr w:rsidR="00375852" w14:paraId="53B0A4CE"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07ABF2DF" w14:textId="77777777" w:rsidR="00375852" w:rsidRDefault="00375852">
            <w:pPr>
              <w:jc w:val="center"/>
            </w:pPr>
            <w:r>
              <w:rPr>
                <w:rFonts w:ascii="Courier New" w:eastAsia="Courier New" w:hAnsi="Courier New" w:cs="Courier New"/>
                <w:b/>
                <w:bCs/>
                <w:color w:val="0B2C5F"/>
                <w:sz w:val="18"/>
                <w:szCs w:val="18"/>
              </w:rPr>
              <w:t>5</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A911AD8" w14:textId="77777777" w:rsidR="00375852" w:rsidRDefault="00375852">
            <w:r>
              <w:rPr>
                <w:rFonts w:ascii="Calibri" w:eastAsia="Calibri" w:hAnsi="Calibri" w:cs="Calibri"/>
                <w:color w:val="051A3D"/>
                <w:sz w:val="18"/>
                <w:szCs w:val="18"/>
              </w:rPr>
              <w:t>Ameaça grave</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BBFB565" w14:textId="77777777" w:rsidR="00375852" w:rsidRDefault="00375852">
            <w:pPr>
              <w:jc w:val="center"/>
            </w:pPr>
            <w:r>
              <w:rPr>
                <w:rFonts w:ascii="Calibri" w:eastAsia="Calibri" w:hAnsi="Calibri" w:cs="Calibri"/>
                <w:b/>
                <w:bCs/>
                <w:color w:val="0B2C5F"/>
                <w:sz w:val="18"/>
                <w:szCs w:val="18"/>
              </w:rPr>
              <w:t>2</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49ED73B" w14:textId="77777777" w:rsidR="00375852" w:rsidRDefault="00375852">
            <w:r>
              <w:rPr>
                <w:rFonts w:ascii="Courier New" w:eastAsia="Courier New" w:hAnsi="Courier New" w:cs="Courier New"/>
                <w:color w:val="0B2C5F"/>
                <w:sz w:val="17"/>
                <w:szCs w:val="17"/>
              </w:rPr>
              <w:t>Art. 132, V</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CB3CFB8"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934A527" w14:textId="77777777" w:rsidR="00375852" w:rsidRDefault="00375852">
            <w:pPr>
              <w:jc w:val="center"/>
            </w:pPr>
            <w:r>
              <w:rPr>
                <w:rFonts w:ascii="Courier New" w:eastAsia="Courier New" w:hAnsi="Courier New" w:cs="Courier New"/>
                <w:color w:val="0B2C5F"/>
                <w:sz w:val="17"/>
                <w:szCs w:val="17"/>
              </w:rPr>
              <w:t>5 anos</w:t>
            </w:r>
          </w:p>
        </w:tc>
      </w:tr>
      <w:tr w:rsidR="00375852" w14:paraId="163360BA"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AAF524C" w14:textId="77777777" w:rsidR="00375852" w:rsidRDefault="00375852">
            <w:pPr>
              <w:jc w:val="center"/>
            </w:pPr>
            <w:r>
              <w:rPr>
                <w:rFonts w:ascii="Courier New" w:eastAsia="Courier New" w:hAnsi="Courier New" w:cs="Courier New"/>
                <w:b/>
                <w:bCs/>
                <w:color w:val="0B2C5F"/>
                <w:sz w:val="18"/>
                <w:szCs w:val="18"/>
              </w:rPr>
              <w:t>6</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2F4F0D1" w14:textId="77777777" w:rsidR="00375852" w:rsidRDefault="00375852">
            <w:r>
              <w:rPr>
                <w:rFonts w:ascii="Calibri" w:eastAsia="Calibri" w:hAnsi="Calibri" w:cs="Calibri"/>
                <w:color w:val="051A3D"/>
                <w:sz w:val="18"/>
                <w:szCs w:val="18"/>
              </w:rPr>
              <w:t>Ameaça moderada com valimento do cargo</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9C77F82" w14:textId="77777777" w:rsidR="00375852" w:rsidRDefault="00375852">
            <w:pPr>
              <w:jc w:val="center"/>
            </w:pPr>
            <w:r>
              <w:rPr>
                <w:rFonts w:ascii="Calibri" w:eastAsia="Calibri" w:hAnsi="Calibri" w:cs="Calibri"/>
                <w:b/>
                <w:bCs/>
                <w:color w:val="0B2C5F"/>
                <w:sz w:val="18"/>
                <w:szCs w:val="18"/>
              </w:rPr>
              <w:t>2</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5736230" w14:textId="77777777" w:rsidR="00375852" w:rsidRDefault="00375852">
            <w:r>
              <w:rPr>
                <w:rFonts w:ascii="Courier New" w:eastAsia="Courier New" w:hAnsi="Courier New" w:cs="Courier New"/>
                <w:color w:val="0B2C5F"/>
                <w:sz w:val="17"/>
                <w:szCs w:val="17"/>
              </w:rPr>
              <w:t>Art. 117, IX</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68A9B9D"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E809726" w14:textId="77777777" w:rsidR="00375852" w:rsidRDefault="00375852">
            <w:pPr>
              <w:jc w:val="center"/>
            </w:pPr>
            <w:r>
              <w:rPr>
                <w:rFonts w:ascii="Courier New" w:eastAsia="Courier New" w:hAnsi="Courier New" w:cs="Courier New"/>
                <w:color w:val="0B2C5F"/>
                <w:sz w:val="17"/>
                <w:szCs w:val="17"/>
              </w:rPr>
              <w:t>5 anos</w:t>
            </w:r>
          </w:p>
        </w:tc>
      </w:tr>
      <w:tr w:rsidR="00375852" w14:paraId="21CA8E39"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C1283D4" w14:textId="77777777" w:rsidR="00375852" w:rsidRDefault="00375852">
            <w:pPr>
              <w:jc w:val="center"/>
            </w:pPr>
            <w:r>
              <w:rPr>
                <w:rFonts w:ascii="Courier New" w:eastAsia="Courier New" w:hAnsi="Courier New" w:cs="Courier New"/>
                <w:b/>
                <w:bCs/>
                <w:color w:val="0B2C5F"/>
                <w:sz w:val="18"/>
                <w:szCs w:val="18"/>
              </w:rPr>
              <w:t>7</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D58480F" w14:textId="77777777" w:rsidR="00375852" w:rsidRDefault="00375852">
            <w:r>
              <w:rPr>
                <w:rFonts w:ascii="Calibri" w:eastAsia="Calibri" w:hAnsi="Calibri" w:cs="Calibri"/>
                <w:color w:val="051A3D"/>
                <w:sz w:val="18"/>
                <w:szCs w:val="18"/>
              </w:rPr>
              <w:t>Ameaça de agressão física, conduta imprópria</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3ED164CE" w14:textId="77777777" w:rsidR="00375852" w:rsidRDefault="00375852">
            <w:pPr>
              <w:jc w:val="center"/>
            </w:pPr>
            <w:r>
              <w:rPr>
                <w:rFonts w:ascii="Calibri" w:eastAsia="Calibri" w:hAnsi="Calibri" w:cs="Calibri"/>
                <w:b/>
                <w:bCs/>
                <w:color w:val="0B2C5F"/>
                <w:sz w:val="18"/>
                <w:szCs w:val="18"/>
              </w:rPr>
              <w:t>2</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02150855" w14:textId="77777777" w:rsidR="00375852" w:rsidRDefault="00375852">
            <w:r>
              <w:rPr>
                <w:rFonts w:ascii="Courier New" w:eastAsia="Courier New" w:hAnsi="Courier New" w:cs="Courier New"/>
                <w:color w:val="0B2C5F"/>
                <w:sz w:val="17"/>
                <w:szCs w:val="17"/>
              </w:rPr>
              <w:t>Art. 116, IX</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BED6204" w14:textId="77777777" w:rsidR="00375852" w:rsidRDefault="00375852">
            <w:pPr>
              <w:jc w:val="center"/>
            </w:pPr>
            <w:r>
              <w:rPr>
                <w:rFonts w:ascii="Calibri" w:eastAsia="Calibri" w:hAnsi="Calibri" w:cs="Calibri"/>
                <w:color w:val="1F7A4C"/>
                <w:sz w:val="18"/>
                <w:szCs w:val="18"/>
              </w:rPr>
              <w:t>Suspensão</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CD63C0C" w14:textId="77777777" w:rsidR="00375852" w:rsidRDefault="00375852">
            <w:pPr>
              <w:jc w:val="center"/>
            </w:pPr>
            <w:r>
              <w:rPr>
                <w:rFonts w:ascii="Courier New" w:eastAsia="Courier New" w:hAnsi="Courier New" w:cs="Courier New"/>
                <w:color w:val="0B2C5F"/>
                <w:sz w:val="17"/>
                <w:szCs w:val="17"/>
              </w:rPr>
              <w:t>2 anos</w:t>
            </w:r>
          </w:p>
        </w:tc>
      </w:tr>
      <w:tr w:rsidR="00375852" w14:paraId="695DA07B"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2BEEFD4" w14:textId="77777777" w:rsidR="00375852" w:rsidRDefault="00375852">
            <w:pPr>
              <w:jc w:val="center"/>
            </w:pPr>
            <w:r>
              <w:rPr>
                <w:rFonts w:ascii="Courier New" w:eastAsia="Courier New" w:hAnsi="Courier New" w:cs="Courier New"/>
                <w:b/>
                <w:bCs/>
                <w:color w:val="0B2C5F"/>
                <w:sz w:val="18"/>
                <w:szCs w:val="18"/>
              </w:rPr>
              <w:t>8</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22039107" w14:textId="77777777" w:rsidR="00375852" w:rsidRDefault="00375852">
            <w:r>
              <w:rPr>
                <w:rFonts w:ascii="Calibri" w:eastAsia="Calibri" w:hAnsi="Calibri" w:cs="Calibri"/>
                <w:color w:val="051A3D"/>
                <w:sz w:val="18"/>
                <w:szCs w:val="18"/>
              </w:rPr>
              <w:t>Ameaça leve, falta de urbanidade</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DDF7A81" w14:textId="77777777" w:rsidR="00375852" w:rsidRDefault="00375852">
            <w:pPr>
              <w:jc w:val="center"/>
            </w:pPr>
            <w:r>
              <w:rPr>
                <w:rFonts w:ascii="Calibri" w:eastAsia="Calibri" w:hAnsi="Calibri" w:cs="Calibri"/>
                <w:b/>
                <w:bCs/>
                <w:color w:val="0B2C5F"/>
                <w:sz w:val="18"/>
                <w:szCs w:val="18"/>
              </w:rPr>
              <w:t>2</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016B9337" w14:textId="77777777" w:rsidR="00375852" w:rsidRDefault="00375852">
            <w:r>
              <w:rPr>
                <w:rFonts w:ascii="Courier New" w:eastAsia="Courier New" w:hAnsi="Courier New" w:cs="Courier New"/>
                <w:color w:val="0B2C5F"/>
                <w:sz w:val="17"/>
                <w:szCs w:val="17"/>
              </w:rPr>
              <w:t>Art. 116, XI / Art. 117, V</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16FB4B46" w14:textId="77777777" w:rsidR="00375852" w:rsidRDefault="00375852">
            <w:pPr>
              <w:jc w:val="center"/>
            </w:pPr>
            <w:r>
              <w:rPr>
                <w:rFonts w:ascii="Calibri" w:eastAsia="Calibri" w:hAnsi="Calibri" w:cs="Calibri"/>
                <w:color w:val="1F7A4C"/>
                <w:sz w:val="18"/>
                <w:szCs w:val="18"/>
              </w:rPr>
              <w:t>Advertência</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18368F0" w14:textId="77777777" w:rsidR="00375852" w:rsidRDefault="00375852">
            <w:pPr>
              <w:jc w:val="center"/>
            </w:pPr>
            <w:r>
              <w:rPr>
                <w:rFonts w:ascii="Courier New" w:eastAsia="Courier New" w:hAnsi="Courier New" w:cs="Courier New"/>
                <w:color w:val="0B2C5F"/>
                <w:sz w:val="17"/>
                <w:szCs w:val="17"/>
              </w:rPr>
              <w:t>180 dias</w:t>
            </w:r>
          </w:p>
        </w:tc>
      </w:tr>
      <w:tr w:rsidR="00375852" w14:paraId="55E4766D" w14:textId="77777777">
        <w:tc>
          <w:tcPr>
            <w:tcW w:w="9638" w:type="dxa"/>
            <w:gridSpan w:val="6"/>
            <w:tcBorders>
              <w:top w:val="single" w:sz="4" w:space="0" w:color="C9A35C"/>
              <w:left w:val="single" w:sz="2" w:space="0" w:color="D0D9E8"/>
              <w:bottom w:val="single" w:sz="2" w:space="0" w:color="1E4C99"/>
              <w:right w:val="single" w:sz="2" w:space="0" w:color="D0D9E8"/>
            </w:tcBorders>
            <w:shd w:val="clear" w:color="auto" w:fill="DCE6F4"/>
            <w:tcMar>
              <w:top w:w="60" w:type="dxa"/>
              <w:left w:w="100" w:type="dxa"/>
              <w:bottom w:w="60" w:type="dxa"/>
              <w:right w:w="100" w:type="dxa"/>
            </w:tcMar>
          </w:tcPr>
          <w:p w14:paraId="47E27662" w14:textId="77777777" w:rsidR="00375852" w:rsidRDefault="00375852">
            <w:r>
              <w:rPr>
                <w:rFonts w:ascii="Barlow Condensed" w:eastAsia="Barlow Condensed" w:hAnsi="Barlow Condensed" w:cs="Barlow Condensed"/>
                <w:b/>
                <w:bCs/>
                <w:color w:val="0B2C5F"/>
                <w:sz w:val="18"/>
                <w:szCs w:val="18"/>
              </w:rPr>
              <w:t>EIXO 3, Assédio Sexual e Atos de Conotação Sexual (NT nº 3285, de 2023)</w:t>
            </w:r>
          </w:p>
        </w:tc>
      </w:tr>
      <w:tr w:rsidR="00375852" w14:paraId="5757A14C"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8A011DC" w14:textId="77777777" w:rsidR="00375852" w:rsidRDefault="00375852">
            <w:pPr>
              <w:jc w:val="center"/>
            </w:pPr>
            <w:r>
              <w:rPr>
                <w:rFonts w:ascii="Courier New" w:eastAsia="Courier New" w:hAnsi="Courier New" w:cs="Courier New"/>
                <w:b/>
                <w:bCs/>
                <w:color w:val="0B2C5F"/>
                <w:sz w:val="18"/>
                <w:szCs w:val="18"/>
              </w:rPr>
              <w:lastRenderedPageBreak/>
              <w:t>9</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FD9EBBA" w14:textId="77777777" w:rsidR="00375852" w:rsidRDefault="00375852">
            <w:r>
              <w:rPr>
                <w:rFonts w:ascii="Calibri" w:eastAsia="Calibri" w:hAnsi="Calibri" w:cs="Calibri"/>
                <w:color w:val="051A3D"/>
                <w:sz w:val="18"/>
                <w:szCs w:val="18"/>
              </w:rPr>
              <w:t>Assédio sexual com impacto grave à vítima</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1635315D" w14:textId="77777777" w:rsidR="00375852" w:rsidRDefault="00375852">
            <w:pPr>
              <w:jc w:val="center"/>
            </w:pPr>
            <w:r>
              <w:rPr>
                <w:rFonts w:ascii="Calibri" w:eastAsia="Calibri" w:hAnsi="Calibri" w:cs="Calibri"/>
                <w:b/>
                <w:bCs/>
                <w:color w:val="0B2C5F"/>
                <w:sz w:val="18"/>
                <w:szCs w:val="18"/>
              </w:rPr>
              <w:t>3</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11B37AC1" w14:textId="77777777" w:rsidR="00375852" w:rsidRDefault="00375852">
            <w:r>
              <w:rPr>
                <w:rFonts w:ascii="Courier New" w:eastAsia="Courier New" w:hAnsi="Courier New" w:cs="Courier New"/>
                <w:color w:val="0B2C5F"/>
                <w:sz w:val="17"/>
                <w:szCs w:val="17"/>
              </w:rPr>
              <w:t>Art. 132, V</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D78F9E8"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1518112D" w14:textId="77777777" w:rsidR="00375852" w:rsidRDefault="00375852">
            <w:pPr>
              <w:jc w:val="center"/>
            </w:pPr>
            <w:r>
              <w:rPr>
                <w:rFonts w:ascii="Courier New" w:eastAsia="Courier New" w:hAnsi="Courier New" w:cs="Courier New"/>
                <w:color w:val="0B2C5F"/>
                <w:sz w:val="17"/>
                <w:szCs w:val="17"/>
              </w:rPr>
              <w:t>5 anos</w:t>
            </w:r>
          </w:p>
        </w:tc>
      </w:tr>
      <w:tr w:rsidR="00375852" w14:paraId="72F4EC74"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7D3B20E" w14:textId="77777777" w:rsidR="00375852" w:rsidRDefault="00375852">
            <w:pPr>
              <w:jc w:val="center"/>
            </w:pPr>
            <w:r>
              <w:rPr>
                <w:rFonts w:ascii="Courier New" w:eastAsia="Courier New" w:hAnsi="Courier New" w:cs="Courier New"/>
                <w:b/>
                <w:bCs/>
                <w:color w:val="0B2C5F"/>
                <w:sz w:val="18"/>
                <w:szCs w:val="18"/>
              </w:rPr>
              <w:t>10</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F62ADEE" w14:textId="77777777" w:rsidR="00375852" w:rsidRDefault="00375852">
            <w:r>
              <w:rPr>
                <w:rFonts w:ascii="Calibri" w:eastAsia="Calibri" w:hAnsi="Calibri" w:cs="Calibri"/>
                <w:color w:val="051A3D"/>
                <w:sz w:val="18"/>
                <w:szCs w:val="18"/>
              </w:rPr>
              <w:t>Assédio sexual com valimento do cargo</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7B7846A" w14:textId="77777777" w:rsidR="00375852" w:rsidRDefault="00375852">
            <w:pPr>
              <w:jc w:val="center"/>
            </w:pPr>
            <w:r>
              <w:rPr>
                <w:rFonts w:ascii="Calibri" w:eastAsia="Calibri" w:hAnsi="Calibri" w:cs="Calibri"/>
                <w:b/>
                <w:bCs/>
                <w:color w:val="0B2C5F"/>
                <w:sz w:val="18"/>
                <w:szCs w:val="18"/>
              </w:rPr>
              <w:t>3</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165FA137" w14:textId="77777777" w:rsidR="00375852" w:rsidRDefault="00375852">
            <w:r>
              <w:rPr>
                <w:rFonts w:ascii="Courier New" w:eastAsia="Courier New" w:hAnsi="Courier New" w:cs="Courier New"/>
                <w:color w:val="0B2C5F"/>
                <w:sz w:val="17"/>
                <w:szCs w:val="17"/>
              </w:rPr>
              <w:t>Art. 117, IX</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DB87220"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7FF29D6" w14:textId="77777777" w:rsidR="00375852" w:rsidRDefault="00375852">
            <w:pPr>
              <w:jc w:val="center"/>
            </w:pPr>
            <w:r>
              <w:rPr>
                <w:rFonts w:ascii="Courier New" w:eastAsia="Courier New" w:hAnsi="Courier New" w:cs="Courier New"/>
                <w:color w:val="0B2C5F"/>
                <w:sz w:val="17"/>
                <w:szCs w:val="17"/>
              </w:rPr>
              <w:t>5 anos</w:t>
            </w:r>
          </w:p>
        </w:tc>
      </w:tr>
      <w:tr w:rsidR="00375852" w14:paraId="1F7711D7"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392005B1" w14:textId="77777777" w:rsidR="00375852" w:rsidRDefault="00375852">
            <w:pPr>
              <w:jc w:val="center"/>
            </w:pPr>
            <w:r>
              <w:rPr>
                <w:rFonts w:ascii="Courier New" w:eastAsia="Courier New" w:hAnsi="Courier New" w:cs="Courier New"/>
                <w:b/>
                <w:bCs/>
                <w:color w:val="0B2C5F"/>
                <w:sz w:val="18"/>
                <w:szCs w:val="18"/>
              </w:rPr>
              <w:t>11</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1C873257" w14:textId="77777777" w:rsidR="00375852" w:rsidRDefault="00375852">
            <w:r>
              <w:rPr>
                <w:rFonts w:ascii="Calibri" w:eastAsia="Calibri" w:hAnsi="Calibri" w:cs="Calibri"/>
                <w:color w:val="051A3D"/>
                <w:sz w:val="18"/>
                <w:szCs w:val="18"/>
              </w:rPr>
              <w:t>Assédio sexual, conduta imprópria</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09A301AF" w14:textId="77777777" w:rsidR="00375852" w:rsidRDefault="00375852">
            <w:pPr>
              <w:jc w:val="center"/>
            </w:pPr>
            <w:r>
              <w:rPr>
                <w:rFonts w:ascii="Calibri" w:eastAsia="Calibri" w:hAnsi="Calibri" w:cs="Calibri"/>
                <w:b/>
                <w:bCs/>
                <w:color w:val="0B2C5F"/>
                <w:sz w:val="18"/>
                <w:szCs w:val="18"/>
              </w:rPr>
              <w:t>3</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D845464" w14:textId="77777777" w:rsidR="00375852" w:rsidRDefault="00375852">
            <w:r>
              <w:rPr>
                <w:rFonts w:ascii="Courier New" w:eastAsia="Courier New" w:hAnsi="Courier New" w:cs="Courier New"/>
                <w:color w:val="0B2C5F"/>
                <w:sz w:val="17"/>
                <w:szCs w:val="17"/>
              </w:rPr>
              <w:t>Art. 116, II e IX</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68A6548C" w14:textId="77777777" w:rsidR="00375852" w:rsidRDefault="00375852">
            <w:pPr>
              <w:jc w:val="center"/>
            </w:pPr>
            <w:r>
              <w:rPr>
                <w:rFonts w:ascii="Calibri" w:eastAsia="Calibri" w:hAnsi="Calibri" w:cs="Calibri"/>
                <w:color w:val="1F7A4C"/>
                <w:sz w:val="18"/>
                <w:szCs w:val="18"/>
              </w:rPr>
              <w:t>Adv./</w:t>
            </w:r>
            <w:proofErr w:type="spellStart"/>
            <w:r>
              <w:rPr>
                <w:rFonts w:ascii="Calibri" w:eastAsia="Calibri" w:hAnsi="Calibri" w:cs="Calibri"/>
                <w:color w:val="1F7A4C"/>
                <w:sz w:val="18"/>
                <w:szCs w:val="18"/>
              </w:rPr>
              <w:t>Susp</w:t>
            </w:r>
            <w:proofErr w:type="spellEnd"/>
            <w:r>
              <w:rPr>
                <w:rFonts w:ascii="Calibri" w:eastAsia="Calibri" w:hAnsi="Calibri" w:cs="Calibri"/>
                <w:color w:val="1F7A4C"/>
                <w:sz w:val="18"/>
                <w:szCs w:val="18"/>
              </w:rPr>
              <w:t>.</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0065EFE" w14:textId="77777777" w:rsidR="00375852" w:rsidRDefault="00375852">
            <w:pPr>
              <w:jc w:val="center"/>
            </w:pPr>
            <w:r>
              <w:rPr>
                <w:rFonts w:ascii="Courier New" w:eastAsia="Courier New" w:hAnsi="Courier New" w:cs="Courier New"/>
                <w:color w:val="0B2C5F"/>
                <w:sz w:val="17"/>
                <w:szCs w:val="17"/>
              </w:rPr>
              <w:t>2 anos</w:t>
            </w:r>
          </w:p>
        </w:tc>
      </w:tr>
      <w:tr w:rsidR="00375852" w14:paraId="21E24C39"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35F4173C" w14:textId="77777777" w:rsidR="00375852" w:rsidRDefault="00375852">
            <w:pPr>
              <w:jc w:val="center"/>
            </w:pPr>
            <w:r>
              <w:rPr>
                <w:rFonts w:ascii="Courier New" w:eastAsia="Courier New" w:hAnsi="Courier New" w:cs="Courier New"/>
                <w:b/>
                <w:bCs/>
                <w:color w:val="0B2C5F"/>
                <w:sz w:val="18"/>
                <w:szCs w:val="18"/>
              </w:rPr>
              <w:t>12</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02C2020" w14:textId="77777777" w:rsidR="00375852" w:rsidRDefault="00375852">
            <w:r>
              <w:rPr>
                <w:rFonts w:ascii="Calibri" w:eastAsia="Calibri" w:hAnsi="Calibri" w:cs="Calibri"/>
                <w:color w:val="051A3D"/>
                <w:sz w:val="18"/>
                <w:szCs w:val="18"/>
              </w:rPr>
              <w:t>Assédio sexual consentido, ofensa à moralidade</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67D968D4" w14:textId="77777777" w:rsidR="00375852" w:rsidRDefault="00375852">
            <w:pPr>
              <w:jc w:val="center"/>
            </w:pPr>
            <w:r>
              <w:rPr>
                <w:rFonts w:ascii="Calibri" w:eastAsia="Calibri" w:hAnsi="Calibri" w:cs="Calibri"/>
                <w:b/>
                <w:bCs/>
                <w:color w:val="0B2C5F"/>
                <w:sz w:val="18"/>
                <w:szCs w:val="18"/>
              </w:rPr>
              <w:t>3</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1A977AF0" w14:textId="77777777" w:rsidR="00375852" w:rsidRDefault="00375852">
            <w:r>
              <w:rPr>
                <w:rFonts w:ascii="Courier New" w:eastAsia="Courier New" w:hAnsi="Courier New" w:cs="Courier New"/>
                <w:color w:val="0B2C5F"/>
                <w:sz w:val="17"/>
                <w:szCs w:val="17"/>
              </w:rPr>
              <w:t>Art. 116, IX</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0540E92" w14:textId="77777777" w:rsidR="00375852" w:rsidRDefault="00375852">
            <w:pPr>
              <w:jc w:val="center"/>
            </w:pPr>
            <w:r>
              <w:rPr>
                <w:rFonts w:ascii="Calibri" w:eastAsia="Calibri" w:hAnsi="Calibri" w:cs="Calibri"/>
                <w:color w:val="1F7A4C"/>
                <w:sz w:val="18"/>
                <w:szCs w:val="18"/>
              </w:rPr>
              <w:t>Adv./</w:t>
            </w:r>
            <w:proofErr w:type="spellStart"/>
            <w:r>
              <w:rPr>
                <w:rFonts w:ascii="Calibri" w:eastAsia="Calibri" w:hAnsi="Calibri" w:cs="Calibri"/>
                <w:color w:val="1F7A4C"/>
                <w:sz w:val="18"/>
                <w:szCs w:val="18"/>
              </w:rPr>
              <w:t>Susp</w:t>
            </w:r>
            <w:proofErr w:type="spellEnd"/>
            <w:r>
              <w:rPr>
                <w:rFonts w:ascii="Calibri" w:eastAsia="Calibri" w:hAnsi="Calibri" w:cs="Calibri"/>
                <w:color w:val="1F7A4C"/>
                <w:sz w:val="18"/>
                <w:szCs w:val="18"/>
              </w:rPr>
              <w:t>.</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3BFD885" w14:textId="77777777" w:rsidR="00375852" w:rsidRDefault="00375852">
            <w:pPr>
              <w:jc w:val="center"/>
            </w:pPr>
            <w:r>
              <w:rPr>
                <w:rFonts w:ascii="Courier New" w:eastAsia="Courier New" w:hAnsi="Courier New" w:cs="Courier New"/>
                <w:color w:val="0B2C5F"/>
                <w:sz w:val="17"/>
                <w:szCs w:val="17"/>
              </w:rPr>
              <w:t>2 anos</w:t>
            </w:r>
          </w:p>
        </w:tc>
      </w:tr>
      <w:tr w:rsidR="00375852" w14:paraId="235C18BD"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0192DB63" w14:textId="77777777" w:rsidR="00375852" w:rsidRDefault="00375852">
            <w:pPr>
              <w:jc w:val="center"/>
            </w:pPr>
            <w:r>
              <w:rPr>
                <w:rFonts w:ascii="Courier New" w:eastAsia="Courier New" w:hAnsi="Courier New" w:cs="Courier New"/>
                <w:b/>
                <w:bCs/>
                <w:color w:val="0B2C5F"/>
                <w:sz w:val="18"/>
                <w:szCs w:val="18"/>
              </w:rPr>
              <w:t>13</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9F70CAC" w14:textId="77777777" w:rsidR="00375852" w:rsidRDefault="00375852">
            <w:r>
              <w:rPr>
                <w:rFonts w:ascii="Calibri" w:eastAsia="Calibri" w:hAnsi="Calibri" w:cs="Calibri"/>
                <w:color w:val="051A3D"/>
                <w:sz w:val="18"/>
                <w:szCs w:val="18"/>
              </w:rPr>
              <w:t>Conotação sexual com decorrência penal</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15AE2D08" w14:textId="77777777" w:rsidR="00375852" w:rsidRDefault="00375852">
            <w:pPr>
              <w:jc w:val="center"/>
            </w:pPr>
            <w:r>
              <w:rPr>
                <w:rFonts w:ascii="Calibri" w:eastAsia="Calibri" w:hAnsi="Calibri" w:cs="Calibri"/>
                <w:b/>
                <w:bCs/>
                <w:color w:val="0B2C5F"/>
                <w:sz w:val="18"/>
                <w:szCs w:val="18"/>
              </w:rPr>
              <w:t>3</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6024560" w14:textId="77777777" w:rsidR="00375852" w:rsidRDefault="00375852">
            <w:r>
              <w:rPr>
                <w:rFonts w:ascii="Courier New" w:eastAsia="Courier New" w:hAnsi="Courier New" w:cs="Courier New"/>
                <w:color w:val="0B2C5F"/>
                <w:sz w:val="17"/>
                <w:szCs w:val="17"/>
              </w:rPr>
              <w:t>Art. 132, V</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02C59EE"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082C213" w14:textId="77777777" w:rsidR="00375852" w:rsidRDefault="00375852">
            <w:pPr>
              <w:jc w:val="center"/>
            </w:pPr>
            <w:r>
              <w:rPr>
                <w:rFonts w:ascii="Courier New" w:eastAsia="Courier New" w:hAnsi="Courier New" w:cs="Courier New"/>
                <w:color w:val="0B2C5F"/>
                <w:sz w:val="17"/>
                <w:szCs w:val="17"/>
              </w:rPr>
              <w:t>5 anos</w:t>
            </w:r>
          </w:p>
        </w:tc>
      </w:tr>
      <w:tr w:rsidR="00375852" w14:paraId="35F80078"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1F2DC93A" w14:textId="77777777" w:rsidR="00375852" w:rsidRDefault="00375852">
            <w:pPr>
              <w:jc w:val="center"/>
            </w:pPr>
            <w:r>
              <w:rPr>
                <w:rFonts w:ascii="Courier New" w:eastAsia="Courier New" w:hAnsi="Courier New" w:cs="Courier New"/>
                <w:b/>
                <w:bCs/>
                <w:color w:val="0B2C5F"/>
                <w:sz w:val="18"/>
                <w:szCs w:val="18"/>
              </w:rPr>
              <w:t>14</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A8D833F" w14:textId="77777777" w:rsidR="00375852" w:rsidRDefault="00375852">
            <w:r>
              <w:rPr>
                <w:rFonts w:ascii="Calibri" w:eastAsia="Calibri" w:hAnsi="Calibri" w:cs="Calibri"/>
                <w:color w:val="051A3D"/>
                <w:sz w:val="18"/>
                <w:szCs w:val="18"/>
              </w:rPr>
              <w:t>Conotação sexual com escândalo ou dano grave</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1F0E52C" w14:textId="77777777" w:rsidR="00375852" w:rsidRDefault="00375852">
            <w:pPr>
              <w:jc w:val="center"/>
            </w:pPr>
            <w:r>
              <w:rPr>
                <w:rFonts w:ascii="Calibri" w:eastAsia="Calibri" w:hAnsi="Calibri" w:cs="Calibri"/>
                <w:b/>
                <w:bCs/>
                <w:color w:val="0B2C5F"/>
                <w:sz w:val="18"/>
                <w:szCs w:val="18"/>
              </w:rPr>
              <w:t>3</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194A84A" w14:textId="77777777" w:rsidR="00375852" w:rsidRDefault="00375852">
            <w:r>
              <w:rPr>
                <w:rFonts w:ascii="Courier New" w:eastAsia="Courier New" w:hAnsi="Courier New" w:cs="Courier New"/>
                <w:color w:val="0B2C5F"/>
                <w:sz w:val="17"/>
                <w:szCs w:val="17"/>
              </w:rPr>
              <w:t>Art. 132, V / Art. 116, IX</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F0920E1" w14:textId="77777777" w:rsidR="00375852" w:rsidRDefault="00375852">
            <w:pPr>
              <w:jc w:val="center"/>
            </w:pPr>
            <w:r>
              <w:rPr>
                <w:rFonts w:ascii="Calibri" w:eastAsia="Calibri" w:hAnsi="Calibri" w:cs="Calibri"/>
                <w:b/>
                <w:bCs/>
                <w:color w:val="B42318"/>
                <w:sz w:val="18"/>
                <w:szCs w:val="18"/>
              </w:rPr>
              <w:t xml:space="preserve">Dem.* / </w:t>
            </w:r>
            <w:proofErr w:type="spellStart"/>
            <w:r>
              <w:rPr>
                <w:rFonts w:ascii="Calibri" w:eastAsia="Calibri" w:hAnsi="Calibri" w:cs="Calibri"/>
                <w:b/>
                <w:bCs/>
                <w:color w:val="B42318"/>
                <w:sz w:val="18"/>
                <w:szCs w:val="18"/>
              </w:rPr>
              <w:t>Susp</w:t>
            </w:r>
            <w:proofErr w:type="spellEnd"/>
            <w:r>
              <w:rPr>
                <w:rFonts w:ascii="Calibri" w:eastAsia="Calibri" w:hAnsi="Calibri" w:cs="Calibri"/>
                <w:b/>
                <w:bCs/>
                <w:color w:val="B42318"/>
                <w:sz w:val="18"/>
                <w:szCs w:val="18"/>
              </w:rPr>
              <w:t>.</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4C3F5DA2" w14:textId="77777777" w:rsidR="00375852" w:rsidRDefault="00375852">
            <w:pPr>
              <w:jc w:val="center"/>
            </w:pPr>
            <w:r>
              <w:rPr>
                <w:rFonts w:ascii="Courier New" w:eastAsia="Courier New" w:hAnsi="Courier New" w:cs="Courier New"/>
                <w:color w:val="0B2C5F"/>
                <w:sz w:val="17"/>
                <w:szCs w:val="17"/>
              </w:rPr>
              <w:t>5 / 2 anos</w:t>
            </w:r>
          </w:p>
        </w:tc>
      </w:tr>
      <w:tr w:rsidR="00375852" w14:paraId="049979B2"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0636D5A9" w14:textId="77777777" w:rsidR="00375852" w:rsidRDefault="00375852">
            <w:pPr>
              <w:jc w:val="center"/>
            </w:pPr>
            <w:r>
              <w:rPr>
                <w:rFonts w:ascii="Courier New" w:eastAsia="Courier New" w:hAnsi="Courier New" w:cs="Courier New"/>
                <w:b/>
                <w:bCs/>
                <w:color w:val="0B2C5F"/>
                <w:sz w:val="18"/>
                <w:szCs w:val="18"/>
              </w:rPr>
              <w:t>15</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00AF749D" w14:textId="77777777" w:rsidR="00375852" w:rsidRDefault="00375852">
            <w:r>
              <w:rPr>
                <w:rFonts w:ascii="Calibri" w:eastAsia="Calibri" w:hAnsi="Calibri" w:cs="Calibri"/>
                <w:color w:val="051A3D"/>
                <w:sz w:val="18"/>
                <w:szCs w:val="18"/>
              </w:rPr>
              <w:t>Conotação sexual com valimento do cargo</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61951B2" w14:textId="77777777" w:rsidR="00375852" w:rsidRDefault="00375852">
            <w:pPr>
              <w:jc w:val="center"/>
            </w:pPr>
            <w:r>
              <w:rPr>
                <w:rFonts w:ascii="Calibri" w:eastAsia="Calibri" w:hAnsi="Calibri" w:cs="Calibri"/>
                <w:b/>
                <w:bCs/>
                <w:color w:val="0B2C5F"/>
                <w:sz w:val="18"/>
                <w:szCs w:val="18"/>
              </w:rPr>
              <w:t>3</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4600F60" w14:textId="77777777" w:rsidR="00375852" w:rsidRDefault="00375852">
            <w:r>
              <w:rPr>
                <w:rFonts w:ascii="Courier New" w:eastAsia="Courier New" w:hAnsi="Courier New" w:cs="Courier New"/>
                <w:color w:val="0B2C5F"/>
                <w:sz w:val="17"/>
                <w:szCs w:val="17"/>
              </w:rPr>
              <w:t>Art. 117, IX</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43AC8E4"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E39A5C5" w14:textId="77777777" w:rsidR="00375852" w:rsidRDefault="00375852">
            <w:pPr>
              <w:jc w:val="center"/>
            </w:pPr>
            <w:r>
              <w:rPr>
                <w:rFonts w:ascii="Courier New" w:eastAsia="Courier New" w:hAnsi="Courier New" w:cs="Courier New"/>
                <w:color w:val="0B2C5F"/>
                <w:sz w:val="17"/>
                <w:szCs w:val="17"/>
              </w:rPr>
              <w:t>5 anos</w:t>
            </w:r>
          </w:p>
        </w:tc>
      </w:tr>
      <w:tr w:rsidR="00375852" w14:paraId="29AB8B50"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0EDE5059" w14:textId="77777777" w:rsidR="00375852" w:rsidRDefault="00375852">
            <w:pPr>
              <w:jc w:val="center"/>
            </w:pPr>
            <w:r>
              <w:rPr>
                <w:rFonts w:ascii="Courier New" w:eastAsia="Courier New" w:hAnsi="Courier New" w:cs="Courier New"/>
                <w:b/>
                <w:bCs/>
                <w:color w:val="0B2C5F"/>
                <w:sz w:val="18"/>
                <w:szCs w:val="18"/>
              </w:rPr>
              <w:t>16</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01BD2008" w14:textId="77777777" w:rsidR="00375852" w:rsidRDefault="00375852">
            <w:r>
              <w:rPr>
                <w:rFonts w:ascii="Calibri" w:eastAsia="Calibri" w:hAnsi="Calibri" w:cs="Calibri"/>
                <w:color w:val="051A3D"/>
                <w:sz w:val="18"/>
                <w:szCs w:val="18"/>
              </w:rPr>
              <w:t>Conotação sexual, conduta imprópria</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F828123" w14:textId="77777777" w:rsidR="00375852" w:rsidRDefault="00375852">
            <w:pPr>
              <w:jc w:val="center"/>
            </w:pPr>
            <w:r>
              <w:rPr>
                <w:rFonts w:ascii="Calibri" w:eastAsia="Calibri" w:hAnsi="Calibri" w:cs="Calibri"/>
                <w:b/>
                <w:bCs/>
                <w:color w:val="0B2C5F"/>
                <w:sz w:val="18"/>
                <w:szCs w:val="18"/>
              </w:rPr>
              <w:t>3</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CA0F854" w14:textId="77777777" w:rsidR="00375852" w:rsidRDefault="00375852">
            <w:r>
              <w:rPr>
                <w:rFonts w:ascii="Courier New" w:eastAsia="Courier New" w:hAnsi="Courier New" w:cs="Courier New"/>
                <w:color w:val="0B2C5F"/>
                <w:sz w:val="17"/>
                <w:szCs w:val="17"/>
              </w:rPr>
              <w:t>Art. 116, II e XI</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26638C7A" w14:textId="77777777" w:rsidR="00375852" w:rsidRDefault="00375852">
            <w:pPr>
              <w:jc w:val="center"/>
            </w:pPr>
            <w:r>
              <w:rPr>
                <w:rFonts w:ascii="Calibri" w:eastAsia="Calibri" w:hAnsi="Calibri" w:cs="Calibri"/>
                <w:color w:val="1F7A4C"/>
                <w:sz w:val="18"/>
                <w:szCs w:val="18"/>
              </w:rPr>
              <w:t>Adv./</w:t>
            </w:r>
            <w:proofErr w:type="spellStart"/>
            <w:r>
              <w:rPr>
                <w:rFonts w:ascii="Calibri" w:eastAsia="Calibri" w:hAnsi="Calibri" w:cs="Calibri"/>
                <w:color w:val="1F7A4C"/>
                <w:sz w:val="18"/>
                <w:szCs w:val="18"/>
              </w:rPr>
              <w:t>Susp</w:t>
            </w:r>
            <w:proofErr w:type="spellEnd"/>
            <w:r>
              <w:rPr>
                <w:rFonts w:ascii="Calibri" w:eastAsia="Calibri" w:hAnsi="Calibri" w:cs="Calibri"/>
                <w:color w:val="1F7A4C"/>
                <w:sz w:val="18"/>
                <w:szCs w:val="18"/>
              </w:rPr>
              <w:t>.</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410F59E" w14:textId="77777777" w:rsidR="00375852" w:rsidRDefault="00375852">
            <w:pPr>
              <w:jc w:val="center"/>
            </w:pPr>
            <w:r>
              <w:rPr>
                <w:rFonts w:ascii="Courier New" w:eastAsia="Courier New" w:hAnsi="Courier New" w:cs="Courier New"/>
                <w:color w:val="0B2C5F"/>
                <w:sz w:val="17"/>
                <w:szCs w:val="17"/>
              </w:rPr>
              <w:t>2 anos</w:t>
            </w:r>
          </w:p>
        </w:tc>
      </w:tr>
      <w:tr w:rsidR="00375852" w14:paraId="1D0FDF42" w14:textId="77777777">
        <w:tc>
          <w:tcPr>
            <w:tcW w:w="6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350C3888" w14:textId="77777777" w:rsidR="00375852" w:rsidRDefault="00375852">
            <w:pPr>
              <w:jc w:val="center"/>
            </w:pPr>
            <w:r>
              <w:rPr>
                <w:rFonts w:ascii="Courier New" w:eastAsia="Courier New" w:hAnsi="Courier New" w:cs="Courier New"/>
                <w:b/>
                <w:bCs/>
                <w:color w:val="0B2C5F"/>
                <w:sz w:val="18"/>
                <w:szCs w:val="18"/>
              </w:rPr>
              <w:t>—</w:t>
            </w:r>
          </w:p>
        </w:tc>
        <w:tc>
          <w:tcPr>
            <w:tcW w:w="3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30E18349" w14:textId="77777777" w:rsidR="00375852" w:rsidRDefault="00375852">
            <w:r>
              <w:rPr>
                <w:rFonts w:ascii="Calibri" w:eastAsia="Calibri" w:hAnsi="Calibri" w:cs="Calibri"/>
                <w:color w:val="051A3D"/>
                <w:sz w:val="18"/>
                <w:szCs w:val="18"/>
              </w:rPr>
              <w:t>Sem ilícito, conduta consentida com alerta de impedimento funcional</w:t>
            </w:r>
          </w:p>
        </w:tc>
        <w:tc>
          <w:tcPr>
            <w:tcW w:w="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5676651B" w14:textId="77777777" w:rsidR="00375852" w:rsidRDefault="00375852">
            <w:pPr>
              <w:jc w:val="center"/>
            </w:pPr>
            <w:r>
              <w:rPr>
                <w:rFonts w:ascii="Calibri" w:eastAsia="Calibri" w:hAnsi="Calibri" w:cs="Calibri"/>
                <w:b/>
                <w:bCs/>
                <w:color w:val="0B2C5F"/>
                <w:sz w:val="18"/>
                <w:szCs w:val="18"/>
              </w:rPr>
              <w:t>3</w:t>
            </w:r>
          </w:p>
        </w:tc>
        <w:tc>
          <w:tcPr>
            <w:tcW w:w="2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171191A1" w14:textId="77777777" w:rsidR="00375852" w:rsidRDefault="00375852">
            <w:r>
              <w:rPr>
                <w:rFonts w:ascii="Courier New" w:eastAsia="Courier New" w:hAnsi="Courier New" w:cs="Courier New"/>
                <w:color w:val="0B2C5F"/>
                <w:sz w:val="17"/>
                <w:szCs w:val="17"/>
              </w:rPr>
              <w:t>—</w:t>
            </w:r>
          </w:p>
        </w:tc>
        <w:tc>
          <w:tcPr>
            <w:tcW w:w="1638"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180C98A5" w14:textId="77777777" w:rsidR="00375852" w:rsidRDefault="00375852">
            <w:pPr>
              <w:jc w:val="center"/>
            </w:pPr>
            <w:r>
              <w:rPr>
                <w:rFonts w:ascii="Calibri" w:eastAsia="Calibri" w:hAnsi="Calibri" w:cs="Calibri"/>
                <w:color w:val="5B6781"/>
                <w:sz w:val="18"/>
                <w:szCs w:val="18"/>
              </w:rPr>
              <w:t>Arquivamento com alerta</w:t>
            </w:r>
          </w:p>
        </w:tc>
        <w:tc>
          <w:tcPr>
            <w:tcW w:w="1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3648AC89" w14:textId="77777777" w:rsidR="00375852" w:rsidRDefault="00375852">
            <w:pPr>
              <w:jc w:val="center"/>
            </w:pPr>
            <w:r>
              <w:rPr>
                <w:rFonts w:ascii="Courier New" w:eastAsia="Courier New" w:hAnsi="Courier New" w:cs="Courier New"/>
                <w:color w:val="0B2C5F"/>
                <w:sz w:val="17"/>
                <w:szCs w:val="17"/>
              </w:rPr>
              <w:t>—</w:t>
            </w:r>
          </w:p>
        </w:tc>
      </w:tr>
      <w:tr w:rsidR="00375852" w14:paraId="5EF95B82" w14:textId="77777777">
        <w:tc>
          <w:tcPr>
            <w:tcW w:w="6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04F4B881" w14:textId="77777777" w:rsidR="00375852" w:rsidRDefault="00375852">
            <w:pPr>
              <w:jc w:val="center"/>
            </w:pPr>
            <w:r>
              <w:rPr>
                <w:rFonts w:ascii="Courier New" w:eastAsia="Courier New" w:hAnsi="Courier New" w:cs="Courier New"/>
                <w:b/>
                <w:bCs/>
                <w:color w:val="0B2C5F"/>
                <w:sz w:val="18"/>
                <w:szCs w:val="18"/>
              </w:rPr>
              <w:t>—</w:t>
            </w:r>
          </w:p>
        </w:tc>
        <w:tc>
          <w:tcPr>
            <w:tcW w:w="3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3B56D1F4" w14:textId="77777777" w:rsidR="00375852" w:rsidRDefault="00375852">
            <w:r>
              <w:rPr>
                <w:rFonts w:ascii="Calibri" w:eastAsia="Calibri" w:hAnsi="Calibri" w:cs="Calibri"/>
                <w:color w:val="051A3D"/>
                <w:sz w:val="18"/>
                <w:szCs w:val="18"/>
              </w:rPr>
              <w:t>Sem ilícito, conduta consentida sem repercussão</w:t>
            </w:r>
          </w:p>
        </w:tc>
        <w:tc>
          <w:tcPr>
            <w:tcW w:w="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0CC1541C" w14:textId="77777777" w:rsidR="00375852" w:rsidRDefault="00375852">
            <w:pPr>
              <w:jc w:val="center"/>
            </w:pPr>
            <w:r>
              <w:rPr>
                <w:rFonts w:ascii="Calibri" w:eastAsia="Calibri" w:hAnsi="Calibri" w:cs="Calibri"/>
                <w:b/>
                <w:bCs/>
                <w:color w:val="0B2C5F"/>
                <w:sz w:val="18"/>
                <w:szCs w:val="18"/>
              </w:rPr>
              <w:t>3</w:t>
            </w:r>
          </w:p>
        </w:tc>
        <w:tc>
          <w:tcPr>
            <w:tcW w:w="2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6FC4812C" w14:textId="77777777" w:rsidR="00375852" w:rsidRDefault="00375852">
            <w:r>
              <w:rPr>
                <w:rFonts w:ascii="Courier New" w:eastAsia="Courier New" w:hAnsi="Courier New" w:cs="Courier New"/>
                <w:color w:val="0B2C5F"/>
                <w:sz w:val="17"/>
                <w:szCs w:val="17"/>
              </w:rPr>
              <w:t>—</w:t>
            </w:r>
          </w:p>
        </w:tc>
        <w:tc>
          <w:tcPr>
            <w:tcW w:w="1638"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609C6E5E" w14:textId="77777777" w:rsidR="00375852" w:rsidRDefault="00375852">
            <w:pPr>
              <w:jc w:val="center"/>
            </w:pPr>
            <w:r>
              <w:rPr>
                <w:rFonts w:ascii="Calibri" w:eastAsia="Calibri" w:hAnsi="Calibri" w:cs="Calibri"/>
                <w:color w:val="5B6781"/>
                <w:sz w:val="18"/>
                <w:szCs w:val="18"/>
              </w:rPr>
              <w:t>Arquivamento</w:t>
            </w:r>
          </w:p>
        </w:tc>
        <w:tc>
          <w:tcPr>
            <w:tcW w:w="1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6C42EFE0" w14:textId="77777777" w:rsidR="00375852" w:rsidRDefault="00375852">
            <w:pPr>
              <w:jc w:val="center"/>
            </w:pPr>
            <w:r>
              <w:rPr>
                <w:rFonts w:ascii="Courier New" w:eastAsia="Courier New" w:hAnsi="Courier New" w:cs="Courier New"/>
                <w:color w:val="0B2C5F"/>
                <w:sz w:val="17"/>
                <w:szCs w:val="17"/>
              </w:rPr>
              <w:t>—</w:t>
            </w:r>
          </w:p>
        </w:tc>
      </w:tr>
      <w:tr w:rsidR="00375852" w14:paraId="560F7C0C" w14:textId="77777777">
        <w:tc>
          <w:tcPr>
            <w:tcW w:w="9638" w:type="dxa"/>
            <w:gridSpan w:val="6"/>
            <w:tcBorders>
              <w:top w:val="single" w:sz="4" w:space="0" w:color="C9A35C"/>
              <w:left w:val="single" w:sz="2" w:space="0" w:color="D0D9E8"/>
              <w:bottom w:val="single" w:sz="2" w:space="0" w:color="1E4C99"/>
              <w:right w:val="single" w:sz="2" w:space="0" w:color="D0D9E8"/>
            </w:tcBorders>
            <w:shd w:val="clear" w:color="auto" w:fill="DCE6F4"/>
            <w:tcMar>
              <w:top w:w="60" w:type="dxa"/>
              <w:left w:w="100" w:type="dxa"/>
              <w:bottom w:w="60" w:type="dxa"/>
              <w:right w:w="100" w:type="dxa"/>
            </w:tcMar>
          </w:tcPr>
          <w:p w14:paraId="1F38833D" w14:textId="77777777" w:rsidR="00375852" w:rsidRDefault="00375852">
            <w:r>
              <w:rPr>
                <w:rFonts w:ascii="Barlow Condensed" w:eastAsia="Barlow Condensed" w:hAnsi="Barlow Condensed" w:cs="Barlow Condensed"/>
                <w:b/>
                <w:bCs/>
                <w:color w:val="0B2C5F"/>
                <w:sz w:val="18"/>
                <w:szCs w:val="18"/>
              </w:rPr>
              <w:t>EIXO 4, Discriminação (NT nº 93, de 2024)</w:t>
            </w:r>
          </w:p>
        </w:tc>
      </w:tr>
      <w:tr w:rsidR="00375852" w14:paraId="14CE7704"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B16BDBD" w14:textId="77777777" w:rsidR="00375852" w:rsidRDefault="00375852">
            <w:pPr>
              <w:jc w:val="center"/>
            </w:pPr>
            <w:r>
              <w:rPr>
                <w:rFonts w:ascii="Courier New" w:eastAsia="Courier New" w:hAnsi="Courier New" w:cs="Courier New"/>
                <w:b/>
                <w:bCs/>
                <w:color w:val="0B2C5F"/>
                <w:sz w:val="18"/>
                <w:szCs w:val="18"/>
              </w:rPr>
              <w:t>17</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279CC49" w14:textId="77777777" w:rsidR="00375852" w:rsidRDefault="00375852">
            <w:r>
              <w:rPr>
                <w:rFonts w:ascii="Calibri" w:eastAsia="Calibri" w:hAnsi="Calibri" w:cs="Calibri"/>
                <w:color w:val="051A3D"/>
                <w:sz w:val="18"/>
                <w:szCs w:val="18"/>
              </w:rPr>
              <w:t>Assédio discriminatório com valimento do cargo</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59ED114" w14:textId="77777777" w:rsidR="00375852" w:rsidRDefault="00375852">
            <w:pPr>
              <w:jc w:val="center"/>
            </w:pPr>
            <w:r>
              <w:rPr>
                <w:rFonts w:ascii="Calibri" w:eastAsia="Calibri" w:hAnsi="Calibri" w:cs="Calibri"/>
                <w:b/>
                <w:bCs/>
                <w:color w:val="0B2C5F"/>
                <w:sz w:val="18"/>
                <w:szCs w:val="18"/>
              </w:rPr>
              <w:t>4</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8C7CDD3" w14:textId="77777777" w:rsidR="00375852" w:rsidRDefault="00375852">
            <w:r>
              <w:rPr>
                <w:rFonts w:ascii="Courier New" w:eastAsia="Courier New" w:hAnsi="Courier New" w:cs="Courier New"/>
                <w:color w:val="0B2C5F"/>
                <w:sz w:val="17"/>
                <w:szCs w:val="17"/>
              </w:rPr>
              <w:t>Art. 117, IX</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142FDE2A"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0B6AA1D1" w14:textId="77777777" w:rsidR="00375852" w:rsidRDefault="00375852">
            <w:pPr>
              <w:jc w:val="center"/>
            </w:pPr>
            <w:r>
              <w:rPr>
                <w:rFonts w:ascii="Courier New" w:eastAsia="Courier New" w:hAnsi="Courier New" w:cs="Courier New"/>
                <w:color w:val="0B2C5F"/>
                <w:sz w:val="17"/>
                <w:szCs w:val="17"/>
              </w:rPr>
              <w:t>5 anos</w:t>
            </w:r>
          </w:p>
        </w:tc>
      </w:tr>
      <w:tr w:rsidR="00375852" w14:paraId="5899464E"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4FB88EBF" w14:textId="77777777" w:rsidR="00375852" w:rsidRDefault="00375852">
            <w:pPr>
              <w:jc w:val="center"/>
            </w:pPr>
            <w:r>
              <w:rPr>
                <w:rFonts w:ascii="Courier New" w:eastAsia="Courier New" w:hAnsi="Courier New" w:cs="Courier New"/>
                <w:b/>
                <w:bCs/>
                <w:color w:val="0B2C5F"/>
                <w:sz w:val="18"/>
                <w:szCs w:val="18"/>
              </w:rPr>
              <w:t>18</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6491B5C" w14:textId="77777777" w:rsidR="00375852" w:rsidRDefault="00375852">
            <w:r>
              <w:rPr>
                <w:rFonts w:ascii="Calibri" w:eastAsia="Calibri" w:hAnsi="Calibri" w:cs="Calibri"/>
                <w:color w:val="051A3D"/>
                <w:sz w:val="18"/>
                <w:szCs w:val="18"/>
              </w:rPr>
              <w:t>Assédio discriminatório grave ou ato pontual grave</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DABA0CA" w14:textId="77777777" w:rsidR="00375852" w:rsidRDefault="00375852">
            <w:pPr>
              <w:jc w:val="center"/>
            </w:pPr>
            <w:r>
              <w:rPr>
                <w:rFonts w:ascii="Calibri" w:eastAsia="Calibri" w:hAnsi="Calibri" w:cs="Calibri"/>
                <w:b/>
                <w:bCs/>
                <w:color w:val="0B2C5F"/>
                <w:sz w:val="18"/>
                <w:szCs w:val="18"/>
              </w:rPr>
              <w:t>4</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C4455B3" w14:textId="77777777" w:rsidR="00375852" w:rsidRDefault="00375852">
            <w:r>
              <w:rPr>
                <w:rFonts w:ascii="Courier New" w:eastAsia="Courier New" w:hAnsi="Courier New" w:cs="Courier New"/>
                <w:color w:val="0B2C5F"/>
                <w:sz w:val="17"/>
                <w:szCs w:val="17"/>
              </w:rPr>
              <w:t>Art. 132, V</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149898A9"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D253CC6" w14:textId="77777777" w:rsidR="00375852" w:rsidRDefault="00375852">
            <w:pPr>
              <w:jc w:val="center"/>
            </w:pPr>
            <w:r>
              <w:rPr>
                <w:rFonts w:ascii="Courier New" w:eastAsia="Courier New" w:hAnsi="Courier New" w:cs="Courier New"/>
                <w:color w:val="0B2C5F"/>
                <w:sz w:val="17"/>
                <w:szCs w:val="17"/>
              </w:rPr>
              <w:t>5 anos</w:t>
            </w:r>
          </w:p>
        </w:tc>
      </w:tr>
      <w:tr w:rsidR="00375852" w14:paraId="0553CCA2"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0B2AF807" w14:textId="77777777" w:rsidR="00375852" w:rsidRDefault="00375852">
            <w:pPr>
              <w:jc w:val="center"/>
            </w:pPr>
            <w:r>
              <w:rPr>
                <w:rFonts w:ascii="Courier New" w:eastAsia="Courier New" w:hAnsi="Courier New" w:cs="Courier New"/>
                <w:b/>
                <w:bCs/>
                <w:color w:val="0B2C5F"/>
                <w:sz w:val="18"/>
                <w:szCs w:val="18"/>
              </w:rPr>
              <w:t>19</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0A79E848" w14:textId="77777777" w:rsidR="00375852" w:rsidRDefault="00375852">
            <w:r>
              <w:rPr>
                <w:rFonts w:ascii="Calibri" w:eastAsia="Calibri" w:hAnsi="Calibri" w:cs="Calibri"/>
                <w:color w:val="051A3D"/>
                <w:sz w:val="18"/>
                <w:szCs w:val="18"/>
              </w:rPr>
              <w:t>Discriminação difusa com ambiente hostil coletivo grave</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01D0CD6E" w14:textId="77777777" w:rsidR="00375852" w:rsidRDefault="00375852">
            <w:pPr>
              <w:jc w:val="center"/>
            </w:pPr>
            <w:r>
              <w:rPr>
                <w:rFonts w:ascii="Calibri" w:eastAsia="Calibri" w:hAnsi="Calibri" w:cs="Calibri"/>
                <w:b/>
                <w:bCs/>
                <w:color w:val="0B2C5F"/>
                <w:sz w:val="18"/>
                <w:szCs w:val="18"/>
              </w:rPr>
              <w:t>4</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42659C13" w14:textId="77777777" w:rsidR="00375852" w:rsidRDefault="00375852">
            <w:r>
              <w:rPr>
                <w:rFonts w:ascii="Courier New" w:eastAsia="Courier New" w:hAnsi="Courier New" w:cs="Courier New"/>
                <w:color w:val="0B2C5F"/>
                <w:sz w:val="17"/>
                <w:szCs w:val="17"/>
              </w:rPr>
              <w:t>Art. 132, V</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4F2157B3"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4D2E53DB" w14:textId="77777777" w:rsidR="00375852" w:rsidRDefault="00375852">
            <w:pPr>
              <w:jc w:val="center"/>
            </w:pPr>
            <w:r>
              <w:rPr>
                <w:rFonts w:ascii="Courier New" w:eastAsia="Courier New" w:hAnsi="Courier New" w:cs="Courier New"/>
                <w:color w:val="0B2C5F"/>
                <w:sz w:val="17"/>
                <w:szCs w:val="17"/>
              </w:rPr>
              <w:t>5 anos</w:t>
            </w:r>
          </w:p>
        </w:tc>
      </w:tr>
      <w:tr w:rsidR="00375852" w14:paraId="1D06E6B2"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ADE0EAE" w14:textId="77777777" w:rsidR="00375852" w:rsidRDefault="00375852">
            <w:pPr>
              <w:jc w:val="center"/>
            </w:pPr>
            <w:r>
              <w:rPr>
                <w:rFonts w:ascii="Courier New" w:eastAsia="Courier New" w:hAnsi="Courier New" w:cs="Courier New"/>
                <w:b/>
                <w:bCs/>
                <w:color w:val="0B2C5F"/>
                <w:sz w:val="18"/>
                <w:szCs w:val="18"/>
              </w:rPr>
              <w:t>20</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33E63361" w14:textId="77777777" w:rsidR="00375852" w:rsidRDefault="00375852">
            <w:r>
              <w:rPr>
                <w:rFonts w:ascii="Calibri" w:eastAsia="Calibri" w:hAnsi="Calibri" w:cs="Calibri"/>
                <w:color w:val="051A3D"/>
                <w:sz w:val="18"/>
                <w:szCs w:val="18"/>
              </w:rPr>
              <w:t>Conduta discriminatória imprópria</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214DE7FB" w14:textId="77777777" w:rsidR="00375852" w:rsidRDefault="00375852">
            <w:pPr>
              <w:jc w:val="center"/>
            </w:pPr>
            <w:r>
              <w:rPr>
                <w:rFonts w:ascii="Calibri" w:eastAsia="Calibri" w:hAnsi="Calibri" w:cs="Calibri"/>
                <w:b/>
                <w:bCs/>
                <w:color w:val="0B2C5F"/>
                <w:sz w:val="18"/>
                <w:szCs w:val="18"/>
              </w:rPr>
              <w:t>4</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4C9568F" w14:textId="77777777" w:rsidR="00375852" w:rsidRPr="000B6E3E" w:rsidRDefault="00375852">
            <w:pPr>
              <w:rPr>
                <w:lang w:val="en-US"/>
              </w:rPr>
            </w:pPr>
            <w:r w:rsidRPr="000B6E3E">
              <w:rPr>
                <w:rFonts w:ascii="Courier New" w:eastAsia="Courier New" w:hAnsi="Courier New" w:cs="Courier New"/>
                <w:color w:val="0B2C5F"/>
                <w:sz w:val="17"/>
                <w:szCs w:val="17"/>
                <w:lang w:val="en-US"/>
              </w:rPr>
              <w:t>Art. 116, II, IX e XI</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B0A85A3" w14:textId="77777777" w:rsidR="00375852" w:rsidRDefault="00375852">
            <w:pPr>
              <w:jc w:val="center"/>
            </w:pPr>
            <w:r>
              <w:rPr>
                <w:rFonts w:ascii="Calibri" w:eastAsia="Calibri" w:hAnsi="Calibri" w:cs="Calibri"/>
                <w:color w:val="1F7A4C"/>
                <w:sz w:val="18"/>
                <w:szCs w:val="18"/>
              </w:rPr>
              <w:t>Adv./</w:t>
            </w:r>
            <w:proofErr w:type="spellStart"/>
            <w:r>
              <w:rPr>
                <w:rFonts w:ascii="Calibri" w:eastAsia="Calibri" w:hAnsi="Calibri" w:cs="Calibri"/>
                <w:color w:val="1F7A4C"/>
                <w:sz w:val="18"/>
                <w:szCs w:val="18"/>
              </w:rPr>
              <w:t>Susp</w:t>
            </w:r>
            <w:proofErr w:type="spellEnd"/>
            <w:r>
              <w:rPr>
                <w:rFonts w:ascii="Calibri" w:eastAsia="Calibri" w:hAnsi="Calibri" w:cs="Calibri"/>
                <w:color w:val="1F7A4C"/>
                <w:sz w:val="18"/>
                <w:szCs w:val="18"/>
              </w:rPr>
              <w:t>.</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DB5A850" w14:textId="77777777" w:rsidR="00375852" w:rsidRDefault="00375852">
            <w:pPr>
              <w:jc w:val="center"/>
            </w:pPr>
            <w:r>
              <w:rPr>
                <w:rFonts w:ascii="Courier New" w:eastAsia="Courier New" w:hAnsi="Courier New" w:cs="Courier New"/>
                <w:color w:val="0B2C5F"/>
                <w:sz w:val="17"/>
                <w:szCs w:val="17"/>
              </w:rPr>
              <w:t>2 anos</w:t>
            </w:r>
          </w:p>
        </w:tc>
      </w:tr>
      <w:tr w:rsidR="00375852" w14:paraId="50BE1FE0" w14:textId="77777777">
        <w:tc>
          <w:tcPr>
            <w:tcW w:w="9638" w:type="dxa"/>
            <w:gridSpan w:val="6"/>
            <w:tcBorders>
              <w:top w:val="single" w:sz="4" w:space="0" w:color="C9A35C"/>
              <w:left w:val="single" w:sz="2" w:space="0" w:color="D0D9E8"/>
              <w:bottom w:val="single" w:sz="2" w:space="0" w:color="1E4C99"/>
              <w:right w:val="single" w:sz="2" w:space="0" w:color="D0D9E8"/>
            </w:tcBorders>
            <w:shd w:val="clear" w:color="auto" w:fill="DCE6F4"/>
            <w:tcMar>
              <w:top w:w="60" w:type="dxa"/>
              <w:left w:w="100" w:type="dxa"/>
              <w:bottom w:w="60" w:type="dxa"/>
              <w:right w:w="100" w:type="dxa"/>
            </w:tcMar>
          </w:tcPr>
          <w:p w14:paraId="2CCD0824" w14:textId="77777777" w:rsidR="00375852" w:rsidRDefault="00375852">
            <w:r>
              <w:rPr>
                <w:rFonts w:ascii="Barlow Condensed" w:eastAsia="Barlow Condensed" w:hAnsi="Barlow Condensed" w:cs="Barlow Condensed"/>
                <w:b/>
                <w:bCs/>
                <w:color w:val="0B2C5F"/>
                <w:sz w:val="18"/>
                <w:szCs w:val="18"/>
              </w:rPr>
              <w:t>EIXO 5, Assédio Moral (NT nº 93, de 2024)</w:t>
            </w:r>
          </w:p>
        </w:tc>
      </w:tr>
      <w:tr w:rsidR="00375852" w14:paraId="304A64EA"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8D9A334" w14:textId="77777777" w:rsidR="00375852" w:rsidRDefault="00375852">
            <w:pPr>
              <w:jc w:val="center"/>
            </w:pPr>
            <w:r>
              <w:rPr>
                <w:rFonts w:ascii="Courier New" w:eastAsia="Courier New" w:hAnsi="Courier New" w:cs="Courier New"/>
                <w:b/>
                <w:bCs/>
                <w:color w:val="0B2C5F"/>
                <w:sz w:val="18"/>
                <w:szCs w:val="18"/>
              </w:rPr>
              <w:t>21</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4056B8AA" w14:textId="77777777" w:rsidR="00375852" w:rsidRDefault="00375852">
            <w:r>
              <w:rPr>
                <w:rFonts w:ascii="Calibri" w:eastAsia="Calibri" w:hAnsi="Calibri" w:cs="Calibri"/>
                <w:color w:val="051A3D"/>
                <w:sz w:val="18"/>
                <w:szCs w:val="18"/>
              </w:rPr>
              <w:t>Assédio moral com valimento do cargo</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9F72321" w14:textId="77777777" w:rsidR="00375852" w:rsidRDefault="00375852">
            <w:pPr>
              <w:jc w:val="center"/>
            </w:pPr>
            <w:r>
              <w:rPr>
                <w:rFonts w:ascii="Calibri" w:eastAsia="Calibri" w:hAnsi="Calibri" w:cs="Calibri"/>
                <w:b/>
                <w:bCs/>
                <w:color w:val="0B2C5F"/>
                <w:sz w:val="18"/>
                <w:szCs w:val="18"/>
              </w:rPr>
              <w:t>5</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90B8CDD" w14:textId="77777777" w:rsidR="00375852" w:rsidRDefault="00375852">
            <w:r>
              <w:rPr>
                <w:rFonts w:ascii="Courier New" w:eastAsia="Courier New" w:hAnsi="Courier New" w:cs="Courier New"/>
                <w:color w:val="0B2C5F"/>
                <w:sz w:val="17"/>
                <w:szCs w:val="17"/>
              </w:rPr>
              <w:t>Art. 117, IX</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4B27FF5C"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87C36AD" w14:textId="77777777" w:rsidR="00375852" w:rsidRDefault="00375852">
            <w:pPr>
              <w:jc w:val="center"/>
            </w:pPr>
            <w:r>
              <w:rPr>
                <w:rFonts w:ascii="Courier New" w:eastAsia="Courier New" w:hAnsi="Courier New" w:cs="Courier New"/>
                <w:color w:val="0B2C5F"/>
                <w:sz w:val="17"/>
                <w:szCs w:val="17"/>
              </w:rPr>
              <w:t>5 anos</w:t>
            </w:r>
          </w:p>
        </w:tc>
      </w:tr>
      <w:tr w:rsidR="00375852" w14:paraId="2E4EA67C"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10E2539" w14:textId="77777777" w:rsidR="00375852" w:rsidRDefault="00375852">
            <w:pPr>
              <w:jc w:val="center"/>
            </w:pPr>
            <w:r>
              <w:rPr>
                <w:rFonts w:ascii="Courier New" w:eastAsia="Courier New" w:hAnsi="Courier New" w:cs="Courier New"/>
                <w:b/>
                <w:bCs/>
                <w:color w:val="0B2C5F"/>
                <w:sz w:val="18"/>
                <w:szCs w:val="18"/>
              </w:rPr>
              <w:t>22</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06B6C8BD" w14:textId="77777777" w:rsidR="00375852" w:rsidRDefault="00375852">
            <w:r>
              <w:rPr>
                <w:rFonts w:ascii="Calibri" w:eastAsia="Calibri" w:hAnsi="Calibri" w:cs="Calibri"/>
                <w:color w:val="051A3D"/>
                <w:sz w:val="18"/>
                <w:szCs w:val="18"/>
              </w:rPr>
              <w:t>Assédio moral, ofensa grave à moralidade</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D3FA3A6" w14:textId="77777777" w:rsidR="00375852" w:rsidRDefault="00375852">
            <w:pPr>
              <w:jc w:val="center"/>
            </w:pPr>
            <w:r>
              <w:rPr>
                <w:rFonts w:ascii="Calibri" w:eastAsia="Calibri" w:hAnsi="Calibri" w:cs="Calibri"/>
                <w:b/>
                <w:bCs/>
                <w:color w:val="0B2C5F"/>
                <w:sz w:val="18"/>
                <w:szCs w:val="18"/>
              </w:rPr>
              <w:t>5</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D75D87D" w14:textId="77777777" w:rsidR="00375852" w:rsidRDefault="00375852">
            <w:r>
              <w:rPr>
                <w:rFonts w:ascii="Courier New" w:eastAsia="Courier New" w:hAnsi="Courier New" w:cs="Courier New"/>
                <w:color w:val="0B2C5F"/>
                <w:sz w:val="17"/>
                <w:szCs w:val="17"/>
              </w:rPr>
              <w:t>Art. 132, V</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CFF34AA"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5941DF8" w14:textId="77777777" w:rsidR="00375852" w:rsidRDefault="00375852">
            <w:pPr>
              <w:jc w:val="center"/>
            </w:pPr>
            <w:r>
              <w:rPr>
                <w:rFonts w:ascii="Courier New" w:eastAsia="Courier New" w:hAnsi="Courier New" w:cs="Courier New"/>
                <w:color w:val="0B2C5F"/>
                <w:sz w:val="17"/>
                <w:szCs w:val="17"/>
              </w:rPr>
              <w:t>5 anos</w:t>
            </w:r>
          </w:p>
        </w:tc>
      </w:tr>
      <w:tr w:rsidR="00375852" w14:paraId="1E40D4CB"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1A55B266" w14:textId="77777777" w:rsidR="00375852" w:rsidRDefault="00375852">
            <w:pPr>
              <w:jc w:val="center"/>
            </w:pPr>
            <w:r>
              <w:rPr>
                <w:rFonts w:ascii="Courier New" w:eastAsia="Courier New" w:hAnsi="Courier New" w:cs="Courier New"/>
                <w:b/>
                <w:bCs/>
                <w:color w:val="0B2C5F"/>
                <w:sz w:val="18"/>
                <w:szCs w:val="18"/>
              </w:rPr>
              <w:t>23</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64A9B43E" w14:textId="77777777" w:rsidR="00375852" w:rsidRDefault="00375852">
            <w:r>
              <w:rPr>
                <w:rFonts w:ascii="Calibri" w:eastAsia="Calibri" w:hAnsi="Calibri" w:cs="Calibri"/>
                <w:color w:val="051A3D"/>
                <w:sz w:val="18"/>
                <w:szCs w:val="18"/>
              </w:rPr>
              <w:t>Assédio moral, conduta imprópria</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D748969" w14:textId="77777777" w:rsidR="00375852" w:rsidRDefault="00375852">
            <w:pPr>
              <w:jc w:val="center"/>
            </w:pPr>
            <w:r>
              <w:rPr>
                <w:rFonts w:ascii="Calibri" w:eastAsia="Calibri" w:hAnsi="Calibri" w:cs="Calibri"/>
                <w:b/>
                <w:bCs/>
                <w:color w:val="0B2C5F"/>
                <w:sz w:val="18"/>
                <w:szCs w:val="18"/>
              </w:rPr>
              <w:t>5</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AC867A5" w14:textId="77777777" w:rsidR="00375852" w:rsidRPr="000B6E3E" w:rsidRDefault="00375852">
            <w:pPr>
              <w:rPr>
                <w:lang w:val="en-US"/>
              </w:rPr>
            </w:pPr>
            <w:r w:rsidRPr="000B6E3E">
              <w:rPr>
                <w:rFonts w:ascii="Courier New" w:eastAsia="Courier New" w:hAnsi="Courier New" w:cs="Courier New"/>
                <w:color w:val="0B2C5F"/>
                <w:sz w:val="17"/>
                <w:szCs w:val="17"/>
                <w:lang w:val="en-US"/>
              </w:rPr>
              <w:t>Art. 116, II, IX e XI</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53D115D" w14:textId="77777777" w:rsidR="00375852" w:rsidRDefault="00375852">
            <w:pPr>
              <w:jc w:val="center"/>
            </w:pPr>
            <w:r>
              <w:rPr>
                <w:rFonts w:ascii="Calibri" w:eastAsia="Calibri" w:hAnsi="Calibri" w:cs="Calibri"/>
                <w:color w:val="1F7A4C"/>
                <w:sz w:val="18"/>
                <w:szCs w:val="18"/>
              </w:rPr>
              <w:t>Adv./</w:t>
            </w:r>
            <w:proofErr w:type="spellStart"/>
            <w:r>
              <w:rPr>
                <w:rFonts w:ascii="Calibri" w:eastAsia="Calibri" w:hAnsi="Calibri" w:cs="Calibri"/>
                <w:color w:val="1F7A4C"/>
                <w:sz w:val="18"/>
                <w:szCs w:val="18"/>
              </w:rPr>
              <w:t>Susp</w:t>
            </w:r>
            <w:proofErr w:type="spellEnd"/>
            <w:r>
              <w:rPr>
                <w:rFonts w:ascii="Calibri" w:eastAsia="Calibri" w:hAnsi="Calibri" w:cs="Calibri"/>
                <w:color w:val="1F7A4C"/>
                <w:sz w:val="18"/>
                <w:szCs w:val="18"/>
              </w:rPr>
              <w:t>.</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22CFF042" w14:textId="77777777" w:rsidR="00375852" w:rsidRDefault="00375852">
            <w:pPr>
              <w:jc w:val="center"/>
            </w:pPr>
            <w:r>
              <w:rPr>
                <w:rFonts w:ascii="Courier New" w:eastAsia="Courier New" w:hAnsi="Courier New" w:cs="Courier New"/>
                <w:color w:val="0B2C5F"/>
                <w:sz w:val="17"/>
                <w:szCs w:val="17"/>
              </w:rPr>
              <w:t>2 anos</w:t>
            </w:r>
          </w:p>
        </w:tc>
      </w:tr>
      <w:tr w:rsidR="00375852" w14:paraId="51B3923C"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383027CB" w14:textId="77777777" w:rsidR="00375852" w:rsidRDefault="00375852">
            <w:pPr>
              <w:jc w:val="center"/>
            </w:pPr>
            <w:r>
              <w:rPr>
                <w:rFonts w:ascii="Courier New" w:eastAsia="Courier New" w:hAnsi="Courier New" w:cs="Courier New"/>
                <w:b/>
                <w:bCs/>
                <w:color w:val="0B2C5F"/>
                <w:sz w:val="18"/>
                <w:szCs w:val="18"/>
              </w:rPr>
              <w:t>24</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2A736B7E" w14:textId="77777777" w:rsidR="00375852" w:rsidRDefault="00375852">
            <w:r>
              <w:rPr>
                <w:rFonts w:ascii="Calibri" w:eastAsia="Calibri" w:hAnsi="Calibri" w:cs="Calibri"/>
                <w:color w:val="051A3D"/>
                <w:sz w:val="18"/>
                <w:szCs w:val="18"/>
              </w:rPr>
              <w:t>Gestão culposa, conduta imprópria</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28EF84F6" w14:textId="77777777" w:rsidR="00375852" w:rsidRDefault="00375852">
            <w:pPr>
              <w:jc w:val="center"/>
            </w:pPr>
            <w:r>
              <w:rPr>
                <w:rFonts w:ascii="Calibri" w:eastAsia="Calibri" w:hAnsi="Calibri" w:cs="Calibri"/>
                <w:b/>
                <w:bCs/>
                <w:color w:val="0B2C5F"/>
                <w:sz w:val="18"/>
                <w:szCs w:val="18"/>
              </w:rPr>
              <w:t>5</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07CC9016" w14:textId="77777777" w:rsidR="00375852" w:rsidRPr="000B6E3E" w:rsidRDefault="00375852">
            <w:pPr>
              <w:rPr>
                <w:lang w:val="en-US"/>
              </w:rPr>
            </w:pPr>
            <w:r w:rsidRPr="000B6E3E">
              <w:rPr>
                <w:rFonts w:ascii="Courier New" w:eastAsia="Courier New" w:hAnsi="Courier New" w:cs="Courier New"/>
                <w:color w:val="0B2C5F"/>
                <w:sz w:val="17"/>
                <w:szCs w:val="17"/>
                <w:lang w:val="en-US"/>
              </w:rPr>
              <w:t>Art. 116, II, IX e XI</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DC050BE" w14:textId="77777777" w:rsidR="00375852" w:rsidRDefault="00375852">
            <w:pPr>
              <w:jc w:val="center"/>
            </w:pPr>
            <w:r>
              <w:rPr>
                <w:rFonts w:ascii="Calibri" w:eastAsia="Calibri" w:hAnsi="Calibri" w:cs="Calibri"/>
                <w:color w:val="1F7A4C"/>
                <w:sz w:val="18"/>
                <w:szCs w:val="18"/>
              </w:rPr>
              <w:t>Adv./</w:t>
            </w:r>
            <w:proofErr w:type="spellStart"/>
            <w:r>
              <w:rPr>
                <w:rFonts w:ascii="Calibri" w:eastAsia="Calibri" w:hAnsi="Calibri" w:cs="Calibri"/>
                <w:color w:val="1F7A4C"/>
                <w:sz w:val="18"/>
                <w:szCs w:val="18"/>
              </w:rPr>
              <w:t>Susp</w:t>
            </w:r>
            <w:proofErr w:type="spellEnd"/>
            <w:r>
              <w:rPr>
                <w:rFonts w:ascii="Calibri" w:eastAsia="Calibri" w:hAnsi="Calibri" w:cs="Calibri"/>
                <w:color w:val="1F7A4C"/>
                <w:sz w:val="18"/>
                <w:szCs w:val="18"/>
              </w:rPr>
              <w:t>.</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65E65E11" w14:textId="77777777" w:rsidR="00375852" w:rsidRDefault="00375852">
            <w:pPr>
              <w:jc w:val="center"/>
            </w:pPr>
            <w:r>
              <w:rPr>
                <w:rFonts w:ascii="Courier New" w:eastAsia="Courier New" w:hAnsi="Courier New" w:cs="Courier New"/>
                <w:color w:val="0B2C5F"/>
                <w:sz w:val="17"/>
                <w:szCs w:val="17"/>
              </w:rPr>
              <w:t>2 anos</w:t>
            </w:r>
          </w:p>
        </w:tc>
      </w:tr>
      <w:tr w:rsidR="00375852" w14:paraId="71F4F65A" w14:textId="77777777">
        <w:tc>
          <w:tcPr>
            <w:tcW w:w="6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70FDDC63" w14:textId="77777777" w:rsidR="00375852" w:rsidRDefault="00375852">
            <w:pPr>
              <w:jc w:val="center"/>
            </w:pPr>
            <w:r>
              <w:rPr>
                <w:rFonts w:ascii="Courier New" w:eastAsia="Courier New" w:hAnsi="Courier New" w:cs="Courier New"/>
                <w:b/>
                <w:bCs/>
                <w:color w:val="0B2C5F"/>
                <w:sz w:val="18"/>
                <w:szCs w:val="18"/>
              </w:rPr>
              <w:t>—</w:t>
            </w:r>
          </w:p>
        </w:tc>
        <w:tc>
          <w:tcPr>
            <w:tcW w:w="3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55FCC4F0" w14:textId="77777777" w:rsidR="00375852" w:rsidRDefault="00375852">
            <w:r>
              <w:rPr>
                <w:rFonts w:ascii="Calibri" w:eastAsia="Calibri" w:hAnsi="Calibri" w:cs="Calibri"/>
                <w:color w:val="051A3D"/>
                <w:sz w:val="18"/>
                <w:szCs w:val="18"/>
              </w:rPr>
              <w:t>Sem ilícito, gestão legítima sem elemento subjetivo</w:t>
            </w:r>
          </w:p>
        </w:tc>
        <w:tc>
          <w:tcPr>
            <w:tcW w:w="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5D1C1882" w14:textId="77777777" w:rsidR="00375852" w:rsidRDefault="00375852">
            <w:pPr>
              <w:jc w:val="center"/>
            </w:pPr>
            <w:r>
              <w:rPr>
                <w:rFonts w:ascii="Calibri" w:eastAsia="Calibri" w:hAnsi="Calibri" w:cs="Calibri"/>
                <w:b/>
                <w:bCs/>
                <w:color w:val="0B2C5F"/>
                <w:sz w:val="18"/>
                <w:szCs w:val="18"/>
              </w:rPr>
              <w:t>5</w:t>
            </w:r>
          </w:p>
        </w:tc>
        <w:tc>
          <w:tcPr>
            <w:tcW w:w="2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19E50D98" w14:textId="77777777" w:rsidR="00375852" w:rsidRDefault="00375852">
            <w:r>
              <w:rPr>
                <w:rFonts w:ascii="Courier New" w:eastAsia="Courier New" w:hAnsi="Courier New" w:cs="Courier New"/>
                <w:color w:val="0B2C5F"/>
                <w:sz w:val="17"/>
                <w:szCs w:val="17"/>
              </w:rPr>
              <w:t>—</w:t>
            </w:r>
          </w:p>
        </w:tc>
        <w:tc>
          <w:tcPr>
            <w:tcW w:w="1638"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034735F2" w14:textId="77777777" w:rsidR="00375852" w:rsidRDefault="00375852">
            <w:pPr>
              <w:jc w:val="center"/>
            </w:pPr>
            <w:r>
              <w:rPr>
                <w:rFonts w:ascii="Calibri" w:eastAsia="Calibri" w:hAnsi="Calibri" w:cs="Calibri"/>
                <w:color w:val="5B6781"/>
                <w:sz w:val="18"/>
                <w:szCs w:val="18"/>
              </w:rPr>
              <w:t>Arquivamento</w:t>
            </w:r>
          </w:p>
        </w:tc>
        <w:tc>
          <w:tcPr>
            <w:tcW w:w="1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5DED4174" w14:textId="77777777" w:rsidR="00375852" w:rsidRDefault="00375852">
            <w:pPr>
              <w:jc w:val="center"/>
            </w:pPr>
            <w:r>
              <w:rPr>
                <w:rFonts w:ascii="Courier New" w:eastAsia="Courier New" w:hAnsi="Courier New" w:cs="Courier New"/>
                <w:color w:val="0B2C5F"/>
                <w:sz w:val="17"/>
                <w:szCs w:val="17"/>
              </w:rPr>
              <w:t>—</w:t>
            </w:r>
          </w:p>
        </w:tc>
      </w:tr>
      <w:tr w:rsidR="00375852" w14:paraId="3CCDD676" w14:textId="77777777">
        <w:tc>
          <w:tcPr>
            <w:tcW w:w="9638" w:type="dxa"/>
            <w:gridSpan w:val="6"/>
            <w:tcBorders>
              <w:top w:val="single" w:sz="4" w:space="0" w:color="C9A35C"/>
              <w:left w:val="single" w:sz="2" w:space="0" w:color="D0D9E8"/>
              <w:bottom w:val="single" w:sz="2" w:space="0" w:color="1E4C99"/>
              <w:right w:val="single" w:sz="2" w:space="0" w:color="D0D9E8"/>
            </w:tcBorders>
            <w:shd w:val="clear" w:color="auto" w:fill="DCE6F4"/>
            <w:tcMar>
              <w:top w:w="60" w:type="dxa"/>
              <w:left w:w="100" w:type="dxa"/>
              <w:bottom w:w="60" w:type="dxa"/>
              <w:right w:w="100" w:type="dxa"/>
            </w:tcMar>
          </w:tcPr>
          <w:p w14:paraId="5D9BCB29" w14:textId="77777777" w:rsidR="00375852" w:rsidRDefault="00375852">
            <w:r>
              <w:rPr>
                <w:rFonts w:ascii="Barlow Condensed" w:eastAsia="Barlow Condensed" w:hAnsi="Barlow Condensed" w:cs="Barlow Condensed"/>
                <w:b/>
                <w:bCs/>
                <w:color w:val="0B2C5F"/>
                <w:sz w:val="18"/>
                <w:szCs w:val="18"/>
              </w:rPr>
              <w:t>EIXO 6, Retaliação ao Denunciante (Lei nº 13.608, de 2018)</w:t>
            </w:r>
          </w:p>
        </w:tc>
      </w:tr>
      <w:tr w:rsidR="00375852" w14:paraId="1092AA74"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FA93C4B" w14:textId="77777777" w:rsidR="00375852" w:rsidRDefault="00375852">
            <w:pPr>
              <w:jc w:val="center"/>
            </w:pPr>
            <w:r>
              <w:rPr>
                <w:rFonts w:ascii="Courier New" w:eastAsia="Courier New" w:hAnsi="Courier New" w:cs="Courier New"/>
                <w:b/>
                <w:bCs/>
                <w:color w:val="0B2C5F"/>
                <w:sz w:val="18"/>
                <w:szCs w:val="18"/>
              </w:rPr>
              <w:t>25</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A7AD167" w14:textId="77777777" w:rsidR="00375852" w:rsidRDefault="00375852">
            <w:r>
              <w:rPr>
                <w:rFonts w:ascii="Calibri" w:eastAsia="Calibri" w:hAnsi="Calibri" w:cs="Calibri"/>
                <w:color w:val="051A3D"/>
                <w:sz w:val="18"/>
                <w:szCs w:val="18"/>
              </w:rPr>
              <w:t>Retaliação com valimento do cargo</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4C03330" w14:textId="77777777" w:rsidR="00375852" w:rsidRDefault="00375852">
            <w:pPr>
              <w:jc w:val="center"/>
            </w:pPr>
            <w:r>
              <w:rPr>
                <w:rFonts w:ascii="Calibri" w:eastAsia="Calibri" w:hAnsi="Calibri" w:cs="Calibri"/>
                <w:b/>
                <w:bCs/>
                <w:color w:val="0B2C5F"/>
                <w:sz w:val="18"/>
                <w:szCs w:val="18"/>
              </w:rPr>
              <w:t>6</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4C7878F3" w14:textId="77777777" w:rsidR="00375852" w:rsidRDefault="00375852">
            <w:r>
              <w:rPr>
                <w:rFonts w:ascii="Courier New" w:eastAsia="Courier New" w:hAnsi="Courier New" w:cs="Courier New"/>
                <w:color w:val="0B2C5F"/>
                <w:sz w:val="17"/>
                <w:szCs w:val="17"/>
              </w:rPr>
              <w:t>Art. 117, IX</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44C4EB2D"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17F0293" w14:textId="77777777" w:rsidR="00375852" w:rsidRDefault="00375852">
            <w:pPr>
              <w:jc w:val="center"/>
            </w:pPr>
            <w:r>
              <w:rPr>
                <w:rFonts w:ascii="Courier New" w:eastAsia="Courier New" w:hAnsi="Courier New" w:cs="Courier New"/>
                <w:color w:val="0B2C5F"/>
                <w:sz w:val="17"/>
                <w:szCs w:val="17"/>
              </w:rPr>
              <w:t>5 anos</w:t>
            </w:r>
          </w:p>
        </w:tc>
      </w:tr>
      <w:tr w:rsidR="00375852" w14:paraId="064D2AE3"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65A1F0F1" w14:textId="77777777" w:rsidR="00375852" w:rsidRDefault="00375852">
            <w:pPr>
              <w:jc w:val="center"/>
            </w:pPr>
            <w:r>
              <w:rPr>
                <w:rFonts w:ascii="Courier New" w:eastAsia="Courier New" w:hAnsi="Courier New" w:cs="Courier New"/>
                <w:b/>
                <w:bCs/>
                <w:color w:val="0B2C5F"/>
                <w:sz w:val="18"/>
                <w:szCs w:val="18"/>
              </w:rPr>
              <w:t>26</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10A52E5D" w14:textId="77777777" w:rsidR="00375852" w:rsidRDefault="00375852">
            <w:r>
              <w:rPr>
                <w:rFonts w:ascii="Calibri" w:eastAsia="Calibri" w:hAnsi="Calibri" w:cs="Calibri"/>
                <w:color w:val="051A3D"/>
                <w:sz w:val="18"/>
                <w:szCs w:val="18"/>
              </w:rPr>
              <w:t>Retaliação, conduta imprópria</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2BF04CF9" w14:textId="77777777" w:rsidR="00375852" w:rsidRDefault="00375852">
            <w:pPr>
              <w:jc w:val="center"/>
            </w:pPr>
            <w:r>
              <w:rPr>
                <w:rFonts w:ascii="Calibri" w:eastAsia="Calibri" w:hAnsi="Calibri" w:cs="Calibri"/>
                <w:b/>
                <w:bCs/>
                <w:color w:val="0B2C5F"/>
                <w:sz w:val="18"/>
                <w:szCs w:val="18"/>
              </w:rPr>
              <w:t>6</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3CC5C639" w14:textId="77777777" w:rsidR="00375852" w:rsidRDefault="00375852">
            <w:r>
              <w:rPr>
                <w:rFonts w:ascii="Courier New" w:eastAsia="Courier New" w:hAnsi="Courier New" w:cs="Courier New"/>
                <w:color w:val="0B2C5F"/>
                <w:sz w:val="17"/>
                <w:szCs w:val="17"/>
              </w:rPr>
              <w:t>Art. 116, IX</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0A52436A" w14:textId="77777777" w:rsidR="00375852" w:rsidRDefault="00375852">
            <w:pPr>
              <w:jc w:val="center"/>
            </w:pPr>
            <w:r>
              <w:rPr>
                <w:rFonts w:ascii="Calibri" w:eastAsia="Calibri" w:hAnsi="Calibri" w:cs="Calibri"/>
                <w:color w:val="1F7A4C"/>
                <w:sz w:val="18"/>
                <w:szCs w:val="18"/>
              </w:rPr>
              <w:t>Adv./Susp.</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10F0F0A9" w14:textId="77777777" w:rsidR="00375852" w:rsidRDefault="00375852">
            <w:pPr>
              <w:jc w:val="center"/>
            </w:pPr>
            <w:r>
              <w:rPr>
                <w:rFonts w:ascii="Courier New" w:eastAsia="Courier New" w:hAnsi="Courier New" w:cs="Courier New"/>
                <w:color w:val="0B2C5F"/>
                <w:sz w:val="17"/>
                <w:szCs w:val="17"/>
              </w:rPr>
              <w:t>2 anos</w:t>
            </w:r>
          </w:p>
        </w:tc>
      </w:tr>
      <w:tr w:rsidR="00375852" w14:paraId="29561676" w14:textId="77777777">
        <w:tc>
          <w:tcPr>
            <w:tcW w:w="9638" w:type="dxa"/>
            <w:gridSpan w:val="6"/>
            <w:tcBorders>
              <w:top w:val="single" w:sz="4" w:space="0" w:color="C9A35C"/>
              <w:left w:val="single" w:sz="2" w:space="0" w:color="D0D9E8"/>
              <w:bottom w:val="single" w:sz="2" w:space="0" w:color="1E4C99"/>
              <w:right w:val="single" w:sz="2" w:space="0" w:color="D0D9E8"/>
            </w:tcBorders>
            <w:shd w:val="clear" w:color="auto" w:fill="DCE6F4"/>
            <w:tcMar>
              <w:top w:w="60" w:type="dxa"/>
              <w:left w:w="100" w:type="dxa"/>
              <w:bottom w:w="60" w:type="dxa"/>
              <w:right w:w="100" w:type="dxa"/>
            </w:tcMar>
          </w:tcPr>
          <w:p w14:paraId="5972EF60" w14:textId="77777777" w:rsidR="00375852" w:rsidRDefault="00375852">
            <w:r>
              <w:rPr>
                <w:rFonts w:ascii="Barlow Condensed" w:eastAsia="Barlow Condensed" w:hAnsi="Barlow Condensed" w:cs="Barlow Condensed"/>
                <w:b/>
                <w:bCs/>
                <w:color w:val="0B2C5F"/>
                <w:sz w:val="18"/>
                <w:szCs w:val="18"/>
              </w:rPr>
              <w:lastRenderedPageBreak/>
              <w:t>EIXO 7, Violência Verbal / Ofensa Direta</w:t>
            </w:r>
          </w:p>
        </w:tc>
      </w:tr>
      <w:tr w:rsidR="00375852" w14:paraId="5ADBBB92"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6A86583" w14:textId="77777777" w:rsidR="00375852" w:rsidRDefault="00375852">
            <w:pPr>
              <w:jc w:val="center"/>
            </w:pPr>
            <w:r>
              <w:rPr>
                <w:rFonts w:ascii="Courier New" w:eastAsia="Courier New" w:hAnsi="Courier New" w:cs="Courier New"/>
                <w:b/>
                <w:bCs/>
                <w:color w:val="0B2C5F"/>
                <w:sz w:val="18"/>
                <w:szCs w:val="18"/>
              </w:rPr>
              <w:t>27</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54B38B7" w14:textId="77777777" w:rsidR="00375852" w:rsidRDefault="00375852">
            <w:r>
              <w:rPr>
                <w:rFonts w:ascii="Calibri" w:eastAsia="Calibri" w:hAnsi="Calibri" w:cs="Calibri"/>
                <w:color w:val="051A3D"/>
                <w:sz w:val="18"/>
                <w:szCs w:val="18"/>
              </w:rPr>
              <w:t>Ofensa verbal, conduta escandalosa</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11CBB46D" w14:textId="77777777" w:rsidR="00375852" w:rsidRDefault="00375852">
            <w:pPr>
              <w:jc w:val="center"/>
            </w:pPr>
            <w:r>
              <w:rPr>
                <w:rFonts w:ascii="Calibri" w:eastAsia="Calibri" w:hAnsi="Calibri" w:cs="Calibri"/>
                <w:b/>
                <w:bCs/>
                <w:color w:val="0B2C5F"/>
                <w:sz w:val="18"/>
                <w:szCs w:val="18"/>
              </w:rPr>
              <w:t>7</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4ED57B4F" w14:textId="77777777" w:rsidR="00375852" w:rsidRDefault="00375852">
            <w:r>
              <w:rPr>
                <w:rFonts w:ascii="Courier New" w:eastAsia="Courier New" w:hAnsi="Courier New" w:cs="Courier New"/>
                <w:color w:val="0B2C5F"/>
                <w:sz w:val="17"/>
                <w:szCs w:val="17"/>
              </w:rPr>
              <w:t>Art. 132, V</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EE86B00"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55DCF04" w14:textId="77777777" w:rsidR="00375852" w:rsidRDefault="00375852">
            <w:pPr>
              <w:jc w:val="center"/>
            </w:pPr>
            <w:r>
              <w:rPr>
                <w:rFonts w:ascii="Courier New" w:eastAsia="Courier New" w:hAnsi="Courier New" w:cs="Courier New"/>
                <w:color w:val="0B2C5F"/>
                <w:sz w:val="17"/>
                <w:szCs w:val="17"/>
              </w:rPr>
              <w:t>5 anos</w:t>
            </w:r>
          </w:p>
        </w:tc>
      </w:tr>
      <w:tr w:rsidR="00375852" w14:paraId="7273167A"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AB7B831" w14:textId="77777777" w:rsidR="00375852" w:rsidRDefault="00375852">
            <w:pPr>
              <w:jc w:val="center"/>
            </w:pPr>
            <w:r>
              <w:rPr>
                <w:rFonts w:ascii="Courier New" w:eastAsia="Courier New" w:hAnsi="Courier New" w:cs="Courier New"/>
                <w:b/>
                <w:bCs/>
                <w:color w:val="0B2C5F"/>
                <w:sz w:val="18"/>
                <w:szCs w:val="18"/>
              </w:rPr>
              <w:t>28</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521F5B6" w14:textId="77777777" w:rsidR="00375852" w:rsidRDefault="00375852">
            <w:r>
              <w:rPr>
                <w:rFonts w:ascii="Calibri" w:eastAsia="Calibri" w:hAnsi="Calibri" w:cs="Calibri"/>
                <w:color w:val="051A3D"/>
                <w:sz w:val="18"/>
                <w:szCs w:val="18"/>
              </w:rPr>
              <w:t>Ofensa verbal com valimento do cargo</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2DC0CA6" w14:textId="77777777" w:rsidR="00375852" w:rsidRDefault="00375852">
            <w:pPr>
              <w:jc w:val="center"/>
            </w:pPr>
            <w:r>
              <w:rPr>
                <w:rFonts w:ascii="Calibri" w:eastAsia="Calibri" w:hAnsi="Calibri" w:cs="Calibri"/>
                <w:b/>
                <w:bCs/>
                <w:color w:val="0B2C5F"/>
                <w:sz w:val="18"/>
                <w:szCs w:val="18"/>
              </w:rPr>
              <w:t>7</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EDE2BB8" w14:textId="77777777" w:rsidR="00375852" w:rsidRDefault="00375852">
            <w:r>
              <w:rPr>
                <w:rFonts w:ascii="Courier New" w:eastAsia="Courier New" w:hAnsi="Courier New" w:cs="Courier New"/>
                <w:color w:val="0B2C5F"/>
                <w:sz w:val="17"/>
                <w:szCs w:val="17"/>
              </w:rPr>
              <w:t>Art. 117, IX</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C4035F2"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36624162" w14:textId="77777777" w:rsidR="00375852" w:rsidRDefault="00375852">
            <w:pPr>
              <w:jc w:val="center"/>
            </w:pPr>
            <w:r>
              <w:rPr>
                <w:rFonts w:ascii="Courier New" w:eastAsia="Courier New" w:hAnsi="Courier New" w:cs="Courier New"/>
                <w:color w:val="0B2C5F"/>
                <w:sz w:val="17"/>
                <w:szCs w:val="17"/>
              </w:rPr>
              <w:t>5 anos</w:t>
            </w:r>
          </w:p>
        </w:tc>
      </w:tr>
      <w:tr w:rsidR="00375852" w14:paraId="6C2055C6"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4324A45" w14:textId="77777777" w:rsidR="00375852" w:rsidRDefault="00375852">
            <w:pPr>
              <w:jc w:val="center"/>
            </w:pPr>
            <w:r>
              <w:rPr>
                <w:rFonts w:ascii="Courier New" w:eastAsia="Courier New" w:hAnsi="Courier New" w:cs="Courier New"/>
                <w:b/>
                <w:bCs/>
                <w:color w:val="0B2C5F"/>
                <w:sz w:val="18"/>
                <w:szCs w:val="18"/>
              </w:rPr>
              <w:t>29</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8580DF6" w14:textId="77777777" w:rsidR="00375852" w:rsidRDefault="00375852">
            <w:r>
              <w:rPr>
                <w:rFonts w:ascii="Calibri" w:eastAsia="Calibri" w:hAnsi="Calibri" w:cs="Calibri"/>
                <w:color w:val="051A3D"/>
                <w:sz w:val="18"/>
                <w:szCs w:val="18"/>
              </w:rPr>
              <w:t>Ofensa verbal pública, conduta imprópria de grau moderado</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51C687D" w14:textId="77777777" w:rsidR="00375852" w:rsidRDefault="00375852">
            <w:pPr>
              <w:jc w:val="center"/>
            </w:pPr>
            <w:r>
              <w:rPr>
                <w:rFonts w:ascii="Calibri" w:eastAsia="Calibri" w:hAnsi="Calibri" w:cs="Calibri"/>
                <w:b/>
                <w:bCs/>
                <w:color w:val="0B2C5F"/>
                <w:sz w:val="18"/>
                <w:szCs w:val="18"/>
              </w:rPr>
              <w:t>7</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6DE1603E" w14:textId="77777777" w:rsidR="00375852" w:rsidRDefault="00375852">
            <w:r>
              <w:rPr>
                <w:rFonts w:ascii="Courier New" w:eastAsia="Courier New" w:hAnsi="Courier New" w:cs="Courier New"/>
                <w:color w:val="0B2C5F"/>
                <w:sz w:val="17"/>
                <w:szCs w:val="17"/>
              </w:rPr>
              <w:t>Art. 116, IX</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A362CBF" w14:textId="77777777" w:rsidR="00375852" w:rsidRDefault="00375852">
            <w:pPr>
              <w:jc w:val="center"/>
            </w:pPr>
            <w:r>
              <w:rPr>
                <w:rFonts w:ascii="Calibri" w:eastAsia="Calibri" w:hAnsi="Calibri" w:cs="Calibri"/>
                <w:color w:val="1F7A4C"/>
                <w:sz w:val="18"/>
                <w:szCs w:val="18"/>
              </w:rPr>
              <w:t>Suspensão</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0B5F8FE7" w14:textId="77777777" w:rsidR="00375852" w:rsidRDefault="00375852">
            <w:pPr>
              <w:jc w:val="center"/>
            </w:pPr>
            <w:r>
              <w:rPr>
                <w:rFonts w:ascii="Courier New" w:eastAsia="Courier New" w:hAnsi="Courier New" w:cs="Courier New"/>
                <w:color w:val="0B2C5F"/>
                <w:sz w:val="17"/>
                <w:szCs w:val="17"/>
              </w:rPr>
              <w:t>2 anos</w:t>
            </w:r>
          </w:p>
        </w:tc>
      </w:tr>
      <w:tr w:rsidR="00375852" w14:paraId="2AD090E3"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2F878A5C" w14:textId="77777777" w:rsidR="00375852" w:rsidRDefault="00375852">
            <w:pPr>
              <w:jc w:val="center"/>
            </w:pPr>
            <w:r>
              <w:rPr>
                <w:rFonts w:ascii="Courier New" w:eastAsia="Courier New" w:hAnsi="Courier New" w:cs="Courier New"/>
                <w:b/>
                <w:bCs/>
                <w:color w:val="0B2C5F"/>
                <w:sz w:val="18"/>
                <w:szCs w:val="18"/>
              </w:rPr>
              <w:t>30</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DD3C7F4" w14:textId="77777777" w:rsidR="00375852" w:rsidRDefault="00375852">
            <w:r>
              <w:rPr>
                <w:rFonts w:ascii="Calibri" w:eastAsia="Calibri" w:hAnsi="Calibri" w:cs="Calibri"/>
                <w:color w:val="051A3D"/>
                <w:sz w:val="18"/>
                <w:szCs w:val="18"/>
              </w:rPr>
              <w:t>Ofensa verbal, falta de urbanidade</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40AAE85B" w14:textId="77777777" w:rsidR="00375852" w:rsidRDefault="00375852">
            <w:pPr>
              <w:jc w:val="center"/>
            </w:pPr>
            <w:r>
              <w:rPr>
                <w:rFonts w:ascii="Calibri" w:eastAsia="Calibri" w:hAnsi="Calibri" w:cs="Calibri"/>
                <w:b/>
                <w:bCs/>
                <w:color w:val="0B2C5F"/>
                <w:sz w:val="18"/>
                <w:szCs w:val="18"/>
              </w:rPr>
              <w:t>7</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77A0C9B1" w14:textId="77777777" w:rsidR="00375852" w:rsidRDefault="00375852">
            <w:r>
              <w:rPr>
                <w:rFonts w:ascii="Courier New" w:eastAsia="Courier New" w:hAnsi="Courier New" w:cs="Courier New"/>
                <w:color w:val="0B2C5F"/>
                <w:sz w:val="17"/>
                <w:szCs w:val="17"/>
              </w:rPr>
              <w:t>Art. 116, XI</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6E6674F2" w14:textId="77777777" w:rsidR="00375852" w:rsidRDefault="00375852">
            <w:pPr>
              <w:jc w:val="center"/>
            </w:pPr>
            <w:r>
              <w:rPr>
                <w:rFonts w:ascii="Calibri" w:eastAsia="Calibri" w:hAnsi="Calibri" w:cs="Calibri"/>
                <w:color w:val="1F7A4C"/>
                <w:sz w:val="18"/>
                <w:szCs w:val="18"/>
              </w:rPr>
              <w:t>Advertência</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6BA16C9C" w14:textId="77777777" w:rsidR="00375852" w:rsidRDefault="00375852">
            <w:pPr>
              <w:jc w:val="center"/>
            </w:pPr>
            <w:r>
              <w:rPr>
                <w:rFonts w:ascii="Courier New" w:eastAsia="Courier New" w:hAnsi="Courier New" w:cs="Courier New"/>
                <w:color w:val="0B2C5F"/>
                <w:sz w:val="17"/>
                <w:szCs w:val="17"/>
              </w:rPr>
              <w:t>180 dias</w:t>
            </w:r>
          </w:p>
        </w:tc>
      </w:tr>
      <w:tr w:rsidR="00375852" w14:paraId="7691CA1C" w14:textId="77777777">
        <w:tc>
          <w:tcPr>
            <w:tcW w:w="9638" w:type="dxa"/>
            <w:gridSpan w:val="6"/>
            <w:tcBorders>
              <w:top w:val="single" w:sz="4" w:space="0" w:color="C9A35C"/>
              <w:left w:val="single" w:sz="2" w:space="0" w:color="D0D9E8"/>
              <w:bottom w:val="single" w:sz="2" w:space="0" w:color="1E4C99"/>
              <w:right w:val="single" w:sz="2" w:space="0" w:color="D0D9E8"/>
            </w:tcBorders>
            <w:shd w:val="clear" w:color="auto" w:fill="DCE6F4"/>
            <w:tcMar>
              <w:top w:w="60" w:type="dxa"/>
              <w:left w:w="100" w:type="dxa"/>
              <w:bottom w:w="60" w:type="dxa"/>
              <w:right w:w="100" w:type="dxa"/>
            </w:tcMar>
          </w:tcPr>
          <w:p w14:paraId="1E5323D1" w14:textId="77777777" w:rsidR="00375852" w:rsidRDefault="00375852">
            <w:r>
              <w:rPr>
                <w:rFonts w:ascii="Barlow Condensed" w:eastAsia="Barlow Condensed" w:hAnsi="Barlow Condensed" w:cs="Barlow Condensed"/>
                <w:b/>
                <w:bCs/>
                <w:color w:val="0B2C5F"/>
                <w:sz w:val="18"/>
                <w:szCs w:val="18"/>
              </w:rPr>
              <w:t>EIXO 8, Stalking Funcional (art. 147-A do Código Penal)</w:t>
            </w:r>
          </w:p>
        </w:tc>
      </w:tr>
      <w:tr w:rsidR="00375852" w14:paraId="1E69B495" w14:textId="77777777">
        <w:tc>
          <w:tcPr>
            <w:tcW w:w="6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5203956C" w14:textId="77777777" w:rsidR="00375852" w:rsidRDefault="00375852">
            <w:pPr>
              <w:jc w:val="center"/>
            </w:pPr>
            <w:r>
              <w:rPr>
                <w:rFonts w:ascii="Courier New" w:eastAsia="Courier New" w:hAnsi="Courier New" w:cs="Courier New"/>
                <w:b/>
                <w:bCs/>
                <w:color w:val="0B2C5F"/>
                <w:sz w:val="18"/>
                <w:szCs w:val="18"/>
              </w:rPr>
              <w:t>31</w:t>
            </w:r>
          </w:p>
        </w:tc>
        <w:tc>
          <w:tcPr>
            <w:tcW w:w="3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6E8836CF" w14:textId="77777777" w:rsidR="00375852" w:rsidRDefault="00375852">
            <w:r>
              <w:rPr>
                <w:rFonts w:ascii="Calibri" w:eastAsia="Calibri" w:hAnsi="Calibri" w:cs="Calibri"/>
                <w:color w:val="051A3D"/>
                <w:sz w:val="18"/>
                <w:szCs w:val="18"/>
              </w:rPr>
              <w:t>Stalking funcional com valimento do cargo</w:t>
            </w:r>
          </w:p>
        </w:tc>
        <w:tc>
          <w:tcPr>
            <w:tcW w:w="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7AAB9696" w14:textId="77777777" w:rsidR="00375852" w:rsidRDefault="00375852">
            <w:pPr>
              <w:jc w:val="center"/>
            </w:pPr>
            <w:r>
              <w:rPr>
                <w:rFonts w:ascii="Calibri" w:eastAsia="Calibri" w:hAnsi="Calibri" w:cs="Calibri"/>
                <w:b/>
                <w:bCs/>
                <w:color w:val="0B2C5F"/>
                <w:sz w:val="18"/>
                <w:szCs w:val="18"/>
              </w:rPr>
              <w:t>8</w:t>
            </w:r>
          </w:p>
        </w:tc>
        <w:tc>
          <w:tcPr>
            <w:tcW w:w="22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3BCEE35" w14:textId="77777777" w:rsidR="00375852" w:rsidRDefault="00375852">
            <w:r>
              <w:rPr>
                <w:rFonts w:ascii="Courier New" w:eastAsia="Courier New" w:hAnsi="Courier New" w:cs="Courier New"/>
                <w:color w:val="0B2C5F"/>
                <w:sz w:val="17"/>
                <w:szCs w:val="17"/>
              </w:rPr>
              <w:t>Art. 117, IX</w:t>
            </w:r>
          </w:p>
        </w:tc>
        <w:tc>
          <w:tcPr>
            <w:tcW w:w="1638"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20B2885" w14:textId="77777777" w:rsidR="00375852" w:rsidRDefault="00375852">
            <w:pPr>
              <w:jc w:val="center"/>
            </w:pPr>
            <w:r>
              <w:rPr>
                <w:rFonts w:ascii="Calibri" w:eastAsia="Calibri" w:hAnsi="Calibri" w:cs="Calibri"/>
                <w:b/>
                <w:bCs/>
                <w:color w:val="B42318"/>
                <w:sz w:val="18"/>
                <w:szCs w:val="18"/>
              </w:rPr>
              <w:t>Demissão *</w:t>
            </w:r>
          </w:p>
        </w:tc>
        <w:tc>
          <w:tcPr>
            <w:tcW w:w="1500" w:type="dxa"/>
            <w:tcBorders>
              <w:top w:val="single" w:sz="2" w:space="0" w:color="D0D9E8"/>
              <w:left w:val="single" w:sz="2" w:space="0" w:color="D0D9E8"/>
              <w:bottom w:val="single" w:sz="2" w:space="0" w:color="D0D9E8"/>
              <w:right w:val="single" w:sz="2" w:space="0" w:color="D0D9E8"/>
            </w:tcBorders>
            <w:shd w:val="clear" w:color="auto" w:fill="FFF0F0"/>
            <w:tcMar>
              <w:top w:w="60" w:type="dxa"/>
              <w:left w:w="100" w:type="dxa"/>
              <w:bottom w:w="60" w:type="dxa"/>
              <w:right w:w="100" w:type="dxa"/>
            </w:tcMar>
            <w:vAlign w:val="center"/>
          </w:tcPr>
          <w:p w14:paraId="211E31D0" w14:textId="77777777" w:rsidR="00375852" w:rsidRDefault="00375852">
            <w:pPr>
              <w:jc w:val="center"/>
            </w:pPr>
            <w:r>
              <w:rPr>
                <w:rFonts w:ascii="Courier New" w:eastAsia="Courier New" w:hAnsi="Courier New" w:cs="Courier New"/>
                <w:color w:val="0B2C5F"/>
                <w:sz w:val="17"/>
                <w:szCs w:val="17"/>
              </w:rPr>
              <w:t>5 anos</w:t>
            </w:r>
          </w:p>
        </w:tc>
      </w:tr>
      <w:tr w:rsidR="00375852" w14:paraId="00AD6177" w14:textId="77777777">
        <w:tc>
          <w:tcPr>
            <w:tcW w:w="6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8417E8F" w14:textId="77777777" w:rsidR="00375852" w:rsidRDefault="00375852">
            <w:pPr>
              <w:jc w:val="center"/>
            </w:pPr>
            <w:r>
              <w:rPr>
                <w:rFonts w:ascii="Courier New" w:eastAsia="Courier New" w:hAnsi="Courier New" w:cs="Courier New"/>
                <w:b/>
                <w:bCs/>
                <w:color w:val="0B2C5F"/>
                <w:sz w:val="18"/>
                <w:szCs w:val="18"/>
              </w:rPr>
              <w:t>32</w:t>
            </w:r>
          </w:p>
        </w:tc>
        <w:tc>
          <w:tcPr>
            <w:tcW w:w="3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63A12A42" w14:textId="77777777" w:rsidR="00375852" w:rsidRDefault="00375852">
            <w:r>
              <w:rPr>
                <w:rFonts w:ascii="Calibri" w:eastAsia="Calibri" w:hAnsi="Calibri" w:cs="Calibri"/>
                <w:color w:val="051A3D"/>
                <w:sz w:val="18"/>
                <w:szCs w:val="18"/>
              </w:rPr>
              <w:t>Stalking funcional, conduta imprópria</w:t>
            </w:r>
          </w:p>
        </w:tc>
        <w:tc>
          <w:tcPr>
            <w:tcW w:w="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38DF1EE9" w14:textId="77777777" w:rsidR="00375852" w:rsidRDefault="00375852">
            <w:pPr>
              <w:jc w:val="center"/>
            </w:pPr>
            <w:r>
              <w:rPr>
                <w:rFonts w:ascii="Calibri" w:eastAsia="Calibri" w:hAnsi="Calibri" w:cs="Calibri"/>
                <w:b/>
                <w:bCs/>
                <w:color w:val="0B2C5F"/>
                <w:sz w:val="18"/>
                <w:szCs w:val="18"/>
              </w:rPr>
              <w:t>8</w:t>
            </w:r>
          </w:p>
        </w:tc>
        <w:tc>
          <w:tcPr>
            <w:tcW w:w="22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62B1B0ED" w14:textId="77777777" w:rsidR="00375852" w:rsidRDefault="00375852">
            <w:r>
              <w:rPr>
                <w:rFonts w:ascii="Courier New" w:eastAsia="Courier New" w:hAnsi="Courier New" w:cs="Courier New"/>
                <w:color w:val="0B2C5F"/>
                <w:sz w:val="17"/>
                <w:szCs w:val="17"/>
              </w:rPr>
              <w:t>Art. 116, IX</w:t>
            </w:r>
          </w:p>
        </w:tc>
        <w:tc>
          <w:tcPr>
            <w:tcW w:w="1638"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55DD5D98" w14:textId="77777777" w:rsidR="00375852" w:rsidRDefault="00375852">
            <w:pPr>
              <w:jc w:val="center"/>
            </w:pPr>
            <w:r>
              <w:rPr>
                <w:rFonts w:ascii="Calibri" w:eastAsia="Calibri" w:hAnsi="Calibri" w:cs="Calibri"/>
                <w:color w:val="1F7A4C"/>
                <w:sz w:val="18"/>
                <w:szCs w:val="18"/>
              </w:rPr>
              <w:t>Suspensão</w:t>
            </w:r>
          </w:p>
        </w:tc>
        <w:tc>
          <w:tcPr>
            <w:tcW w:w="1500" w:type="dxa"/>
            <w:tcBorders>
              <w:top w:val="single" w:sz="2" w:space="0" w:color="D0D9E8"/>
              <w:left w:val="single" w:sz="2" w:space="0" w:color="D0D9E8"/>
              <w:bottom w:val="single" w:sz="2" w:space="0" w:color="D0D9E8"/>
              <w:right w:val="single" w:sz="2" w:space="0" w:color="D0D9E8"/>
            </w:tcBorders>
            <w:shd w:val="clear" w:color="auto" w:fill="F0FFF4"/>
            <w:tcMar>
              <w:top w:w="60" w:type="dxa"/>
              <w:left w:w="100" w:type="dxa"/>
              <w:bottom w:w="60" w:type="dxa"/>
              <w:right w:w="100" w:type="dxa"/>
            </w:tcMar>
            <w:vAlign w:val="center"/>
          </w:tcPr>
          <w:p w14:paraId="285C86D5" w14:textId="77777777" w:rsidR="00375852" w:rsidRDefault="00375852">
            <w:pPr>
              <w:jc w:val="center"/>
            </w:pPr>
            <w:r>
              <w:rPr>
                <w:rFonts w:ascii="Courier New" w:eastAsia="Courier New" w:hAnsi="Courier New" w:cs="Courier New"/>
                <w:color w:val="0B2C5F"/>
                <w:sz w:val="17"/>
                <w:szCs w:val="17"/>
              </w:rPr>
              <w:t>2 anos</w:t>
            </w:r>
          </w:p>
        </w:tc>
      </w:tr>
      <w:tr w:rsidR="00375852" w14:paraId="404D1D77" w14:textId="77777777">
        <w:tc>
          <w:tcPr>
            <w:tcW w:w="6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1680BBAB" w14:textId="77777777" w:rsidR="00375852" w:rsidRDefault="00375852">
            <w:pPr>
              <w:jc w:val="center"/>
            </w:pPr>
            <w:r>
              <w:rPr>
                <w:rFonts w:ascii="Courier New" w:eastAsia="Courier New" w:hAnsi="Courier New" w:cs="Courier New"/>
                <w:b/>
                <w:bCs/>
                <w:color w:val="0B2C5F"/>
                <w:sz w:val="18"/>
                <w:szCs w:val="18"/>
              </w:rPr>
              <w:t>—</w:t>
            </w:r>
          </w:p>
        </w:tc>
        <w:tc>
          <w:tcPr>
            <w:tcW w:w="3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63AC53C1" w14:textId="77777777" w:rsidR="00375852" w:rsidRDefault="00375852">
            <w:r>
              <w:rPr>
                <w:rFonts w:ascii="Calibri" w:eastAsia="Calibri" w:hAnsi="Calibri" w:cs="Calibri"/>
                <w:color w:val="051A3D"/>
                <w:sz w:val="18"/>
                <w:szCs w:val="18"/>
              </w:rPr>
              <w:t>Episódio isolado, reenquadrar nos Eixos 2, 3 ou 7</w:t>
            </w:r>
          </w:p>
        </w:tc>
        <w:tc>
          <w:tcPr>
            <w:tcW w:w="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65160723" w14:textId="77777777" w:rsidR="00375852" w:rsidRDefault="00375852">
            <w:pPr>
              <w:jc w:val="center"/>
            </w:pPr>
            <w:r>
              <w:rPr>
                <w:rFonts w:ascii="Calibri" w:eastAsia="Calibri" w:hAnsi="Calibri" w:cs="Calibri"/>
                <w:b/>
                <w:bCs/>
                <w:color w:val="0B2C5F"/>
                <w:sz w:val="18"/>
                <w:szCs w:val="18"/>
              </w:rPr>
              <w:t>8</w:t>
            </w:r>
          </w:p>
        </w:tc>
        <w:tc>
          <w:tcPr>
            <w:tcW w:w="2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191CC127" w14:textId="77777777" w:rsidR="00375852" w:rsidRDefault="00375852">
            <w:r>
              <w:rPr>
                <w:rFonts w:ascii="Courier New" w:eastAsia="Courier New" w:hAnsi="Courier New" w:cs="Courier New"/>
                <w:color w:val="0B2C5F"/>
                <w:sz w:val="17"/>
                <w:szCs w:val="17"/>
              </w:rPr>
              <w:t>—</w:t>
            </w:r>
          </w:p>
        </w:tc>
        <w:tc>
          <w:tcPr>
            <w:tcW w:w="1638"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7F2ABD2C" w14:textId="77777777" w:rsidR="00375852" w:rsidRDefault="00375852">
            <w:pPr>
              <w:jc w:val="center"/>
            </w:pPr>
            <w:r>
              <w:rPr>
                <w:rFonts w:ascii="Calibri" w:eastAsia="Calibri" w:hAnsi="Calibri" w:cs="Calibri"/>
                <w:color w:val="5B6781"/>
                <w:sz w:val="18"/>
                <w:szCs w:val="18"/>
              </w:rPr>
              <w:t>Redirecionamento</w:t>
            </w:r>
          </w:p>
        </w:tc>
        <w:tc>
          <w:tcPr>
            <w:tcW w:w="1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25A8302E" w14:textId="77777777" w:rsidR="00375852" w:rsidRDefault="00375852">
            <w:pPr>
              <w:jc w:val="center"/>
            </w:pPr>
            <w:r>
              <w:rPr>
                <w:rFonts w:ascii="Courier New" w:eastAsia="Courier New" w:hAnsi="Courier New" w:cs="Courier New"/>
                <w:color w:val="0B2C5F"/>
                <w:sz w:val="17"/>
                <w:szCs w:val="17"/>
              </w:rPr>
              <w:t>—</w:t>
            </w:r>
          </w:p>
        </w:tc>
      </w:tr>
      <w:tr w:rsidR="00375852" w14:paraId="6172E965" w14:textId="77777777">
        <w:tc>
          <w:tcPr>
            <w:tcW w:w="6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69704661" w14:textId="77777777" w:rsidR="00375852" w:rsidRDefault="00375852">
            <w:pPr>
              <w:jc w:val="center"/>
            </w:pPr>
            <w:r>
              <w:rPr>
                <w:rFonts w:ascii="Courier New" w:eastAsia="Courier New" w:hAnsi="Courier New" w:cs="Courier New"/>
                <w:b/>
                <w:bCs/>
                <w:color w:val="0B2C5F"/>
                <w:sz w:val="18"/>
                <w:szCs w:val="18"/>
              </w:rPr>
              <w:t>—</w:t>
            </w:r>
          </w:p>
        </w:tc>
        <w:tc>
          <w:tcPr>
            <w:tcW w:w="3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1348E383" w14:textId="77777777" w:rsidR="00375852" w:rsidRDefault="00375852">
            <w:r>
              <w:rPr>
                <w:rFonts w:ascii="Calibri" w:eastAsia="Calibri" w:hAnsi="Calibri" w:cs="Calibri"/>
                <w:color w:val="051A3D"/>
                <w:sz w:val="18"/>
                <w:szCs w:val="18"/>
              </w:rPr>
              <w:t>Sem nexo funcional, comunicar ao Ministério Público</w:t>
            </w:r>
          </w:p>
        </w:tc>
        <w:tc>
          <w:tcPr>
            <w:tcW w:w="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6E4CDE1F" w14:textId="77777777" w:rsidR="00375852" w:rsidRDefault="00375852">
            <w:pPr>
              <w:jc w:val="center"/>
            </w:pPr>
            <w:r>
              <w:rPr>
                <w:rFonts w:ascii="Calibri" w:eastAsia="Calibri" w:hAnsi="Calibri" w:cs="Calibri"/>
                <w:b/>
                <w:bCs/>
                <w:color w:val="0B2C5F"/>
                <w:sz w:val="18"/>
                <w:szCs w:val="18"/>
              </w:rPr>
              <w:t>8</w:t>
            </w:r>
          </w:p>
        </w:tc>
        <w:tc>
          <w:tcPr>
            <w:tcW w:w="22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15F23AAF" w14:textId="77777777" w:rsidR="00375852" w:rsidRDefault="00375852">
            <w:r>
              <w:rPr>
                <w:rFonts w:ascii="Courier New" w:eastAsia="Courier New" w:hAnsi="Courier New" w:cs="Courier New"/>
                <w:color w:val="0B2C5F"/>
                <w:sz w:val="17"/>
                <w:szCs w:val="17"/>
              </w:rPr>
              <w:t>Art. 147-A do CP (penal)</w:t>
            </w:r>
          </w:p>
        </w:tc>
        <w:tc>
          <w:tcPr>
            <w:tcW w:w="1638"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08C202F3" w14:textId="77777777" w:rsidR="00375852" w:rsidRDefault="00375852">
            <w:pPr>
              <w:jc w:val="center"/>
            </w:pPr>
            <w:r>
              <w:rPr>
                <w:rFonts w:ascii="Calibri" w:eastAsia="Calibri" w:hAnsi="Calibri" w:cs="Calibri"/>
                <w:color w:val="5B6781"/>
                <w:sz w:val="18"/>
                <w:szCs w:val="18"/>
              </w:rPr>
              <w:t>Arquivamento</w:t>
            </w:r>
          </w:p>
        </w:tc>
        <w:tc>
          <w:tcPr>
            <w:tcW w:w="1500" w:type="dxa"/>
            <w:tcBorders>
              <w:top w:val="single" w:sz="2" w:space="0" w:color="D0D9E8"/>
              <w:left w:val="single" w:sz="2" w:space="0" w:color="D0D9E8"/>
              <w:bottom w:val="single" w:sz="2" w:space="0" w:color="D0D9E8"/>
              <w:right w:val="single" w:sz="2" w:space="0" w:color="D0D9E8"/>
            </w:tcBorders>
            <w:shd w:val="clear" w:color="auto" w:fill="FFFBEA"/>
            <w:tcMar>
              <w:top w:w="60" w:type="dxa"/>
              <w:left w:w="100" w:type="dxa"/>
              <w:bottom w:w="60" w:type="dxa"/>
              <w:right w:w="100" w:type="dxa"/>
            </w:tcMar>
            <w:vAlign w:val="center"/>
          </w:tcPr>
          <w:p w14:paraId="15F7E0AC" w14:textId="77777777" w:rsidR="00375852" w:rsidRDefault="00375852">
            <w:pPr>
              <w:jc w:val="center"/>
            </w:pPr>
            <w:r>
              <w:rPr>
                <w:rFonts w:ascii="Courier New" w:eastAsia="Courier New" w:hAnsi="Courier New" w:cs="Courier New"/>
                <w:color w:val="0B2C5F"/>
                <w:sz w:val="17"/>
                <w:szCs w:val="17"/>
              </w:rPr>
              <w:t>—</w:t>
            </w:r>
          </w:p>
        </w:tc>
      </w:tr>
    </w:tbl>
    <w:p w14:paraId="1070A967" w14:textId="77777777" w:rsidR="00375852" w:rsidRDefault="00375852">
      <w:pPr>
        <w:spacing w:after="120"/>
        <w:jc w:val="both"/>
      </w:pPr>
    </w:p>
    <w:p w14:paraId="4D1F8280" w14:textId="77777777" w:rsidR="00375852" w:rsidRDefault="00375852">
      <w:pPr>
        <w:pStyle w:val="Ttulo3"/>
        <w:keepNext/>
      </w:pPr>
      <w:r>
        <w:rPr>
          <w:rFonts w:ascii="Calibri" w:eastAsia="Calibri" w:hAnsi="Calibri" w:cs="Calibri"/>
        </w:rPr>
        <w:t>Legenda e notas de leitura</w:t>
      </w:r>
    </w:p>
    <w:p w14:paraId="4CDE372D" w14:textId="77777777" w:rsidR="00375852" w:rsidRDefault="00375852">
      <w:pPr>
        <w:pStyle w:val="PargrafodaLista"/>
        <w:numPr>
          <w:ilvl w:val="0"/>
          <w:numId w:val="31"/>
        </w:numPr>
        <w:spacing w:after="80" w:line="240" w:lineRule="auto"/>
        <w:jc w:val="both"/>
      </w:pPr>
      <w:r>
        <w:rPr>
          <w:rFonts w:ascii="Calibri" w:eastAsia="Calibri" w:hAnsi="Calibri" w:cs="Calibri"/>
          <w:color w:val="051A3D"/>
          <w:sz w:val="22"/>
          <w:szCs w:val="22"/>
        </w:rPr>
        <w:t>Asterisco: demissão como ato vinculado, conforme a Súmula nº 650 do Superior Tribunal de Justiça. Configurados os elementos do tipo, a autoridade competente está obrigada a demitir, sem margem de discricionariedade para penalidade diversa.</w:t>
      </w:r>
    </w:p>
    <w:p w14:paraId="03F7888D" w14:textId="77777777" w:rsidR="00375852" w:rsidRDefault="00375852">
      <w:pPr>
        <w:pStyle w:val="PargrafodaLista"/>
        <w:numPr>
          <w:ilvl w:val="0"/>
          <w:numId w:val="31"/>
        </w:numPr>
        <w:spacing w:after="80" w:line="240" w:lineRule="auto"/>
        <w:jc w:val="both"/>
      </w:pPr>
      <w:r>
        <w:rPr>
          <w:rFonts w:ascii="Calibri" w:eastAsia="Calibri" w:hAnsi="Calibri" w:cs="Calibri"/>
          <w:color w:val="051A3D"/>
          <w:sz w:val="22"/>
          <w:szCs w:val="22"/>
        </w:rPr>
        <w:t>Adv./Susp.: penalidade a ser definida pela dosimetria do art. 128, da Lei nº 8.112, de 1990. A advertência aplica-se às infrações de menor gravidade; a suspensão, às de gravidade média. A Calculadora de Dosimetria da COGER/RFB instrumentaliza esse cálculo.</w:t>
      </w:r>
    </w:p>
    <w:p w14:paraId="4A3E3C79" w14:textId="77777777" w:rsidR="00375852" w:rsidRDefault="00375852">
      <w:pPr>
        <w:pStyle w:val="PargrafodaLista"/>
        <w:numPr>
          <w:ilvl w:val="0"/>
          <w:numId w:val="31"/>
        </w:numPr>
        <w:spacing w:after="80" w:line="240" w:lineRule="auto"/>
        <w:jc w:val="both"/>
      </w:pPr>
      <w:r>
        <w:t>Prazo de 180 dias: contado da ciência dos fatos pela autoridade competente (art. 142, III). Alcança todos os resultados cuja penalidade orientativa seja a advertência.</w:t>
      </w:r>
    </w:p>
    <w:p w14:paraId="50A2D116" w14:textId="77777777" w:rsidR="00375852" w:rsidRDefault="00375852">
      <w:pPr>
        <w:pStyle w:val="PargrafodaLista"/>
        <w:numPr>
          <w:ilvl w:val="0"/>
          <w:numId w:val="31"/>
        </w:numPr>
        <w:spacing w:after="80" w:line="240" w:lineRule="auto"/>
        <w:jc w:val="both"/>
      </w:pPr>
      <w:r>
        <w:t>Resultado 14: enquadramento de dupla via. Registrar expressamente no relatório qual delas fundamenta o enquadramento.</w:t>
      </w:r>
    </w:p>
    <w:p w14:paraId="113C1EBF" w14:textId="77777777" w:rsidR="00375852" w:rsidRDefault="00375852">
      <w:pPr>
        <w:pStyle w:val="PargrafodaLista"/>
        <w:numPr>
          <w:ilvl w:val="0"/>
          <w:numId w:val="31"/>
        </w:numPr>
        <w:spacing w:after="80" w:line="240" w:lineRule="auto"/>
        <w:jc w:val="both"/>
      </w:pPr>
      <w:r>
        <w:t>Resultados 20 e 23: dispositivos idênticos, fundamentações distintas. No Eixo 4, o bem jurídico lesionado é a igualdade material no ambiente de trabalho; no Eixo 5, a dignidade da vítima e as condições de trabalho degradadas por padrão hostil. Quando ambos se configuram, os enquadramentos são cumuláveis.</w:t>
      </w:r>
    </w:p>
    <w:p w14:paraId="4A74527D" w14:textId="77777777" w:rsidR="00375852" w:rsidRDefault="00375852">
      <w:pPr>
        <w:pStyle w:val="PargrafodaLista"/>
        <w:numPr>
          <w:ilvl w:val="0"/>
          <w:numId w:val="31"/>
        </w:numPr>
        <w:spacing w:after="80" w:line="240" w:lineRule="auto"/>
        <w:jc w:val="both"/>
      </w:pPr>
      <w:r>
        <w:t>Travessão: saída de arquivamento ou de redirecionamento que não compõe os 32 resultados numerados.</w:t>
      </w:r>
    </w:p>
    <w:p w14:paraId="6B8D5BBA" w14:textId="77777777" w:rsidR="00375852" w:rsidRDefault="00375852">
      <w:pPr>
        <w:pStyle w:val="PargrafodaLista"/>
        <w:numPr>
          <w:ilvl w:val="0"/>
          <w:numId w:val="31"/>
        </w:numPr>
        <w:spacing w:after="80" w:line="240" w:lineRule="auto"/>
        <w:jc w:val="both"/>
      </w:pPr>
      <w:r>
        <w:t>O redirecionamento do Eixo 8 não é arquivamento: o episódio isolado deve ser efetivamente analisado no eixo correspondente antes de qualquer deliberação.</w:t>
      </w:r>
    </w:p>
    <w:p w14:paraId="2904D200" w14:textId="77777777" w:rsidR="00375852" w:rsidRDefault="00375852">
      <w:pPr>
        <w:spacing w:after="120"/>
        <w:jc w:val="both"/>
      </w:pPr>
    </w:p>
    <w:p w14:paraId="38F92557" w14:textId="77777777" w:rsidR="00375852" w:rsidRDefault="00375852">
      <w:pPr>
        <w:pStyle w:val="Ttulo2"/>
        <w:keepNext/>
        <w:pBdr>
          <w:left w:val="single" w:sz="10" w:space="6" w:color="C9A35C"/>
        </w:pBdr>
      </w:pPr>
      <w:bookmarkStart w:id="191" w:name="_Toc238022180"/>
      <w:r>
        <w:t>Resumo por penalidade e prazo prescricional</w:t>
      </w:r>
      <w:bookmarkEnd w:id="191"/>
    </w:p>
    <w:p w14:paraId="491A3E31" w14:textId="77777777" w:rsidR="00375852" w:rsidRDefault="00375852">
      <w:pPr>
        <w:pStyle w:val="Ttulo3"/>
        <w:keepNext/>
      </w:pPr>
      <w:r>
        <w:t>Resultados demissórios: 18 resultados</w:t>
      </w:r>
    </w:p>
    <w:p w14:paraId="0ED0B180" w14:textId="77777777" w:rsidR="00375852" w:rsidRDefault="00375852">
      <w:pPr>
        <w:spacing w:after="120"/>
        <w:jc w:val="both"/>
      </w:pPr>
      <w:r>
        <w:rPr>
          <w:rFonts w:ascii="Calibri" w:eastAsia="Calibri" w:hAnsi="Calibri" w:cs="Calibri"/>
          <w:color w:val="051A3D"/>
          <w:sz w:val="22"/>
          <w:szCs w:val="22"/>
        </w:rPr>
        <w:t xml:space="preserve">Todos os resultados demissórios exigem passagem pelo gate de confirmação demissória antes da tipificação final. O gate verifica se os elementos constitutivos do tipo estão todos demonstrados nos </w:t>
      </w:r>
      <w:r>
        <w:rPr>
          <w:rFonts w:ascii="Calibri" w:eastAsia="Calibri" w:hAnsi="Calibri" w:cs="Calibri"/>
          <w:color w:val="051A3D"/>
          <w:sz w:val="22"/>
          <w:szCs w:val="22"/>
        </w:rPr>
        <w:lastRenderedPageBreak/>
        <w:t>autos. A ausência de qualquer elemento impede a demissão e redireciona para o resultado de menor gravidade do mesmo eixo.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5852" w:rsidRPr="000C0DBA" w14:paraId="7416E59A"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77362ADA" w14:textId="77777777" w:rsidR="00375852" w:rsidRPr="000C0DBA" w:rsidRDefault="00375852">
            <w:pPr>
              <w:rPr>
                <w:rFonts w:eastAsia="Courier New" w:cs="Courier New"/>
                <w:color w:val="0B2C5F"/>
                <w:sz w:val="20"/>
                <w:szCs w:val="20"/>
              </w:rPr>
            </w:pPr>
            <w:r>
              <w:t>Resultados: 2, 3, 5, 6, 9, 10, 13, 14 (na via do art. 132, V), 15, 17, 18, 19, 21, 22, 25, 27, 28, 31. Prazo prescricional: 5 anos (art. 142, I). Penalidade: demissão, ato vinculado.</w:t>
            </w:r>
          </w:p>
        </w:tc>
      </w:tr>
    </w:tbl>
    <w:p w14:paraId="2D734141" w14:textId="77777777" w:rsidR="00375852" w:rsidRDefault="00375852">
      <w:pPr>
        <w:spacing w:after="120"/>
        <w:jc w:val="both"/>
      </w:pPr>
    </w:p>
    <w:p w14:paraId="399B1B47" w14:textId="77777777" w:rsidR="00375852" w:rsidRDefault="00375852">
      <w:pPr>
        <w:pStyle w:val="Ttulo3"/>
        <w:keepNext/>
      </w:pPr>
      <w:r>
        <w:t>Resultados com advertência ou suspensão: 14 resultados</w:t>
      </w:r>
    </w:p>
    <w:p w14:paraId="0E724345" w14:textId="77777777" w:rsidR="00375852" w:rsidRDefault="00375852">
      <w:pPr>
        <w:spacing w:after="120"/>
        <w:jc w:val="both"/>
      </w:pPr>
      <w:r>
        <w:rPr>
          <w:rFonts w:ascii="Calibri" w:eastAsia="Calibri" w:hAnsi="Calibri" w:cs="Calibri"/>
          <w:color w:val="051A3D"/>
          <w:sz w:val="22"/>
          <w:szCs w:val="22"/>
        </w:rPr>
        <w:t>A dosimetria do art. 128 define se a penalidade será advertência ou suspensão e, neste caso, a sua duração, de 1 a 90 dias. Use a Calculadora de Dosimetria da COGER/RFB para produzir a fundamentação da dosimetria.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5852" w:rsidRPr="000C0DBA" w14:paraId="0EA29DBD"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508B64B0" w14:textId="77777777" w:rsidR="00375852" w:rsidRPr="000C0DBA" w:rsidRDefault="00375852">
            <w:pPr>
              <w:rPr>
                <w:rFonts w:eastAsia="Courier New" w:cs="Courier New"/>
                <w:color w:val="0B2C5F"/>
                <w:sz w:val="20"/>
                <w:szCs w:val="20"/>
              </w:rPr>
            </w:pPr>
            <w:r>
              <w:t>Resultados: 1, 4, 7, 8, 11, 12, 14 (na via do art. 116, IX), 16, 20, 23, 24, 26, 29, 30. Penalidade: advertência ou suspensão (art. 128, dosimetria).</w:t>
            </w:r>
          </w:p>
        </w:tc>
      </w:tr>
    </w:tbl>
    <w:p w14:paraId="0F8A216C" w14:textId="77777777" w:rsidR="00375852" w:rsidRDefault="00375852">
      <w:pPr>
        <w:spacing w:after="120"/>
        <w:jc w:val="both"/>
      </w:pPr>
    </w:p>
    <w:p w14:paraId="4130E3D5" w14:textId="77777777" w:rsidR="00375852" w:rsidRDefault="00375852">
      <w:pPr>
        <w:pStyle w:val="Ttulo3"/>
        <w:keepNext/>
      </w:pPr>
      <w:r>
        <w:t>Resultados sujeitos ao prazo de 180 dias: 2 resultados</w:t>
      </w:r>
    </w:p>
    <w:p w14:paraId="0BA133AE" w14:textId="77777777" w:rsidR="00375852" w:rsidRDefault="00375852">
      <w:pPr>
        <w:spacing w:after="120"/>
        <w:jc w:val="both"/>
      </w:pPr>
      <w:r>
        <w:t>Resultado 8, ameaça leve. Resultado 30, falta de urbanidade. Ambos com prazo de 180 dias (art. 142, III). URGÊNCIA.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5852" w:rsidRPr="000C0DBA" w14:paraId="6B4F054E"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424850C2" w14:textId="77777777" w:rsidR="00375852" w:rsidRPr="000C0DBA" w:rsidRDefault="00375852">
            <w:pPr>
              <w:rPr>
                <w:rFonts w:eastAsia="Courier New" w:cs="Courier New"/>
                <w:color w:val="0B2C5F"/>
                <w:sz w:val="20"/>
                <w:szCs w:val="20"/>
              </w:rPr>
            </w:pPr>
          </w:p>
        </w:tc>
      </w:tr>
    </w:tbl>
    <w:p w14:paraId="518B7194" w14:textId="77777777" w:rsidR="00375852" w:rsidRDefault="00375852">
      <w:pPr>
        <w:spacing w:after="120"/>
        <w:jc w:val="both"/>
      </w:pPr>
    </w:p>
    <w:p w14:paraId="6D911880" w14:textId="77777777" w:rsidR="00375852" w:rsidRDefault="00375852">
      <w:pPr>
        <w:pStyle w:val="Ttulo3"/>
        <w:keepNext/>
      </w:pPr>
      <w:r>
        <w:t>Saídas de arquivamento e redirecionamento: 8 saídas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5852" w:rsidRPr="000C0DBA" w14:paraId="45E6AC0A"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7265C941" w14:textId="77777777" w:rsidR="00375852" w:rsidRPr="000C0DBA" w:rsidRDefault="00375852">
            <w:pPr>
              <w:rPr>
                <w:rFonts w:eastAsia="Courier New" w:cs="Courier New"/>
                <w:color w:val="0B2C5F"/>
                <w:sz w:val="20"/>
                <w:szCs w:val="20"/>
              </w:rPr>
            </w:pPr>
            <w:r>
              <w:t>Agressão fora do âmbito disciplinar (Eixo 1). Contato físico sem dolo (Eixo 1). Legítima defesa integral (Eixo 1). Conduta consentida com alerta de impedimento funcional (Eixo 3). Conduta consentida sem repercussão (Eixo 3). Gestão legítima sem elemento subjetivo (Eixo 5). Episódio isolado com redirecionamento (Eixo 8). Ausência de nexo funcional com comunicação ao Ministério Público (Eixo 8).</w:t>
            </w:r>
          </w:p>
        </w:tc>
      </w:tr>
    </w:tbl>
    <w:p w14:paraId="3D62C4FD" w14:textId="77777777" w:rsidR="00375852" w:rsidRDefault="00375852">
      <w:pPr>
        <w:spacing w:after="120"/>
        <w:jc w:val="both"/>
      </w:pPr>
    </w:p>
    <w:p w14:paraId="112BF115" w14:textId="77777777" w:rsidR="00375852" w:rsidRDefault="00375852">
      <w:pPr>
        <w:pStyle w:val="Ttulo2"/>
        <w:keepNext/>
        <w:pBdr>
          <w:left w:val="single" w:sz="10" w:space="6" w:color="C9A35C"/>
        </w:pBdr>
      </w:pPr>
      <w:bookmarkStart w:id="192" w:name="_Toc238022181"/>
      <w:r>
        <w:t>Resultados cumulativos, quando dois eixos se aplicam simultaneamente</w:t>
      </w:r>
      <w:bookmarkEnd w:id="192"/>
    </w:p>
    <w:p w14:paraId="5DCC7DEE" w14:textId="77777777" w:rsidR="00375852" w:rsidRDefault="00375852">
      <w:pPr>
        <w:spacing w:after="120"/>
        <w:jc w:val="both"/>
      </w:pPr>
      <w:r>
        <w:rPr>
          <w:rFonts w:ascii="Calibri" w:eastAsia="Calibri" w:hAnsi="Calibri" w:cs="Calibri"/>
          <w:color w:val="051A3D"/>
          <w:sz w:val="22"/>
          <w:szCs w:val="22"/>
        </w:rPr>
        <w:t>A ferramenta Integritas analisa um eixo por vez, mas a mesma conduta pode satisfazer os elementos de dois eixos simultaneamente. Nesses casos, ambos os enquadramentos devem constar do relatório e da proposta de penalidade. A penalidade mais grave prevalece; a menos grave compõe o conjunto fático para fundamentar a dosimetria.</w:t>
      </w:r>
    </w:p>
    <w:p w14:paraId="0908025C" w14:textId="77777777" w:rsidR="00375852" w:rsidRDefault="00375852">
      <w:pPr>
        <w:pStyle w:val="Ttulo3"/>
        <w:keepNext/>
      </w:pPr>
      <w:r>
        <w:rPr>
          <w:rFonts w:ascii="Calibri" w:eastAsia="Calibri" w:hAnsi="Calibri" w:cs="Calibri"/>
        </w:rPr>
        <w:t>Combinações mais frequentes</w:t>
      </w:r>
    </w:p>
    <w:p w14:paraId="134F304F" w14:textId="77777777" w:rsidR="00375852" w:rsidRDefault="00375852">
      <w:pPr>
        <w:pStyle w:val="PargrafodaLista"/>
        <w:numPr>
          <w:ilvl w:val="0"/>
          <w:numId w:val="31"/>
        </w:numPr>
        <w:spacing w:after="80" w:line="240" w:lineRule="auto"/>
        <w:jc w:val="both"/>
      </w:pPr>
      <w:r>
        <w:rPr>
          <w:rFonts w:ascii="Calibri" w:eastAsia="Calibri" w:hAnsi="Calibri" w:cs="Calibri"/>
          <w:color w:val="051A3D"/>
          <w:sz w:val="22"/>
          <w:szCs w:val="22"/>
        </w:rPr>
        <w:t xml:space="preserve">Eixo 4 (Discriminação) + Eixo 5 (Assédio Moral): assédio discriminatório reiterado. Quando a vítima foi escolhida por característica protegida e o padrão reiterado de condutas hostis está presente, ambos os eixos </w:t>
      </w:r>
      <w:proofErr w:type="gramStart"/>
      <w:r>
        <w:rPr>
          <w:rFonts w:ascii="Calibri" w:eastAsia="Calibri" w:hAnsi="Calibri" w:cs="Calibri"/>
          <w:color w:val="051A3D"/>
          <w:sz w:val="22"/>
          <w:szCs w:val="22"/>
        </w:rPr>
        <w:t>configuram-se</w:t>
      </w:r>
      <w:proofErr w:type="gramEnd"/>
      <w:r>
        <w:rPr>
          <w:rFonts w:ascii="Calibri" w:eastAsia="Calibri" w:hAnsi="Calibri" w:cs="Calibri"/>
          <w:color w:val="051A3D"/>
          <w:sz w:val="22"/>
          <w:szCs w:val="22"/>
        </w:rPr>
        <w:t xml:space="preserve"> simultaneamente. Concluir o Eixo 5 e, a seguir, percorrer o Eixo 4.</w:t>
      </w:r>
    </w:p>
    <w:p w14:paraId="5FFCF29B" w14:textId="77777777" w:rsidR="00375852" w:rsidRDefault="00375852">
      <w:pPr>
        <w:pStyle w:val="PargrafodaLista"/>
        <w:numPr>
          <w:ilvl w:val="0"/>
          <w:numId w:val="31"/>
        </w:numPr>
        <w:spacing w:after="80" w:line="240" w:lineRule="auto"/>
        <w:jc w:val="both"/>
      </w:pPr>
      <w:r>
        <w:rPr>
          <w:rFonts w:ascii="Calibri" w:eastAsia="Calibri" w:hAnsi="Calibri" w:cs="Calibri"/>
          <w:color w:val="051A3D"/>
          <w:sz w:val="22"/>
          <w:szCs w:val="22"/>
        </w:rPr>
        <w:t>Eixo 6 (Retaliação) + Eixo 5 (Assédio Moral): quando a represália ao denunciante assume forma de padrão reiterado de condutas hostis. O nexo causal com o ato protegido caracteriza a retaliação; o padrão reiterado pode configurar simultaneamente assédio moral.</w:t>
      </w:r>
    </w:p>
    <w:p w14:paraId="05F40F16" w14:textId="77777777" w:rsidR="00375852" w:rsidRDefault="00375852">
      <w:pPr>
        <w:pStyle w:val="PargrafodaLista"/>
        <w:numPr>
          <w:ilvl w:val="0"/>
          <w:numId w:val="31"/>
        </w:numPr>
        <w:spacing w:after="80" w:line="240" w:lineRule="auto"/>
        <w:jc w:val="both"/>
      </w:pPr>
      <w:r>
        <w:rPr>
          <w:rFonts w:ascii="Calibri" w:eastAsia="Calibri" w:hAnsi="Calibri" w:cs="Calibri"/>
          <w:color w:val="051A3D"/>
          <w:sz w:val="22"/>
          <w:szCs w:val="22"/>
        </w:rPr>
        <w:lastRenderedPageBreak/>
        <w:t>Eixo 7 (Violência Verbal) + Eixo 5 (Assédio Moral): quando a ofensa verbal é episódio de padrão reiterado. O episódio isolado é analisado pelo Eixo 7; o padrão reiterado deve ser analisado complementarmente pelo Eixo 5.</w:t>
      </w:r>
    </w:p>
    <w:p w14:paraId="7EF36C3F" w14:textId="77777777" w:rsidR="00375852" w:rsidRDefault="00375852">
      <w:pPr>
        <w:pStyle w:val="PargrafodaLista"/>
        <w:numPr>
          <w:ilvl w:val="0"/>
          <w:numId w:val="31"/>
        </w:numPr>
        <w:spacing w:after="80" w:line="240" w:lineRule="auto"/>
        <w:jc w:val="both"/>
      </w:pPr>
      <w:r>
        <w:rPr>
          <w:rFonts w:ascii="Calibri" w:eastAsia="Calibri" w:hAnsi="Calibri" w:cs="Calibri"/>
          <w:color w:val="051A3D"/>
          <w:sz w:val="22"/>
          <w:szCs w:val="22"/>
        </w:rPr>
        <w:t>Eixo 8 (Stalking) + Eixo 5 (Assédio Moral): quando o padrão de perseguição produziu impacto psicológico documentável sobre a vítima. Concluir o Eixo 8 e avaliar complementarmente o Eixo 5 quando há laudo, afastamento ou comprometimento funcional documentado.</w:t>
      </w:r>
    </w:p>
    <w:p w14:paraId="5B8CA200" w14:textId="77777777" w:rsidR="00375852" w:rsidRDefault="00375852">
      <w:pPr>
        <w:pStyle w:val="PargrafodaLista"/>
        <w:numPr>
          <w:ilvl w:val="0"/>
          <w:numId w:val="31"/>
        </w:numPr>
        <w:spacing w:after="80" w:line="240" w:lineRule="auto"/>
        <w:jc w:val="both"/>
      </w:pPr>
      <w:r>
        <w:rPr>
          <w:rFonts w:ascii="Calibri" w:eastAsia="Calibri" w:hAnsi="Calibri" w:cs="Calibri"/>
          <w:color w:val="051A3D"/>
          <w:sz w:val="22"/>
          <w:szCs w:val="22"/>
        </w:rPr>
        <w:t>Eixo 3 (Assédio Sexual) + Eixo 5 (Assédio Moral): quando a conduta sexual se insere em padrão reiterado de condutas hostis. O conteúdo sexual justifica o Eixo 3; o padrão reiterado pode justificar o Eixo 5 de forma autônoma.</w:t>
      </w:r>
    </w:p>
    <w:p w14:paraId="3D2FB03E" w14:textId="77777777" w:rsidR="00375852" w:rsidRDefault="00375852">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75852" w14:paraId="4B43A0EE"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698916FC" w14:textId="77777777" w:rsidR="00375852" w:rsidRDefault="00375852">
            <w:pPr>
              <w:jc w:val="both"/>
            </w:pPr>
            <w:r>
              <w:rPr>
                <w:rFonts w:ascii="Calibri" w:eastAsia="Calibri" w:hAnsi="Calibri" w:cs="Calibri"/>
                <w:b/>
                <w:bCs/>
                <w:color w:val="0B2C5F"/>
                <w:sz w:val="20"/>
                <w:szCs w:val="20"/>
              </w:rPr>
              <w:t>Alerta, cumulatividade não é bis in idem:</w:t>
            </w:r>
            <w:r>
              <w:rPr>
                <w:rFonts w:ascii="Calibri" w:eastAsia="Calibri" w:hAnsi="Calibri" w:cs="Calibri"/>
                <w:color w:val="051A3D"/>
                <w:sz w:val="20"/>
                <w:szCs w:val="20"/>
              </w:rPr>
              <w:t xml:space="preserve"> o enquadramento cumulativo não viola o princípio de non bis in idem quando cada eixo tutela bem jurídico distinto ou quando a conduta satisfaz, de forma autônoma, os elementos de cada tipo. O relatório deve demonstrar, para cada eixo, os elementos específicos que fundamentam aquele enquadramento, sem se limitar a remeter ao outro.</w:t>
            </w:r>
          </w:p>
        </w:tc>
      </w:tr>
    </w:tbl>
    <w:p w14:paraId="7C81AD10" w14:textId="77777777" w:rsidR="00375852" w:rsidRDefault="00375852"/>
    <w:p w14:paraId="15D94084" w14:textId="77777777" w:rsidR="00287D58" w:rsidRDefault="003B78AF">
      <w:r>
        <w:br w:type="page"/>
      </w:r>
    </w:p>
    <w:p w14:paraId="4A8CCB9D"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CAPÍTULO 20</w:t>
      </w:r>
    </w:p>
    <w:p w14:paraId="166C20B4" w14:textId="77777777" w:rsidR="00287D58" w:rsidRDefault="003B78AF">
      <w:pPr>
        <w:pStyle w:val="Ttulo1"/>
        <w:keepNext/>
        <w:pBdr>
          <w:bottom w:val="single" w:sz="12" w:space="6" w:color="C9A35C"/>
        </w:pBdr>
        <w:spacing w:line="400" w:lineRule="exact"/>
      </w:pPr>
      <w:bookmarkStart w:id="193" w:name="_Toc238022182"/>
      <w:r>
        <w:t>20. ESTUDOS DE CASO</w:t>
      </w:r>
      <w:bookmarkEnd w:id="193"/>
    </w:p>
    <w:p w14:paraId="4D2F44A0" w14:textId="77777777" w:rsidR="00287D58" w:rsidRDefault="003B78AF">
      <w:pPr>
        <w:pStyle w:val="Ttulo2"/>
        <w:keepNext/>
      </w:pPr>
      <w:bookmarkStart w:id="194" w:name="_Toc238022183"/>
      <w:r>
        <w:t>Caso 1, Agressão física com excesso culposo (Eixo 1)</w:t>
      </w:r>
      <w:bookmarkEnd w:id="194"/>
    </w:p>
    <w:p w14:paraId="2968808C" w14:textId="77777777" w:rsidR="00287D58" w:rsidRDefault="003B78AF">
      <w:pPr>
        <w:spacing w:after="120"/>
        <w:jc w:val="both"/>
      </w:pPr>
      <w:r>
        <w:rPr>
          <w:sz w:val="21"/>
          <w:szCs w:val="21"/>
        </w:rPr>
        <w:t>Servidor A sofre agressão iniciada por B durante discussão sobre escala de trabalho no ambiente da repartição. Ao revidar, A continua a desferir golpes por alguns segundos após B ter cessado os ataques, por descontrole emocional, sem intenção deliberada de causar dano além do necessário.</w:t>
      </w:r>
    </w:p>
    <w:p w14:paraId="29184D35" w14:textId="77777777" w:rsidR="00287D58" w:rsidRDefault="003B78AF">
      <w:pPr>
        <w:spacing w:after="120"/>
        <w:jc w:val="both"/>
      </w:pPr>
      <w:r>
        <w:rPr>
          <w:b/>
          <w:bCs/>
          <w:sz w:val="21"/>
          <w:szCs w:val="21"/>
        </w:rPr>
        <w:t>Percurso:</w:t>
      </w:r>
      <w:r>
        <w:rPr>
          <w:sz w:val="21"/>
          <w:szCs w:val="21"/>
        </w:rPr>
        <w:t xml:space="preserve"> agressão física → nexo funcional SIM (na repartição durante expediente) → legítima defesa SIM (reação à agressão iniciada por B) → excesso SIM, culposo (continuou sem perceber que a agressão havia cessado, por descontrole emocional).</w:t>
      </w:r>
    </w:p>
    <w:p w14:paraId="2456B5A2" w14:textId="77777777" w:rsidR="00287D58" w:rsidRDefault="003B78AF">
      <w:pPr>
        <w:spacing w:after="120"/>
        <w:jc w:val="both"/>
      </w:pPr>
      <w:r>
        <w:rPr>
          <w:b/>
          <w:bCs/>
          <w:sz w:val="21"/>
          <w:szCs w:val="21"/>
        </w:rPr>
        <w:t>Resultado:</w:t>
      </w:r>
      <w:r>
        <w:rPr>
          <w:sz w:val="21"/>
          <w:szCs w:val="21"/>
        </w:rPr>
        <w:t xml:space="preserve"> excesso culposo, Art. 116, IX, suspensão.</w:t>
      </w:r>
    </w:p>
    <w:p w14:paraId="2D82D75A" w14:textId="77777777" w:rsidR="00287D58" w:rsidRDefault="003B78AF">
      <w:pPr>
        <w:spacing w:after="120"/>
        <w:jc w:val="both"/>
      </w:pPr>
      <w:r>
        <w:rPr>
          <w:b/>
          <w:bCs/>
          <w:sz w:val="21"/>
          <w:szCs w:val="21"/>
        </w:rPr>
        <w:t>Observação:</w:t>
      </w:r>
      <w:r>
        <w:rPr>
          <w:sz w:val="21"/>
          <w:szCs w:val="21"/>
        </w:rPr>
        <w:t xml:space="preserve"> a legítima defesa de A é reconhecida para a reação inicial, afastando o art. 132, VII quanto ao período proporcional. A conduta de B é objeto de PAD autônomo (art. 132, VII, demissão). A dosimetria da suspensão de A considera a brevidade do excesso e o contexto de descontrole emocional pós-agressão.</w:t>
      </w:r>
    </w:p>
    <w:p w14:paraId="0F8C66D3" w14:textId="77777777" w:rsidR="00287D58" w:rsidRDefault="003B78AF">
      <w:pPr>
        <w:pStyle w:val="Ttulo2"/>
        <w:keepNext/>
      </w:pPr>
      <w:bookmarkStart w:id="195" w:name="_Toc238022184"/>
      <w:r>
        <w:t>Caso 2, Ameaça moderada com risco prescricional (Eixo 2)</w:t>
      </w:r>
      <w:bookmarkEnd w:id="195"/>
    </w:p>
    <w:p w14:paraId="185158F0" w14:textId="77777777" w:rsidR="00287D58" w:rsidRDefault="003B78AF">
      <w:pPr>
        <w:spacing w:after="120"/>
        <w:jc w:val="both"/>
      </w:pPr>
      <w:r>
        <w:rPr>
          <w:sz w:val="21"/>
          <w:szCs w:val="21"/>
        </w:rPr>
        <w:t>Em 15/04/2025, servidor C proferiu ameaça de agressão física a colega D durante desentendimento sobre uso de espaço comum, sem uso do cargo (são pares de mesma hierarquia). A autoridade competente tomou conhecimento do fato em 01/10/2025.</w:t>
      </w:r>
    </w:p>
    <w:p w14:paraId="03CDB014" w14:textId="77777777" w:rsidR="00287D58" w:rsidRDefault="003B78AF">
      <w:pPr>
        <w:spacing w:after="120"/>
        <w:jc w:val="both"/>
      </w:pPr>
      <w:r>
        <w:rPr>
          <w:b/>
          <w:bCs/>
          <w:sz w:val="21"/>
          <w:szCs w:val="21"/>
        </w:rPr>
        <w:t>Percurso:</w:t>
      </w:r>
      <w:r>
        <w:rPr>
          <w:sz w:val="21"/>
          <w:szCs w:val="21"/>
        </w:rPr>
        <w:t xml:space="preserve"> ameaça → anúncio de mal futuro e injusto SIM → uso do cargo NÃO → gravidade MODERADA (ameaça de agressão física).</w:t>
      </w:r>
    </w:p>
    <w:p w14:paraId="04E8AE49" w14:textId="77777777" w:rsidR="00287D58" w:rsidRDefault="003B78AF">
      <w:pPr>
        <w:spacing w:after="120"/>
        <w:jc w:val="both"/>
      </w:pPr>
      <w:r>
        <w:rPr>
          <w:b/>
          <w:bCs/>
          <w:sz w:val="21"/>
          <w:szCs w:val="21"/>
        </w:rPr>
        <w:t>Resultado:</w:t>
      </w:r>
      <w:r>
        <w:rPr>
          <w:sz w:val="21"/>
          <w:szCs w:val="21"/>
        </w:rPr>
        <w:t xml:space="preserve"> ameaça moderada sem cargo, Art. 116, IX, suspensão.</w:t>
      </w:r>
    </w:p>
    <w:p w14:paraId="6D72D0C7" w14:textId="77777777" w:rsidR="00287D58" w:rsidRDefault="003B78AF">
      <w:pPr>
        <w:spacing w:after="120"/>
        <w:jc w:val="both"/>
      </w:pPr>
      <w:r>
        <w:rPr>
          <w:b/>
          <w:bCs/>
          <w:sz w:val="21"/>
          <w:szCs w:val="21"/>
        </w:rPr>
        <w:t>Bloco de prescrição:</w:t>
      </w:r>
      <w:r>
        <w:rPr>
          <w:sz w:val="21"/>
          <w:szCs w:val="21"/>
        </w:rPr>
        <w:t xml:space="preserve"> data de conhecimento: 01/10/2025. Prazo: 2 anos. Vencimento: 01/10/2027. Status: dentro do prazo.</w:t>
      </w:r>
    </w:p>
    <w:p w14:paraId="68C04D37" w14:textId="77777777" w:rsidR="00287D58" w:rsidRDefault="003B78AF">
      <w:pPr>
        <w:spacing w:after="120"/>
        <w:jc w:val="both"/>
      </w:pPr>
      <w:r>
        <w:rPr>
          <w:b/>
          <w:bCs/>
          <w:sz w:val="21"/>
          <w:szCs w:val="21"/>
        </w:rPr>
        <w:t>Observação:</w:t>
      </w:r>
      <w:r>
        <w:rPr>
          <w:sz w:val="21"/>
          <w:szCs w:val="21"/>
        </w:rPr>
        <w:t xml:space="preserve"> se o resultado fosse advertência (ameaça leve), o prazo de 180 dias venceria em 28/03/2026, já prescrito ao tempo do conhecimento pela autoridade. A distinção entre moderada e leve tem relevância prescricional imediata.</w:t>
      </w:r>
    </w:p>
    <w:p w14:paraId="345F189D" w14:textId="77777777" w:rsidR="00287D58" w:rsidRDefault="003B78AF">
      <w:pPr>
        <w:pStyle w:val="Ttulo2"/>
        <w:keepNext/>
      </w:pPr>
      <w:bookmarkStart w:id="196" w:name="_Toc238022185"/>
      <w:r>
        <w:t>Caso 3, Assédio sexual com gate demissório (Eixo 3)</w:t>
      </w:r>
      <w:bookmarkEnd w:id="196"/>
    </w:p>
    <w:p w14:paraId="3F400C83" w14:textId="77777777" w:rsidR="00287D58" w:rsidRDefault="003B78AF">
      <w:pPr>
        <w:spacing w:after="120"/>
        <w:jc w:val="both"/>
      </w:pPr>
      <w:r>
        <w:rPr>
          <w:sz w:val="21"/>
          <w:szCs w:val="21"/>
        </w:rPr>
        <w:t>Processo nº 10203.456789/2026-01. Servidora Y denuncia que o chefe X enviou mensagens de conteúdo sexual não solicitadas por aplicativo corporativo em três ocasiões, após ela recusar convite para jantar. X nega intenção de assediar, afirmando que as mensagens eram "brincadeiras".</w:t>
      </w:r>
    </w:p>
    <w:p w14:paraId="172CD063" w14:textId="77777777" w:rsidR="00287D58" w:rsidRDefault="003B78AF">
      <w:pPr>
        <w:spacing w:after="120"/>
        <w:jc w:val="both"/>
      </w:pPr>
      <w:r>
        <w:rPr>
          <w:b/>
          <w:bCs/>
          <w:sz w:val="21"/>
          <w:szCs w:val="21"/>
        </w:rPr>
        <w:t>Percurso:</w:t>
      </w:r>
      <w:r>
        <w:rPr>
          <w:sz w:val="21"/>
          <w:szCs w:val="21"/>
        </w:rPr>
        <w:t xml:space="preserve"> conotação sexual SIM → favorecimento SIM (mensagens seguiram a recusa ao jantar) → consentimento NÃO (não houve consentimento; ao contrário, houve recusa prévia) → impacto grave SIM (laudo psicológico e afastamento por licença médica).</w:t>
      </w:r>
    </w:p>
    <w:p w14:paraId="2D4334CA" w14:textId="77777777" w:rsidR="00287D58" w:rsidRDefault="003B78AF">
      <w:pPr>
        <w:spacing w:after="120"/>
        <w:jc w:val="both"/>
      </w:pPr>
      <w:r>
        <w:rPr>
          <w:b/>
          <w:bCs/>
          <w:sz w:val="21"/>
          <w:szCs w:val="21"/>
        </w:rPr>
        <w:t>Gate demissório:</w:t>
      </w:r>
      <w:r>
        <w:rPr>
          <w:sz w:val="21"/>
          <w:szCs w:val="21"/>
        </w:rPr>
        <w:t xml:space="preserve"> o analista confirma: autoria (mensagens no sistema corporativo rastreáveis), materialidade (conteúdo sexual documentado), todos os elementos do tipo satisfeitos.</w:t>
      </w:r>
    </w:p>
    <w:p w14:paraId="064D0686" w14:textId="77777777" w:rsidR="00287D58" w:rsidRDefault="003B78AF">
      <w:pPr>
        <w:spacing w:after="120"/>
        <w:jc w:val="both"/>
      </w:pPr>
      <w:r>
        <w:rPr>
          <w:b/>
          <w:bCs/>
          <w:sz w:val="21"/>
          <w:szCs w:val="21"/>
        </w:rPr>
        <w:lastRenderedPageBreak/>
        <w:t>Resultado:</w:t>
      </w:r>
      <w:r>
        <w:rPr>
          <w:sz w:val="21"/>
          <w:szCs w:val="21"/>
        </w:rPr>
        <w:t xml:space="preserve"> assédio sexual, impacto grave, Art. 132, V, demissão.</w:t>
      </w:r>
    </w:p>
    <w:p w14:paraId="53FFEDB0" w14:textId="77777777" w:rsidR="00287D58" w:rsidRDefault="003B78AF">
      <w:pPr>
        <w:spacing w:after="120"/>
        <w:jc w:val="both"/>
      </w:pPr>
      <w:r>
        <w:rPr>
          <w:b/>
          <w:bCs/>
          <w:sz w:val="21"/>
          <w:szCs w:val="21"/>
        </w:rPr>
        <w:t>Ponto doutrinário:</w:t>
      </w:r>
      <w:r>
        <w:rPr>
          <w:sz w:val="21"/>
          <w:szCs w:val="21"/>
        </w:rPr>
        <w:t xml:space="preserve"> a afirmação de X de que não tinha "intenção de assediar" é irrelevante para o enquadramento (Parecer JM-03, NT nº 3285/2023). A intenção pode ser considerada na motivação do agente para outros fins, mas não afasta a caracterização do ilícito.</w:t>
      </w:r>
    </w:p>
    <w:p w14:paraId="1C4E5CD2" w14:textId="77777777" w:rsidR="00287D58" w:rsidRDefault="003B78AF">
      <w:pPr>
        <w:pStyle w:val="Ttulo2"/>
        <w:keepNext/>
      </w:pPr>
      <w:bookmarkStart w:id="197" w:name="_Toc238022186"/>
      <w:r>
        <w:t>Caso 4, Assédio moral discriminatório (Eixos 5 e 4 cumulativos)</w:t>
      </w:r>
      <w:bookmarkEnd w:id="197"/>
    </w:p>
    <w:p w14:paraId="054B9CA4" w14:textId="77777777" w:rsidR="00287D58" w:rsidRDefault="003B78AF">
      <w:pPr>
        <w:spacing w:after="120"/>
        <w:jc w:val="both"/>
      </w:pPr>
      <w:r>
        <w:rPr>
          <w:sz w:val="21"/>
          <w:szCs w:val="21"/>
        </w:rPr>
        <w:t xml:space="preserve">Chefia E </w:t>
      </w:r>
      <w:proofErr w:type="gramStart"/>
      <w:r>
        <w:rPr>
          <w:sz w:val="21"/>
          <w:szCs w:val="21"/>
        </w:rPr>
        <w:t>pratica</w:t>
      </w:r>
      <w:proofErr w:type="gramEnd"/>
      <w:r>
        <w:rPr>
          <w:sz w:val="21"/>
          <w:szCs w:val="21"/>
        </w:rPr>
        <w:t xml:space="preserve"> reiteradamente, por seis meses, comentários depreciativos sobre a religião do subordinado F em reuniões de equipe, atribui a F as tarefas mais degradantes e usa a posição hierárquica para documentar falhas inexistentes em avaliações, com declaração registrada de "lidar com quem não se enquadra à cultura da equipe".</w:t>
      </w:r>
    </w:p>
    <w:p w14:paraId="40C4E378" w14:textId="77777777" w:rsidR="00287D58" w:rsidRDefault="003B78AF">
      <w:pPr>
        <w:spacing w:after="120"/>
        <w:jc w:val="both"/>
      </w:pPr>
      <w:r>
        <w:rPr>
          <w:b/>
          <w:bCs/>
          <w:sz w:val="21"/>
          <w:szCs w:val="21"/>
        </w:rPr>
        <w:t>Percurso Eixo 5:</w:t>
      </w:r>
      <w:r>
        <w:rPr>
          <w:sz w:val="21"/>
          <w:szCs w:val="21"/>
        </w:rPr>
        <w:t xml:space="preserve"> reiterado → vertical → uso do cargo SIM (avaliações e distribuição de tarefas) → organização do trabalho NÃO (perseguição pessoal sem pretexto funcional real) → Art. 117, IX.</w:t>
      </w:r>
    </w:p>
    <w:p w14:paraId="5C574CA8" w14:textId="77777777" w:rsidR="00287D58" w:rsidRDefault="003B78AF">
      <w:pPr>
        <w:spacing w:after="120"/>
        <w:jc w:val="both"/>
      </w:pPr>
      <w:r>
        <w:rPr>
          <w:b/>
          <w:bCs/>
          <w:sz w:val="21"/>
          <w:szCs w:val="21"/>
        </w:rPr>
        <w:t>Percurso Eixo 4:</w:t>
      </w:r>
      <w:r>
        <w:rPr>
          <w:sz w:val="21"/>
          <w:szCs w:val="21"/>
        </w:rPr>
        <w:t xml:space="preserve"> fator protegido (religião) → alvo específico (F) → reiterado → uso do cargo (manipulação de avaliações) → Art. 117, IX.</w:t>
      </w:r>
    </w:p>
    <w:p w14:paraId="1C24AF9C" w14:textId="77777777" w:rsidR="00287D58" w:rsidRDefault="003B78AF">
      <w:pPr>
        <w:spacing w:after="120"/>
        <w:jc w:val="both"/>
      </w:pPr>
      <w:r>
        <w:rPr>
          <w:b/>
          <w:bCs/>
          <w:sz w:val="21"/>
          <w:szCs w:val="21"/>
        </w:rPr>
        <w:t>Resultado:</w:t>
      </w:r>
      <w:r>
        <w:rPr>
          <w:sz w:val="21"/>
          <w:szCs w:val="21"/>
        </w:rPr>
        <w:t xml:space="preserve"> assédio moral com valimento do cargo (Art. 117, IX, demissão) + assédio discriminatório com valimento do cargo (Art. 117, IX, demissão). PAD único com enquadramento cumulativo.</w:t>
      </w:r>
    </w:p>
    <w:p w14:paraId="4671C0B3" w14:textId="77777777" w:rsidR="00287D58" w:rsidRDefault="003B78AF">
      <w:pPr>
        <w:pStyle w:val="Ttulo2"/>
        <w:keepNext/>
      </w:pPr>
      <w:bookmarkStart w:id="198" w:name="_Toc238022187"/>
      <w:r>
        <w:t>Caso 5, Retaliação ao denunciante (Eixo 6)</w:t>
      </w:r>
      <w:bookmarkEnd w:id="198"/>
    </w:p>
    <w:p w14:paraId="14FA6261" w14:textId="77777777" w:rsidR="00287D58" w:rsidRDefault="003B78AF">
      <w:pPr>
        <w:spacing w:after="120"/>
        <w:jc w:val="both"/>
      </w:pPr>
      <w:r>
        <w:rPr>
          <w:sz w:val="21"/>
          <w:szCs w:val="21"/>
        </w:rPr>
        <w:t>Servidor G faz denúncia formal à ouvidoria em março/2025 sobre irregularidades em contratos. Em abril/2025, a chefia H emite avaliação de desempenho negativa, a primeira em cinco anos de histórico positivo, sem justificativa objetiva. Em maio/2025, G é removido de ofício para unidade de menor prestígio.</w:t>
      </w:r>
    </w:p>
    <w:p w14:paraId="649CE46D" w14:textId="77777777" w:rsidR="00287D58" w:rsidRDefault="003B78AF">
      <w:pPr>
        <w:spacing w:after="120"/>
        <w:jc w:val="both"/>
      </w:pPr>
      <w:r>
        <w:rPr>
          <w:b/>
          <w:bCs/>
          <w:sz w:val="21"/>
          <w:szCs w:val="21"/>
        </w:rPr>
        <w:t>Percurso:</w:t>
      </w:r>
      <w:r>
        <w:rPr>
          <w:sz w:val="21"/>
          <w:szCs w:val="21"/>
        </w:rPr>
        <w:t xml:space="preserve"> ato protegido (denúncia à ouvidoria) SIM → conduta adversa (avaliação + remoção) SIM → nexo causal SIM (&lt; 2 meses, histórico favorável de 5 anos, ausência de justificativa objetiva pré-existente) → uso do cargo (poder de chefia para avaliação e remoção) SIM.</w:t>
      </w:r>
    </w:p>
    <w:p w14:paraId="71F4047C" w14:textId="77777777" w:rsidR="00287D58" w:rsidRDefault="003B78AF">
      <w:pPr>
        <w:spacing w:after="120"/>
        <w:jc w:val="both"/>
      </w:pPr>
      <w:r>
        <w:rPr>
          <w:b/>
          <w:bCs/>
          <w:sz w:val="21"/>
          <w:szCs w:val="21"/>
        </w:rPr>
        <w:t>Resultado:</w:t>
      </w:r>
      <w:r>
        <w:rPr>
          <w:sz w:val="21"/>
          <w:szCs w:val="21"/>
        </w:rPr>
        <w:t xml:space="preserve"> retaliação ao denunciante, valimento do cargo, Art. 117, IX, demissão.</w:t>
      </w:r>
    </w:p>
    <w:p w14:paraId="395CEF8D" w14:textId="77777777" w:rsidR="00287D58" w:rsidRDefault="003B78AF">
      <w:pPr>
        <w:spacing w:after="120"/>
        <w:jc w:val="both"/>
      </w:pPr>
      <w:r>
        <w:rPr>
          <w:b/>
          <w:bCs/>
          <w:sz w:val="21"/>
          <w:szCs w:val="21"/>
        </w:rPr>
        <w:t>Providências paralelas:</w:t>
      </w:r>
      <w:r>
        <w:rPr>
          <w:sz w:val="21"/>
          <w:szCs w:val="21"/>
        </w:rPr>
        <w:t xml:space="preserve"> comunicar à CGU para registro no programa de proteção ao denunciante; preservar confidencialidade da identidade de G nos autos; avaliar revisão administrativa da remoção e da avaliação como atos retaliadores.</w:t>
      </w:r>
    </w:p>
    <w:p w14:paraId="3D5EBA48" w14:textId="77777777" w:rsidR="00287D58" w:rsidRDefault="003B78AF">
      <w:pPr>
        <w:pStyle w:val="Ttulo2"/>
        <w:keepNext/>
      </w:pPr>
      <w:bookmarkStart w:id="199" w:name="_Toc238022188"/>
      <w:r>
        <w:t xml:space="preserve">Caso 6, </w:t>
      </w:r>
      <w:r>
        <w:rPr>
          <w:i/>
          <w:iCs/>
        </w:rPr>
        <w:t xml:space="preserve">Stalking </w:t>
      </w:r>
      <w:r>
        <w:t>funcional entre pares (Eixo 8)</w:t>
      </w:r>
      <w:bookmarkEnd w:id="199"/>
    </w:p>
    <w:p w14:paraId="761D2FA0" w14:textId="77777777" w:rsidR="00287D58" w:rsidRDefault="003B78AF">
      <w:pPr>
        <w:spacing w:after="120"/>
        <w:jc w:val="both"/>
      </w:pPr>
      <w:r>
        <w:rPr>
          <w:sz w:val="21"/>
          <w:szCs w:val="21"/>
        </w:rPr>
        <w:t>Servidor K envia diariamente mensagens via sistema corporativo a colega L após desentendimento profissional, acessa o sistema de controle de ponto para monitorar horários de L durante dois meses, comparece repetidamente à mesa de L após pedidos expressos de cessação.</w:t>
      </w:r>
    </w:p>
    <w:p w14:paraId="58B8F44D" w14:textId="77777777" w:rsidR="00287D58" w:rsidRDefault="003B78AF">
      <w:pPr>
        <w:spacing w:after="120"/>
        <w:jc w:val="both"/>
      </w:pPr>
      <w:r>
        <w:rPr>
          <w:b/>
          <w:bCs/>
          <w:sz w:val="21"/>
          <w:szCs w:val="21"/>
        </w:rPr>
        <w:t>Percurso:</w:t>
      </w:r>
      <w:r>
        <w:rPr>
          <w:sz w:val="21"/>
          <w:szCs w:val="21"/>
        </w:rPr>
        <w:t xml:space="preserve"> padrão reiterado SIM (dois meses, múltiplos episódios, após pedidos expressos de cessação) → meio funcional (sistema de ponto e mensagens corporativas) SIM → uso do cargo NÃO (K e L são pares sem relação de subordinação).</w:t>
      </w:r>
    </w:p>
    <w:p w14:paraId="4A810C75" w14:textId="77777777" w:rsidR="00287D58" w:rsidRDefault="003B78AF">
      <w:pPr>
        <w:spacing w:after="120"/>
        <w:jc w:val="both"/>
      </w:pPr>
      <w:r>
        <w:rPr>
          <w:b/>
          <w:bCs/>
          <w:sz w:val="21"/>
          <w:szCs w:val="21"/>
        </w:rPr>
        <w:t>Resultado:</w:t>
      </w:r>
      <w:r>
        <w:rPr>
          <w:i/>
          <w:iCs/>
          <w:sz w:val="21"/>
          <w:szCs w:val="21"/>
        </w:rPr>
        <w:t xml:space="preserve"> stalking</w:t>
      </w:r>
      <w:r>
        <w:rPr>
          <w:sz w:val="21"/>
          <w:szCs w:val="21"/>
        </w:rPr>
        <w:t xml:space="preserve"> funcional, conduta imprópria, Art. 116, IX, suspensão.</w:t>
      </w:r>
    </w:p>
    <w:p w14:paraId="53C7C037" w14:textId="77777777" w:rsidR="00287D58" w:rsidRDefault="003B78AF">
      <w:pPr>
        <w:spacing w:after="120"/>
        <w:jc w:val="both"/>
      </w:pPr>
      <w:r>
        <w:rPr>
          <w:b/>
          <w:bCs/>
          <w:sz w:val="21"/>
          <w:szCs w:val="21"/>
        </w:rPr>
        <w:lastRenderedPageBreak/>
        <w:t>Providências paralelas:</w:t>
      </w:r>
      <w:r>
        <w:rPr>
          <w:sz w:val="21"/>
          <w:szCs w:val="21"/>
        </w:rPr>
        <w:t xml:space="preserve"> comunicar ao MP sobre possível crime do art. 147-A do CP; comunicar à autoridade de dados sobre acesso indevido ao sistema de ponto (LGPD); avaliar medidas cautelares de restrição de acesso ao sistema e afastamento preventivo de K.</w:t>
      </w:r>
    </w:p>
    <w:p w14:paraId="3125E469" w14:textId="77777777" w:rsidR="00287D58" w:rsidRDefault="003B78AF">
      <w:r>
        <w:br w:type="page"/>
      </w:r>
    </w:p>
    <w:p w14:paraId="15B84F3D" w14:textId="77777777" w:rsidR="00085436" w:rsidRDefault="00085436">
      <w:pPr>
        <w:pBdr>
          <w:left w:val="single" w:sz="12" w:space="6" w:color="C9A35C"/>
        </w:pBdr>
        <w:spacing w:before="320" w:after="40"/>
      </w:pPr>
      <w:r>
        <w:rPr>
          <w:rFonts w:ascii="Barlow Condensed" w:eastAsia="Barlow Condensed" w:hAnsi="Barlow Condensed" w:cs="Barlow Condensed"/>
          <w:b/>
          <w:bCs/>
          <w:color w:val="8C6E2C"/>
          <w:sz w:val="18"/>
          <w:szCs w:val="18"/>
        </w:rPr>
        <w:lastRenderedPageBreak/>
        <w:t>▍ BOAS PRÁTICAS</w:t>
      </w:r>
    </w:p>
    <w:p w14:paraId="5AC48863" w14:textId="77777777" w:rsidR="00085436" w:rsidRDefault="00085436">
      <w:pPr>
        <w:pStyle w:val="Ttulo1"/>
      </w:pPr>
      <w:bookmarkStart w:id="200" w:name="_Toc238022189"/>
      <w:r>
        <w:rPr>
          <w:caps/>
          <w:color w:val="0B2C5F"/>
          <w:sz w:val="40"/>
          <w:szCs w:val="40"/>
        </w:rPr>
        <w:t>21. LIMITES E BOAS PRÁTICAS DE USO</w:t>
      </w:r>
      <w:bookmarkEnd w:id="200"/>
    </w:p>
    <w:p w14:paraId="40B124C4" w14:textId="77777777" w:rsidR="00085436" w:rsidRDefault="00085436">
      <w:pPr>
        <w:spacing w:after="120"/>
        <w:jc w:val="both"/>
      </w:pPr>
      <w:r>
        <w:rPr>
          <w:rFonts w:ascii="Calibri" w:eastAsia="Calibri" w:hAnsi="Calibri" w:cs="Calibri"/>
          <w:color w:val="051A3D"/>
          <w:sz w:val="22"/>
          <w:szCs w:val="22"/>
        </w:rPr>
        <w:t>Este capítulo organiza os limites da ferramenta Integritas, as boas práticas de uso e os cuidados especiais que o analista deve observar em situações recorrentes. Leia-o antes de usar a ferramenta pela primeira vez e consulte-o sempre que surgir dúvida sobre o alcance de um resultado.</w:t>
      </w:r>
    </w:p>
    <w:p w14:paraId="66DC5522" w14:textId="77777777" w:rsidR="00085436" w:rsidRDefault="00085436">
      <w:pPr>
        <w:pBdr>
          <w:bottom w:val="single" w:sz="4" w:space="1" w:color="C9A35C"/>
        </w:pBdr>
        <w:spacing w:before="200" w:after="200"/>
      </w:pPr>
    </w:p>
    <w:p w14:paraId="2DBAE2B4" w14:textId="77777777" w:rsidR="00085436" w:rsidRDefault="00085436">
      <w:pPr>
        <w:pStyle w:val="Ttulo2"/>
        <w:keepNext/>
        <w:pBdr>
          <w:left w:val="single" w:sz="10" w:space="6" w:color="C9A35C"/>
        </w:pBdr>
      </w:pPr>
      <w:bookmarkStart w:id="201" w:name="_Toc238022190"/>
      <w:r>
        <w:t>21.1 O que a ferramenta não faz</w:t>
      </w:r>
      <w:bookmarkEnd w:id="201"/>
    </w:p>
    <w:p w14:paraId="7597D5B3" w14:textId="77777777" w:rsidR="00085436" w:rsidRDefault="00085436">
      <w:pPr>
        <w:spacing w:after="120"/>
        <w:jc w:val="both"/>
      </w:pPr>
      <w:r>
        <w:rPr>
          <w:rFonts w:ascii="Calibri" w:eastAsia="Calibri" w:hAnsi="Calibri" w:cs="Calibri"/>
          <w:color w:val="051A3D"/>
          <w:sz w:val="22"/>
          <w:szCs w:val="22"/>
        </w:rPr>
        <w:t>A ferramenta Integritas é um instrumento de apoio ao raciocínio jurídico, não um oráculo, não uma calculadora automática de penalidade e não um substituto para o processo administrativo disciplinar. Compreender o que ela não faz é tão importante quanto saber usá-la.</w:t>
      </w:r>
    </w:p>
    <w:p w14:paraId="5CEE2AB6" w14:textId="77777777" w:rsidR="00085436" w:rsidRDefault="00085436">
      <w:pPr>
        <w:pStyle w:val="Ttulo3"/>
        <w:keepNext/>
      </w:pPr>
      <w:r>
        <w:rPr>
          <w:rFonts w:ascii="Calibri" w:eastAsia="Calibri" w:hAnsi="Calibri" w:cs="Calibri"/>
        </w:rPr>
        <w:t>Não avalia provas</w:t>
      </w:r>
    </w:p>
    <w:p w14:paraId="37E97D88" w14:textId="77777777" w:rsidR="00085436" w:rsidRDefault="00085436">
      <w:pPr>
        <w:spacing w:after="120"/>
        <w:jc w:val="both"/>
      </w:pPr>
      <w:r>
        <w:rPr>
          <w:rFonts w:ascii="Calibri" w:eastAsia="Calibri" w:hAnsi="Calibri" w:cs="Calibri"/>
          <w:color w:val="051A3D"/>
          <w:sz w:val="22"/>
          <w:szCs w:val="22"/>
        </w:rPr>
        <w:t xml:space="preserve">A ferramenta pressupõe que o operador dispõe dos fatos apurados e os representa fielmente nas respostas. Ela não verifica a qualidade, a suficiência ou a cadeia de custódia das provas. Se os fatos declarados ao sistema forem falsos, incompletos ou distorcidos, o resultado será igualmente falso, incompleto ou distorcido. </w:t>
      </w:r>
      <w:r>
        <w:rPr>
          <w:rFonts w:ascii="Calibri" w:eastAsia="Calibri" w:hAnsi="Calibri" w:cs="Calibri"/>
          <w:b/>
          <w:bCs/>
          <w:color w:val="051A3D"/>
          <w:sz w:val="22"/>
          <w:szCs w:val="22"/>
        </w:rPr>
        <w:t>Lixo entra, lixo sai.</w:t>
      </w:r>
      <w:r>
        <w:rPr>
          <w:rFonts w:ascii="Calibri" w:eastAsia="Calibri" w:hAnsi="Calibri" w:cs="Calibri"/>
          <w:color w:val="051A3D"/>
          <w:sz w:val="22"/>
          <w:szCs w:val="22"/>
        </w:rPr>
        <w:t xml:space="preserve"> A responsabilidade pela fidelidade da representação dos fatos é inteiramente do operador.</w:t>
      </w:r>
    </w:p>
    <w:p w14:paraId="13819616" w14:textId="77777777" w:rsidR="00085436" w:rsidRDefault="00085436">
      <w:pPr>
        <w:pStyle w:val="Ttulo3"/>
        <w:keepNext/>
      </w:pPr>
      <w:r>
        <w:rPr>
          <w:rFonts w:ascii="Calibri" w:eastAsia="Calibri" w:hAnsi="Calibri" w:cs="Calibri"/>
        </w:rPr>
        <w:t>Não calcula a penalidade definitiva</w:t>
      </w:r>
    </w:p>
    <w:p w14:paraId="6D678F00" w14:textId="77777777" w:rsidR="00085436" w:rsidRDefault="00085436">
      <w:pPr>
        <w:spacing w:after="120"/>
        <w:jc w:val="both"/>
      </w:pPr>
      <w:r>
        <w:rPr>
          <w:rFonts w:ascii="Calibri" w:eastAsia="Calibri" w:hAnsi="Calibri" w:cs="Calibri"/>
          <w:color w:val="051A3D"/>
          <w:sz w:val="22"/>
          <w:szCs w:val="22"/>
        </w:rPr>
        <w:t>O resultado da ferramenta indica o enquadramento disciplinar orientativo e a penalidade de referência, não a penalidade definitiva. A dosimetria do art. 128 da Lei nº 8.112, de 1990 é tarefa exclusiva da autoridade julgadora, após instrução completa, e deve ser fundamentada com base nos subfatores da Calculadora de Dosimetria da COGER/RFB. O resultado da ferramenta não substitui essa etapa nem vincula a autoridade julgadora.</w:t>
      </w:r>
    </w:p>
    <w:p w14:paraId="38E5D801" w14:textId="77777777" w:rsidR="00085436" w:rsidRDefault="00085436">
      <w:pPr>
        <w:pStyle w:val="Ttulo3"/>
        <w:keepNext/>
      </w:pPr>
      <w:r>
        <w:rPr>
          <w:rFonts w:ascii="Calibri" w:eastAsia="Calibri" w:hAnsi="Calibri" w:cs="Calibri"/>
        </w:rPr>
        <w:t>Não substitui o parecer jurídico</w:t>
      </w:r>
    </w:p>
    <w:p w14:paraId="649C7281" w14:textId="77777777" w:rsidR="00085436" w:rsidRDefault="00085436">
      <w:pPr>
        <w:spacing w:after="120"/>
        <w:jc w:val="both"/>
      </w:pPr>
      <w:r>
        <w:rPr>
          <w:rFonts w:ascii="Calibri" w:eastAsia="Calibri" w:hAnsi="Calibri" w:cs="Calibri"/>
          <w:color w:val="051A3D"/>
          <w:sz w:val="22"/>
          <w:szCs w:val="22"/>
        </w:rPr>
        <w:t>O enquadramento orientativo produzido pela ferramenta não tem força vinculante e não dispensa a fundamentação própria nos autos. O relatório da comissão processante e o despacho de indiciamento devem conter fundamentação jurídica autônoma, a ferramenta é uma referência de estruturação do raciocínio, não uma substituição dele.</w:t>
      </w:r>
    </w:p>
    <w:p w14:paraId="60E1BE64" w14:textId="77777777" w:rsidR="00085436" w:rsidRDefault="00085436">
      <w:pPr>
        <w:pStyle w:val="Ttulo3"/>
        <w:keepNext/>
      </w:pPr>
      <w:r>
        <w:rPr>
          <w:rFonts w:ascii="Calibri" w:eastAsia="Calibri" w:hAnsi="Calibri" w:cs="Calibri"/>
        </w:rPr>
        <w:t>Não cobre todas as condutas disciplinares</w:t>
      </w:r>
    </w:p>
    <w:p w14:paraId="4F51E203" w14:textId="77777777" w:rsidR="00085436" w:rsidRDefault="00085436">
      <w:pPr>
        <w:spacing w:after="120"/>
        <w:jc w:val="both"/>
      </w:pPr>
      <w:r>
        <w:rPr>
          <w:rFonts w:ascii="Calibri" w:eastAsia="Calibri" w:hAnsi="Calibri" w:cs="Calibri"/>
          <w:color w:val="051A3D"/>
          <w:sz w:val="22"/>
          <w:szCs w:val="22"/>
        </w:rPr>
        <w:t>A ferramenta foca em condutas de violência, assédio, discriminação, retaliação, violência verbal e stalking (Eixos 1 a 8). Condutas de outra natureza, improbidade, abandono de cargo, acumulação ilícita, inassiduidade, insubordinação, irregularidades funcionais diversas, não estão mapeadas. A aplicação da ferramenta a essas condutas produzirá resultados incorretos ou ausentes de resultado.</w:t>
      </w:r>
    </w:p>
    <w:p w14:paraId="13586535" w14:textId="77777777" w:rsidR="00085436" w:rsidRDefault="00085436">
      <w:pPr>
        <w:pStyle w:val="Ttulo3"/>
        <w:keepNext/>
      </w:pPr>
      <w:r>
        <w:rPr>
          <w:rFonts w:ascii="Calibri" w:eastAsia="Calibri" w:hAnsi="Calibri" w:cs="Calibri"/>
        </w:rPr>
        <w:lastRenderedPageBreak/>
        <w:t>Não apura, estrutura</w:t>
      </w:r>
    </w:p>
    <w:p w14:paraId="412F6D1C" w14:textId="77777777" w:rsidR="00085436" w:rsidRDefault="00085436">
      <w:pPr>
        <w:spacing w:after="120"/>
        <w:jc w:val="both"/>
      </w:pPr>
      <w:r>
        <w:rPr>
          <w:rFonts w:ascii="Calibri" w:eastAsia="Calibri" w:hAnsi="Calibri" w:cs="Calibri"/>
          <w:color w:val="051A3D"/>
          <w:sz w:val="22"/>
          <w:szCs w:val="22"/>
        </w:rPr>
        <w:t>A ferramenta organiza o raciocínio jurídico *após* a apuração dos fatos. Não use a ferramenta para guiar a instrução probatória ou para decidir quais provas coletar. Use-a para estruturar o enquadramento *depois* de ter os fatos apurados. A ordem correta é: apurar → representar os fatos → usar a ferramenta → fundamentar o enquadramento.</w:t>
      </w:r>
    </w:p>
    <w:p w14:paraId="53799041" w14:textId="77777777" w:rsidR="00085436" w:rsidRDefault="00085436">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5436" w14:paraId="0936BF85"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799FF995" w14:textId="77777777" w:rsidR="00085436" w:rsidRDefault="00085436">
            <w:pPr>
              <w:jc w:val="both"/>
            </w:pPr>
            <w:r>
              <w:rPr>
                <w:rFonts w:ascii="Calibri" w:eastAsia="Calibri" w:hAnsi="Calibri" w:cs="Calibri"/>
                <w:b/>
                <w:bCs/>
                <w:color w:val="0B2C5F"/>
                <w:sz w:val="20"/>
                <w:szCs w:val="20"/>
              </w:rPr>
              <w:t>Alerta, resultado orientativo vs. resultado definitivo:</w:t>
            </w:r>
            <w:r>
              <w:rPr>
                <w:rFonts w:ascii="Calibri" w:eastAsia="Calibri" w:hAnsi="Calibri" w:cs="Calibri"/>
                <w:color w:val="051A3D"/>
                <w:sz w:val="20"/>
                <w:szCs w:val="20"/>
              </w:rPr>
              <w:t xml:space="preserve"> o enquadramento produzido pela ferramenta deve ser confrontado com a Nota Técnica pertinente (NTs nº 544/2024, 3285/2023, 93/2024) e com a jurisprudência do STJ antes de qualquer ato processual de maior relevância. A ferramenta incorpora o estado da arte desses normativos na data da sua versão, mas não captura alterações supervenientes.</w:t>
            </w:r>
          </w:p>
        </w:tc>
      </w:tr>
    </w:tbl>
    <w:p w14:paraId="145E047F" w14:textId="77777777" w:rsidR="00085436" w:rsidRDefault="00085436">
      <w:pPr>
        <w:pBdr>
          <w:bottom w:val="single" w:sz="4" w:space="1" w:color="C9A35C"/>
        </w:pBdr>
        <w:spacing w:before="200" w:after="200"/>
      </w:pPr>
    </w:p>
    <w:p w14:paraId="75DF31EF" w14:textId="77777777" w:rsidR="00085436" w:rsidRDefault="00085436">
      <w:pPr>
        <w:pStyle w:val="Ttulo2"/>
        <w:keepNext/>
        <w:pBdr>
          <w:left w:val="single" w:sz="10" w:space="6" w:color="C9A35C"/>
        </w:pBdr>
      </w:pPr>
      <w:bookmarkStart w:id="202" w:name="_Toc238022191"/>
      <w:r>
        <w:t>21.2 Como usar a ferramenta com rigor</w:t>
      </w:r>
      <w:bookmarkEnd w:id="202"/>
    </w:p>
    <w:p w14:paraId="0E8B87B4" w14:textId="77777777" w:rsidR="00085436" w:rsidRDefault="00085436">
      <w:pPr>
        <w:spacing w:after="120"/>
        <w:jc w:val="both"/>
      </w:pPr>
      <w:r>
        <w:rPr>
          <w:rFonts w:ascii="Calibri" w:eastAsia="Calibri" w:hAnsi="Calibri" w:cs="Calibri"/>
          <w:color w:val="051A3D"/>
          <w:sz w:val="22"/>
          <w:szCs w:val="22"/>
        </w:rPr>
        <w:t>As boas práticas a seguir reduzem o risco de resultado incorreto e garantem que o enquadramento seja defendável nos autos.</w:t>
      </w:r>
    </w:p>
    <w:p w14:paraId="19E1AAD5" w14:textId="77777777" w:rsidR="00085436" w:rsidRDefault="00085436">
      <w:pPr>
        <w:pStyle w:val="Ttulo3"/>
        <w:keepNext/>
      </w:pPr>
      <w:r>
        <w:rPr>
          <w:rFonts w:ascii="Calibri" w:eastAsia="Calibri" w:hAnsi="Calibri" w:cs="Calibri"/>
        </w:rPr>
        <w:t>Antes de abrir a ferramenta</w:t>
      </w:r>
    </w:p>
    <w:p w14:paraId="016367D4"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Leia o capítulo do eixo relevante (Caps. 11 a 18) antes de operar a ferramenta pela primeira vez para aquele tipo de conduta.</w:t>
      </w:r>
    </w:p>
    <w:p w14:paraId="5D92D734"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Verifique se os fatos estão suficientemente apurados. A ferramenta não tolera fatos vagos, respostas imprecisas produzem enquadramentos incorretos.</w:t>
      </w:r>
    </w:p>
    <w:p w14:paraId="6556BFA7"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Identifique se há mais de uma conduta. Condutas de natureza distintas devem ser analisadas separadamente, a ferramenta analisa um eixo de cada vez.</w:t>
      </w:r>
    </w:p>
    <w:p w14:paraId="4C036633" w14:textId="77777777" w:rsidR="00085436" w:rsidRDefault="00085436">
      <w:pPr>
        <w:pStyle w:val="Ttulo3"/>
        <w:keepNext/>
      </w:pPr>
      <w:r>
        <w:rPr>
          <w:rFonts w:ascii="Calibri" w:eastAsia="Calibri" w:hAnsi="Calibri" w:cs="Calibri"/>
        </w:rPr>
        <w:t>Durante o uso</w:t>
      </w:r>
    </w:p>
    <w:p w14:paraId="39748805"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Descreva a conduta com precisão, fatos, não conclusões jurídicas. 'O servidor humilhou publicamente o subordinado em reunião de equipe' é um fato. 'O servidor assediou o subordinado' é uma conclusão, não preencha o campo de descrição com a conclusão que você quer que a ferramenta confirme.</w:t>
      </w:r>
    </w:p>
    <w:p w14:paraId="46930B52"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Responda com base nos fatos apurados, não na intenção declarada do agente. A declaração do agressor de que 'não tinha intenção de ofender' é um dado a considerar na dosimetria, não um fundamento para responder NÃO a perguntas sobre o impacto produzido.</w:t>
      </w:r>
    </w:p>
    <w:p w14:paraId="12262B06"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Quando houver dúvida entre SIM e NÃO em uma pergunta, consulte o capítulo do eixo para verificar os critérios de cada resposta. Nunca responda com base em intuição quando o manual oferece critérios objetivos.</w:t>
      </w:r>
    </w:p>
    <w:p w14:paraId="5D4D3DAD"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Leia o resultado com atenção às ressalvas normativas exibidas. Resultados com * (gate demissório) exigem confirmação adicional.</w:t>
      </w:r>
    </w:p>
    <w:p w14:paraId="7743EE09" w14:textId="77777777" w:rsidR="00085436" w:rsidRDefault="00085436">
      <w:pPr>
        <w:pStyle w:val="Ttulo3"/>
        <w:keepNext/>
      </w:pPr>
      <w:r>
        <w:rPr>
          <w:rFonts w:ascii="Calibri" w:eastAsia="Calibri" w:hAnsi="Calibri" w:cs="Calibri"/>
        </w:rPr>
        <w:t>Após o resultado</w:t>
      </w:r>
    </w:p>
    <w:p w14:paraId="040FC775"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Consulte a Nota Técnica pertinente antes de qualquer ato processual de maior relevância, indiciamento, relatório final, proposta de penalidade.</w:t>
      </w:r>
    </w:p>
    <w:p w14:paraId="6C639477"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lastRenderedPageBreak/>
        <w:t>Quando o resultado for demissório, percorra o gate de confirmação antes de confirmar o enquadramento. O gate verifica se todos os elementos do tipo estão demonstrados nos autos, não apenas presumidos.</w:t>
      </w:r>
    </w:p>
    <w:p w14:paraId="43438594"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Registre nos autos, de forma sintética, o percurso seguido na ferramenta e os fundamentos de cada resposta. Esse registro é a fundamentação mínima do enquadramento orientativo.</w:t>
      </w:r>
    </w:p>
    <w:p w14:paraId="10684B6C"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Avalie se há necessidade de análise complementar em outro eixo, cumulatividade (ver seção 21.4).</w:t>
      </w:r>
    </w:p>
    <w:p w14:paraId="0C221ABF" w14:textId="77777777" w:rsidR="00085436" w:rsidRDefault="00085436">
      <w:pPr>
        <w:pBdr>
          <w:bottom w:val="single" w:sz="4" w:space="1" w:color="C9A35C"/>
        </w:pBdr>
        <w:spacing w:before="200" w:after="200"/>
      </w:pPr>
    </w:p>
    <w:p w14:paraId="1368C0D2" w14:textId="77777777" w:rsidR="00085436" w:rsidRDefault="00085436">
      <w:pPr>
        <w:pStyle w:val="Ttulo2"/>
        <w:keepNext/>
        <w:pBdr>
          <w:left w:val="single" w:sz="10" w:space="6" w:color="C9A35C"/>
        </w:pBdr>
      </w:pPr>
      <w:bookmarkStart w:id="203" w:name="_Toc238022192"/>
      <w:r>
        <w:t>21.3 Atenção ao prazo prescricional da advertência</w:t>
      </w:r>
      <w:bookmarkEnd w:id="203"/>
    </w:p>
    <w:p w14:paraId="34B9EAF1" w14:textId="77777777" w:rsidR="00085436" w:rsidRDefault="00085436">
      <w:pPr>
        <w:spacing w:after="120"/>
        <w:jc w:val="both"/>
      </w:pPr>
      <w:r>
        <w:rPr>
          <w:rFonts w:ascii="Calibri" w:eastAsia="Calibri" w:hAnsi="Calibri" w:cs="Calibri"/>
          <w:color w:val="051A3D"/>
          <w:sz w:val="22"/>
          <w:szCs w:val="22"/>
        </w:rPr>
        <w:t xml:space="preserve">O prazo prescricional de 180 dias (art. 142, III, da Lei nº 8.112, de 1990) é o mais curto do sistema disciplinar. Começa a correr da </w:t>
      </w:r>
      <w:r>
        <w:rPr>
          <w:rFonts w:ascii="Calibri" w:eastAsia="Calibri" w:hAnsi="Calibri" w:cs="Calibri"/>
          <w:b/>
          <w:bCs/>
          <w:color w:val="051A3D"/>
          <w:sz w:val="22"/>
          <w:szCs w:val="22"/>
        </w:rPr>
        <w:t>data em que a autoridade competente tomou conhecimento do fato</w:t>
      </w:r>
      <w:r>
        <w:rPr>
          <w:rFonts w:ascii="Calibri" w:eastAsia="Calibri" w:hAnsi="Calibri" w:cs="Calibri"/>
          <w:color w:val="051A3D"/>
          <w:sz w:val="22"/>
          <w:szCs w:val="22"/>
        </w:rPr>
        <w:t>, não da data do fato, não da data da denúncia, não da data da instauração do PAD.</w:t>
      </w:r>
    </w:p>
    <w:p w14:paraId="5B76F14C" w14:textId="77777777" w:rsidR="00085436" w:rsidRDefault="00085436">
      <w:pPr>
        <w:spacing w:after="120"/>
        <w:jc w:val="both"/>
      </w:pPr>
      <w:r>
        <w:rPr>
          <w:rFonts w:ascii="Calibri" w:eastAsia="Calibri" w:hAnsi="Calibri" w:cs="Calibri"/>
          <w:color w:val="051A3D"/>
          <w:sz w:val="22"/>
          <w:szCs w:val="22"/>
        </w:rPr>
        <w:t>Condutas que podem ser enquadradas como advertência têm prazo prescricional curto e exigem providência imediata. Os resultados de risco são: ameaça leve (resultado 8, 180 dias), falta de urbanidade (resultado 30, 180 dias), e qualquer resultado de advertência/suspensão quando há demora entre o conhecimento do fato e a instauração.</w:t>
      </w:r>
    </w:p>
    <w:p w14:paraId="7D13D0F7" w14:textId="77777777" w:rsidR="00085436" w:rsidRDefault="00085436">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5436" w14:paraId="6B9064BA" w14:textId="77777777">
        <w:tc>
          <w:tcPr>
            <w:tcW w:w="9638" w:type="dxa"/>
            <w:tcBorders>
              <w:top w:val="single" w:sz="6" w:space="0" w:color="B42318"/>
              <w:left w:val="single" w:sz="18" w:space="0" w:color="B42318"/>
              <w:bottom w:val="single" w:sz="6" w:space="0" w:color="B42318"/>
            </w:tcBorders>
            <w:shd w:val="clear" w:color="auto" w:fill="FFF0F0"/>
            <w:tcMar>
              <w:top w:w="100" w:type="dxa"/>
              <w:left w:w="180" w:type="dxa"/>
              <w:bottom w:w="100" w:type="dxa"/>
              <w:right w:w="180" w:type="dxa"/>
            </w:tcMar>
          </w:tcPr>
          <w:p w14:paraId="7C448432" w14:textId="77777777" w:rsidR="00085436" w:rsidRDefault="00085436">
            <w:pPr>
              <w:jc w:val="both"/>
            </w:pPr>
            <w:r>
              <w:rPr>
                <w:rFonts w:ascii="Calibri" w:eastAsia="Calibri" w:hAnsi="Calibri" w:cs="Calibri"/>
                <w:b/>
                <w:bCs/>
                <w:color w:val="B42318"/>
                <w:sz w:val="20"/>
                <w:szCs w:val="20"/>
              </w:rPr>
              <w:t>URGÊNCIA, prazo prescricional:</w:t>
            </w:r>
            <w:r>
              <w:rPr>
                <w:rFonts w:ascii="Calibri" w:eastAsia="Calibri" w:hAnsi="Calibri" w:cs="Calibri"/>
                <w:color w:val="051A3D"/>
                <w:sz w:val="20"/>
                <w:szCs w:val="20"/>
              </w:rPr>
              <w:t xml:space="preserve"> calcule o prazo a partir da data de conhecimento do fato pela autoridade competente ANTES de qualquer outra providência quando a conduta puder ser enquadrada como advertência. Se o prazo de 180 dias já tiver escoado, o processo não pode ser instaurado para este enquadramento.</w:t>
            </w:r>
          </w:p>
        </w:tc>
      </w:tr>
    </w:tbl>
    <w:p w14:paraId="1D75296F" w14:textId="77777777" w:rsidR="00085436" w:rsidRDefault="00085436">
      <w:pPr>
        <w:spacing w:before="120"/>
      </w:pPr>
    </w:p>
    <w:p w14:paraId="32C35686" w14:textId="77777777" w:rsidR="00085436" w:rsidRDefault="00085436">
      <w:pPr>
        <w:pStyle w:val="Ttulo3"/>
        <w:keepNext/>
      </w:pPr>
      <w:r>
        <w:rPr>
          <w:rFonts w:ascii="Calibri" w:eastAsia="Calibri" w:hAnsi="Calibri" w:cs="Calibri"/>
        </w:rPr>
        <w:t>O que fazer diante do risco de prescrição</w:t>
      </w:r>
    </w:p>
    <w:p w14:paraId="0ADB2C4C" w14:textId="77777777" w:rsidR="00085436" w:rsidRDefault="00085436">
      <w:pPr>
        <w:spacing w:after="120"/>
        <w:jc w:val="both"/>
      </w:pPr>
      <w:r>
        <w:rPr>
          <w:rFonts w:ascii="Calibri" w:eastAsia="Calibri" w:hAnsi="Calibri" w:cs="Calibri"/>
          <w:color w:val="051A3D"/>
          <w:sz w:val="22"/>
          <w:szCs w:val="22"/>
        </w:rPr>
        <w:t xml:space="preserve">Quando há risco de que o prazo de 180 dias já tenha escoado ou esteja prestes a escoar, examine com rigor se os fatos genuinamente suportam enquadramento como suspensão (art. 116, IX). O art. 129, *in fine*, da Lei nº 8.112, de 1990 permite aplicar suspensão quando o ato, pela sua natureza, justifica penalidade mais severa, </w:t>
      </w:r>
      <w:r>
        <w:rPr>
          <w:rFonts w:ascii="Calibri" w:eastAsia="Calibri" w:hAnsi="Calibri" w:cs="Calibri"/>
          <w:b/>
          <w:bCs/>
          <w:color w:val="051A3D"/>
          <w:sz w:val="22"/>
          <w:szCs w:val="22"/>
        </w:rPr>
        <w:t>não como conveniência prescricional</w:t>
      </w:r>
      <w:r>
        <w:rPr>
          <w:rFonts w:ascii="Calibri" w:eastAsia="Calibri" w:hAnsi="Calibri" w:cs="Calibri"/>
          <w:color w:val="051A3D"/>
          <w:sz w:val="22"/>
          <w:szCs w:val="22"/>
        </w:rPr>
        <w:t>, mas quando os elementos objetivos da conduta justificam a suspensão independentemente do risco de prescrição da advertência.</w:t>
      </w:r>
    </w:p>
    <w:p w14:paraId="153F1C61" w14:textId="77777777" w:rsidR="00085436" w:rsidRDefault="00085436">
      <w:pPr>
        <w:spacing w:after="120"/>
        <w:jc w:val="both"/>
      </w:pPr>
      <w:r>
        <w:rPr>
          <w:rFonts w:ascii="Calibri" w:eastAsia="Calibri" w:hAnsi="Calibri" w:cs="Calibri"/>
          <w:color w:val="051A3D"/>
          <w:sz w:val="22"/>
          <w:szCs w:val="22"/>
        </w:rPr>
        <w:t>Não use o art. 129, *in fine*, como mecanismo automático de fuga da prescrição. Se os fatos só suportam advertência e o prazo de 180 dias escoou, o resultado correto é o arquivamento por prescrição, não a conversão artificiosa em suspensão.</w:t>
      </w:r>
    </w:p>
    <w:p w14:paraId="313074A1" w14:textId="77777777" w:rsidR="00085436" w:rsidRDefault="00085436">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5436" w:rsidRPr="000C0DBA" w14:paraId="566F2B42"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2AF71197" w14:textId="77777777" w:rsidR="00085436" w:rsidRPr="000C0DBA" w:rsidRDefault="00085436">
            <w:pPr>
              <w:rPr>
                <w:rFonts w:eastAsia="Courier New" w:cs="Courier New"/>
                <w:color w:val="0B2C5F"/>
                <w:sz w:val="20"/>
                <w:szCs w:val="20"/>
              </w:rPr>
            </w:pPr>
            <w:r>
              <w:rPr>
                <w:rFonts w:eastAsia="Courier New" w:cs="Courier New"/>
                <w:color w:val="0B2C5F"/>
                <w:sz w:val="20"/>
                <w:szCs w:val="20"/>
              </w:rPr>
              <w:t xml:space="preserve">Resultado </w:t>
            </w:r>
            <w:proofErr w:type="gramStart"/>
            <w:r>
              <w:rPr>
                <w:rFonts w:eastAsia="Courier New" w:cs="Courier New"/>
                <w:color w:val="0B2C5F"/>
                <w:sz w:val="20"/>
                <w:szCs w:val="20"/>
              </w:rPr>
              <w:t>8 ,</w:t>
            </w:r>
            <w:proofErr w:type="gramEnd"/>
            <w:r>
              <w:rPr>
                <w:rFonts w:eastAsia="Courier New" w:cs="Courier New"/>
                <w:color w:val="0B2C5F"/>
                <w:sz w:val="20"/>
                <w:szCs w:val="20"/>
              </w:rPr>
              <w:t xml:space="preserve"> Ameaça leve:        180 dias a partir do conhecimento do fato</w:t>
            </w:r>
          </w:p>
          <w:p w14:paraId="636AA42C" w14:textId="77777777" w:rsidR="00085436" w:rsidRPr="000C0DBA" w:rsidRDefault="00085436">
            <w:pPr>
              <w:rPr>
                <w:rFonts w:eastAsia="Courier New" w:cs="Courier New"/>
                <w:color w:val="0B2C5F"/>
                <w:sz w:val="20"/>
                <w:szCs w:val="20"/>
              </w:rPr>
            </w:pPr>
            <w:r>
              <w:rPr>
                <w:rFonts w:eastAsia="Courier New" w:cs="Courier New"/>
                <w:color w:val="0B2C5F"/>
                <w:sz w:val="20"/>
                <w:szCs w:val="20"/>
              </w:rPr>
              <w:t>Resultado 30, Falta de urbanidade: 180 dias a partir do conhecimento do fato</w:t>
            </w:r>
          </w:p>
          <w:p w14:paraId="0D290F6B" w14:textId="77777777" w:rsidR="00085436" w:rsidRPr="000C0DBA" w:rsidRDefault="00085436">
            <w:pPr>
              <w:rPr>
                <w:rFonts w:eastAsia="Courier New" w:cs="Courier New"/>
                <w:color w:val="0B2C5F"/>
                <w:sz w:val="20"/>
                <w:szCs w:val="20"/>
              </w:rPr>
            </w:pPr>
            <w:r>
              <w:rPr>
                <w:rFonts w:eastAsia="Courier New" w:cs="Courier New"/>
                <w:color w:val="0B2C5F"/>
                <w:sz w:val="20"/>
                <w:szCs w:val="20"/>
              </w:rPr>
              <w:t xml:space="preserve">Demais resultados de adv./susp.:    2 </w:t>
            </w:r>
            <w:proofErr w:type="gramStart"/>
            <w:r>
              <w:rPr>
                <w:rFonts w:eastAsia="Courier New" w:cs="Courier New"/>
                <w:color w:val="0B2C5F"/>
                <w:sz w:val="20"/>
                <w:szCs w:val="20"/>
              </w:rPr>
              <w:t>anos  a</w:t>
            </w:r>
            <w:proofErr w:type="gramEnd"/>
            <w:r>
              <w:rPr>
                <w:rFonts w:eastAsia="Courier New" w:cs="Courier New"/>
                <w:color w:val="0B2C5F"/>
                <w:sz w:val="20"/>
                <w:szCs w:val="20"/>
              </w:rPr>
              <w:t xml:space="preserve"> partir do conhecimento do fato</w:t>
            </w:r>
          </w:p>
          <w:p w14:paraId="7B4130C4" w14:textId="77777777" w:rsidR="00085436" w:rsidRPr="000C0DBA" w:rsidRDefault="00085436">
            <w:pPr>
              <w:rPr>
                <w:rFonts w:eastAsia="Courier New" w:cs="Courier New"/>
                <w:color w:val="0B2C5F"/>
                <w:sz w:val="20"/>
                <w:szCs w:val="20"/>
              </w:rPr>
            </w:pPr>
            <w:r>
              <w:rPr>
                <w:rFonts w:eastAsia="Courier New" w:cs="Courier New"/>
                <w:color w:val="0B2C5F"/>
                <w:sz w:val="20"/>
                <w:szCs w:val="20"/>
              </w:rPr>
              <w:t xml:space="preserve">Resultados demissórios:             5 </w:t>
            </w:r>
            <w:proofErr w:type="gramStart"/>
            <w:r>
              <w:rPr>
                <w:rFonts w:eastAsia="Courier New" w:cs="Courier New"/>
                <w:color w:val="0B2C5F"/>
                <w:sz w:val="20"/>
                <w:szCs w:val="20"/>
              </w:rPr>
              <w:t>anos  a</w:t>
            </w:r>
            <w:proofErr w:type="gramEnd"/>
            <w:r>
              <w:rPr>
                <w:rFonts w:eastAsia="Courier New" w:cs="Courier New"/>
                <w:color w:val="0B2C5F"/>
                <w:sz w:val="20"/>
                <w:szCs w:val="20"/>
              </w:rPr>
              <w:t xml:space="preserve"> partir do conhecimento do fato</w:t>
            </w:r>
          </w:p>
          <w:p w14:paraId="0EF8D88D" w14:textId="77777777" w:rsidR="00085436" w:rsidRPr="000C0DBA" w:rsidRDefault="00085436">
            <w:pPr>
              <w:rPr>
                <w:rFonts w:eastAsia="Courier New" w:cs="Courier New"/>
                <w:color w:val="0B2C5F"/>
                <w:sz w:val="20"/>
                <w:szCs w:val="20"/>
              </w:rPr>
            </w:pPr>
          </w:p>
          <w:p w14:paraId="7B984ABF" w14:textId="77777777" w:rsidR="00085436" w:rsidRPr="000C0DBA" w:rsidRDefault="00085436">
            <w:pPr>
              <w:rPr>
                <w:rFonts w:eastAsia="Courier New" w:cs="Courier New"/>
                <w:color w:val="0B2C5F"/>
                <w:sz w:val="20"/>
                <w:szCs w:val="20"/>
              </w:rPr>
            </w:pPr>
            <w:r>
              <w:rPr>
                <w:rFonts w:eastAsia="Courier New" w:cs="Courier New"/>
                <w:color w:val="0B2C5F"/>
                <w:sz w:val="20"/>
                <w:szCs w:val="20"/>
              </w:rPr>
              <w:t>SEMPRE calcular antes de qualquer outro ato quando a conduta</w:t>
            </w:r>
          </w:p>
          <w:p w14:paraId="1C788410" w14:textId="77777777" w:rsidR="00085436" w:rsidRPr="000C0DBA" w:rsidRDefault="00085436">
            <w:pPr>
              <w:rPr>
                <w:rFonts w:eastAsia="Courier New" w:cs="Courier New"/>
                <w:color w:val="0B2C5F"/>
                <w:sz w:val="20"/>
                <w:szCs w:val="20"/>
              </w:rPr>
            </w:pPr>
            <w:r>
              <w:rPr>
                <w:rFonts w:eastAsia="Courier New" w:cs="Courier New"/>
                <w:color w:val="0B2C5F"/>
                <w:sz w:val="20"/>
                <w:szCs w:val="20"/>
              </w:rPr>
              <w:lastRenderedPageBreak/>
              <w:t>puder ser enquadrada como advertência.</w:t>
            </w:r>
          </w:p>
        </w:tc>
      </w:tr>
    </w:tbl>
    <w:p w14:paraId="01DB6DD4" w14:textId="77777777" w:rsidR="00085436" w:rsidRDefault="00085436">
      <w:pPr>
        <w:pBdr>
          <w:bottom w:val="single" w:sz="4" w:space="1" w:color="C9A35C"/>
        </w:pBdr>
        <w:spacing w:before="200" w:after="200"/>
      </w:pPr>
    </w:p>
    <w:p w14:paraId="5A11123D" w14:textId="77777777" w:rsidR="00085436" w:rsidRDefault="00085436">
      <w:pPr>
        <w:pStyle w:val="Ttulo2"/>
        <w:keepNext/>
        <w:pBdr>
          <w:left w:val="single" w:sz="10" w:space="6" w:color="C9A35C"/>
        </w:pBdr>
      </w:pPr>
      <w:bookmarkStart w:id="204" w:name="_Toc238022193"/>
      <w:r>
        <w:t>21.4 Cumulatividade de enquadramentos</w:t>
      </w:r>
      <w:bookmarkEnd w:id="204"/>
    </w:p>
    <w:p w14:paraId="5BF59F27" w14:textId="77777777" w:rsidR="00085436" w:rsidRDefault="00085436">
      <w:pPr>
        <w:spacing w:after="120"/>
        <w:jc w:val="both"/>
      </w:pPr>
      <w:r>
        <w:rPr>
          <w:rFonts w:ascii="Calibri" w:eastAsia="Calibri" w:hAnsi="Calibri" w:cs="Calibri"/>
          <w:color w:val="051A3D"/>
          <w:sz w:val="22"/>
          <w:szCs w:val="22"/>
        </w:rPr>
        <w:t>A ferramenta analisa um eixo de cada vez, mas a mesma conduta pode satisfazer os elementos de dois eixos simultaneamente. Quando isso ocorre, ambos os enquadramentos devem constar do relatório. A penalidade mais grave prevalece; a menos grave compõe o quadro fático para fundamentar a dosimetria.</w:t>
      </w:r>
    </w:p>
    <w:p w14:paraId="78E788B6" w14:textId="77777777" w:rsidR="00085436" w:rsidRDefault="00085436">
      <w:pPr>
        <w:spacing w:after="120"/>
        <w:jc w:val="both"/>
      </w:pPr>
      <w:r>
        <w:rPr>
          <w:rFonts w:ascii="Calibri" w:eastAsia="Calibri" w:hAnsi="Calibri" w:cs="Calibri"/>
          <w:color w:val="051A3D"/>
          <w:sz w:val="22"/>
          <w:szCs w:val="22"/>
        </w:rPr>
        <w:t>A cumulatividade não viola o princípio de *non bis in idem* quando cada eixo tutela bem jurídico distinto ou quando a conduta satisfaz, de forma autônoma, os elementos constitutivos de cada tipo. O relatório deve demonstrar, para cada eixo, os elementos que fundamentam aquele enquadramento, sem se limitar a remeter ao outro.</w:t>
      </w:r>
    </w:p>
    <w:p w14:paraId="65749D62" w14:textId="77777777" w:rsidR="00085436" w:rsidRDefault="00085436">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7"/>
        <w:gridCol w:w="5591"/>
      </w:tblGrid>
      <w:tr w:rsidR="00085436" w14:paraId="04224F45" w14:textId="77777777">
        <w:trPr>
          <w:tblHeader/>
        </w:trPr>
        <w:tc>
          <w:tcPr>
            <w:tcW w:w="4047" w:type="dxa"/>
            <w:tcBorders>
              <w:top w:val="single" w:sz="4" w:space="0" w:color="C9A35C"/>
              <w:left w:val="single" w:sz="2" w:space="0" w:color="C9A35C"/>
              <w:bottom w:val="single" w:sz="4" w:space="0" w:color="C9A35C"/>
              <w:right w:val="single" w:sz="2" w:space="0" w:color="C9A35C"/>
            </w:tcBorders>
            <w:shd w:val="clear" w:color="auto" w:fill="0B2C5F"/>
            <w:tcMar>
              <w:top w:w="80" w:type="dxa"/>
              <w:left w:w="120" w:type="dxa"/>
              <w:bottom w:w="80" w:type="dxa"/>
              <w:right w:w="120" w:type="dxa"/>
            </w:tcMar>
            <w:vAlign w:val="center"/>
          </w:tcPr>
          <w:p w14:paraId="45C6AEC3" w14:textId="77777777" w:rsidR="00085436" w:rsidRDefault="00085436">
            <w:pPr>
              <w:jc w:val="center"/>
            </w:pPr>
            <w:r>
              <w:rPr>
                <w:rFonts w:ascii="Barlow Condensed" w:eastAsia="Barlow Condensed" w:hAnsi="Barlow Condensed" w:cs="Barlow Condensed"/>
                <w:b/>
                <w:bCs/>
                <w:color w:val="FFFFFF"/>
                <w:sz w:val="18"/>
                <w:szCs w:val="18"/>
              </w:rPr>
              <w:t>Par de eixos</w:t>
            </w:r>
          </w:p>
        </w:tc>
        <w:tc>
          <w:tcPr>
            <w:tcW w:w="5591" w:type="dxa"/>
            <w:tcBorders>
              <w:top w:val="single" w:sz="4" w:space="0" w:color="C9A35C"/>
              <w:left w:val="single" w:sz="2" w:space="0" w:color="C9A35C"/>
              <w:bottom w:val="single" w:sz="4" w:space="0" w:color="C9A35C"/>
              <w:right w:val="single" w:sz="2" w:space="0" w:color="C9A35C"/>
            </w:tcBorders>
            <w:shd w:val="clear" w:color="auto" w:fill="0B2C5F"/>
            <w:tcMar>
              <w:top w:w="80" w:type="dxa"/>
              <w:left w:w="120" w:type="dxa"/>
              <w:bottom w:w="80" w:type="dxa"/>
              <w:right w:w="120" w:type="dxa"/>
            </w:tcMar>
            <w:vAlign w:val="center"/>
          </w:tcPr>
          <w:p w14:paraId="722B59D6" w14:textId="77777777" w:rsidR="00085436" w:rsidRDefault="00085436">
            <w:pPr>
              <w:jc w:val="center"/>
            </w:pPr>
            <w:r>
              <w:rPr>
                <w:rFonts w:ascii="Barlow Condensed" w:eastAsia="Barlow Condensed" w:hAnsi="Barlow Condensed" w:cs="Barlow Condensed"/>
                <w:b/>
                <w:bCs/>
                <w:color w:val="FFFFFF"/>
                <w:sz w:val="18"/>
                <w:szCs w:val="18"/>
              </w:rPr>
              <w:t>Alerta de cumulatividade</w:t>
            </w:r>
          </w:p>
        </w:tc>
      </w:tr>
      <w:tr w:rsidR="00085436" w14:paraId="58CFB824" w14:textId="77777777">
        <w:tc>
          <w:tcPr>
            <w:tcW w:w="4047" w:type="dxa"/>
            <w:tcBorders>
              <w:top w:val="single" w:sz="2" w:space="0" w:color="D0D9E8"/>
              <w:left w:val="single" w:sz="2" w:space="0" w:color="D0D9E8"/>
              <w:bottom w:val="single" w:sz="2" w:space="0" w:color="D0D9E8"/>
              <w:right w:val="single" w:sz="2" w:space="0" w:color="D0D9E8"/>
            </w:tcBorders>
            <w:shd w:val="clear" w:color="auto" w:fill="F7F9FC"/>
            <w:tcMar>
              <w:top w:w="70" w:type="dxa"/>
              <w:left w:w="120" w:type="dxa"/>
              <w:bottom w:w="70" w:type="dxa"/>
              <w:right w:w="120" w:type="dxa"/>
            </w:tcMar>
            <w:vAlign w:val="center"/>
          </w:tcPr>
          <w:p w14:paraId="3347CC87" w14:textId="77777777" w:rsidR="00085436" w:rsidRDefault="00085436">
            <w:r>
              <w:rPr>
                <w:rFonts w:ascii="Calibri" w:eastAsia="Calibri" w:hAnsi="Calibri" w:cs="Calibri"/>
                <w:b/>
                <w:bCs/>
                <w:color w:val="0B2C5F"/>
              </w:rPr>
              <w:t>Eixo 5 (Assédio Moral) + Eixo 4 (Discriminação)</w:t>
            </w:r>
          </w:p>
        </w:tc>
        <w:tc>
          <w:tcPr>
            <w:tcW w:w="5591" w:type="dxa"/>
            <w:tcBorders>
              <w:top w:val="single" w:sz="2" w:space="0" w:color="D0D9E8"/>
              <w:left w:val="single" w:sz="2" w:space="0" w:color="D0D9E8"/>
              <w:bottom w:val="single" w:sz="2" w:space="0" w:color="D0D9E8"/>
              <w:right w:val="single" w:sz="2" w:space="0" w:color="D0D9E8"/>
            </w:tcBorders>
            <w:shd w:val="clear" w:color="auto" w:fill="F7F9FC"/>
            <w:tcMar>
              <w:top w:w="70" w:type="dxa"/>
              <w:left w:w="120" w:type="dxa"/>
              <w:bottom w:w="70" w:type="dxa"/>
              <w:right w:w="120" w:type="dxa"/>
            </w:tcMar>
            <w:vAlign w:val="center"/>
          </w:tcPr>
          <w:p w14:paraId="647E354D" w14:textId="77777777" w:rsidR="00085436" w:rsidRDefault="00085436">
            <w:pPr>
              <w:jc w:val="both"/>
            </w:pPr>
            <w:r>
              <w:rPr>
                <w:rFonts w:ascii="Calibri" w:eastAsia="Calibri" w:hAnsi="Calibri" w:cs="Calibri"/>
                <w:color w:val="051A3D"/>
                <w:sz w:val="18"/>
                <w:szCs w:val="18"/>
              </w:rPr>
              <w:t>Assédio moral discriminatório, a escolha da vítima por característica protegida qualifica o assédio e exige análise bidirecional. Percorrer o Eixo 5 e, a seguir, o Eixo 4.</w:t>
            </w:r>
          </w:p>
        </w:tc>
      </w:tr>
      <w:tr w:rsidR="00085436" w14:paraId="3556C7FA" w14:textId="77777777">
        <w:tc>
          <w:tcPr>
            <w:tcW w:w="4047" w:type="dxa"/>
            <w:tcBorders>
              <w:top w:val="single" w:sz="2" w:space="0" w:color="D0D9E8"/>
              <w:left w:val="single" w:sz="2" w:space="0" w:color="D0D9E8"/>
              <w:bottom w:val="single" w:sz="2" w:space="0" w:color="D0D9E8"/>
              <w:right w:val="single" w:sz="2" w:space="0" w:color="D0D9E8"/>
            </w:tcBorders>
            <w:shd w:val="clear" w:color="auto" w:fill="FFFFFF"/>
            <w:tcMar>
              <w:top w:w="70" w:type="dxa"/>
              <w:left w:w="120" w:type="dxa"/>
              <w:bottom w:w="70" w:type="dxa"/>
              <w:right w:w="120" w:type="dxa"/>
            </w:tcMar>
            <w:vAlign w:val="center"/>
          </w:tcPr>
          <w:p w14:paraId="33D82FDF" w14:textId="77777777" w:rsidR="00085436" w:rsidRDefault="00085436">
            <w:r>
              <w:rPr>
                <w:rFonts w:ascii="Calibri" w:eastAsia="Calibri" w:hAnsi="Calibri" w:cs="Calibri"/>
                <w:b/>
                <w:bCs/>
                <w:color w:val="0B2C5F"/>
              </w:rPr>
              <w:t>Eixo 6 (Retaliação) + Eixo 5 (Assédio Moral)</w:t>
            </w:r>
          </w:p>
        </w:tc>
        <w:tc>
          <w:tcPr>
            <w:tcW w:w="5591" w:type="dxa"/>
            <w:tcBorders>
              <w:top w:val="single" w:sz="2" w:space="0" w:color="D0D9E8"/>
              <w:left w:val="single" w:sz="2" w:space="0" w:color="D0D9E8"/>
              <w:bottom w:val="single" w:sz="2" w:space="0" w:color="D0D9E8"/>
              <w:right w:val="single" w:sz="2" w:space="0" w:color="D0D9E8"/>
            </w:tcBorders>
            <w:shd w:val="clear" w:color="auto" w:fill="FFFFFF"/>
            <w:tcMar>
              <w:top w:w="70" w:type="dxa"/>
              <w:left w:w="120" w:type="dxa"/>
              <w:bottom w:w="70" w:type="dxa"/>
              <w:right w:w="120" w:type="dxa"/>
            </w:tcMar>
            <w:vAlign w:val="center"/>
          </w:tcPr>
          <w:p w14:paraId="07B13BFB" w14:textId="77777777" w:rsidR="00085436" w:rsidRDefault="00085436">
            <w:pPr>
              <w:jc w:val="both"/>
            </w:pPr>
            <w:r>
              <w:rPr>
                <w:rFonts w:ascii="Calibri" w:eastAsia="Calibri" w:hAnsi="Calibri" w:cs="Calibri"/>
                <w:color w:val="051A3D"/>
                <w:sz w:val="18"/>
                <w:szCs w:val="18"/>
              </w:rPr>
              <w:t xml:space="preserve">Represália ao denunciante que assume forma de padrão reiterado de condutas hostis, retaliação e assédio coexistem quando o nexo causal com o ato protegido e o padrão reiterado estão </w:t>
            </w:r>
            <w:proofErr w:type="gramStart"/>
            <w:r>
              <w:rPr>
                <w:rFonts w:ascii="Calibri" w:eastAsia="Calibri" w:hAnsi="Calibri" w:cs="Calibri"/>
                <w:color w:val="051A3D"/>
                <w:sz w:val="18"/>
                <w:szCs w:val="18"/>
              </w:rPr>
              <w:t>ambos presentes</w:t>
            </w:r>
            <w:proofErr w:type="gramEnd"/>
            <w:r>
              <w:rPr>
                <w:rFonts w:ascii="Calibri" w:eastAsia="Calibri" w:hAnsi="Calibri" w:cs="Calibri"/>
                <w:color w:val="051A3D"/>
                <w:sz w:val="18"/>
                <w:szCs w:val="18"/>
              </w:rPr>
              <w:t>.</w:t>
            </w:r>
          </w:p>
        </w:tc>
      </w:tr>
      <w:tr w:rsidR="00085436" w14:paraId="78FCC868" w14:textId="77777777">
        <w:tc>
          <w:tcPr>
            <w:tcW w:w="4047" w:type="dxa"/>
            <w:tcBorders>
              <w:top w:val="single" w:sz="2" w:space="0" w:color="D0D9E8"/>
              <w:left w:val="single" w:sz="2" w:space="0" w:color="D0D9E8"/>
              <w:bottom w:val="single" w:sz="2" w:space="0" w:color="D0D9E8"/>
              <w:right w:val="single" w:sz="2" w:space="0" w:color="D0D9E8"/>
            </w:tcBorders>
            <w:shd w:val="clear" w:color="auto" w:fill="F7F9FC"/>
            <w:tcMar>
              <w:top w:w="70" w:type="dxa"/>
              <w:left w:w="120" w:type="dxa"/>
              <w:bottom w:w="70" w:type="dxa"/>
              <w:right w:w="120" w:type="dxa"/>
            </w:tcMar>
            <w:vAlign w:val="center"/>
          </w:tcPr>
          <w:p w14:paraId="5D4299B6" w14:textId="77777777" w:rsidR="00085436" w:rsidRDefault="00085436">
            <w:r>
              <w:rPr>
                <w:rFonts w:ascii="Calibri" w:eastAsia="Calibri" w:hAnsi="Calibri" w:cs="Calibri"/>
                <w:b/>
                <w:bCs/>
                <w:color w:val="0B2C5F"/>
              </w:rPr>
              <w:t>Eixo 7 (Violência Verbal) + Eixo 5 (Assédio Moral)</w:t>
            </w:r>
          </w:p>
        </w:tc>
        <w:tc>
          <w:tcPr>
            <w:tcW w:w="5591" w:type="dxa"/>
            <w:tcBorders>
              <w:top w:val="single" w:sz="2" w:space="0" w:color="D0D9E8"/>
              <w:left w:val="single" w:sz="2" w:space="0" w:color="D0D9E8"/>
              <w:bottom w:val="single" w:sz="2" w:space="0" w:color="D0D9E8"/>
              <w:right w:val="single" w:sz="2" w:space="0" w:color="D0D9E8"/>
            </w:tcBorders>
            <w:shd w:val="clear" w:color="auto" w:fill="F7F9FC"/>
            <w:tcMar>
              <w:top w:w="70" w:type="dxa"/>
              <w:left w:w="120" w:type="dxa"/>
              <w:bottom w:w="70" w:type="dxa"/>
              <w:right w:w="120" w:type="dxa"/>
            </w:tcMar>
            <w:vAlign w:val="center"/>
          </w:tcPr>
          <w:p w14:paraId="5F0FB76D" w14:textId="77777777" w:rsidR="00085436" w:rsidRDefault="00085436">
            <w:pPr>
              <w:jc w:val="both"/>
            </w:pPr>
            <w:r>
              <w:rPr>
                <w:rFonts w:ascii="Calibri" w:eastAsia="Calibri" w:hAnsi="Calibri" w:cs="Calibri"/>
                <w:color w:val="051A3D"/>
                <w:sz w:val="18"/>
                <w:szCs w:val="18"/>
              </w:rPr>
              <w:t>Ofensa verbal inserida em padrão reiterado, o episódio isolado é Eixo 7; o padrão reiterado exige análise complementar pelo Eixo 5.</w:t>
            </w:r>
          </w:p>
        </w:tc>
      </w:tr>
      <w:tr w:rsidR="00085436" w14:paraId="79D720A2" w14:textId="77777777">
        <w:tc>
          <w:tcPr>
            <w:tcW w:w="4047" w:type="dxa"/>
            <w:tcBorders>
              <w:top w:val="single" w:sz="2" w:space="0" w:color="D0D9E8"/>
              <w:left w:val="single" w:sz="2" w:space="0" w:color="D0D9E8"/>
              <w:bottom w:val="single" w:sz="2" w:space="0" w:color="D0D9E8"/>
              <w:right w:val="single" w:sz="2" w:space="0" w:color="D0D9E8"/>
            </w:tcBorders>
            <w:shd w:val="clear" w:color="auto" w:fill="FFFFFF"/>
            <w:tcMar>
              <w:top w:w="70" w:type="dxa"/>
              <w:left w:w="120" w:type="dxa"/>
              <w:bottom w:w="70" w:type="dxa"/>
              <w:right w:w="120" w:type="dxa"/>
            </w:tcMar>
            <w:vAlign w:val="center"/>
          </w:tcPr>
          <w:p w14:paraId="14A128A2" w14:textId="77777777" w:rsidR="00085436" w:rsidRDefault="00085436">
            <w:r>
              <w:rPr>
                <w:rFonts w:ascii="Calibri" w:eastAsia="Calibri" w:hAnsi="Calibri" w:cs="Calibri"/>
                <w:b/>
                <w:bCs/>
                <w:color w:val="0B2C5F"/>
              </w:rPr>
              <w:t>Eixo 8 (Stalking) + Eixo 5 (Assédio Moral)</w:t>
            </w:r>
          </w:p>
        </w:tc>
        <w:tc>
          <w:tcPr>
            <w:tcW w:w="5591" w:type="dxa"/>
            <w:tcBorders>
              <w:top w:val="single" w:sz="2" w:space="0" w:color="D0D9E8"/>
              <w:left w:val="single" w:sz="2" w:space="0" w:color="D0D9E8"/>
              <w:bottom w:val="single" w:sz="2" w:space="0" w:color="D0D9E8"/>
              <w:right w:val="single" w:sz="2" w:space="0" w:color="D0D9E8"/>
            </w:tcBorders>
            <w:shd w:val="clear" w:color="auto" w:fill="FFFFFF"/>
            <w:tcMar>
              <w:top w:w="70" w:type="dxa"/>
              <w:left w:w="120" w:type="dxa"/>
              <w:bottom w:w="70" w:type="dxa"/>
              <w:right w:w="120" w:type="dxa"/>
            </w:tcMar>
            <w:vAlign w:val="center"/>
          </w:tcPr>
          <w:p w14:paraId="05A0833B" w14:textId="77777777" w:rsidR="00085436" w:rsidRDefault="00085436">
            <w:pPr>
              <w:jc w:val="both"/>
            </w:pPr>
            <w:r>
              <w:rPr>
                <w:rFonts w:ascii="Calibri" w:eastAsia="Calibri" w:hAnsi="Calibri" w:cs="Calibri"/>
                <w:color w:val="051A3D"/>
                <w:sz w:val="18"/>
                <w:szCs w:val="18"/>
              </w:rPr>
              <w:t>Perseguição sistemática com impacto psicológico documentável, concluir o Eixo 8 e avaliar o Eixo 5 quando há laudo, afastamento ou comprometimento funcional documentado.</w:t>
            </w:r>
          </w:p>
        </w:tc>
      </w:tr>
      <w:tr w:rsidR="00085436" w14:paraId="70DB7992" w14:textId="77777777">
        <w:tc>
          <w:tcPr>
            <w:tcW w:w="4047" w:type="dxa"/>
            <w:tcBorders>
              <w:top w:val="single" w:sz="2" w:space="0" w:color="D0D9E8"/>
              <w:left w:val="single" w:sz="2" w:space="0" w:color="D0D9E8"/>
              <w:bottom w:val="single" w:sz="2" w:space="0" w:color="D0D9E8"/>
              <w:right w:val="single" w:sz="2" w:space="0" w:color="D0D9E8"/>
            </w:tcBorders>
            <w:shd w:val="clear" w:color="auto" w:fill="F7F9FC"/>
            <w:tcMar>
              <w:top w:w="70" w:type="dxa"/>
              <w:left w:w="120" w:type="dxa"/>
              <w:bottom w:w="70" w:type="dxa"/>
              <w:right w:w="120" w:type="dxa"/>
            </w:tcMar>
            <w:vAlign w:val="center"/>
          </w:tcPr>
          <w:p w14:paraId="4D0BDB84" w14:textId="77777777" w:rsidR="00085436" w:rsidRDefault="00085436">
            <w:r>
              <w:rPr>
                <w:rFonts w:ascii="Calibri" w:eastAsia="Calibri" w:hAnsi="Calibri" w:cs="Calibri"/>
                <w:b/>
                <w:bCs/>
                <w:color w:val="0B2C5F"/>
              </w:rPr>
              <w:t>Eixo 3 (Assédio Sexual) + Eixo 5 (Assédio Moral)</w:t>
            </w:r>
          </w:p>
        </w:tc>
        <w:tc>
          <w:tcPr>
            <w:tcW w:w="5591" w:type="dxa"/>
            <w:tcBorders>
              <w:top w:val="single" w:sz="2" w:space="0" w:color="D0D9E8"/>
              <w:left w:val="single" w:sz="2" w:space="0" w:color="D0D9E8"/>
              <w:bottom w:val="single" w:sz="2" w:space="0" w:color="D0D9E8"/>
              <w:right w:val="single" w:sz="2" w:space="0" w:color="D0D9E8"/>
            </w:tcBorders>
            <w:shd w:val="clear" w:color="auto" w:fill="F7F9FC"/>
            <w:tcMar>
              <w:top w:w="70" w:type="dxa"/>
              <w:left w:w="120" w:type="dxa"/>
              <w:bottom w:w="70" w:type="dxa"/>
              <w:right w:w="120" w:type="dxa"/>
            </w:tcMar>
            <w:vAlign w:val="center"/>
          </w:tcPr>
          <w:p w14:paraId="5AF129BF" w14:textId="77777777" w:rsidR="00085436" w:rsidRDefault="00085436">
            <w:pPr>
              <w:jc w:val="both"/>
            </w:pPr>
            <w:r>
              <w:rPr>
                <w:rFonts w:ascii="Calibri" w:eastAsia="Calibri" w:hAnsi="Calibri" w:cs="Calibri"/>
                <w:color w:val="051A3D"/>
                <w:sz w:val="18"/>
                <w:szCs w:val="18"/>
              </w:rPr>
              <w:t>Conduta sexual inserida em padrão reiterado de condutas hostis, o conteúdo sexual justifica o Eixo 3; o padrão reiterado pode justificar o Eixo 5 de forma autônoma.</w:t>
            </w:r>
          </w:p>
        </w:tc>
      </w:tr>
      <w:tr w:rsidR="00085436" w14:paraId="01B29C9E" w14:textId="77777777">
        <w:tc>
          <w:tcPr>
            <w:tcW w:w="4047" w:type="dxa"/>
            <w:tcBorders>
              <w:top w:val="single" w:sz="2" w:space="0" w:color="D0D9E8"/>
              <w:left w:val="single" w:sz="2" w:space="0" w:color="D0D9E8"/>
              <w:bottom w:val="single" w:sz="2" w:space="0" w:color="D0D9E8"/>
              <w:right w:val="single" w:sz="2" w:space="0" w:color="D0D9E8"/>
            </w:tcBorders>
            <w:shd w:val="clear" w:color="auto" w:fill="FFFFFF"/>
            <w:tcMar>
              <w:top w:w="70" w:type="dxa"/>
              <w:left w:w="120" w:type="dxa"/>
              <w:bottom w:w="70" w:type="dxa"/>
              <w:right w:w="120" w:type="dxa"/>
            </w:tcMar>
            <w:vAlign w:val="center"/>
          </w:tcPr>
          <w:p w14:paraId="2ED3D98A" w14:textId="77777777" w:rsidR="00085436" w:rsidRDefault="00085436">
            <w:r>
              <w:rPr>
                <w:rFonts w:ascii="Calibri" w:eastAsia="Calibri" w:hAnsi="Calibri" w:cs="Calibri"/>
                <w:b/>
                <w:bCs/>
                <w:color w:val="0B2C5F"/>
              </w:rPr>
              <w:t>Eixo 4 (Discriminação) + Eixo 7 (Violência Verbal)</w:t>
            </w:r>
          </w:p>
        </w:tc>
        <w:tc>
          <w:tcPr>
            <w:tcW w:w="5591" w:type="dxa"/>
            <w:tcBorders>
              <w:top w:val="single" w:sz="2" w:space="0" w:color="D0D9E8"/>
              <w:left w:val="single" w:sz="2" w:space="0" w:color="D0D9E8"/>
              <w:bottom w:val="single" w:sz="2" w:space="0" w:color="D0D9E8"/>
              <w:right w:val="single" w:sz="2" w:space="0" w:color="D0D9E8"/>
            </w:tcBorders>
            <w:shd w:val="clear" w:color="auto" w:fill="FFFFFF"/>
            <w:tcMar>
              <w:top w:w="70" w:type="dxa"/>
              <w:left w:w="120" w:type="dxa"/>
              <w:bottom w:w="70" w:type="dxa"/>
              <w:right w:w="120" w:type="dxa"/>
            </w:tcMar>
            <w:vAlign w:val="center"/>
          </w:tcPr>
          <w:p w14:paraId="104D5495" w14:textId="77777777" w:rsidR="00085436" w:rsidRDefault="00085436">
            <w:pPr>
              <w:jc w:val="both"/>
            </w:pPr>
            <w:r>
              <w:rPr>
                <w:rFonts w:ascii="Calibri" w:eastAsia="Calibri" w:hAnsi="Calibri" w:cs="Calibri"/>
                <w:color w:val="051A3D"/>
                <w:sz w:val="18"/>
                <w:szCs w:val="18"/>
              </w:rPr>
              <w:t>Ofensa verbal com motivação discriminatória, o Eixo 7 redireciona para o Eixo 4 em P3. Se há padrão reiterado de ofensas discriminatórias, analisar também o Eixo 5.</w:t>
            </w:r>
          </w:p>
        </w:tc>
      </w:tr>
    </w:tbl>
    <w:p w14:paraId="3C2F0DA0" w14:textId="77777777" w:rsidR="00085436" w:rsidRDefault="00085436">
      <w:pPr>
        <w:pBdr>
          <w:bottom w:val="single" w:sz="4" w:space="1" w:color="C9A35C"/>
        </w:pBdr>
        <w:spacing w:before="200" w:after="200"/>
      </w:pPr>
    </w:p>
    <w:p w14:paraId="742A7DC1" w14:textId="77777777" w:rsidR="00085436" w:rsidRDefault="00085436">
      <w:pPr>
        <w:pStyle w:val="Ttulo2"/>
        <w:keepNext/>
        <w:pBdr>
          <w:left w:val="single" w:sz="10" w:space="6" w:color="C9A35C"/>
        </w:pBdr>
      </w:pPr>
      <w:bookmarkStart w:id="205" w:name="_Toc238022194"/>
      <w:r>
        <w:t>21.5 O gate demissório não é garantia</w:t>
      </w:r>
      <w:bookmarkEnd w:id="205"/>
    </w:p>
    <w:p w14:paraId="1D2742A9" w14:textId="77777777" w:rsidR="00085436" w:rsidRDefault="00085436">
      <w:pPr>
        <w:spacing w:after="120"/>
        <w:jc w:val="both"/>
      </w:pPr>
      <w:r>
        <w:rPr>
          <w:rFonts w:ascii="Calibri" w:eastAsia="Calibri" w:hAnsi="Calibri" w:cs="Calibri"/>
          <w:color w:val="051A3D"/>
          <w:sz w:val="22"/>
          <w:szCs w:val="22"/>
        </w:rPr>
        <w:t>O gate de confirmação demissória é uma pausa reflexiva, não uma validação técnica e não uma garantia de que a demissão é juridicamente sustentável. O gate verifica se os elementos constitutivos do tipo estão demonstrados nos autos. Essa verificação é feita pelo operador, não pelo sistema.</w:t>
      </w:r>
    </w:p>
    <w:p w14:paraId="06351674" w14:textId="77777777" w:rsidR="00085436" w:rsidRDefault="00085436">
      <w:pPr>
        <w:spacing w:after="120"/>
        <w:jc w:val="both"/>
      </w:pPr>
      <w:r>
        <w:rPr>
          <w:rFonts w:ascii="Calibri" w:eastAsia="Calibri" w:hAnsi="Calibri" w:cs="Calibri"/>
          <w:color w:val="051A3D"/>
          <w:sz w:val="22"/>
          <w:szCs w:val="22"/>
        </w:rPr>
        <w:lastRenderedPageBreak/>
        <w:t>Os erros mais comuns na passagem pelo gate são: (a) presumir um elemento não demonstrado, afirmar que o nexo funcional está presente sem que haja prova documental de que o servidor estava em serviço; (b) confundir indício com prova, depoimento isolado, sem corroboração, como único fundamento para elemento essencial do tipo; (c) ignorar contraindícios, afirmar o uso do cargo sem verificar se há explicação alternativa para a presença do agressor no local; (d) não registrar nos autos os fundamentos da confirmação, o gate que não deixa rastro é tão frágil quanto o que não foi feito.</w:t>
      </w:r>
    </w:p>
    <w:p w14:paraId="3DAB1770" w14:textId="77777777" w:rsidR="00085436" w:rsidRDefault="00085436">
      <w:pPr>
        <w:spacing w:after="120"/>
        <w:jc w:val="both"/>
      </w:pPr>
      <w:r>
        <w:rPr>
          <w:rFonts w:ascii="Calibri" w:eastAsia="Calibri" w:hAnsi="Calibri" w:cs="Calibri"/>
          <w:color w:val="051A3D"/>
          <w:sz w:val="22"/>
          <w:szCs w:val="22"/>
        </w:rPr>
        <w:t>A confirmação no gate deve ser documentada nos autos com: identificação do elemento verificado, indicação da prova que o demonstra e referência ao trecho do capítulo do eixo que fundamenta a conclusão.</w:t>
      </w:r>
    </w:p>
    <w:p w14:paraId="67AEFF79" w14:textId="77777777" w:rsidR="00085436" w:rsidRDefault="00085436">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5436" w14:paraId="6D460806"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3F8BB25A" w14:textId="77777777" w:rsidR="00085436" w:rsidRDefault="00085436">
            <w:pPr>
              <w:jc w:val="both"/>
            </w:pPr>
            <w:r>
              <w:rPr>
                <w:rFonts w:ascii="Calibri" w:eastAsia="Calibri" w:hAnsi="Calibri" w:cs="Calibri"/>
                <w:b/>
                <w:bCs/>
                <w:color w:val="0B2C5F"/>
                <w:sz w:val="20"/>
                <w:szCs w:val="20"/>
              </w:rPr>
              <w:t>Alerta, gate como filtro, não como formalidade:</w:t>
            </w:r>
            <w:r>
              <w:rPr>
                <w:rFonts w:ascii="Calibri" w:eastAsia="Calibri" w:hAnsi="Calibri" w:cs="Calibri"/>
                <w:color w:val="051A3D"/>
                <w:sz w:val="20"/>
                <w:szCs w:val="20"/>
              </w:rPr>
              <w:t xml:space="preserve"> quando os elementos do tipo não estiverem todos demonstrados nos autos após a passagem pelo gate, o resultado correto é o enquadramento no resultado de menor gravidade do mesmo eixo, não a confirmação forçada da demissão. A demissão sem fundamentação robusta é ato sujeito a anulação pelo Poder Judiciário.</w:t>
            </w:r>
          </w:p>
        </w:tc>
      </w:tr>
    </w:tbl>
    <w:p w14:paraId="32AECC83" w14:textId="77777777" w:rsidR="00085436" w:rsidRDefault="00085436">
      <w:pPr>
        <w:pBdr>
          <w:bottom w:val="single" w:sz="4" w:space="1" w:color="C9A35C"/>
        </w:pBdr>
        <w:spacing w:before="200" w:after="200"/>
      </w:pPr>
    </w:p>
    <w:p w14:paraId="76E87AA7" w14:textId="77777777" w:rsidR="00085436" w:rsidRDefault="00085436">
      <w:pPr>
        <w:pStyle w:val="Ttulo2"/>
        <w:keepNext/>
        <w:pBdr>
          <w:left w:val="single" w:sz="10" w:space="6" w:color="C9A35C"/>
        </w:pBdr>
      </w:pPr>
      <w:bookmarkStart w:id="206" w:name="_Toc238022195"/>
      <w:r>
        <w:t>21.6 Retomada de sessão e integridade da análise</w:t>
      </w:r>
      <w:bookmarkEnd w:id="206"/>
    </w:p>
    <w:p w14:paraId="4FB65A4B" w14:textId="77777777" w:rsidR="00085436" w:rsidRDefault="00085436">
      <w:pPr>
        <w:spacing w:after="120"/>
        <w:jc w:val="both"/>
      </w:pPr>
      <w:r>
        <w:rPr>
          <w:rFonts w:ascii="Calibri" w:eastAsia="Calibri" w:hAnsi="Calibri" w:cs="Calibri"/>
          <w:color w:val="051A3D"/>
          <w:sz w:val="22"/>
          <w:szCs w:val="22"/>
        </w:rPr>
        <w:t>A ferramenta permite retomar sessões interrompidas. Ao retomar uma sessão, verifique sempre:</w:t>
      </w:r>
    </w:p>
    <w:p w14:paraId="21B2D261"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Os fatos representados ao sistema ainda são os mesmos, não houve nova prova ou nova declaração relevante que altere alguma resposta já dada.</w:t>
      </w:r>
    </w:p>
    <w:p w14:paraId="643D92A0"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O eixo selecionado ainda é o correto, a compreensão da natureza da conduta pode mudar durante a instrução.</w:t>
      </w:r>
    </w:p>
    <w:p w14:paraId="292EF797"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As respostas anteriores foram dadas com base em fatos, não em intuição ou em pressão de tempo, se houver dúvida sobre qualquer resposta anterior, reinicie o percurso daquele eixo.</w:t>
      </w:r>
    </w:p>
    <w:p w14:paraId="09DD322D" w14:textId="77777777" w:rsidR="00085436" w:rsidRDefault="00085436">
      <w:pPr>
        <w:spacing w:after="120"/>
        <w:jc w:val="both"/>
      </w:pPr>
      <w:r>
        <w:rPr>
          <w:rFonts w:ascii="Calibri" w:eastAsia="Calibri" w:hAnsi="Calibri" w:cs="Calibri"/>
          <w:color w:val="051A3D"/>
          <w:sz w:val="22"/>
          <w:szCs w:val="22"/>
        </w:rPr>
        <w:t>Quando houver fato novo relevante após o início da análise, nova prova, novo depoimento, nova informação sobre o contexto, não prossiga na sessão em andamento. Reinicie o percurso com os fatos atualizados.</w:t>
      </w:r>
    </w:p>
    <w:p w14:paraId="05DAA56B" w14:textId="77777777" w:rsidR="00085436" w:rsidRDefault="00085436">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5436" w14:paraId="58259E8C"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3008AEC6" w14:textId="77777777" w:rsidR="00085436" w:rsidRDefault="00085436">
            <w:pPr>
              <w:jc w:val="both"/>
            </w:pPr>
            <w:r>
              <w:rPr>
                <w:rFonts w:ascii="Calibri" w:eastAsia="Calibri" w:hAnsi="Calibri" w:cs="Calibri"/>
                <w:b/>
                <w:bCs/>
                <w:color w:val="0B2C5F"/>
                <w:sz w:val="20"/>
                <w:szCs w:val="20"/>
              </w:rPr>
              <w:t>Alerta, integridade da sessão:</w:t>
            </w:r>
            <w:r>
              <w:rPr>
                <w:rFonts w:ascii="Calibri" w:eastAsia="Calibri" w:hAnsi="Calibri" w:cs="Calibri"/>
                <w:color w:val="051A3D"/>
                <w:sz w:val="20"/>
                <w:szCs w:val="20"/>
              </w:rPr>
              <w:t xml:space="preserve"> o resultado da ferramenta é tão confiável quanto as respostas dadas durante o percurso. Uma resposta equivocada em P1 contamina todo o percurso subsequente. Quando houver dúvida sobre qualquer resposta anterior, é mais seguro reiniciar do que prosseguir com a incerteza.</w:t>
            </w:r>
          </w:p>
        </w:tc>
      </w:tr>
    </w:tbl>
    <w:p w14:paraId="364038AD" w14:textId="77777777" w:rsidR="00085436" w:rsidRDefault="00085436">
      <w:pPr>
        <w:pBdr>
          <w:bottom w:val="single" w:sz="4" w:space="1" w:color="C9A35C"/>
        </w:pBdr>
        <w:spacing w:before="200" w:after="200"/>
      </w:pPr>
    </w:p>
    <w:p w14:paraId="58CB1A31" w14:textId="77777777" w:rsidR="00085436" w:rsidRDefault="00085436">
      <w:pPr>
        <w:pStyle w:val="Ttulo2"/>
        <w:keepNext/>
        <w:pBdr>
          <w:left w:val="single" w:sz="10" w:space="6" w:color="C9A35C"/>
        </w:pBdr>
      </w:pPr>
      <w:bookmarkStart w:id="207" w:name="_Toc238022196"/>
      <w:r>
        <w:t>21.7 Comunicação externa em casos com repercussão penal</w:t>
      </w:r>
      <w:bookmarkEnd w:id="207"/>
    </w:p>
    <w:p w14:paraId="02B89F5F" w14:textId="77777777" w:rsidR="00085436" w:rsidRDefault="00085436">
      <w:pPr>
        <w:spacing w:after="120"/>
        <w:jc w:val="both"/>
      </w:pPr>
      <w:r>
        <w:rPr>
          <w:rFonts w:ascii="Calibri" w:eastAsia="Calibri" w:hAnsi="Calibri" w:cs="Calibri"/>
          <w:color w:val="051A3D"/>
          <w:sz w:val="22"/>
          <w:szCs w:val="22"/>
        </w:rPr>
        <w:t>Algumas condutas analisadas pela ferramenta configuram simultaneamente ilícito disciplinar e crime. Nesses casos, o encerramento do PAD não esgota a responsabilidade do servidor, a instância penal é autônoma e independente.</w:t>
      </w:r>
    </w:p>
    <w:p w14:paraId="7FC6C39E" w14:textId="77777777" w:rsidR="00085436" w:rsidRDefault="00085436">
      <w:pPr>
        <w:pStyle w:val="Ttulo3"/>
        <w:keepNext/>
      </w:pPr>
      <w:r>
        <w:rPr>
          <w:rFonts w:ascii="Calibri" w:eastAsia="Calibri" w:hAnsi="Calibri" w:cs="Calibri"/>
        </w:rPr>
        <w:lastRenderedPageBreak/>
        <w:t>Quando comunicar ao Ministério Público</w:t>
      </w:r>
    </w:p>
    <w:p w14:paraId="074B88E1"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**Stalking (Eixo 8):** quando os elementos do art. 147-A do Código Penal (perseguição reiterada, indesejabilidade demonstrada, perturbação ou restrição da liberdade) estiverem presentes, independentemente do resultado disciplinar.</w:t>
      </w:r>
    </w:p>
    <w:p w14:paraId="77CEC952"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**Agressão física (Eixo 1):** quando houver lesão corporal ou vias de fato, independentemente do resultado da apuração disciplinar.</w:t>
      </w:r>
    </w:p>
    <w:p w14:paraId="530E47B9"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**Assédio sexual (Eixo 3):** quando a conduta configurar o crime do art. 215-A do Código Penal (importunação sexual) ou do art. 216-A (assédio sexual).</w:t>
      </w:r>
    </w:p>
    <w:p w14:paraId="65E264A3"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**Ameaça grave (Eixo 2):** quando a conduta configurar o crime do art. 147 do Código Penal.</w:t>
      </w:r>
    </w:p>
    <w:p w14:paraId="393BB8A7"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**Discriminação (Eixo 4):** quando a conduta configurar crime da Lei nº 7.716/1989 (discriminação por raça, cor, etnia, religião ou procedência nacional) ou da ADO 26/STF (homofobia e transfobia).</w:t>
      </w:r>
    </w:p>
    <w:p w14:paraId="4327A6AD"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**Retaliação ao denunciante (Eixo 6):** quando a represália configurar crime de abuso de autoridade (Lei nº 13.869/2019) ou constrangimento ilegal (art. 146 do CP).</w:t>
      </w:r>
    </w:p>
    <w:p w14:paraId="633203AD" w14:textId="77777777" w:rsidR="00085436" w:rsidRDefault="00085436">
      <w:pPr>
        <w:pStyle w:val="Ttulo3"/>
        <w:keepNext/>
      </w:pPr>
      <w:r>
        <w:rPr>
          <w:rFonts w:ascii="Calibri" w:eastAsia="Calibri" w:hAnsi="Calibri" w:cs="Calibri"/>
        </w:rPr>
        <w:t>Como comunicar</w:t>
      </w:r>
    </w:p>
    <w:p w14:paraId="10C3F2F8" w14:textId="77777777" w:rsidR="00085436" w:rsidRDefault="00085436">
      <w:pPr>
        <w:spacing w:after="120"/>
        <w:jc w:val="both"/>
      </w:pPr>
      <w:r>
        <w:rPr>
          <w:rFonts w:ascii="Calibri" w:eastAsia="Calibri" w:hAnsi="Calibri" w:cs="Calibri"/>
          <w:color w:val="051A3D"/>
          <w:sz w:val="22"/>
          <w:szCs w:val="22"/>
        </w:rPr>
        <w:t>A comunicação ao MP é feita por ofício da autoridade competente, com síntese dos fatos apurados, indicação dos elementos que configuram o tipo penal e anexo das principais peças da instrução, sem necessidade de aguardar a conclusão do PAD. As instâncias são independentes; a comunicação pode e deve ser feita assim que os elementos penais forem identificados.</w:t>
      </w:r>
    </w:p>
    <w:p w14:paraId="484CD5E1" w14:textId="77777777" w:rsidR="00085436" w:rsidRDefault="00085436">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5436" w14:paraId="4FEB099F" w14:textId="77777777">
        <w:tc>
          <w:tcPr>
            <w:tcW w:w="9638" w:type="dxa"/>
            <w:tcBorders>
              <w:top w:val="single" w:sz="6" w:space="0" w:color="B7791F"/>
              <w:left w:val="single" w:sz="18" w:space="0" w:color="B7791F"/>
              <w:bottom w:val="single" w:sz="6" w:space="0" w:color="B7791F"/>
            </w:tcBorders>
            <w:shd w:val="clear" w:color="auto" w:fill="FFFBEA"/>
            <w:tcMar>
              <w:top w:w="100" w:type="dxa"/>
              <w:left w:w="180" w:type="dxa"/>
              <w:bottom w:w="100" w:type="dxa"/>
              <w:right w:w="180" w:type="dxa"/>
            </w:tcMar>
          </w:tcPr>
          <w:p w14:paraId="46B60502" w14:textId="77777777" w:rsidR="00085436" w:rsidRDefault="00085436">
            <w:pPr>
              <w:jc w:val="both"/>
            </w:pPr>
            <w:r>
              <w:rPr>
                <w:rFonts w:ascii="Calibri" w:eastAsia="Calibri" w:hAnsi="Calibri" w:cs="Calibri"/>
                <w:b/>
                <w:bCs/>
                <w:color w:val="B7791F"/>
                <w:sz w:val="20"/>
                <w:szCs w:val="20"/>
              </w:rPr>
              <w:t>Atenção, LGPD e acesso indevido a dados pessoais:</w:t>
            </w:r>
            <w:r>
              <w:rPr>
                <w:rFonts w:ascii="Calibri" w:eastAsia="Calibri" w:hAnsi="Calibri" w:cs="Calibri"/>
                <w:color w:val="051A3D"/>
                <w:sz w:val="20"/>
                <w:szCs w:val="20"/>
              </w:rPr>
              <w:t xml:space="preserve"> quando o stalking (Eixo 8) envolver acesso indevido a sistemas corporativos contendo dados pessoais da vítima, comunicar também à autoridade de dados pessoais (ANPD ou encarregado de dados do órgão), nos termos do art. 52 da Lei nº 13.709/2018 (LGPD).</w:t>
            </w:r>
          </w:p>
        </w:tc>
      </w:tr>
    </w:tbl>
    <w:p w14:paraId="06DD082F" w14:textId="77777777" w:rsidR="00085436" w:rsidRDefault="00085436">
      <w:pPr>
        <w:pBdr>
          <w:bottom w:val="single" w:sz="4" w:space="1" w:color="C9A35C"/>
        </w:pBdr>
        <w:spacing w:before="200" w:after="200"/>
      </w:pPr>
    </w:p>
    <w:p w14:paraId="688FAA5F" w14:textId="77777777" w:rsidR="00085436" w:rsidRDefault="00085436">
      <w:pPr>
        <w:pStyle w:val="Ttulo2"/>
        <w:keepNext/>
        <w:pBdr>
          <w:left w:val="single" w:sz="10" w:space="6" w:color="C9A35C"/>
        </w:pBdr>
      </w:pPr>
      <w:bookmarkStart w:id="208" w:name="_Toc238022197"/>
      <w:r>
        <w:t>21.8 Proteção da identidade do denunciante</w:t>
      </w:r>
      <w:bookmarkEnd w:id="208"/>
    </w:p>
    <w:p w14:paraId="6A87DA4C" w14:textId="77777777" w:rsidR="00085436" w:rsidRDefault="00085436">
      <w:pPr>
        <w:spacing w:after="120"/>
        <w:jc w:val="both"/>
      </w:pPr>
      <w:r>
        <w:rPr>
          <w:rFonts w:ascii="Calibri" w:eastAsia="Calibri" w:hAnsi="Calibri" w:cs="Calibri"/>
          <w:color w:val="051A3D"/>
          <w:sz w:val="22"/>
          <w:szCs w:val="22"/>
        </w:rPr>
        <w:t>A proteção da identidade do denunciante é obrigação legal, não discricionária, prevista no art. 126-A da Lei nº 8.112, de 1990 e no art. 5º da Lei nº 13.608/2018. Essa proteção se aplica tanto ao processo de apuração da conduta principal quanto ao processo de apuração de eventual retaliação.</w:t>
      </w:r>
    </w:p>
    <w:p w14:paraId="78CE8300" w14:textId="77777777" w:rsidR="00085436" w:rsidRDefault="00085436">
      <w:pPr>
        <w:pStyle w:val="Ttulo3"/>
        <w:keepNext/>
      </w:pPr>
      <w:r>
        <w:rPr>
          <w:rFonts w:ascii="Calibri" w:eastAsia="Calibri" w:hAnsi="Calibri" w:cs="Calibri"/>
        </w:rPr>
        <w:t>Medidas obrigatórias</w:t>
      </w:r>
    </w:p>
    <w:p w14:paraId="25849EB2"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Não identificar o denunciante nos documentos do PAD que possam ser acessados pelo investigado ou por terceiros não autorizados.</w:t>
      </w:r>
    </w:p>
    <w:p w14:paraId="6BC8EAB4"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Quando necessário citar o relato do denunciante nos autos, fazê-lo de forma anonimizada, 'conforme relato protocolado sob o nº XXXXXX', sem transcrever trechos que permitam a identificação.</w:t>
      </w:r>
    </w:p>
    <w:p w14:paraId="15E0E5A4"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Não revelar a identidade do denunciante a servidores que não sejam membros da comissão processante ou da autoridade instauradora, ainda que no âmbito da mesma unidade.</w:t>
      </w:r>
    </w:p>
    <w:p w14:paraId="6FD68DEE"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Quando a denúncia foi protocolada pelo Fala.BR, preservar o número de protocolo como identificador, sem cruzar com dados que permitam identificar o denunciante em outros sistemas.</w:t>
      </w:r>
    </w:p>
    <w:p w14:paraId="150FDCFF" w14:textId="77777777" w:rsidR="00085436" w:rsidRDefault="00085436">
      <w:pPr>
        <w:pStyle w:val="Ttulo3"/>
        <w:keepNext/>
      </w:pPr>
      <w:r>
        <w:rPr>
          <w:rFonts w:ascii="Calibri" w:eastAsia="Calibri" w:hAnsi="Calibri" w:cs="Calibri"/>
        </w:rPr>
        <w:lastRenderedPageBreak/>
        <w:t>Cuidados específicos no Eixo 6</w:t>
      </w:r>
    </w:p>
    <w:p w14:paraId="1C9DEE18" w14:textId="77777777" w:rsidR="00085436" w:rsidRDefault="00085436">
      <w:pPr>
        <w:spacing w:after="120"/>
        <w:jc w:val="both"/>
      </w:pPr>
      <w:r>
        <w:rPr>
          <w:rFonts w:ascii="Calibri" w:eastAsia="Calibri" w:hAnsi="Calibri" w:cs="Calibri"/>
          <w:color w:val="051A3D"/>
          <w:sz w:val="22"/>
          <w:szCs w:val="22"/>
        </w:rPr>
        <w:t>Nos processos de retaliação ao denunciante (Eixo 6), a proteção da identidade assume importância ainda maior: a identificação do denunciante no PAD de retaliação tornaria possível ao investigado, que é justamente o agressor, saber quem o denunciou e acentuar a represália. Nenhum documento do PAD de retaliação deve identificar o denunciante-vítima de forma que ele seja reconhecível pelo investigado.</w:t>
      </w:r>
    </w:p>
    <w:p w14:paraId="71C3BED2" w14:textId="77777777" w:rsidR="00085436" w:rsidRDefault="00085436">
      <w:pPr>
        <w:spacing w:after="120"/>
        <w:jc w:val="both"/>
      </w:pPr>
      <w:r>
        <w:rPr>
          <w:rFonts w:ascii="Calibri" w:eastAsia="Calibri" w:hAnsi="Calibri" w:cs="Calibri"/>
          <w:color w:val="051A3D"/>
          <w:sz w:val="22"/>
          <w:szCs w:val="22"/>
        </w:rPr>
        <w:t>Quando houver risco de que a identidade do denunciante seja inferida a partir do contexto do PAD, porque os fatos são muito específicos ou porque há poucas pessoas na unidade, comunicar à autoridade competente para avaliação de medidas adicionais de proteção, incluindo o afastamento preventivo do investigado da unidade onde o denunciante trabalha.</w:t>
      </w:r>
    </w:p>
    <w:p w14:paraId="7D7C6FA7" w14:textId="77777777" w:rsidR="00085436" w:rsidRDefault="00085436">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5436" w14:paraId="5185DD66" w14:textId="77777777">
        <w:tc>
          <w:tcPr>
            <w:tcW w:w="9638" w:type="dxa"/>
            <w:tcBorders>
              <w:top w:val="single" w:sz="6" w:space="0" w:color="B42318"/>
              <w:left w:val="single" w:sz="18" w:space="0" w:color="B42318"/>
              <w:bottom w:val="single" w:sz="6" w:space="0" w:color="B42318"/>
            </w:tcBorders>
            <w:shd w:val="clear" w:color="auto" w:fill="FFF0F0"/>
            <w:tcMar>
              <w:top w:w="100" w:type="dxa"/>
              <w:left w:w="180" w:type="dxa"/>
              <w:bottom w:w="100" w:type="dxa"/>
              <w:right w:w="180" w:type="dxa"/>
            </w:tcMar>
          </w:tcPr>
          <w:p w14:paraId="29D45321" w14:textId="77777777" w:rsidR="00085436" w:rsidRDefault="00085436">
            <w:pPr>
              <w:jc w:val="both"/>
            </w:pPr>
            <w:r>
              <w:rPr>
                <w:rFonts w:ascii="Calibri" w:eastAsia="Calibri" w:hAnsi="Calibri" w:cs="Calibri"/>
                <w:b/>
                <w:bCs/>
                <w:color w:val="B42318"/>
                <w:sz w:val="20"/>
                <w:szCs w:val="20"/>
              </w:rPr>
              <w:t>URGÊNCIA, retaliação em curso:</w:t>
            </w:r>
            <w:r>
              <w:rPr>
                <w:rFonts w:ascii="Calibri" w:eastAsia="Calibri" w:hAnsi="Calibri" w:cs="Calibri"/>
                <w:color w:val="051A3D"/>
                <w:sz w:val="20"/>
                <w:szCs w:val="20"/>
              </w:rPr>
              <w:t xml:space="preserve"> quando houver indício de que o denunciante está sofrendo retaliação *durante* o PAD, não aguarde a conclusão do processo para tomar providências. Comunicar imediatamente à autoridade instauradora para avaliação de medidas cautelares. A continuidade da retaliação durante a apuração é agravante da conduta e pode ensejar novo processo disciplinar autônomo contra o agressor.</w:t>
            </w:r>
          </w:p>
        </w:tc>
      </w:tr>
    </w:tbl>
    <w:p w14:paraId="178B65AD" w14:textId="77777777" w:rsidR="00085436" w:rsidRDefault="00085436">
      <w:pPr>
        <w:pBdr>
          <w:bottom w:val="single" w:sz="4" w:space="1" w:color="C9A35C"/>
        </w:pBdr>
        <w:spacing w:before="200" w:after="200"/>
      </w:pPr>
    </w:p>
    <w:p w14:paraId="59C86C99" w14:textId="77777777" w:rsidR="00085436" w:rsidRDefault="00085436">
      <w:pPr>
        <w:pStyle w:val="Ttulo2"/>
        <w:keepNext/>
        <w:pBdr>
          <w:left w:val="single" w:sz="10" w:space="6" w:color="C9A35C"/>
        </w:pBdr>
      </w:pPr>
      <w:bookmarkStart w:id="209" w:name="_Toc238022198"/>
      <w:r>
        <w:t>21.9 Uso da ferramenta em casos de perspectiva de gênero</w:t>
      </w:r>
      <w:bookmarkEnd w:id="209"/>
    </w:p>
    <w:p w14:paraId="78FAFFBF" w14:textId="77777777" w:rsidR="00085436" w:rsidRDefault="00085436">
      <w:pPr>
        <w:spacing w:after="120"/>
        <w:jc w:val="both"/>
      </w:pPr>
      <w:r>
        <w:rPr>
          <w:rFonts w:ascii="Calibri" w:eastAsia="Calibri" w:hAnsi="Calibri" w:cs="Calibri"/>
          <w:color w:val="051A3D"/>
          <w:sz w:val="22"/>
          <w:szCs w:val="22"/>
        </w:rPr>
        <w:t>A Resolução CNJ nº 492/2023 e o Protocolo para Julgamento com Perspectiva de Gênero do CNJ orientam a aplicação de perspectiva de gênero na análise de condutas que envolvem violência contra mulheres, discriminação por gênero e situações em que a assimetria de poder de gênero é relevante para compreender os fatos. Embora esses instrumentos tenham sido elaborados para o contexto judicial, seus princípios são integralmente aplicáveis à apuração disciplinar.</w:t>
      </w:r>
    </w:p>
    <w:p w14:paraId="50323E3E" w14:textId="77777777" w:rsidR="00085436" w:rsidRDefault="00085436">
      <w:pPr>
        <w:pStyle w:val="Ttulo3"/>
        <w:keepNext/>
      </w:pPr>
      <w:r>
        <w:rPr>
          <w:rFonts w:ascii="Calibri" w:eastAsia="Calibri" w:hAnsi="Calibri" w:cs="Calibri"/>
        </w:rPr>
        <w:t>Quando aplicar perspectiva de gênero</w:t>
      </w:r>
    </w:p>
    <w:p w14:paraId="328AB41B"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Quando a vítima for mulher e houver elementos que indiquem que a conduta foi motivada ou facilitada pela condição de gênero, assédio sexual, discriminação por gravidez ou maternidade, violência de gênero.</w:t>
      </w:r>
    </w:p>
    <w:p w14:paraId="0E2C32A6"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Quando a relação de poder entre agressor e vítima for marcada por assimetria de gênero, hierarquia de gênero informal, estereótipos de papel que conferem menor credibilidade à vítima.</w:t>
      </w:r>
    </w:p>
    <w:p w14:paraId="509FBEAE"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Quando o relato da vítima for contestado com base em estereótipos, 'ela provocou', 'ela não resistiu', 'ela esperou muito tempo para denunciar', 'ela mantém boa relação com o agressor'.</w:t>
      </w:r>
    </w:p>
    <w:p w14:paraId="1B62F1C7"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Quando a vítima for pessoa LGBTQIA+ e a conduta envolver discriminação por orientação sexual ou identidade de gênero.</w:t>
      </w:r>
    </w:p>
    <w:p w14:paraId="3DE22D98" w14:textId="77777777" w:rsidR="00085436" w:rsidRDefault="00085436">
      <w:pPr>
        <w:pStyle w:val="Ttulo3"/>
        <w:keepNext/>
      </w:pPr>
      <w:r>
        <w:rPr>
          <w:rFonts w:ascii="Calibri" w:eastAsia="Calibri" w:hAnsi="Calibri" w:cs="Calibri"/>
        </w:rPr>
        <w:t>Como aplicar na prática</w:t>
      </w:r>
    </w:p>
    <w:p w14:paraId="28FBF2F1"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Não interpretar o silêncio, a tolerância ou a demora na denúncia como evidência de consentimento ou de ausência de vitimização. Esses comportamentos são frequentemente estratégias de sobrevivência funcional em contextos de assimetria de poder.</w:t>
      </w:r>
    </w:p>
    <w:p w14:paraId="64A3CF68"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lastRenderedPageBreak/>
        <w:t>Não exigir da vítima comportamento 'ideal', resistência imediata, denúncia no primeiro episódio, ruptura completa com o agressor. O comportamento real das vítimas é diverso e influenciado pelo contexto de vulnerabilidade.</w:t>
      </w:r>
    </w:p>
    <w:p w14:paraId="7B58AA09"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Considerar o contexto de relacionamento de poder entre as partes, hierarquia formal, dependência funcional, diferença de gênero, ao avaliar a credibilidade dos relatos e a plausibilidade dos fatos.</w:t>
      </w:r>
    </w:p>
    <w:p w14:paraId="138012A2" w14:textId="77777777" w:rsidR="00085436" w:rsidRDefault="00085436">
      <w:pPr>
        <w:pStyle w:val="PargrafodaLista"/>
        <w:numPr>
          <w:ilvl w:val="0"/>
          <w:numId w:val="32"/>
        </w:numPr>
        <w:spacing w:after="80" w:line="240" w:lineRule="auto"/>
        <w:jc w:val="both"/>
      </w:pPr>
      <w:r>
        <w:rPr>
          <w:rFonts w:ascii="Calibri" w:eastAsia="Calibri" w:hAnsi="Calibri" w:cs="Calibri"/>
          <w:color w:val="051A3D"/>
          <w:sz w:val="22"/>
          <w:szCs w:val="22"/>
        </w:rPr>
        <w:t>Quando houver elementos de violência de gênero, verificar se a conduta configura também violência doméstica ou familiar (Lei Maria da Penha) para fins de comunicação ao MP.</w:t>
      </w:r>
    </w:p>
    <w:p w14:paraId="335791F7" w14:textId="77777777" w:rsidR="00085436" w:rsidRDefault="00085436">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5436" w14:paraId="06F8BEEE" w14:textId="77777777">
        <w:tc>
          <w:tcPr>
            <w:tcW w:w="9638" w:type="dxa"/>
            <w:tcBorders>
              <w:top w:val="single" w:sz="6" w:space="0" w:color="1E4C99"/>
              <w:left w:val="single" w:sz="18" w:space="0" w:color="1E4C99"/>
              <w:bottom w:val="single" w:sz="6" w:space="0" w:color="1E4C99"/>
            </w:tcBorders>
            <w:shd w:val="clear" w:color="auto" w:fill="DCE6F4"/>
            <w:tcMar>
              <w:top w:w="100" w:type="dxa"/>
              <w:left w:w="180" w:type="dxa"/>
              <w:bottom w:w="100" w:type="dxa"/>
              <w:right w:w="180" w:type="dxa"/>
            </w:tcMar>
          </w:tcPr>
          <w:p w14:paraId="418784A6" w14:textId="77777777" w:rsidR="00085436" w:rsidRDefault="00085436">
            <w:pPr>
              <w:jc w:val="both"/>
            </w:pPr>
            <w:r>
              <w:rPr>
                <w:rFonts w:ascii="Calibri" w:eastAsia="Calibri" w:hAnsi="Calibri" w:cs="Calibri"/>
                <w:b/>
                <w:bCs/>
                <w:color w:val="0B2C5F"/>
                <w:sz w:val="20"/>
                <w:szCs w:val="20"/>
              </w:rPr>
              <w:t>Alerta, Protocolo CNJ:</w:t>
            </w:r>
            <w:r>
              <w:rPr>
                <w:rFonts w:ascii="Calibri" w:eastAsia="Calibri" w:hAnsi="Calibri" w:cs="Calibri"/>
                <w:color w:val="051A3D"/>
                <w:sz w:val="20"/>
                <w:szCs w:val="20"/>
              </w:rPr>
              <w:t xml:space="preserve"> o Protocolo para Julgamento com Perspectiva de Gênero do CNJ (2021) é referência metodológica aplicável à apuração disciplinar. Consulte-o especialmente nos Eixos 3 (Assédio Sexual) e 4 (Discriminação) quando a vítima for mulher ou pessoa LGBTQIA+.</w:t>
            </w:r>
          </w:p>
        </w:tc>
      </w:tr>
    </w:tbl>
    <w:p w14:paraId="0FC17626" w14:textId="77777777" w:rsidR="00085436" w:rsidRDefault="00085436">
      <w:pPr>
        <w:pBdr>
          <w:bottom w:val="single" w:sz="4" w:space="1" w:color="C9A35C"/>
        </w:pBdr>
        <w:spacing w:before="200" w:after="200"/>
      </w:pPr>
    </w:p>
    <w:p w14:paraId="0BDE4070" w14:textId="5C6BE567" w:rsidR="00085436" w:rsidRDefault="000B6E3E">
      <w:pPr>
        <w:pStyle w:val="Ttulo2"/>
        <w:keepNext/>
        <w:pBdr>
          <w:left w:val="single" w:sz="10" w:space="6" w:color="C9A35C"/>
        </w:pBdr>
      </w:pPr>
      <w:bookmarkStart w:id="210" w:name="_Toc238022199"/>
      <w:r>
        <w:t xml:space="preserve">21.10 </w:t>
      </w:r>
      <w:r w:rsidR="00085436">
        <w:t>Checklist de encerramento, antes de gerar o relatório</w:t>
      </w:r>
      <w:bookmarkEnd w:id="210"/>
    </w:p>
    <w:p w14:paraId="685AB7BE" w14:textId="77777777" w:rsidR="00085436" w:rsidRDefault="00085436">
      <w:pPr>
        <w:spacing w:after="120"/>
        <w:jc w:val="both"/>
      </w:pPr>
      <w:r>
        <w:rPr>
          <w:rFonts w:ascii="Calibri" w:eastAsia="Calibri" w:hAnsi="Calibri" w:cs="Calibri"/>
          <w:color w:val="051A3D"/>
          <w:sz w:val="22"/>
          <w:szCs w:val="22"/>
        </w:rPr>
        <w:t>Percorra este checklist antes de finalizar qualquer análise pela ferramenta Integritas:</w:t>
      </w:r>
    </w:p>
    <w:p w14:paraId="7B47D08E" w14:textId="77777777" w:rsidR="00085436" w:rsidRDefault="00085436">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85436" w:rsidRPr="000C0DBA" w14:paraId="5FFADDDD" w14:textId="77777777">
        <w:tc>
          <w:tcPr>
            <w:tcW w:w="9638" w:type="dxa"/>
            <w:tcBorders>
              <w:top w:val="single" w:sz="4" w:space="0" w:color="1E4C99"/>
              <w:left w:val="single" w:sz="4" w:space="0" w:color="1E4C99"/>
              <w:bottom w:val="single" w:sz="4" w:space="0" w:color="1E4C99"/>
              <w:right w:val="single" w:sz="4" w:space="0" w:color="1E4C99"/>
            </w:tcBorders>
            <w:shd w:val="clear" w:color="auto" w:fill="EEF2F8"/>
            <w:tcMar>
              <w:top w:w="100" w:type="dxa"/>
              <w:left w:w="200" w:type="dxa"/>
              <w:bottom w:w="100" w:type="dxa"/>
              <w:right w:w="200" w:type="dxa"/>
            </w:tcMar>
          </w:tcPr>
          <w:p w14:paraId="0D18E44E" w14:textId="77777777" w:rsidR="00085436" w:rsidRPr="000C0DBA" w:rsidRDefault="00085436">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Os fatos representados ao sistema são completos e fiéis à instrução</w:t>
            </w:r>
          </w:p>
          <w:p w14:paraId="0EFB3C9C" w14:textId="77777777" w:rsidR="00085436" w:rsidRPr="000C0DBA" w:rsidRDefault="00085436">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O eixo selecionado é o correto para a natureza da conduta</w:t>
            </w:r>
          </w:p>
          <w:p w14:paraId="5750EFF5" w14:textId="77777777" w:rsidR="00085436" w:rsidRPr="000C0DBA" w:rsidRDefault="00085436">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Cada resposta foi dada com base em critérios objetivos, não em intuição</w:t>
            </w:r>
          </w:p>
          <w:p w14:paraId="57126830" w14:textId="77777777" w:rsidR="00085436" w:rsidRPr="000C0DBA" w:rsidRDefault="00085436">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O prazo prescricional foi calculado antes de qualquer outro ato</w:t>
            </w:r>
          </w:p>
          <w:p w14:paraId="7833DFA3" w14:textId="77777777" w:rsidR="00085436" w:rsidRPr="000C0DBA" w:rsidRDefault="00085436">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Quando o resultado for demissório, o gate foi percorrido com</w:t>
            </w:r>
          </w:p>
          <w:p w14:paraId="7917671F" w14:textId="77777777" w:rsidR="00085436" w:rsidRPr="000C0DBA" w:rsidRDefault="00085436">
            <w:pPr>
              <w:rPr>
                <w:rFonts w:eastAsia="Courier New" w:cs="Courier New"/>
                <w:color w:val="0B2C5F"/>
                <w:sz w:val="20"/>
                <w:szCs w:val="20"/>
              </w:rPr>
            </w:pPr>
            <w:r>
              <w:rPr>
                <w:rFonts w:eastAsia="Courier New" w:cs="Courier New"/>
                <w:color w:val="0B2C5F"/>
                <w:sz w:val="20"/>
                <w:szCs w:val="20"/>
              </w:rPr>
              <w:t xml:space="preserve">    fundamentos registrados nos autos</w:t>
            </w:r>
          </w:p>
          <w:p w14:paraId="11DC1AA8" w14:textId="77777777" w:rsidR="00085436" w:rsidRPr="000C0DBA" w:rsidRDefault="00085436">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 cumulatividade foi avaliada, verificar se há outro eixo aplicável</w:t>
            </w:r>
          </w:p>
          <w:p w14:paraId="43F76564" w14:textId="77777777" w:rsidR="00085436" w:rsidRPr="000C0DBA" w:rsidRDefault="00085436">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A identidade do denunciante está protegida em todos os documentos</w:t>
            </w:r>
          </w:p>
          <w:p w14:paraId="04F97650" w14:textId="77777777" w:rsidR="00085436" w:rsidRPr="000C0DBA" w:rsidRDefault="00085436">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Quando pertinente, a comunicação ao MP foi avaliada</w:t>
            </w:r>
          </w:p>
          <w:p w14:paraId="713C8B63" w14:textId="77777777" w:rsidR="00085436" w:rsidRPr="000C0DBA" w:rsidRDefault="00085436">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O resultado foi confrontado com a Nota Técnica pertinente antes</w:t>
            </w:r>
          </w:p>
          <w:p w14:paraId="3ABC5B3D" w14:textId="77777777" w:rsidR="00085436" w:rsidRPr="000C0DBA" w:rsidRDefault="00085436">
            <w:pPr>
              <w:rPr>
                <w:rFonts w:eastAsia="Courier New" w:cs="Courier New"/>
                <w:color w:val="0B2C5F"/>
                <w:sz w:val="20"/>
                <w:szCs w:val="20"/>
              </w:rPr>
            </w:pPr>
            <w:r>
              <w:rPr>
                <w:rFonts w:eastAsia="Courier New" w:cs="Courier New"/>
                <w:color w:val="0B2C5F"/>
                <w:sz w:val="20"/>
                <w:szCs w:val="20"/>
              </w:rPr>
              <w:t xml:space="preserve">    de qualquer ato processual de maior relevância</w:t>
            </w:r>
          </w:p>
          <w:p w14:paraId="6704F9D1" w14:textId="77777777" w:rsidR="00085436" w:rsidRPr="000C0DBA" w:rsidRDefault="00085436">
            <w:pPr>
              <w:rPr>
                <w:rFonts w:eastAsia="Courier New" w:cs="Courier New"/>
                <w:color w:val="0B2C5F"/>
                <w:sz w:val="20"/>
                <w:szCs w:val="20"/>
              </w:rPr>
            </w:pPr>
            <w:proofErr w:type="gramStart"/>
            <w:r>
              <w:rPr>
                <w:rFonts w:eastAsia="Courier New" w:cs="Courier New"/>
                <w:color w:val="0B2C5F"/>
                <w:sz w:val="20"/>
                <w:szCs w:val="20"/>
              </w:rPr>
              <w:t>[ ]</w:t>
            </w:r>
            <w:proofErr w:type="gramEnd"/>
            <w:r>
              <w:rPr>
                <w:rFonts w:eastAsia="Courier New" w:cs="Courier New"/>
                <w:color w:val="0B2C5F"/>
                <w:sz w:val="20"/>
                <w:szCs w:val="20"/>
              </w:rPr>
              <w:t xml:space="preserve"> O percurso seguido e os fundamentos de cada resposta foram</w:t>
            </w:r>
          </w:p>
          <w:p w14:paraId="44F0ABC7" w14:textId="77777777" w:rsidR="00085436" w:rsidRPr="000C0DBA" w:rsidRDefault="00085436">
            <w:pPr>
              <w:rPr>
                <w:rFonts w:eastAsia="Courier New" w:cs="Courier New"/>
                <w:color w:val="0B2C5F"/>
                <w:sz w:val="20"/>
                <w:szCs w:val="20"/>
              </w:rPr>
            </w:pPr>
            <w:r>
              <w:rPr>
                <w:rFonts w:eastAsia="Courier New" w:cs="Courier New"/>
                <w:color w:val="0B2C5F"/>
                <w:sz w:val="20"/>
                <w:szCs w:val="20"/>
              </w:rPr>
              <w:t xml:space="preserve">    registrados nos autos de forma sintética</w:t>
            </w:r>
          </w:p>
        </w:tc>
      </w:tr>
    </w:tbl>
    <w:p w14:paraId="361E48B1" w14:textId="77777777" w:rsidR="00085436" w:rsidRDefault="00085436"/>
    <w:p w14:paraId="42D78D3C" w14:textId="77777777" w:rsidR="00287D58" w:rsidRDefault="00287D58">
      <w:pPr>
        <w:spacing w:after="120"/>
        <w:jc w:val="both"/>
      </w:pPr>
    </w:p>
    <w:p w14:paraId="625215F4" w14:textId="77777777" w:rsidR="00287D58" w:rsidRDefault="003B78AF">
      <w:r>
        <w:br w:type="page"/>
      </w:r>
    </w:p>
    <w:p w14:paraId="022125B5" w14:textId="77777777" w:rsidR="00287D58" w:rsidRDefault="003B78AF">
      <w:pPr>
        <w:spacing w:before="260" w:after="40"/>
      </w:pPr>
      <w:r>
        <w:rPr>
          <w:rFonts w:ascii="Barlow Condensed" w:eastAsia="Barlow Condensed" w:hAnsi="Barlow Condensed" w:cs="Barlow Condensed"/>
          <w:b/>
          <w:bCs/>
          <w:color w:val="C9A35C"/>
          <w:sz w:val="22"/>
          <w:szCs w:val="22"/>
        </w:rPr>
        <w:lastRenderedPageBreak/>
        <w:t xml:space="preserve">▍ </w:t>
      </w:r>
      <w:r>
        <w:rPr>
          <w:rFonts w:ascii="Barlow Condensed" w:eastAsia="Barlow Condensed" w:hAnsi="Barlow Condensed" w:cs="Barlow Condensed"/>
          <w:b/>
          <w:bCs/>
          <w:color w:val="8C6E2C"/>
          <w:spacing w:val="24"/>
          <w:sz w:val="17"/>
          <w:szCs w:val="17"/>
        </w:rPr>
        <w:t>REFERÊNCIAS</w:t>
      </w:r>
    </w:p>
    <w:p w14:paraId="4CB05217" w14:textId="77777777" w:rsidR="00287D58" w:rsidRDefault="003B78AF">
      <w:pPr>
        <w:pStyle w:val="Ttulo1"/>
        <w:keepNext/>
        <w:pBdr>
          <w:bottom w:val="single" w:sz="12" w:space="6" w:color="C9A35C"/>
        </w:pBdr>
        <w:spacing w:line="400" w:lineRule="exact"/>
      </w:pPr>
      <w:bookmarkStart w:id="211" w:name="_Toc238022200"/>
      <w:r>
        <w:t>REFERÊNCIAS</w:t>
      </w:r>
      <w:bookmarkEnd w:id="211"/>
    </w:p>
    <w:p w14:paraId="234A252F" w14:textId="77777777" w:rsidR="00287D58" w:rsidRDefault="003B78AF">
      <w:pPr>
        <w:pStyle w:val="Ttulo2"/>
        <w:keepNext/>
      </w:pPr>
      <w:bookmarkStart w:id="212" w:name="_Toc238022201"/>
      <w:r>
        <w:t>Doutrina e literatura científica</w:t>
      </w:r>
      <w:bookmarkEnd w:id="212"/>
    </w:p>
    <w:p w14:paraId="6E814AF9" w14:textId="77777777" w:rsidR="00287D58" w:rsidRDefault="003B78AF">
      <w:pPr>
        <w:pStyle w:val="PargrafodaLista"/>
        <w:numPr>
          <w:ilvl w:val="0"/>
          <w:numId w:val="1"/>
        </w:numPr>
        <w:spacing w:after="60" w:line="270" w:lineRule="auto"/>
        <w:jc w:val="both"/>
      </w:pPr>
      <w:r>
        <w:rPr>
          <w:b/>
          <w:bCs/>
          <w:sz w:val="21"/>
          <w:szCs w:val="21"/>
        </w:rPr>
        <w:t xml:space="preserve">BANDEIRA DE MELLO, Celso Antônio. </w:t>
      </w:r>
      <w:r>
        <w:rPr>
          <w:sz w:val="21"/>
          <w:szCs w:val="21"/>
        </w:rPr>
        <w:t>Curso de Direito Administrativo. 35. ed. São Paulo/Salvador: Malheiros/JusPODIVM, 2021.</w:t>
      </w:r>
    </w:p>
    <w:p w14:paraId="7126168F" w14:textId="77777777" w:rsidR="00287D58" w:rsidRDefault="003B78AF">
      <w:pPr>
        <w:pStyle w:val="PargrafodaLista"/>
        <w:numPr>
          <w:ilvl w:val="0"/>
          <w:numId w:val="1"/>
        </w:numPr>
        <w:spacing w:after="60" w:line="270" w:lineRule="auto"/>
        <w:jc w:val="both"/>
      </w:pPr>
      <w:r>
        <w:rPr>
          <w:b/>
          <w:bCs/>
          <w:sz w:val="21"/>
          <w:szCs w:val="21"/>
          <w:lang w:val="en-US"/>
        </w:rPr>
        <w:t xml:space="preserve">BONACICH, Edna; CHENG, Lucie (Orgs.). </w:t>
      </w:r>
      <w:r>
        <w:rPr>
          <w:sz w:val="21"/>
          <w:szCs w:val="21"/>
          <w:lang w:val="en-US"/>
        </w:rPr>
        <w:t xml:space="preserve">Labour Immigration under Capitalism: Asian Workers in the United States before World War II. </w:t>
      </w:r>
      <w:r>
        <w:rPr>
          <w:sz w:val="21"/>
          <w:szCs w:val="21"/>
        </w:rPr>
        <w:t>Berkeley: University of California Press, 1984.</w:t>
      </w:r>
    </w:p>
    <w:p w14:paraId="5D3C5F90" w14:textId="77777777" w:rsidR="00287D58" w:rsidRDefault="003B78AF">
      <w:pPr>
        <w:pStyle w:val="PargrafodaLista"/>
        <w:numPr>
          <w:ilvl w:val="0"/>
          <w:numId w:val="1"/>
        </w:numPr>
        <w:spacing w:after="60" w:line="270" w:lineRule="auto"/>
        <w:jc w:val="both"/>
      </w:pPr>
      <w:r>
        <w:rPr>
          <w:b/>
          <w:bCs/>
          <w:sz w:val="21"/>
          <w:szCs w:val="21"/>
        </w:rPr>
        <w:t>BRILHANTE, Thiago Alves.</w:t>
      </w:r>
      <w:r>
        <w:rPr>
          <w:sz w:val="21"/>
          <w:szCs w:val="21"/>
        </w:rPr>
        <w:t xml:space="preserve"> O preenchimento dos conceitos indeterminados nos tipos disciplinares abertos. Revista Opinião Jurídica, Fortaleza, v. 8, n. 12, p. 259–272, jan./dez. 2010.</w:t>
      </w:r>
    </w:p>
    <w:p w14:paraId="702AFBA4" w14:textId="77777777" w:rsidR="00287D58" w:rsidRDefault="003B78AF">
      <w:pPr>
        <w:pStyle w:val="PargrafodaLista"/>
        <w:numPr>
          <w:ilvl w:val="0"/>
          <w:numId w:val="1"/>
        </w:numPr>
        <w:spacing w:after="60" w:line="270" w:lineRule="auto"/>
        <w:jc w:val="both"/>
      </w:pPr>
      <w:r>
        <w:rPr>
          <w:b/>
          <w:bCs/>
          <w:sz w:val="21"/>
          <w:szCs w:val="21"/>
        </w:rPr>
        <w:t xml:space="preserve">CARVALHO FILHO, José dos Santos. </w:t>
      </w:r>
      <w:r>
        <w:rPr>
          <w:sz w:val="21"/>
          <w:szCs w:val="21"/>
        </w:rPr>
        <w:t>Manual de Direito Administrativo. 37. ed. São Paulo: Atlas, 2023.</w:t>
      </w:r>
    </w:p>
    <w:p w14:paraId="3C04A4BC" w14:textId="77777777" w:rsidR="00287D58" w:rsidRPr="004479AA" w:rsidRDefault="003B78AF">
      <w:pPr>
        <w:pStyle w:val="PargrafodaLista"/>
        <w:numPr>
          <w:ilvl w:val="0"/>
          <w:numId w:val="1"/>
        </w:numPr>
        <w:spacing w:after="60" w:line="270" w:lineRule="auto"/>
        <w:jc w:val="both"/>
        <w:rPr>
          <w:lang w:val="en-US"/>
        </w:rPr>
      </w:pPr>
      <w:r>
        <w:rPr>
          <w:b/>
          <w:bCs/>
          <w:sz w:val="21"/>
          <w:szCs w:val="21"/>
          <w:lang w:val="en-US"/>
        </w:rPr>
        <w:t xml:space="preserve">CHAMALLAS, Martha. </w:t>
      </w:r>
      <w:r>
        <w:rPr>
          <w:sz w:val="21"/>
          <w:szCs w:val="21"/>
          <w:lang w:val="en-US"/>
        </w:rPr>
        <w:t>Introduction to Feminist Legal Theory. 3. ed. New York: Aspen Publishers, 2013.</w:t>
      </w:r>
    </w:p>
    <w:p w14:paraId="19309857" w14:textId="77777777" w:rsidR="00287D58" w:rsidRDefault="003B78AF">
      <w:pPr>
        <w:pStyle w:val="PargrafodaLista"/>
        <w:numPr>
          <w:ilvl w:val="0"/>
          <w:numId w:val="1"/>
        </w:numPr>
        <w:spacing w:after="60" w:line="270" w:lineRule="auto"/>
        <w:jc w:val="both"/>
      </w:pPr>
      <w:r>
        <w:rPr>
          <w:b/>
          <w:bCs/>
          <w:sz w:val="21"/>
          <w:szCs w:val="21"/>
          <w:lang w:val="en-US"/>
        </w:rPr>
        <w:t>CRENSHAW, Kimberlé.</w:t>
      </w:r>
      <w:r>
        <w:rPr>
          <w:sz w:val="21"/>
          <w:szCs w:val="21"/>
          <w:lang w:val="en-US"/>
        </w:rPr>
        <w:t xml:space="preserve"> Mapping the Margins: Intersectionality, Identity Politics and Violence Against Women of Color. </w:t>
      </w:r>
      <w:r>
        <w:rPr>
          <w:sz w:val="21"/>
          <w:szCs w:val="21"/>
        </w:rPr>
        <w:t>Stanford Law Review, v. 43, n. 6, p. 1241–1299, 1991.</w:t>
      </w:r>
    </w:p>
    <w:p w14:paraId="7851057D" w14:textId="77777777" w:rsidR="00287D58" w:rsidRPr="00D00353" w:rsidRDefault="003B78AF">
      <w:pPr>
        <w:pStyle w:val="PargrafodaLista"/>
        <w:numPr>
          <w:ilvl w:val="0"/>
          <w:numId w:val="1"/>
        </w:numPr>
        <w:spacing w:after="60" w:line="270" w:lineRule="auto"/>
        <w:jc w:val="both"/>
        <w:rPr>
          <w:lang w:val="en-US"/>
        </w:rPr>
      </w:pPr>
      <w:r>
        <w:rPr>
          <w:b/>
          <w:bCs/>
          <w:sz w:val="21"/>
          <w:szCs w:val="21"/>
          <w:lang w:val="en-US"/>
        </w:rPr>
        <w:t>DEHN, Guy.</w:t>
      </w:r>
      <w:r>
        <w:rPr>
          <w:sz w:val="21"/>
          <w:szCs w:val="21"/>
          <w:lang w:val="en-US"/>
        </w:rPr>
        <w:t xml:space="preserve"> Whistleblowing and the public interest: developing an international framework. In: CALLAND, R.; DEHN, G. (Orgs.). Whistleblowing around the World: Law, Culture and Practice. Cape Town: Open Democracy Advice Centre, 2004.</w:t>
      </w:r>
    </w:p>
    <w:p w14:paraId="574C7BFA" w14:textId="77777777" w:rsidR="00287D58" w:rsidRDefault="003B78AF">
      <w:pPr>
        <w:pStyle w:val="PargrafodaLista"/>
        <w:numPr>
          <w:ilvl w:val="0"/>
          <w:numId w:val="1"/>
        </w:numPr>
        <w:spacing w:after="60" w:line="270" w:lineRule="auto"/>
        <w:jc w:val="both"/>
      </w:pPr>
      <w:r>
        <w:rPr>
          <w:b/>
          <w:bCs/>
          <w:sz w:val="21"/>
          <w:szCs w:val="21"/>
        </w:rPr>
        <w:t xml:space="preserve">DI PIETRO, Maria Sylvia Zanella. </w:t>
      </w:r>
      <w:r>
        <w:rPr>
          <w:sz w:val="21"/>
          <w:szCs w:val="21"/>
        </w:rPr>
        <w:t>Direito Administrativo. 35. ed. Rio de Janeiro: Forense, 2022.</w:t>
      </w:r>
    </w:p>
    <w:p w14:paraId="2C3D117E" w14:textId="77777777" w:rsidR="00287D58" w:rsidRDefault="003B78AF">
      <w:pPr>
        <w:pStyle w:val="PargrafodaLista"/>
        <w:numPr>
          <w:ilvl w:val="0"/>
          <w:numId w:val="1"/>
        </w:numPr>
        <w:spacing w:after="60" w:line="270" w:lineRule="auto"/>
        <w:jc w:val="both"/>
      </w:pPr>
      <w:r>
        <w:rPr>
          <w:b/>
          <w:bCs/>
          <w:sz w:val="21"/>
          <w:szCs w:val="21"/>
        </w:rPr>
        <w:t xml:space="preserve">DINIZ, Maria Helena. </w:t>
      </w:r>
      <w:r>
        <w:rPr>
          <w:sz w:val="21"/>
          <w:szCs w:val="21"/>
        </w:rPr>
        <w:t>Curso de Direito Civil Brasileiro, v. 1: Teoria Geral do Direito Civil. 39. ed. São Paulo: Saraiva, 2022.</w:t>
      </w:r>
    </w:p>
    <w:p w14:paraId="3DD4E94A" w14:textId="77777777" w:rsidR="00287D58" w:rsidRDefault="003B78AF">
      <w:pPr>
        <w:pStyle w:val="PargrafodaLista"/>
        <w:numPr>
          <w:ilvl w:val="0"/>
          <w:numId w:val="1"/>
        </w:numPr>
        <w:spacing w:after="60" w:line="270" w:lineRule="auto"/>
        <w:jc w:val="both"/>
      </w:pPr>
      <w:r>
        <w:rPr>
          <w:b/>
          <w:bCs/>
          <w:sz w:val="21"/>
          <w:szCs w:val="21"/>
        </w:rPr>
        <w:t xml:space="preserve">DINIZ, Maria Helena. </w:t>
      </w:r>
      <w:r>
        <w:rPr>
          <w:sz w:val="21"/>
          <w:szCs w:val="21"/>
        </w:rPr>
        <w:t>Curso de Direito Civil Brasileiro, v. 7: Responsabilidade Civil. 36. ed. São Paulo: Saraiva, 2022.</w:t>
      </w:r>
    </w:p>
    <w:p w14:paraId="2C067F8B" w14:textId="77777777" w:rsidR="00287D58" w:rsidRDefault="003B78AF">
      <w:pPr>
        <w:pStyle w:val="PargrafodaLista"/>
        <w:numPr>
          <w:ilvl w:val="0"/>
          <w:numId w:val="1"/>
        </w:numPr>
        <w:spacing w:after="60" w:line="270" w:lineRule="auto"/>
        <w:jc w:val="both"/>
      </w:pPr>
      <w:r>
        <w:rPr>
          <w:b/>
          <w:bCs/>
          <w:sz w:val="21"/>
          <w:szCs w:val="21"/>
          <w:lang w:val="en-US"/>
        </w:rPr>
        <w:t xml:space="preserve">EDMONDSON, Amy C. </w:t>
      </w:r>
      <w:r>
        <w:rPr>
          <w:sz w:val="21"/>
          <w:szCs w:val="21"/>
          <w:lang w:val="en-US"/>
        </w:rPr>
        <w:t xml:space="preserve">The Fearless Organization: Creating Psychological Safety in the Workplace for Learning, Innovation, and Growth. </w:t>
      </w:r>
      <w:r>
        <w:rPr>
          <w:sz w:val="21"/>
          <w:szCs w:val="21"/>
        </w:rPr>
        <w:t>Hoboken: Wiley, 2018.</w:t>
      </w:r>
    </w:p>
    <w:p w14:paraId="1057D22A" w14:textId="77777777" w:rsidR="00287D58" w:rsidRPr="004479AA" w:rsidRDefault="003B78AF">
      <w:pPr>
        <w:pStyle w:val="PargrafodaLista"/>
        <w:numPr>
          <w:ilvl w:val="0"/>
          <w:numId w:val="1"/>
        </w:numPr>
        <w:spacing w:after="60" w:line="270" w:lineRule="auto"/>
        <w:jc w:val="both"/>
        <w:rPr>
          <w:lang w:val="en-US"/>
        </w:rPr>
      </w:pPr>
      <w:r>
        <w:rPr>
          <w:b/>
          <w:bCs/>
          <w:sz w:val="21"/>
          <w:szCs w:val="21"/>
          <w:lang w:val="en-US"/>
        </w:rPr>
        <w:t>ELLEMERS, Naomi et al.</w:t>
      </w:r>
      <w:r>
        <w:rPr>
          <w:sz w:val="21"/>
          <w:szCs w:val="21"/>
          <w:lang w:val="en-US"/>
        </w:rPr>
        <w:t xml:space="preserve"> Subtle and blatant forms of discrimination: The consequences of prejudice. European Journal of Work and Organizational Psychology, v. 13, n. 4, p. 471–490, 2004.</w:t>
      </w:r>
    </w:p>
    <w:p w14:paraId="1426407F" w14:textId="77777777" w:rsidR="00287D58" w:rsidRDefault="003B78AF">
      <w:pPr>
        <w:pStyle w:val="PargrafodaLista"/>
        <w:numPr>
          <w:ilvl w:val="0"/>
          <w:numId w:val="1"/>
        </w:numPr>
        <w:spacing w:after="60" w:line="270" w:lineRule="auto"/>
        <w:jc w:val="both"/>
      </w:pPr>
      <w:r>
        <w:rPr>
          <w:b/>
          <w:bCs/>
          <w:sz w:val="21"/>
          <w:szCs w:val="21"/>
          <w:lang w:val="en-US"/>
        </w:rPr>
        <w:t>FITZGERALD, Louise F. et al.</w:t>
      </w:r>
      <w:r>
        <w:rPr>
          <w:sz w:val="21"/>
          <w:szCs w:val="21"/>
          <w:lang w:val="en-US"/>
        </w:rPr>
        <w:t xml:space="preserve"> The antecedents and consequences of sexual harassment in organizations: A test of an integrated model. </w:t>
      </w:r>
      <w:r>
        <w:rPr>
          <w:sz w:val="21"/>
          <w:szCs w:val="21"/>
        </w:rPr>
        <w:t>Journal of Applied Psychology, v. 82, n. 4, p. 578–589, 1997.</w:t>
      </w:r>
    </w:p>
    <w:p w14:paraId="1A84F432" w14:textId="77777777" w:rsidR="00287D58" w:rsidRDefault="003B78AF">
      <w:pPr>
        <w:pStyle w:val="PargrafodaLista"/>
        <w:numPr>
          <w:ilvl w:val="0"/>
          <w:numId w:val="1"/>
        </w:numPr>
        <w:spacing w:after="60" w:line="270" w:lineRule="auto"/>
        <w:jc w:val="both"/>
      </w:pPr>
      <w:r>
        <w:rPr>
          <w:b/>
          <w:bCs/>
          <w:sz w:val="21"/>
          <w:szCs w:val="21"/>
          <w:lang w:val="en-US"/>
        </w:rPr>
        <w:t>FITZGERALD, Louise F. et al.</w:t>
      </w:r>
      <w:r>
        <w:rPr>
          <w:sz w:val="21"/>
          <w:szCs w:val="21"/>
          <w:lang w:val="en-US"/>
        </w:rPr>
        <w:t xml:space="preserve"> The incidence and dimensions of sexual harassment in academia and the workplace. </w:t>
      </w:r>
      <w:r>
        <w:rPr>
          <w:sz w:val="21"/>
          <w:szCs w:val="21"/>
        </w:rPr>
        <w:t>Journal of Vocational Behavior, v. 32, p. 152–175, 1988.</w:t>
      </w:r>
    </w:p>
    <w:p w14:paraId="7998F482" w14:textId="77777777" w:rsidR="00287D58" w:rsidRDefault="003B78AF">
      <w:pPr>
        <w:pStyle w:val="PargrafodaLista"/>
        <w:numPr>
          <w:ilvl w:val="0"/>
          <w:numId w:val="1"/>
        </w:numPr>
        <w:spacing w:after="60" w:line="270" w:lineRule="auto"/>
        <w:jc w:val="both"/>
      </w:pPr>
      <w:r>
        <w:rPr>
          <w:b/>
          <w:bCs/>
          <w:sz w:val="21"/>
          <w:szCs w:val="21"/>
          <w:lang w:val="en-US"/>
        </w:rPr>
        <w:t>FLORES NIEMANN, Yolanda.</w:t>
      </w:r>
      <w:r>
        <w:rPr>
          <w:sz w:val="21"/>
          <w:szCs w:val="21"/>
          <w:lang w:val="en-US"/>
        </w:rPr>
        <w:t xml:space="preserve"> Dirty Looks and </w:t>
      </w:r>
      <w:proofErr w:type="gramStart"/>
      <w:r>
        <w:rPr>
          <w:sz w:val="21"/>
          <w:szCs w:val="21"/>
          <w:lang w:val="en-US"/>
        </w:rPr>
        <w:t>Stepping Stones</w:t>
      </w:r>
      <w:proofErr w:type="gramEnd"/>
      <w:r>
        <w:rPr>
          <w:sz w:val="21"/>
          <w:szCs w:val="21"/>
          <w:lang w:val="en-US"/>
        </w:rPr>
        <w:t xml:space="preserve">. In: NIEMANN, Y. F. et al. (Orgs.). Presumed Incompetent: The Intersections of Race and Class for Women in Academia. </w:t>
      </w:r>
      <w:r>
        <w:rPr>
          <w:sz w:val="21"/>
          <w:szCs w:val="21"/>
        </w:rPr>
        <w:t>Boulder: University Press of Colorado, 2009.</w:t>
      </w:r>
    </w:p>
    <w:p w14:paraId="7BE910F7" w14:textId="77777777" w:rsidR="00287D58" w:rsidRDefault="003B78AF">
      <w:pPr>
        <w:pStyle w:val="PargrafodaLista"/>
        <w:numPr>
          <w:ilvl w:val="0"/>
          <w:numId w:val="1"/>
        </w:numPr>
        <w:spacing w:after="60" w:line="270" w:lineRule="auto"/>
        <w:jc w:val="both"/>
      </w:pPr>
      <w:r>
        <w:rPr>
          <w:b/>
          <w:bCs/>
          <w:sz w:val="21"/>
          <w:szCs w:val="21"/>
        </w:rPr>
        <w:t xml:space="preserve">GUEDES, Márcia Novaes. </w:t>
      </w:r>
      <w:r>
        <w:rPr>
          <w:sz w:val="21"/>
          <w:szCs w:val="21"/>
        </w:rPr>
        <w:t>Terror Psicológico no Trabalho. 3. ed. São Paulo: LTr, 2008.</w:t>
      </w:r>
    </w:p>
    <w:p w14:paraId="373CC9BE" w14:textId="77777777" w:rsidR="00287D58" w:rsidRDefault="003B78AF">
      <w:pPr>
        <w:pStyle w:val="PargrafodaLista"/>
        <w:numPr>
          <w:ilvl w:val="0"/>
          <w:numId w:val="1"/>
        </w:numPr>
        <w:spacing w:after="60" w:line="270" w:lineRule="auto"/>
        <w:jc w:val="both"/>
      </w:pPr>
      <w:r>
        <w:rPr>
          <w:b/>
          <w:bCs/>
          <w:sz w:val="21"/>
          <w:szCs w:val="21"/>
          <w:lang w:val="en-US"/>
        </w:rPr>
        <w:t>GUTEK, Barbara A.; KOSS, Mary P.</w:t>
      </w:r>
      <w:r>
        <w:rPr>
          <w:sz w:val="21"/>
          <w:szCs w:val="21"/>
          <w:lang w:val="en-US"/>
        </w:rPr>
        <w:t xml:space="preserve"> Changed women and changed organizations: Consequences of and coping with sexual harassment. </w:t>
      </w:r>
      <w:r>
        <w:rPr>
          <w:sz w:val="21"/>
          <w:szCs w:val="21"/>
        </w:rPr>
        <w:t>Journal of Vocational Behavior, v. 42, n. 1, p. 28–48, 1993.</w:t>
      </w:r>
    </w:p>
    <w:p w14:paraId="32145B29" w14:textId="77777777" w:rsidR="00287D58" w:rsidRDefault="003B78AF">
      <w:pPr>
        <w:pStyle w:val="PargrafodaLista"/>
        <w:numPr>
          <w:ilvl w:val="0"/>
          <w:numId w:val="1"/>
        </w:numPr>
        <w:spacing w:after="60" w:line="270" w:lineRule="auto"/>
        <w:jc w:val="both"/>
      </w:pPr>
      <w:r>
        <w:rPr>
          <w:b/>
          <w:bCs/>
          <w:sz w:val="21"/>
          <w:szCs w:val="21"/>
        </w:rPr>
        <w:t xml:space="preserve">HIRIGOYEN, Marie-France. </w:t>
      </w:r>
      <w:r>
        <w:rPr>
          <w:sz w:val="21"/>
          <w:szCs w:val="21"/>
        </w:rPr>
        <w:t>Assédio Moral: a violência perversa no cotidiano. Trad. Maria Helena Kühner. 15. ed. Rio de Janeiro: Bertrand Brasil, 2014.</w:t>
      </w:r>
    </w:p>
    <w:p w14:paraId="51FA0544" w14:textId="77777777" w:rsidR="00287D58" w:rsidRDefault="003B78AF">
      <w:pPr>
        <w:pStyle w:val="PargrafodaLista"/>
        <w:numPr>
          <w:ilvl w:val="0"/>
          <w:numId w:val="1"/>
        </w:numPr>
        <w:spacing w:after="60" w:line="270" w:lineRule="auto"/>
        <w:jc w:val="both"/>
      </w:pPr>
      <w:r>
        <w:rPr>
          <w:b/>
          <w:bCs/>
          <w:sz w:val="21"/>
          <w:szCs w:val="21"/>
          <w:lang w:val="en-US"/>
        </w:rPr>
        <w:lastRenderedPageBreak/>
        <w:t xml:space="preserve">KOSS, Mary P. et al. </w:t>
      </w:r>
      <w:r>
        <w:rPr>
          <w:sz w:val="21"/>
          <w:szCs w:val="21"/>
          <w:lang w:val="en-US"/>
        </w:rPr>
        <w:t xml:space="preserve">No Safe Haven: Male Violence Against Women at Home, at Work and in the Community. </w:t>
      </w:r>
      <w:r>
        <w:rPr>
          <w:sz w:val="21"/>
          <w:szCs w:val="21"/>
        </w:rPr>
        <w:t>Washington DC: American Psychological Association, 1994.</w:t>
      </w:r>
    </w:p>
    <w:p w14:paraId="7FA8E594" w14:textId="77777777" w:rsidR="00287D58" w:rsidRDefault="003B78AF">
      <w:pPr>
        <w:pStyle w:val="PargrafodaLista"/>
        <w:numPr>
          <w:ilvl w:val="0"/>
          <w:numId w:val="1"/>
        </w:numPr>
        <w:spacing w:after="60" w:line="270" w:lineRule="auto"/>
        <w:jc w:val="both"/>
      </w:pPr>
      <w:r>
        <w:rPr>
          <w:b/>
          <w:bCs/>
          <w:sz w:val="21"/>
          <w:szCs w:val="21"/>
          <w:lang w:val="en-US"/>
        </w:rPr>
        <w:t>KOSS, Mary P.; OROS, Cheryl J.</w:t>
      </w:r>
      <w:r>
        <w:rPr>
          <w:sz w:val="21"/>
          <w:szCs w:val="21"/>
          <w:lang w:val="en-US"/>
        </w:rPr>
        <w:t xml:space="preserve"> Sexual Experiences Survey: a research instrument investigating sexual aggression and victimization. </w:t>
      </w:r>
      <w:r>
        <w:rPr>
          <w:sz w:val="21"/>
          <w:szCs w:val="21"/>
        </w:rPr>
        <w:t>Journal of Consulting and Clinical Psychology, v. 50, n. 3, p. 455–457, 1982.</w:t>
      </w:r>
    </w:p>
    <w:p w14:paraId="0D7C63D7" w14:textId="77777777" w:rsidR="00287D58" w:rsidRPr="004479AA" w:rsidRDefault="003B78AF">
      <w:pPr>
        <w:pStyle w:val="PargrafodaLista"/>
        <w:numPr>
          <w:ilvl w:val="0"/>
          <w:numId w:val="1"/>
        </w:numPr>
        <w:spacing w:after="60" w:line="270" w:lineRule="auto"/>
        <w:jc w:val="both"/>
        <w:rPr>
          <w:lang w:val="en-US"/>
        </w:rPr>
      </w:pPr>
      <w:r>
        <w:rPr>
          <w:b/>
          <w:bCs/>
          <w:sz w:val="21"/>
          <w:szCs w:val="21"/>
          <w:lang w:val="en-US"/>
        </w:rPr>
        <w:t>LEYMANN, Heinz.</w:t>
      </w:r>
      <w:r>
        <w:rPr>
          <w:sz w:val="21"/>
          <w:szCs w:val="21"/>
          <w:lang w:val="en-US"/>
        </w:rPr>
        <w:t xml:space="preserve"> Mobbing and Psychological Terror at Workplaces. Violence and Victims, v. 5, n. 2, p. 119–126, 1990.</w:t>
      </w:r>
    </w:p>
    <w:p w14:paraId="780EF95B" w14:textId="77777777" w:rsidR="00287D58" w:rsidRPr="004479AA" w:rsidRDefault="003B78AF">
      <w:pPr>
        <w:pStyle w:val="PargrafodaLista"/>
        <w:numPr>
          <w:ilvl w:val="0"/>
          <w:numId w:val="1"/>
        </w:numPr>
        <w:spacing w:after="60" w:line="270" w:lineRule="auto"/>
        <w:jc w:val="both"/>
        <w:rPr>
          <w:lang w:val="en-US"/>
        </w:rPr>
      </w:pPr>
      <w:r>
        <w:rPr>
          <w:b/>
          <w:bCs/>
          <w:sz w:val="21"/>
          <w:szCs w:val="21"/>
          <w:lang w:val="en-US"/>
        </w:rPr>
        <w:t>LEYMANN, Heinz.</w:t>
      </w:r>
      <w:r>
        <w:rPr>
          <w:sz w:val="21"/>
          <w:szCs w:val="21"/>
          <w:lang w:val="en-US"/>
        </w:rPr>
        <w:t xml:space="preserve"> Mobbing at Work and the Development of Post-Traumatic Stress Disorders. European Journal of Work and Organizational Psychology, v. 5, n. 2, p. 251–275, 1996.</w:t>
      </w:r>
    </w:p>
    <w:p w14:paraId="7181187C" w14:textId="77777777" w:rsidR="00287D58" w:rsidRDefault="003B78AF">
      <w:pPr>
        <w:pStyle w:val="PargrafodaLista"/>
        <w:numPr>
          <w:ilvl w:val="0"/>
          <w:numId w:val="1"/>
        </w:numPr>
        <w:spacing w:after="60" w:line="270" w:lineRule="auto"/>
        <w:jc w:val="both"/>
      </w:pPr>
      <w:r>
        <w:rPr>
          <w:b/>
          <w:bCs/>
          <w:sz w:val="21"/>
          <w:szCs w:val="21"/>
          <w:lang w:val="en-US"/>
        </w:rPr>
        <w:t xml:space="preserve">MASLACH, Christina. </w:t>
      </w:r>
      <w:r>
        <w:rPr>
          <w:sz w:val="21"/>
          <w:szCs w:val="21"/>
          <w:lang w:val="en-US"/>
        </w:rPr>
        <w:t xml:space="preserve">Burnout: The Cost of Caring. </w:t>
      </w:r>
      <w:r>
        <w:rPr>
          <w:sz w:val="21"/>
          <w:szCs w:val="21"/>
        </w:rPr>
        <w:t>New Jersey: Prentice-Hall, 1982.</w:t>
      </w:r>
    </w:p>
    <w:p w14:paraId="009533C7" w14:textId="77777777" w:rsidR="00287D58" w:rsidRDefault="003B78AF">
      <w:pPr>
        <w:pStyle w:val="PargrafodaLista"/>
        <w:numPr>
          <w:ilvl w:val="0"/>
          <w:numId w:val="1"/>
        </w:numPr>
        <w:spacing w:after="60" w:line="270" w:lineRule="auto"/>
        <w:jc w:val="both"/>
      </w:pPr>
      <w:r>
        <w:rPr>
          <w:b/>
          <w:bCs/>
          <w:sz w:val="21"/>
          <w:szCs w:val="21"/>
        </w:rPr>
        <w:t xml:space="preserve">MASSON, Cleber. </w:t>
      </w:r>
      <w:r>
        <w:rPr>
          <w:sz w:val="21"/>
          <w:szCs w:val="21"/>
        </w:rPr>
        <w:t>Código Penal Comentado. 12. ed. São Paulo/Salvador: Método/JusPODIVM, 2024.</w:t>
      </w:r>
    </w:p>
    <w:p w14:paraId="76F00DF7" w14:textId="77777777" w:rsidR="00287D58" w:rsidRDefault="003B78AF">
      <w:pPr>
        <w:pStyle w:val="PargrafodaLista"/>
        <w:numPr>
          <w:ilvl w:val="0"/>
          <w:numId w:val="1"/>
        </w:numPr>
        <w:spacing w:after="60" w:line="270" w:lineRule="auto"/>
        <w:jc w:val="both"/>
      </w:pPr>
      <w:r>
        <w:rPr>
          <w:b/>
          <w:bCs/>
          <w:sz w:val="21"/>
          <w:szCs w:val="21"/>
        </w:rPr>
        <w:t xml:space="preserve">MEDAUAR, Odete. </w:t>
      </w:r>
      <w:r>
        <w:rPr>
          <w:sz w:val="21"/>
          <w:szCs w:val="21"/>
        </w:rPr>
        <w:t>Direito Administrativo Moderno. 22. ed. Belo Horizonte: Fórum, 2019.</w:t>
      </w:r>
    </w:p>
    <w:p w14:paraId="7254B12B" w14:textId="77777777" w:rsidR="00287D58" w:rsidRDefault="003B78AF">
      <w:pPr>
        <w:pStyle w:val="PargrafodaLista"/>
        <w:numPr>
          <w:ilvl w:val="0"/>
          <w:numId w:val="1"/>
        </w:numPr>
        <w:spacing w:after="60" w:line="270" w:lineRule="auto"/>
        <w:jc w:val="both"/>
      </w:pPr>
      <w:r>
        <w:rPr>
          <w:b/>
          <w:bCs/>
          <w:sz w:val="21"/>
          <w:szCs w:val="21"/>
        </w:rPr>
        <w:t xml:space="preserve">MEIRELLES, Hely Lopes. </w:t>
      </w:r>
      <w:r>
        <w:rPr>
          <w:sz w:val="21"/>
          <w:szCs w:val="21"/>
        </w:rPr>
        <w:t>Direito Administrativo Brasileiro. 42. ed. São Paulo: Malheiros, 2016.</w:t>
      </w:r>
    </w:p>
    <w:p w14:paraId="361DAE57" w14:textId="77777777" w:rsidR="00287D58" w:rsidRDefault="003B78AF">
      <w:pPr>
        <w:pStyle w:val="PargrafodaLista"/>
        <w:numPr>
          <w:ilvl w:val="0"/>
          <w:numId w:val="1"/>
        </w:numPr>
        <w:spacing w:after="60" w:line="270" w:lineRule="auto"/>
        <w:jc w:val="both"/>
      </w:pPr>
      <w:r>
        <w:rPr>
          <w:b/>
          <w:bCs/>
          <w:sz w:val="21"/>
          <w:szCs w:val="21"/>
        </w:rPr>
        <w:t xml:space="preserve">MORAES, Guilherme Peña de. </w:t>
      </w:r>
      <w:r>
        <w:rPr>
          <w:sz w:val="21"/>
          <w:szCs w:val="21"/>
        </w:rPr>
        <w:t>Curso de Direito Constitucional. 14. ed. São Paulo: Atlas, 2022.</w:t>
      </w:r>
    </w:p>
    <w:p w14:paraId="2BB612DA" w14:textId="77777777" w:rsidR="00287D58" w:rsidRPr="004479AA" w:rsidRDefault="003B78AF">
      <w:pPr>
        <w:pStyle w:val="PargrafodaLista"/>
        <w:numPr>
          <w:ilvl w:val="0"/>
          <w:numId w:val="1"/>
        </w:numPr>
        <w:spacing w:after="60" w:line="270" w:lineRule="auto"/>
        <w:jc w:val="both"/>
        <w:rPr>
          <w:lang w:val="en-US"/>
        </w:rPr>
      </w:pPr>
      <w:r>
        <w:rPr>
          <w:b/>
          <w:bCs/>
          <w:sz w:val="21"/>
          <w:szCs w:val="21"/>
          <w:lang w:val="en-US"/>
        </w:rPr>
        <w:t xml:space="preserve">MULLEN, Paul E.; PATHÉ, Michele; PURCELL, Rosemary. </w:t>
      </w:r>
      <w:r>
        <w:rPr>
          <w:i/>
          <w:sz w:val="21"/>
          <w:szCs w:val="21"/>
          <w:lang w:val="en-US"/>
        </w:rPr>
        <w:t>Stalker</w:t>
      </w:r>
      <w:r>
        <w:rPr>
          <w:sz w:val="21"/>
          <w:szCs w:val="21"/>
          <w:lang w:val="en-US"/>
        </w:rPr>
        <w:t>s and their Victims. Cambridge: Cambridge University Press, 2000.</w:t>
      </w:r>
    </w:p>
    <w:p w14:paraId="02FE0778" w14:textId="77777777" w:rsidR="00287D58" w:rsidRDefault="003B78AF">
      <w:pPr>
        <w:pStyle w:val="PargrafodaLista"/>
        <w:numPr>
          <w:ilvl w:val="0"/>
          <w:numId w:val="1"/>
        </w:numPr>
        <w:spacing w:after="60" w:line="270" w:lineRule="auto"/>
        <w:jc w:val="both"/>
      </w:pPr>
      <w:r>
        <w:rPr>
          <w:b/>
          <w:bCs/>
          <w:sz w:val="21"/>
          <w:szCs w:val="21"/>
          <w:lang w:val="en-US"/>
        </w:rPr>
        <w:t>NEAR, Janet P.; MICELI, Marcia P.</w:t>
      </w:r>
      <w:r>
        <w:rPr>
          <w:sz w:val="21"/>
          <w:szCs w:val="21"/>
          <w:lang w:val="en-US"/>
        </w:rPr>
        <w:t xml:space="preserve"> Organizational dissidence: the case of </w:t>
      </w:r>
      <w:proofErr w:type="gramStart"/>
      <w:r>
        <w:rPr>
          <w:sz w:val="21"/>
          <w:szCs w:val="21"/>
          <w:lang w:val="en-US"/>
        </w:rPr>
        <w:t>whistle-blowing</w:t>
      </w:r>
      <w:proofErr w:type="gramEnd"/>
      <w:r>
        <w:rPr>
          <w:sz w:val="21"/>
          <w:szCs w:val="21"/>
          <w:lang w:val="en-US"/>
        </w:rPr>
        <w:t xml:space="preserve">. </w:t>
      </w:r>
      <w:r>
        <w:rPr>
          <w:sz w:val="21"/>
          <w:szCs w:val="21"/>
        </w:rPr>
        <w:t>Journal of Business Ethics, v. 4, n. 1, p. 1–16, 1985.</w:t>
      </w:r>
    </w:p>
    <w:p w14:paraId="66714B00" w14:textId="77777777" w:rsidR="00287D58" w:rsidRDefault="003B78AF">
      <w:pPr>
        <w:pStyle w:val="PargrafodaLista"/>
        <w:numPr>
          <w:ilvl w:val="0"/>
          <w:numId w:val="1"/>
        </w:numPr>
        <w:spacing w:after="60" w:line="270" w:lineRule="auto"/>
        <w:jc w:val="both"/>
      </w:pPr>
      <w:r>
        <w:rPr>
          <w:b/>
          <w:bCs/>
          <w:sz w:val="21"/>
          <w:szCs w:val="21"/>
        </w:rPr>
        <w:t xml:space="preserve">NUCCI, Guilherme de Souza. </w:t>
      </w:r>
      <w:r>
        <w:rPr>
          <w:sz w:val="21"/>
          <w:szCs w:val="21"/>
        </w:rPr>
        <w:t>Código Penal Comentado. 23. ed. Rio de Janeiro: Forense, 2023.</w:t>
      </w:r>
    </w:p>
    <w:p w14:paraId="235738FD" w14:textId="77777777" w:rsidR="00287D58" w:rsidRDefault="003B78AF">
      <w:pPr>
        <w:pStyle w:val="PargrafodaLista"/>
        <w:numPr>
          <w:ilvl w:val="0"/>
          <w:numId w:val="1"/>
        </w:numPr>
        <w:spacing w:after="60" w:line="270" w:lineRule="auto"/>
        <w:jc w:val="both"/>
      </w:pPr>
      <w:r>
        <w:rPr>
          <w:b/>
          <w:bCs/>
          <w:sz w:val="21"/>
          <w:szCs w:val="21"/>
        </w:rPr>
        <w:t>PASOLD, Andrea M. Limongi.</w:t>
      </w:r>
      <w:r>
        <w:rPr>
          <w:sz w:val="21"/>
          <w:szCs w:val="21"/>
        </w:rPr>
        <w:t xml:space="preserve"> Discriminação indireta e o estudo da teoria do efeito disparatado. Revista da Escola Judicial do TRT4, Porto Alegre, v. 1, n. 2, p. 91–117, jul./dez. 2019.</w:t>
      </w:r>
    </w:p>
    <w:p w14:paraId="6432014C" w14:textId="77777777" w:rsidR="00287D58" w:rsidRPr="00A45AEB" w:rsidRDefault="003B78AF">
      <w:pPr>
        <w:pStyle w:val="PargrafodaLista"/>
        <w:numPr>
          <w:ilvl w:val="0"/>
          <w:numId w:val="1"/>
        </w:numPr>
        <w:spacing w:after="60" w:line="270" w:lineRule="auto"/>
        <w:jc w:val="both"/>
        <w:rPr>
          <w:lang w:val="en-US"/>
        </w:rPr>
      </w:pPr>
      <w:r>
        <w:rPr>
          <w:b/>
          <w:bCs/>
          <w:sz w:val="21"/>
          <w:szCs w:val="21"/>
          <w:lang w:val="en-US"/>
        </w:rPr>
        <w:t>PATHÉ, Michele; MULLEN, Paul E.</w:t>
      </w:r>
      <w:r>
        <w:rPr>
          <w:sz w:val="21"/>
          <w:szCs w:val="21"/>
          <w:lang w:val="en-US"/>
        </w:rPr>
        <w:t xml:space="preserve"> The impact of </w:t>
      </w:r>
      <w:r>
        <w:rPr>
          <w:i/>
          <w:sz w:val="21"/>
          <w:szCs w:val="21"/>
          <w:lang w:val="en-US"/>
        </w:rPr>
        <w:t>stalker</w:t>
      </w:r>
      <w:r>
        <w:rPr>
          <w:sz w:val="21"/>
          <w:szCs w:val="21"/>
          <w:lang w:val="en-US"/>
        </w:rPr>
        <w:t>s on their victims. British Journal of Psychiatry, v. 170, n. 1, p. 12–17, jan. 1997.</w:t>
      </w:r>
    </w:p>
    <w:p w14:paraId="6D68B412" w14:textId="77777777" w:rsidR="00287D58" w:rsidRDefault="003B78AF">
      <w:pPr>
        <w:pStyle w:val="PargrafodaLista"/>
        <w:numPr>
          <w:ilvl w:val="0"/>
          <w:numId w:val="1"/>
        </w:numPr>
        <w:spacing w:after="60" w:line="270" w:lineRule="auto"/>
        <w:jc w:val="both"/>
      </w:pPr>
      <w:r>
        <w:rPr>
          <w:b/>
          <w:bCs/>
          <w:sz w:val="21"/>
          <w:szCs w:val="21"/>
        </w:rPr>
        <w:t xml:space="preserve">PIOVESAN, Flávia. </w:t>
      </w:r>
      <w:r>
        <w:rPr>
          <w:sz w:val="21"/>
          <w:szCs w:val="21"/>
        </w:rPr>
        <w:t>Direitos Humanos e o Direito Constitucional Internacional. 14. ed. São Paulo: Saraiva, 2013.</w:t>
      </w:r>
    </w:p>
    <w:p w14:paraId="64D11338" w14:textId="77777777" w:rsidR="00287D58" w:rsidRDefault="003B78AF">
      <w:pPr>
        <w:pStyle w:val="PargrafodaLista"/>
        <w:numPr>
          <w:ilvl w:val="0"/>
          <w:numId w:val="1"/>
        </w:numPr>
        <w:spacing w:after="60" w:line="270" w:lineRule="auto"/>
        <w:jc w:val="both"/>
      </w:pPr>
      <w:r>
        <w:rPr>
          <w:b/>
          <w:bCs/>
          <w:sz w:val="21"/>
          <w:szCs w:val="21"/>
        </w:rPr>
        <w:t>PIOVESAN, Flávia.</w:t>
      </w:r>
      <w:r>
        <w:rPr>
          <w:sz w:val="21"/>
          <w:szCs w:val="21"/>
        </w:rPr>
        <w:t xml:space="preserve"> Igualdade, não discriminação e direitos humanos. Revista de Informação Legislativa, Brasília, a. 51, n. 204, p. 79–97, out./dez. 2014.</w:t>
      </w:r>
    </w:p>
    <w:p w14:paraId="43DB2EC6" w14:textId="77777777" w:rsidR="00287D58" w:rsidRDefault="003B78AF">
      <w:pPr>
        <w:pStyle w:val="PargrafodaLista"/>
        <w:numPr>
          <w:ilvl w:val="0"/>
          <w:numId w:val="1"/>
        </w:numPr>
        <w:spacing w:after="60" w:line="270" w:lineRule="auto"/>
        <w:jc w:val="both"/>
      </w:pPr>
      <w:r>
        <w:rPr>
          <w:b/>
          <w:bCs/>
          <w:sz w:val="21"/>
          <w:szCs w:val="21"/>
        </w:rPr>
        <w:t xml:space="preserve">SANCHES, Rogério. </w:t>
      </w:r>
      <w:r>
        <w:rPr>
          <w:sz w:val="21"/>
          <w:szCs w:val="21"/>
        </w:rPr>
        <w:t>Manual de Direito Penal, Parte Especial. 16. ed. São Paulo/Salvador: JusPODIVM, 2024.</w:t>
      </w:r>
    </w:p>
    <w:p w14:paraId="4A9E3D31" w14:textId="77777777" w:rsidR="00287D58" w:rsidRDefault="003B78AF">
      <w:pPr>
        <w:pStyle w:val="PargrafodaLista"/>
        <w:numPr>
          <w:ilvl w:val="0"/>
          <w:numId w:val="1"/>
        </w:numPr>
        <w:spacing w:after="60" w:line="270" w:lineRule="auto"/>
        <w:jc w:val="both"/>
      </w:pPr>
      <w:r>
        <w:rPr>
          <w:b/>
          <w:bCs/>
          <w:sz w:val="21"/>
          <w:szCs w:val="21"/>
        </w:rPr>
        <w:t xml:space="preserve">SARLET, Ingo Wolfgang. </w:t>
      </w:r>
      <w:r>
        <w:rPr>
          <w:sz w:val="21"/>
          <w:szCs w:val="21"/>
        </w:rPr>
        <w:t>Dignidade da Pessoa Humana e Direitos Fundamentais na Constituição Federal de 1988. 10. ed. Porto Alegre: Livraria do Advogado, 2015.</w:t>
      </w:r>
    </w:p>
    <w:p w14:paraId="339E63C8" w14:textId="77777777" w:rsidR="00287D58" w:rsidRDefault="003B78AF">
      <w:pPr>
        <w:pStyle w:val="PargrafodaLista"/>
        <w:numPr>
          <w:ilvl w:val="0"/>
          <w:numId w:val="1"/>
        </w:numPr>
        <w:spacing w:after="60" w:line="270" w:lineRule="auto"/>
        <w:jc w:val="both"/>
      </w:pPr>
      <w:r>
        <w:rPr>
          <w:b/>
          <w:bCs/>
          <w:sz w:val="21"/>
          <w:szCs w:val="21"/>
          <w:lang w:val="en-US"/>
        </w:rPr>
        <w:t>STEELE, Claude M.</w:t>
      </w:r>
      <w:r>
        <w:rPr>
          <w:sz w:val="21"/>
          <w:szCs w:val="21"/>
          <w:lang w:val="en-US"/>
        </w:rPr>
        <w:t xml:space="preserve"> A Threat in the Air: How Stereotypes Shape Intellectual Identity and Performance. </w:t>
      </w:r>
      <w:r>
        <w:rPr>
          <w:sz w:val="21"/>
          <w:szCs w:val="21"/>
        </w:rPr>
        <w:t>American Psychologist, v. 52, n. 6, p. 613–629, 1997.</w:t>
      </w:r>
    </w:p>
    <w:p w14:paraId="5E66C778" w14:textId="77777777" w:rsidR="00287D58" w:rsidRDefault="003B78AF">
      <w:pPr>
        <w:pStyle w:val="PargrafodaLista"/>
        <w:numPr>
          <w:ilvl w:val="0"/>
          <w:numId w:val="1"/>
        </w:numPr>
        <w:spacing w:after="60" w:line="270" w:lineRule="auto"/>
        <w:jc w:val="both"/>
      </w:pPr>
      <w:r>
        <w:rPr>
          <w:b/>
          <w:bCs/>
          <w:sz w:val="21"/>
          <w:szCs w:val="21"/>
          <w:lang w:val="en-US"/>
        </w:rPr>
        <w:t>STOCKDALE, Margaret S.; MAGLEY, Vicki J.</w:t>
      </w:r>
      <w:r>
        <w:rPr>
          <w:sz w:val="21"/>
          <w:szCs w:val="21"/>
          <w:lang w:val="en-US"/>
        </w:rPr>
        <w:t xml:space="preserve"> The Nature and Consequences of Sexual Harassment. In: STOCKDALE, M. S.; CROSBY, F. J. (Eds.). The Psychology and Management of Workplace Diversity. </w:t>
      </w:r>
      <w:r>
        <w:rPr>
          <w:sz w:val="21"/>
          <w:szCs w:val="21"/>
        </w:rPr>
        <w:t>Oxford: Blackwell, 2009.</w:t>
      </w:r>
    </w:p>
    <w:p w14:paraId="27FF424D" w14:textId="77777777" w:rsidR="00287D58" w:rsidRDefault="003B78AF">
      <w:pPr>
        <w:pStyle w:val="PargrafodaLista"/>
        <w:numPr>
          <w:ilvl w:val="0"/>
          <w:numId w:val="1"/>
        </w:numPr>
        <w:spacing w:after="60" w:line="270" w:lineRule="auto"/>
        <w:jc w:val="both"/>
      </w:pPr>
      <w:r>
        <w:rPr>
          <w:b/>
          <w:bCs/>
          <w:sz w:val="21"/>
          <w:szCs w:val="21"/>
          <w:lang w:val="en-US"/>
        </w:rPr>
        <w:t>TJADEN, Patricia; THOENNES, Nancy.</w:t>
      </w:r>
      <w:r>
        <w:rPr>
          <w:sz w:val="21"/>
          <w:szCs w:val="21"/>
          <w:lang w:val="en-US"/>
        </w:rPr>
        <w:t xml:space="preserve"> Prevalence and consequences of male-to-female and female-to-male intimate partner violence as measured by the National Violence Against Women Survey. </w:t>
      </w:r>
      <w:r>
        <w:rPr>
          <w:sz w:val="21"/>
          <w:szCs w:val="21"/>
        </w:rPr>
        <w:t>Violence Against Women, v. 6, n. 2, p. 142–161, 2000.</w:t>
      </w:r>
    </w:p>
    <w:p w14:paraId="069F598B" w14:textId="77777777" w:rsidR="00287D58" w:rsidRPr="00A45AEB" w:rsidRDefault="003B78AF">
      <w:pPr>
        <w:pStyle w:val="PargrafodaLista"/>
        <w:numPr>
          <w:ilvl w:val="0"/>
          <w:numId w:val="1"/>
        </w:numPr>
        <w:spacing w:after="60" w:line="270" w:lineRule="auto"/>
        <w:jc w:val="both"/>
        <w:rPr>
          <w:lang w:val="en-US"/>
        </w:rPr>
      </w:pPr>
      <w:r>
        <w:rPr>
          <w:b/>
          <w:bCs/>
          <w:sz w:val="21"/>
          <w:szCs w:val="21"/>
          <w:lang w:val="en-US"/>
        </w:rPr>
        <w:t xml:space="preserve">TJADEN, Patricia; THOENNES, Nancy. </w:t>
      </w:r>
      <w:r>
        <w:rPr>
          <w:i/>
          <w:sz w:val="21"/>
          <w:szCs w:val="21"/>
          <w:lang w:val="en-US"/>
        </w:rPr>
        <w:t>Stalking</w:t>
      </w:r>
      <w:r>
        <w:rPr>
          <w:sz w:val="21"/>
          <w:szCs w:val="21"/>
          <w:lang w:val="en-US"/>
        </w:rPr>
        <w:t xml:space="preserve"> in America: Findings from the National Violence Against Women Survey. Washington DC: NIJ/CDC, 1998.</w:t>
      </w:r>
    </w:p>
    <w:p w14:paraId="2A3AED9C" w14:textId="77777777" w:rsidR="00287D58" w:rsidRDefault="003B78AF">
      <w:pPr>
        <w:pStyle w:val="PargrafodaLista"/>
        <w:numPr>
          <w:ilvl w:val="0"/>
          <w:numId w:val="1"/>
        </w:numPr>
        <w:spacing w:after="60" w:line="270" w:lineRule="auto"/>
        <w:jc w:val="both"/>
      </w:pPr>
      <w:r>
        <w:rPr>
          <w:b/>
          <w:bCs/>
          <w:sz w:val="21"/>
          <w:szCs w:val="21"/>
          <w:lang w:val="en-US"/>
        </w:rPr>
        <w:lastRenderedPageBreak/>
        <w:t xml:space="preserve">TRANSPARÊNCIA INTERNACIONAL. </w:t>
      </w:r>
      <w:r>
        <w:rPr>
          <w:sz w:val="21"/>
          <w:szCs w:val="21"/>
          <w:lang w:val="en-US"/>
        </w:rPr>
        <w:t xml:space="preserve">Whistleblower Protection Laws in G20 Countries: Priorities for Action. </w:t>
      </w:r>
      <w:r>
        <w:rPr>
          <w:sz w:val="21"/>
          <w:szCs w:val="21"/>
        </w:rPr>
        <w:t>Berlin: Transparency International, 2022.</w:t>
      </w:r>
    </w:p>
    <w:p w14:paraId="31BA316B" w14:textId="77777777" w:rsidR="00287D58" w:rsidRDefault="003B78AF">
      <w:pPr>
        <w:pStyle w:val="PargrafodaLista"/>
        <w:numPr>
          <w:ilvl w:val="0"/>
          <w:numId w:val="1"/>
        </w:numPr>
        <w:spacing w:after="60" w:line="270" w:lineRule="auto"/>
        <w:jc w:val="both"/>
      </w:pPr>
      <w:r>
        <w:rPr>
          <w:b/>
          <w:bCs/>
          <w:sz w:val="21"/>
          <w:szCs w:val="21"/>
          <w:lang w:val="en-US"/>
        </w:rPr>
        <w:t xml:space="preserve">VAN DER KOLK, Bessel. </w:t>
      </w:r>
      <w:r>
        <w:rPr>
          <w:sz w:val="21"/>
          <w:szCs w:val="21"/>
          <w:lang w:val="en-US"/>
        </w:rPr>
        <w:t xml:space="preserve">The Body Keeps the Score: Brain, Mind and Body in the Healing of Trauma. </w:t>
      </w:r>
      <w:r>
        <w:rPr>
          <w:sz w:val="21"/>
          <w:szCs w:val="21"/>
        </w:rPr>
        <w:t>New York: Viking, 2014.</w:t>
      </w:r>
    </w:p>
    <w:p w14:paraId="4F06B51B" w14:textId="77777777" w:rsidR="00287D58" w:rsidRPr="00552589" w:rsidRDefault="003B78AF">
      <w:pPr>
        <w:pStyle w:val="PargrafodaLista"/>
        <w:numPr>
          <w:ilvl w:val="0"/>
          <w:numId w:val="1"/>
        </w:numPr>
        <w:spacing w:after="60" w:line="270" w:lineRule="auto"/>
        <w:jc w:val="both"/>
        <w:rPr>
          <w:lang w:val="en-US"/>
        </w:rPr>
      </w:pPr>
      <w:r>
        <w:rPr>
          <w:b/>
          <w:bCs/>
          <w:sz w:val="21"/>
          <w:szCs w:val="21"/>
          <w:lang w:val="en-US"/>
        </w:rPr>
        <w:t>ZAPF, Dieter et al.</w:t>
      </w:r>
      <w:r>
        <w:rPr>
          <w:sz w:val="21"/>
          <w:szCs w:val="21"/>
          <w:lang w:val="en-US"/>
        </w:rPr>
        <w:t xml:space="preserve"> Mobbing at Work: An Inquiry into a Still Under-Researched Phenomenon. In: ANTÓN CASTELLÁ SARRIERA (Org.). Salud Laboral. Porto Alegre: Artmed, 2001.</w:t>
      </w:r>
    </w:p>
    <w:p w14:paraId="4F5EA17A" w14:textId="77777777" w:rsidR="00287D58" w:rsidRDefault="003B78AF">
      <w:pPr>
        <w:pStyle w:val="PargrafodaLista"/>
        <w:numPr>
          <w:ilvl w:val="0"/>
          <w:numId w:val="1"/>
        </w:numPr>
        <w:spacing w:after="60" w:line="270" w:lineRule="auto"/>
        <w:jc w:val="both"/>
      </w:pPr>
      <w:r>
        <w:rPr>
          <w:b/>
          <w:bCs/>
          <w:sz w:val="21"/>
          <w:szCs w:val="21"/>
          <w:lang w:val="en-US"/>
        </w:rPr>
        <w:t>ZONA, Michael A.; SHARMA, Kaushal K.; LANE, John.</w:t>
      </w:r>
      <w:r>
        <w:rPr>
          <w:sz w:val="21"/>
          <w:szCs w:val="21"/>
          <w:lang w:val="en-US"/>
        </w:rPr>
        <w:t xml:space="preserve"> A comparative study of erotomania and obsessional subjects in a forensic sample. </w:t>
      </w:r>
      <w:r>
        <w:rPr>
          <w:sz w:val="21"/>
          <w:szCs w:val="21"/>
        </w:rPr>
        <w:t>Journal of Forensic Sciences, v. 38, n. 4, p. 894–903, 1993.</w:t>
      </w:r>
    </w:p>
    <w:p w14:paraId="7C65A8E6" w14:textId="77777777" w:rsidR="00287D58" w:rsidRDefault="003B78AF">
      <w:pPr>
        <w:pStyle w:val="Ttulo2"/>
        <w:keepNext/>
      </w:pPr>
      <w:bookmarkStart w:id="213" w:name="_Toc238022202"/>
      <w:r>
        <w:t>Legislação brasileira</w:t>
      </w:r>
      <w:bookmarkEnd w:id="213"/>
    </w:p>
    <w:p w14:paraId="630D68C1"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Constituição da República Federativa do Brasil de 1988. Arts. 1º, III; 3º, IV; 5º (caput, X, XXXIV, XXXV, XXXIX, XLI e XLII); 37 (caput e § 6º); 41.</w:t>
      </w:r>
    </w:p>
    <w:p w14:paraId="14788EDB"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Decreto-Lei nº 2.848, de 7 de dezembro de 1940 (Código Penal). Arts. 23, 25, 109, 129, 146, 147, 147-A e 216-A.</w:t>
      </w:r>
    </w:p>
    <w:p w14:paraId="700D19C2"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Decreto-Lei nº 3.688, de 3 de outubro de 1941 (Lei das Contravenções Penais). Art. 21 (vias de fato).</w:t>
      </w:r>
    </w:p>
    <w:p w14:paraId="41A21C24"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7.716, de 5 de janeiro de 1989 (Lei do Racismo). Especialmente arts. 1º e 3º.</w:t>
      </w:r>
    </w:p>
    <w:p w14:paraId="031E63E1"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7.853, de 24 de outubro de 1989. Dispõe sobre o apoio às pessoas portadoras de deficiência.</w:t>
      </w:r>
    </w:p>
    <w:p w14:paraId="3FEA5733"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8.112, de 11 de dezembro de 1990. Regime Jurídico dos Servidores Públicos Civis da União. Arts. 116, 117, 121–130, 132, 142, 143 e 147.</w:t>
      </w:r>
    </w:p>
    <w:p w14:paraId="1C201CAB"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9.029, de 13 de abril de 1995. Proíbe práticas discriminatórias nas relações de emprego.</w:t>
      </w:r>
    </w:p>
    <w:p w14:paraId="16F88E23"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9.784, de 29 de janeiro de 1999. Regula o processo administrativo no âmbito da Administração Pública Federal.</w:t>
      </w:r>
    </w:p>
    <w:p w14:paraId="5871892A"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10.224, de 15 de maio de 2001. Acrescenta o art. 216-A ao Código Penal (assédio sexual).</w:t>
      </w:r>
    </w:p>
    <w:p w14:paraId="16A7EFCB"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10.406, de 10 de janeiro de 2002 (Código Civil). Art. 927 (responsabilidade civil).</w:t>
      </w:r>
    </w:p>
    <w:p w14:paraId="43A708ED"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13.146, de 6 de julho de 2015 (Lei Brasileira de Inclusão da Pessoa com Deficiência).</w:t>
      </w:r>
    </w:p>
    <w:p w14:paraId="7A0E3F31"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13.608, de 10 de janeiro de 2018. Serviço de recebimento de denúncias; proteção ao denunciante.</w:t>
      </w:r>
    </w:p>
    <w:p w14:paraId="0F9B2580"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13.709, de 14 de agosto de 2018 (Lei Geral de Proteção de Dados Pessoais, LGPD).</w:t>
      </w:r>
    </w:p>
    <w:p w14:paraId="4DFA6C27"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14.132, de 31 de março de 2021. Acrescenta o art. 147-A ao Código Penal (perseguição, </w:t>
      </w:r>
      <w:r>
        <w:rPr>
          <w:i/>
          <w:sz w:val="21"/>
          <w:szCs w:val="21"/>
        </w:rPr>
        <w:t>stalking</w:t>
      </w:r>
      <w:r>
        <w:rPr>
          <w:sz w:val="21"/>
          <w:szCs w:val="21"/>
        </w:rPr>
        <w:t>).</w:t>
      </w:r>
    </w:p>
    <w:p w14:paraId="1B13E70B"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14.230, de 25 de outubro de 2021. Altera a Lei de Improbidade Administrativa. Art. 3º, § 1º (proteção ao participante de apuração).</w:t>
      </w:r>
    </w:p>
    <w:p w14:paraId="6593406C"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Lei nº 14.457, de 21 de setembro de 2022. Programa Emprega + Mulheres; prevenção e combate ao assédio (CIPA+A).</w:t>
      </w:r>
    </w:p>
    <w:p w14:paraId="5D1B6E9C" w14:textId="77777777" w:rsidR="00287D58" w:rsidRDefault="003B78AF">
      <w:pPr>
        <w:pStyle w:val="Ttulo2"/>
        <w:keepNext/>
      </w:pPr>
      <w:bookmarkStart w:id="214" w:name="_Toc238022203"/>
      <w:r>
        <w:lastRenderedPageBreak/>
        <w:t>Decretos</w:t>
      </w:r>
      <w:bookmarkEnd w:id="214"/>
    </w:p>
    <w:p w14:paraId="006F4EC9"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Decreto nº 5.480, de 30 de junho de 2005. Sistema de Correição do Poder Executivo Federal (Siscor).</w:t>
      </w:r>
    </w:p>
    <w:p w14:paraId="492E2F04"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Decreto nº 62.150, de 19 de janeiro de 1968. Promulga a Convenção nº 111 da OIT.</w:t>
      </w:r>
    </w:p>
    <w:p w14:paraId="0BCE7690" w14:textId="77777777" w:rsidR="00287D58" w:rsidRDefault="003B78AF">
      <w:pPr>
        <w:pStyle w:val="PargrafodaLista"/>
        <w:numPr>
          <w:ilvl w:val="0"/>
          <w:numId w:val="1"/>
        </w:numPr>
        <w:spacing w:after="60" w:line="270" w:lineRule="auto"/>
        <w:jc w:val="both"/>
      </w:pPr>
      <w:r>
        <w:rPr>
          <w:b/>
          <w:bCs/>
          <w:sz w:val="21"/>
          <w:szCs w:val="21"/>
        </w:rPr>
        <w:t>BRASIL.</w:t>
      </w:r>
      <w:r>
        <w:rPr>
          <w:sz w:val="21"/>
          <w:szCs w:val="21"/>
        </w:rPr>
        <w:t xml:space="preserve"> Decreto nº 10.932, de 10 de janeiro de 2022. Promulga a Convenção Interamericana contra o Racismo.</w:t>
      </w:r>
    </w:p>
    <w:p w14:paraId="0AA7238B" w14:textId="77777777" w:rsidR="00287D58" w:rsidRDefault="003B78AF">
      <w:pPr>
        <w:pStyle w:val="Ttulo2"/>
        <w:keepNext/>
      </w:pPr>
      <w:bookmarkStart w:id="215" w:name="_Toc238022204"/>
      <w:r>
        <w:t>Jurisprudência</w:t>
      </w:r>
      <w:bookmarkEnd w:id="215"/>
    </w:p>
    <w:p w14:paraId="490B4BEF" w14:textId="77777777" w:rsidR="00287D58" w:rsidRDefault="003B78AF">
      <w:pPr>
        <w:pStyle w:val="PargrafodaLista"/>
        <w:numPr>
          <w:ilvl w:val="0"/>
          <w:numId w:val="1"/>
        </w:numPr>
        <w:spacing w:after="60" w:line="270" w:lineRule="auto"/>
        <w:jc w:val="both"/>
      </w:pPr>
      <w:r>
        <w:rPr>
          <w:b/>
          <w:bCs/>
          <w:sz w:val="21"/>
          <w:szCs w:val="21"/>
        </w:rPr>
        <w:t>BRASIL. Supremo Tribunal Federal.</w:t>
      </w:r>
      <w:r>
        <w:rPr>
          <w:sz w:val="21"/>
          <w:szCs w:val="21"/>
        </w:rPr>
        <w:t xml:space="preserve"> Ação Direta de Inconstitucionalidade por Omissão nº 26/DF e Mandado de Injunção nº 4.733/DF. Rel. Min. Celso de Mello. Plenário, 13 jun. 2019. Criminalização da homotransfobia.</w:t>
      </w:r>
    </w:p>
    <w:p w14:paraId="516CF1C1" w14:textId="77777777" w:rsidR="00287D58" w:rsidRDefault="003B78AF">
      <w:pPr>
        <w:pStyle w:val="PargrafodaLista"/>
        <w:numPr>
          <w:ilvl w:val="0"/>
          <w:numId w:val="1"/>
        </w:numPr>
        <w:spacing w:after="60" w:line="270" w:lineRule="auto"/>
        <w:jc w:val="both"/>
      </w:pPr>
      <w:r>
        <w:rPr>
          <w:b/>
          <w:bCs/>
          <w:sz w:val="21"/>
          <w:szCs w:val="21"/>
        </w:rPr>
        <w:t>BRASIL. Superior Tribunal de Justiça.</w:t>
      </w:r>
      <w:r>
        <w:rPr>
          <w:sz w:val="21"/>
          <w:szCs w:val="21"/>
        </w:rPr>
        <w:t xml:space="preserve"> Súmula nº 650. 1ª Seção, aprovada em 22 set. 2021. DJe 27 set. 2021. Demissão como ato vinculado nas hipóteses do art. 132 da Lei nº 8.112, de 1990.</w:t>
      </w:r>
    </w:p>
    <w:p w14:paraId="5B836276" w14:textId="77777777" w:rsidR="00287D58" w:rsidRDefault="003B78AF">
      <w:pPr>
        <w:pStyle w:val="PargrafodaLista"/>
        <w:numPr>
          <w:ilvl w:val="0"/>
          <w:numId w:val="1"/>
        </w:numPr>
        <w:spacing w:after="60" w:line="270" w:lineRule="auto"/>
        <w:jc w:val="both"/>
      </w:pPr>
      <w:r>
        <w:rPr>
          <w:b/>
          <w:bCs/>
          <w:sz w:val="21"/>
          <w:szCs w:val="21"/>
        </w:rPr>
        <w:t>BRASIL. Superior Tribunal de Justiça.</w:t>
      </w:r>
      <w:r>
        <w:rPr>
          <w:sz w:val="21"/>
          <w:szCs w:val="21"/>
        </w:rPr>
        <w:t xml:space="preserve"> Súmula nº 674. 1ª Seção, aprovada em 13 nov. 2024. DJe 25 nov. 2024. Admissibilidade de fundamentação per relationem em processos disciplinares.</w:t>
      </w:r>
    </w:p>
    <w:p w14:paraId="5A65318A" w14:textId="77777777" w:rsidR="00287D58" w:rsidRDefault="003B78AF">
      <w:pPr>
        <w:pStyle w:val="PargrafodaLista"/>
        <w:numPr>
          <w:ilvl w:val="0"/>
          <w:numId w:val="1"/>
        </w:numPr>
        <w:spacing w:after="60" w:line="270" w:lineRule="auto"/>
        <w:jc w:val="both"/>
      </w:pPr>
      <w:r>
        <w:rPr>
          <w:b/>
          <w:bCs/>
          <w:sz w:val="21"/>
          <w:szCs w:val="21"/>
        </w:rPr>
        <w:t>BRASIL. Tribunal Regional Federal da 5ª Região.</w:t>
      </w:r>
      <w:r>
        <w:rPr>
          <w:sz w:val="21"/>
          <w:szCs w:val="21"/>
        </w:rPr>
        <w:t xml:space="preserve"> AMS nº 2002.83.00.003652-9. Rel. Des. Federal Marcelo Navarro. Nexo funcional no art. 132, VII da Lei nº 8.112, de 1990. 2003.</w:t>
      </w:r>
    </w:p>
    <w:p w14:paraId="772A71D1" w14:textId="77777777" w:rsidR="00287D58" w:rsidRDefault="003B78AF">
      <w:pPr>
        <w:pStyle w:val="PargrafodaLista"/>
        <w:numPr>
          <w:ilvl w:val="0"/>
          <w:numId w:val="1"/>
        </w:numPr>
        <w:spacing w:after="60" w:line="270" w:lineRule="auto"/>
        <w:jc w:val="both"/>
      </w:pPr>
      <w:r>
        <w:rPr>
          <w:b/>
          <w:bCs/>
          <w:sz w:val="21"/>
          <w:szCs w:val="21"/>
          <w:lang w:val="en-US"/>
        </w:rPr>
        <w:t xml:space="preserve">Ellison v. Brady, </w:t>
      </w:r>
      <w:r>
        <w:rPr>
          <w:sz w:val="21"/>
          <w:szCs w:val="21"/>
          <w:lang w:val="en-US"/>
        </w:rPr>
        <w:t xml:space="preserve">924 F.2d 872 (9th Cir. 1991). </w:t>
      </w:r>
      <w:r>
        <w:rPr>
          <w:sz w:val="21"/>
          <w:szCs w:val="21"/>
        </w:rPr>
        <w:t>Padrão da mulher razoável (reasonable woman standard) na avaliação do assédio sexual ambiental.</w:t>
      </w:r>
    </w:p>
    <w:p w14:paraId="325D5457" w14:textId="77777777" w:rsidR="00287D58" w:rsidRDefault="003B78AF">
      <w:pPr>
        <w:pStyle w:val="Ttulo2"/>
        <w:keepNext/>
      </w:pPr>
      <w:bookmarkStart w:id="216" w:name="_Toc238022205"/>
      <w:r>
        <w:t>Atos orientativos e documentos institucionais</w:t>
      </w:r>
      <w:bookmarkEnd w:id="216"/>
    </w:p>
    <w:p w14:paraId="4179595C" w14:textId="77777777" w:rsidR="00287D58" w:rsidRDefault="003B78AF">
      <w:pPr>
        <w:pStyle w:val="PargrafodaLista"/>
        <w:numPr>
          <w:ilvl w:val="0"/>
          <w:numId w:val="1"/>
        </w:numPr>
        <w:spacing w:after="60" w:line="270" w:lineRule="auto"/>
        <w:jc w:val="both"/>
      </w:pPr>
      <w:r>
        <w:rPr>
          <w:b/>
          <w:bCs/>
          <w:sz w:val="21"/>
          <w:szCs w:val="21"/>
        </w:rPr>
        <w:t>BRASIL. Advocacia-Geral da União.</w:t>
      </w:r>
      <w:r>
        <w:rPr>
          <w:sz w:val="21"/>
          <w:szCs w:val="21"/>
        </w:rPr>
        <w:t xml:space="preserve"> Parecer nº 00015/2023/CONSUNIAO/CGU/AGU (Parecer JM-03). Assédio sexual no âmbito do serviço público federal. 4 set. 2023. Vinculante para a APF.</w:t>
      </w:r>
    </w:p>
    <w:p w14:paraId="6765EA66" w14:textId="77777777" w:rsidR="00287D58" w:rsidRDefault="003B78AF">
      <w:pPr>
        <w:pStyle w:val="PargrafodaLista"/>
        <w:numPr>
          <w:ilvl w:val="0"/>
          <w:numId w:val="1"/>
        </w:numPr>
        <w:spacing w:after="60" w:line="270" w:lineRule="auto"/>
        <w:jc w:val="both"/>
      </w:pPr>
      <w:r>
        <w:rPr>
          <w:b/>
          <w:bCs/>
          <w:sz w:val="21"/>
          <w:szCs w:val="21"/>
        </w:rPr>
        <w:t>BRASIL. Conselho Nacional de Justiça.</w:t>
      </w:r>
      <w:r>
        <w:rPr>
          <w:sz w:val="21"/>
          <w:szCs w:val="21"/>
        </w:rPr>
        <w:t xml:space="preserve"> Protocolo para Julgamento com Perspectiva de Gênero. Brasília: CNJ, 2021 (Portaria CNJ nº 27/2021).</w:t>
      </w:r>
    </w:p>
    <w:p w14:paraId="4BDE2BF0" w14:textId="77777777" w:rsidR="00287D58" w:rsidRDefault="003B78AF">
      <w:pPr>
        <w:pStyle w:val="PargrafodaLista"/>
        <w:numPr>
          <w:ilvl w:val="0"/>
          <w:numId w:val="1"/>
        </w:numPr>
        <w:spacing w:after="60" w:line="270" w:lineRule="auto"/>
        <w:jc w:val="both"/>
      </w:pPr>
      <w:r>
        <w:rPr>
          <w:b/>
          <w:bCs/>
          <w:sz w:val="21"/>
          <w:szCs w:val="21"/>
        </w:rPr>
        <w:t>BRASIL. Controladoria-Geral da União.</w:t>
      </w:r>
      <w:r>
        <w:rPr>
          <w:sz w:val="21"/>
          <w:szCs w:val="21"/>
        </w:rPr>
        <w:t xml:space="preserve"> Estudo Temático, Assédio Moral no Siscor. Brasília: CGU/CRG, 2023. Documento de referência da NT nº 93/2024.</w:t>
      </w:r>
    </w:p>
    <w:p w14:paraId="25486AB5" w14:textId="77777777" w:rsidR="00287D58" w:rsidRDefault="003B78AF">
      <w:pPr>
        <w:pStyle w:val="PargrafodaLista"/>
        <w:numPr>
          <w:ilvl w:val="0"/>
          <w:numId w:val="1"/>
        </w:numPr>
        <w:spacing w:after="60" w:line="270" w:lineRule="auto"/>
        <w:jc w:val="both"/>
      </w:pPr>
      <w:r>
        <w:rPr>
          <w:b/>
          <w:bCs/>
          <w:sz w:val="21"/>
          <w:szCs w:val="21"/>
        </w:rPr>
        <w:t>BRASIL. Controladoria-Geral da União.</w:t>
      </w:r>
      <w:r>
        <w:rPr>
          <w:sz w:val="21"/>
          <w:szCs w:val="21"/>
        </w:rPr>
        <w:t xml:space="preserve"> Guia Lilás, Enfrentamento ao Assédio e à Discriminação no Serviço Público Federal. Brasília: CGU, 2023. Ed. atualizada: 2024.</w:t>
      </w:r>
    </w:p>
    <w:p w14:paraId="66327765" w14:textId="77777777" w:rsidR="00287D58" w:rsidRDefault="003B78AF">
      <w:pPr>
        <w:pStyle w:val="PargrafodaLista"/>
        <w:numPr>
          <w:ilvl w:val="0"/>
          <w:numId w:val="1"/>
        </w:numPr>
        <w:spacing w:after="60" w:line="270" w:lineRule="auto"/>
        <w:jc w:val="both"/>
      </w:pPr>
      <w:r>
        <w:rPr>
          <w:b/>
          <w:bCs/>
          <w:sz w:val="21"/>
          <w:szCs w:val="21"/>
        </w:rPr>
        <w:t>BRASIL. Controladoria-Geral da União.</w:t>
      </w:r>
      <w:r>
        <w:rPr>
          <w:sz w:val="21"/>
          <w:szCs w:val="21"/>
        </w:rPr>
        <w:t xml:space="preserve"> Guia Teórico e Prático da Dosimetria da Sanção Disciplinar. Brasília: CGU/CRG, 2024.</w:t>
      </w:r>
    </w:p>
    <w:p w14:paraId="391B4F22" w14:textId="77777777" w:rsidR="00287D58" w:rsidRDefault="003B78AF">
      <w:pPr>
        <w:pStyle w:val="PargrafodaLista"/>
        <w:numPr>
          <w:ilvl w:val="0"/>
          <w:numId w:val="1"/>
        </w:numPr>
        <w:spacing w:after="60" w:line="270" w:lineRule="auto"/>
        <w:jc w:val="both"/>
      </w:pPr>
      <w:r>
        <w:rPr>
          <w:b/>
          <w:bCs/>
          <w:sz w:val="21"/>
          <w:szCs w:val="21"/>
        </w:rPr>
        <w:t>BRASIL. Controladoria-Geral da União.</w:t>
      </w:r>
      <w:r>
        <w:rPr>
          <w:sz w:val="21"/>
          <w:szCs w:val="21"/>
        </w:rPr>
        <w:t xml:space="preserve"> Manual de Processo Administrativo Disciplinar. Brasília: CGU, 2021.</w:t>
      </w:r>
    </w:p>
    <w:p w14:paraId="67B7A557" w14:textId="77777777" w:rsidR="00287D58" w:rsidRDefault="003B78AF">
      <w:pPr>
        <w:pStyle w:val="PargrafodaLista"/>
        <w:numPr>
          <w:ilvl w:val="0"/>
          <w:numId w:val="1"/>
        </w:numPr>
        <w:spacing w:after="60" w:line="270" w:lineRule="auto"/>
        <w:jc w:val="both"/>
      </w:pPr>
      <w:r>
        <w:rPr>
          <w:b/>
          <w:bCs/>
          <w:sz w:val="21"/>
          <w:szCs w:val="21"/>
        </w:rPr>
        <w:t>BRASIL. Controladoria-Geral da União. Corregedoria-Geral da União.</w:t>
      </w:r>
      <w:r>
        <w:rPr>
          <w:sz w:val="21"/>
          <w:szCs w:val="21"/>
        </w:rPr>
        <w:t xml:space="preserve"> Nota Técnica nº 93/2024/CGUNE/DICOR/CRG. Enquadramento disciplinar do assédio moral e da discriminação. Processo nº 00190.100264/2024-58. Aprovada em 26 fev. 2024.</w:t>
      </w:r>
    </w:p>
    <w:p w14:paraId="0B4EDA38" w14:textId="77777777" w:rsidR="00287D58" w:rsidRDefault="003B78AF">
      <w:pPr>
        <w:pStyle w:val="PargrafodaLista"/>
        <w:numPr>
          <w:ilvl w:val="0"/>
          <w:numId w:val="1"/>
        </w:numPr>
        <w:spacing w:after="60" w:line="270" w:lineRule="auto"/>
        <w:jc w:val="both"/>
      </w:pPr>
      <w:r>
        <w:rPr>
          <w:b/>
          <w:bCs/>
          <w:sz w:val="21"/>
          <w:szCs w:val="21"/>
        </w:rPr>
        <w:t>BRASIL. Controladoria-Geral da União. Corregedoria-Geral da União.</w:t>
      </w:r>
      <w:r>
        <w:rPr>
          <w:sz w:val="21"/>
          <w:szCs w:val="21"/>
        </w:rPr>
        <w:t xml:space="preserve"> Nota Técnica nº 544/2024/CGUNE/DICOR/CRG. Possibilidades de enquadramento da conduta de ameaçar. Processo nº 00190.110304/2023-99. 30 out. 2024.</w:t>
      </w:r>
    </w:p>
    <w:p w14:paraId="6B164120" w14:textId="77777777" w:rsidR="00287D58" w:rsidRDefault="003B78AF">
      <w:pPr>
        <w:pStyle w:val="PargrafodaLista"/>
        <w:numPr>
          <w:ilvl w:val="0"/>
          <w:numId w:val="1"/>
        </w:numPr>
        <w:spacing w:after="60" w:line="270" w:lineRule="auto"/>
        <w:jc w:val="both"/>
      </w:pPr>
      <w:r>
        <w:rPr>
          <w:b/>
          <w:bCs/>
          <w:sz w:val="21"/>
          <w:szCs w:val="21"/>
        </w:rPr>
        <w:t>BRASIL. Controladoria-Geral da União. Corregedoria-Geral da União.</w:t>
      </w:r>
      <w:r>
        <w:rPr>
          <w:sz w:val="21"/>
          <w:szCs w:val="21"/>
        </w:rPr>
        <w:t xml:space="preserve"> Nota Técnica nº 3285/2023/CGUNE/DICOR/CRG. Enquadramento disciplinar das condutas de cunho sexual. Processo nº 00190.108994/2023-16. Aprovada em 11 dez. 2023.</w:t>
      </w:r>
    </w:p>
    <w:p w14:paraId="4FCD5DF6" w14:textId="77777777" w:rsidR="00287D58" w:rsidRDefault="003B78AF">
      <w:pPr>
        <w:pStyle w:val="Ttulo2"/>
        <w:keepNext/>
      </w:pPr>
      <w:bookmarkStart w:id="217" w:name="_Toc238022206"/>
      <w:r>
        <w:lastRenderedPageBreak/>
        <w:t>Documentos internacionais</w:t>
      </w:r>
      <w:bookmarkEnd w:id="217"/>
    </w:p>
    <w:p w14:paraId="149A9198" w14:textId="77777777" w:rsidR="00287D58" w:rsidRDefault="003B78AF">
      <w:pPr>
        <w:pStyle w:val="PargrafodaLista"/>
        <w:numPr>
          <w:ilvl w:val="0"/>
          <w:numId w:val="1"/>
        </w:numPr>
        <w:spacing w:after="60" w:line="270" w:lineRule="auto"/>
        <w:jc w:val="both"/>
      </w:pPr>
      <w:r>
        <w:rPr>
          <w:b/>
          <w:bCs/>
          <w:sz w:val="21"/>
          <w:szCs w:val="21"/>
        </w:rPr>
        <w:t>ORGANIZAÇÃO INTERNACIONAL DO TRABALHO.</w:t>
      </w:r>
      <w:r>
        <w:rPr>
          <w:sz w:val="21"/>
          <w:szCs w:val="21"/>
        </w:rPr>
        <w:t xml:space="preserve"> Convenção nº 111, Discriminação (Emprego e Profissão), 1958. Ratificada pelo Brasil em 1965. Promulgada pelo Decreto nº 62.150/1968.</w:t>
      </w:r>
    </w:p>
    <w:p w14:paraId="08D024ED" w14:textId="77777777" w:rsidR="00287D58" w:rsidRDefault="003B78AF">
      <w:pPr>
        <w:pStyle w:val="PargrafodaLista"/>
        <w:numPr>
          <w:ilvl w:val="0"/>
          <w:numId w:val="1"/>
        </w:numPr>
        <w:spacing w:after="60" w:line="270" w:lineRule="auto"/>
        <w:jc w:val="both"/>
      </w:pPr>
      <w:r>
        <w:rPr>
          <w:b/>
          <w:bCs/>
          <w:sz w:val="21"/>
          <w:szCs w:val="21"/>
        </w:rPr>
        <w:t>ORGANIZAÇÃO INTERNACIONAL DO TRABALHO.</w:t>
      </w:r>
      <w:r>
        <w:rPr>
          <w:sz w:val="21"/>
          <w:szCs w:val="21"/>
        </w:rPr>
        <w:t xml:space="preserve"> Convenção nº 190, Eliminação da Violência e do Assédio no Mundo do Trabalho, 2019. Encaminhada pelo Poder Executivo ao Congresso Nacional (Mensagem nº 85, de 2023); ainda não ratificada pelo Brasil.</w:t>
      </w:r>
    </w:p>
    <w:p w14:paraId="34254E1F" w14:textId="77777777" w:rsidR="00287D58" w:rsidRDefault="003B78AF">
      <w:pPr>
        <w:pStyle w:val="PargrafodaLista"/>
        <w:numPr>
          <w:ilvl w:val="0"/>
          <w:numId w:val="1"/>
        </w:numPr>
        <w:spacing w:after="60" w:line="270" w:lineRule="auto"/>
        <w:jc w:val="both"/>
      </w:pPr>
      <w:r>
        <w:rPr>
          <w:b/>
          <w:bCs/>
          <w:sz w:val="21"/>
          <w:szCs w:val="21"/>
        </w:rPr>
        <w:t>ORGANIZAÇÃO MUNDIAL DA SAÚDE.</w:t>
      </w:r>
      <w:r>
        <w:rPr>
          <w:sz w:val="21"/>
          <w:szCs w:val="21"/>
        </w:rPr>
        <w:t xml:space="preserve"> Relatório Mundial sobre Violência e Saúde (World Report on Violence and Health). Genebra: OMS, 2002.</w:t>
      </w:r>
    </w:p>
    <w:p w14:paraId="1632D3AE" w14:textId="77777777" w:rsidR="00287D58" w:rsidRDefault="00287D58">
      <w:pPr>
        <w:spacing w:after="120"/>
      </w:pPr>
    </w:p>
    <w:p w14:paraId="36EF7A93" w14:textId="77777777" w:rsidR="00287D58" w:rsidRDefault="003B78AF">
      <w:pPr>
        <w:pBdr>
          <w:top w:val="single" w:sz="8" w:space="6" w:color="C9A35C"/>
        </w:pBdr>
        <w:spacing w:before="60" w:after="20"/>
      </w:pPr>
      <w:r>
        <w:rPr>
          <w:i/>
          <w:iCs/>
          <w:color w:val="5B6781"/>
        </w:rPr>
        <w:t>Manual elaborado pela Corregedoria da Receita Federal do Brasil, COGER/RFB.</w:t>
      </w:r>
    </w:p>
    <w:p w14:paraId="1C3E345E" w14:textId="77777777" w:rsidR="00287D58" w:rsidRDefault="003B78AF">
      <w:r>
        <w:rPr>
          <w:color w:val="5B6781"/>
        </w:rPr>
        <w:t>Versão 1.0, junho de 2026 · Uso interno restrito.</w:t>
      </w:r>
    </w:p>
    <w:p w14:paraId="196BC142" w14:textId="77777777" w:rsidR="00287D58" w:rsidRDefault="003B78AF">
      <w:r>
        <w:t>Ferramenta Condutas Funcionais, Integritas | 8 eixos | 32 resultados numerados | 8 saídas de arquivamento ou redirecionamento.</w:t>
      </w:r>
    </w:p>
    <w:sectPr w:rsidR="00287D58">
      <w:headerReference w:type="default" r:id="rId10"/>
      <w:footerReference w:type="default" r:id="rId11"/>
      <w:pgSz w:w="11906" w:h="16838"/>
      <w:pgMar w:top="1418" w:right="1134" w:bottom="1418" w:left="1701" w:header="7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9A036" w14:textId="77777777" w:rsidR="00A47804" w:rsidRDefault="00A47804">
      <w:pPr>
        <w:spacing w:line="240" w:lineRule="auto"/>
      </w:pPr>
      <w:r>
        <w:separator/>
      </w:r>
    </w:p>
  </w:endnote>
  <w:endnote w:type="continuationSeparator" w:id="0">
    <w:p w14:paraId="54A7A32A" w14:textId="77777777" w:rsidR="00A47804" w:rsidRDefault="00A478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0000000000000000000"/>
    <w:charset w:val="00"/>
    <w:family w:val="roman"/>
    <w:notTrueType/>
    <w:pitch w:val="default"/>
  </w:font>
  <w:font w:name="Barlow Condensed">
    <w:charset w:val="00"/>
    <w:family w:val="auto"/>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JetBrains 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5F19" w14:textId="77777777" w:rsidR="00287D58" w:rsidRDefault="003B78AF">
    <w:pPr>
      <w:pBdr>
        <w:top w:val="single" w:sz="6" w:space="6" w:color="C9A35C"/>
      </w:pBdr>
      <w:tabs>
        <w:tab w:val="right" w:pos="9070"/>
      </w:tabs>
      <w:spacing w:before="60"/>
    </w:pPr>
    <w:proofErr w:type="gramStart"/>
    <w:r>
      <w:rPr>
        <w:rFonts w:ascii="Barlow Condensed" w:eastAsia="Barlow Condensed" w:hAnsi="Barlow Condensed" w:cs="Barlow Condensed"/>
        <w:b/>
        <w:bCs/>
        <w:color w:val="0B2C5F"/>
        <w:spacing w:val="20"/>
        <w:sz w:val="15"/>
        <w:szCs w:val="15"/>
      </w:rPr>
      <w:t>INTEGRITAS</w:t>
    </w:r>
    <w:r>
      <w:rPr>
        <w:color w:val="5B6781"/>
        <w:sz w:val="14"/>
        <w:szCs w:val="14"/>
      </w:rPr>
      <w:t xml:space="preserve">  ·</w:t>
    </w:r>
    <w:proofErr w:type="gramEnd"/>
    <w:r>
      <w:rPr>
        <w:color w:val="5B6781"/>
        <w:sz w:val="14"/>
        <w:szCs w:val="14"/>
      </w:rPr>
      <w:t xml:space="preserve">  Manual de Análise de Condutas, Versão </w:t>
    </w:r>
    <w:proofErr w:type="gramStart"/>
    <w:r>
      <w:rPr>
        <w:color w:val="5B6781"/>
        <w:sz w:val="14"/>
        <w:szCs w:val="14"/>
      </w:rPr>
      <w:t>1.0  ·</w:t>
    </w:r>
    <w:proofErr w:type="gramEnd"/>
    <w:r>
      <w:rPr>
        <w:color w:val="5B6781"/>
        <w:sz w:val="14"/>
        <w:szCs w:val="14"/>
      </w:rPr>
      <w:t xml:space="preserve">  COGER/RFB — uso interno restrito</w:t>
    </w:r>
    <w:r>
      <w:tab/>
    </w:r>
    <w:r>
      <w:rPr>
        <w:rFonts w:ascii="JetBrains Mono" w:eastAsia="JetBrains Mono" w:hAnsi="JetBrains Mono" w:cs="JetBrains Mono"/>
        <w:color w:val="0B2C5F"/>
        <w:sz w:val="14"/>
        <w:szCs w:val="14"/>
      </w:rPr>
      <w:t xml:space="preserve">Pág. </w:t>
    </w:r>
    <w:r>
      <w:rPr>
        <w:rFonts w:ascii="JetBrains Mono" w:eastAsia="JetBrains Mono" w:hAnsi="JetBrains Mono" w:cs="JetBrains Mono"/>
        <w:color w:val="0B2C5F"/>
        <w:sz w:val="14"/>
        <w:szCs w:val="14"/>
      </w:rPr>
      <w:fldChar w:fldCharType="begin"/>
    </w:r>
    <w:r>
      <w:rPr>
        <w:rFonts w:ascii="JetBrains Mono" w:eastAsia="JetBrains Mono" w:hAnsi="JetBrains Mono" w:cs="JetBrains Mono"/>
        <w:color w:val="0B2C5F"/>
        <w:sz w:val="14"/>
        <w:szCs w:val="14"/>
      </w:rPr>
      <w:instrText>PAGE</w:instrText>
    </w:r>
    <w:r>
      <w:rPr>
        <w:rFonts w:ascii="JetBrains Mono" w:eastAsia="JetBrains Mono" w:hAnsi="JetBrains Mono" w:cs="JetBrains Mono"/>
        <w:color w:val="0B2C5F"/>
        <w:sz w:val="14"/>
        <w:szCs w:val="14"/>
      </w:rPr>
      <w:fldChar w:fldCharType="separate"/>
    </w:r>
    <w:r w:rsidR="004479AA">
      <w:rPr>
        <w:rFonts w:ascii="JetBrains Mono" w:eastAsia="JetBrains Mono" w:hAnsi="JetBrains Mono" w:cs="JetBrains Mono"/>
        <w:noProof/>
        <w:color w:val="0B2C5F"/>
        <w:sz w:val="14"/>
        <w:szCs w:val="14"/>
      </w:rPr>
      <w:t>1</w:t>
    </w:r>
    <w:r>
      <w:rPr>
        <w:rFonts w:ascii="JetBrains Mono" w:eastAsia="JetBrains Mono" w:hAnsi="JetBrains Mono" w:cs="JetBrains Mono"/>
        <w:color w:val="0B2C5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B8264" w14:textId="77777777" w:rsidR="00A47804" w:rsidRDefault="00A47804">
      <w:pPr>
        <w:spacing w:line="240" w:lineRule="auto"/>
      </w:pPr>
      <w:r>
        <w:separator/>
      </w:r>
    </w:p>
  </w:footnote>
  <w:footnote w:type="continuationSeparator" w:id="0">
    <w:p w14:paraId="141A338F" w14:textId="77777777" w:rsidR="00A47804" w:rsidRDefault="00A47804">
      <w:pPr>
        <w:spacing w:line="240" w:lineRule="auto"/>
      </w:pPr>
      <w:r>
        <w:continuationSeparator/>
      </w:r>
    </w:p>
  </w:footnote>
  <w:footnote w:id="1">
    <w:p w14:paraId="2C9CB08B" w14:textId="77777777" w:rsidR="00C70A33" w:rsidRPr="0009649B" w:rsidRDefault="00C70A33">
      <w:pPr>
        <w:pStyle w:val="Textodenotaderodap"/>
        <w:rPr>
          <w:i/>
          <w:iCs/>
          <w:sz w:val="16"/>
          <w:szCs w:val="16"/>
        </w:rPr>
      </w:pPr>
      <w:r w:rsidRPr="0009649B">
        <w:rPr>
          <w:rStyle w:val="Refdenotaderodap"/>
          <w:i/>
          <w:iCs/>
          <w:sz w:val="16"/>
          <w:szCs w:val="16"/>
        </w:rPr>
        <w:footnoteRef/>
      </w:r>
      <w:r w:rsidRPr="0009649B">
        <w:rPr>
          <w:i/>
          <w:iCs/>
          <w:sz w:val="16"/>
          <w:szCs w:val="16"/>
        </w:rPr>
        <w:t xml:space="preserve"> </w:t>
      </w:r>
      <w:r w:rsidR="002C7931" w:rsidRPr="0009649B">
        <w:rPr>
          <w:i/>
          <w:iCs/>
          <w:sz w:val="16"/>
          <w:szCs w:val="16"/>
        </w:rPr>
        <w:t>Curso de Direito Administrativo, 35. ed., São Paulo/Salvador, Malheiros/JusPODIVM, 2021, p. 134-135</w:t>
      </w:r>
    </w:p>
  </w:footnote>
  <w:footnote w:id="2">
    <w:p w14:paraId="122D9220" w14:textId="77777777" w:rsidR="007464F6" w:rsidRPr="0009649B" w:rsidRDefault="007464F6">
      <w:pPr>
        <w:pStyle w:val="Textodenotaderodap"/>
        <w:rPr>
          <w:i/>
          <w:iCs/>
          <w:sz w:val="16"/>
          <w:szCs w:val="16"/>
        </w:rPr>
      </w:pPr>
      <w:r w:rsidRPr="0009649B">
        <w:rPr>
          <w:rStyle w:val="Refdenotaderodap"/>
          <w:i/>
          <w:iCs/>
          <w:sz w:val="16"/>
          <w:szCs w:val="16"/>
        </w:rPr>
        <w:footnoteRef/>
      </w:r>
      <w:r w:rsidRPr="0009649B">
        <w:rPr>
          <w:i/>
          <w:iCs/>
          <w:sz w:val="16"/>
          <w:szCs w:val="16"/>
        </w:rPr>
        <w:t xml:space="preserve"> Direito Administrativo Moderno, 22. ed., Belo Horizonte, Fórum, 2019, p. 302</w:t>
      </w:r>
    </w:p>
  </w:footnote>
  <w:footnote w:id="3">
    <w:p w14:paraId="794B8FFE" w14:textId="77777777" w:rsidR="00146637" w:rsidRPr="0009649B" w:rsidRDefault="00146637">
      <w:pPr>
        <w:pStyle w:val="Textodenotaderodap"/>
        <w:rPr>
          <w:i/>
          <w:iCs/>
          <w:sz w:val="16"/>
          <w:szCs w:val="16"/>
        </w:rPr>
      </w:pPr>
      <w:r w:rsidRPr="0009649B">
        <w:rPr>
          <w:rStyle w:val="Refdenotaderodap"/>
          <w:i/>
          <w:iCs/>
          <w:sz w:val="16"/>
          <w:szCs w:val="16"/>
        </w:rPr>
        <w:footnoteRef/>
      </w:r>
      <w:r w:rsidRPr="0009649B">
        <w:rPr>
          <w:i/>
          <w:iCs/>
          <w:sz w:val="16"/>
          <w:szCs w:val="16"/>
        </w:rPr>
        <w:t xml:space="preserve"> Luciano de Faria Brasil, O direito administrativo disciplinar no âmbito do Ministério Público, Revista do MP, Porto Alegre, v. 53, p. 98, 2005</w:t>
      </w:r>
    </w:p>
  </w:footnote>
  <w:footnote w:id="4">
    <w:p w14:paraId="62DFF038" w14:textId="77777777" w:rsidR="00D46B55" w:rsidRPr="0009649B" w:rsidRDefault="00D46B55">
      <w:pPr>
        <w:pStyle w:val="Textodenotaderodap"/>
        <w:rPr>
          <w:i/>
          <w:iCs/>
        </w:rPr>
      </w:pPr>
      <w:r w:rsidRPr="0009649B">
        <w:rPr>
          <w:rStyle w:val="Refdenotaderodap"/>
          <w:i/>
          <w:iCs/>
          <w:sz w:val="16"/>
          <w:szCs w:val="16"/>
        </w:rPr>
        <w:footnoteRef/>
      </w:r>
      <w:r w:rsidRPr="0009649B">
        <w:rPr>
          <w:i/>
          <w:iCs/>
          <w:sz w:val="16"/>
          <w:szCs w:val="16"/>
        </w:rPr>
        <w:t xml:space="preserve"> Curso de Direito Administrativo, 35. ed., São Paulo/Salvador: Malheiros/</w:t>
      </w:r>
      <w:r w:rsidRPr="0009649B">
        <w:rPr>
          <w:i/>
          <w:iCs/>
          <w:sz w:val="16"/>
          <w:szCs w:val="16"/>
        </w:rPr>
        <w:t>JusPODIVM, 2021, p. 134</w:t>
      </w:r>
      <w:r w:rsidR="007F6B1D" w:rsidRPr="0009649B">
        <w:rPr>
          <w:i/>
          <w:iCs/>
          <w:sz w:val="16"/>
          <w:szCs w:val="16"/>
        </w:rPr>
        <w:t>.</w:t>
      </w:r>
    </w:p>
  </w:footnote>
  <w:footnote w:id="5">
    <w:p w14:paraId="440F7261" w14:textId="77777777" w:rsidR="007F6B1D" w:rsidRPr="0009649B" w:rsidRDefault="007F6B1D">
      <w:pPr>
        <w:pStyle w:val="Textodenotaderodap"/>
        <w:rPr>
          <w:i/>
          <w:iCs/>
          <w:sz w:val="16"/>
          <w:szCs w:val="16"/>
        </w:rPr>
      </w:pPr>
      <w:r w:rsidRPr="0009649B">
        <w:rPr>
          <w:rStyle w:val="Refdenotaderodap"/>
          <w:i/>
          <w:iCs/>
          <w:sz w:val="16"/>
          <w:szCs w:val="16"/>
        </w:rPr>
        <w:footnoteRef/>
      </w:r>
      <w:r w:rsidRPr="0009649B">
        <w:rPr>
          <w:i/>
          <w:iCs/>
          <w:sz w:val="16"/>
          <w:szCs w:val="16"/>
        </w:rPr>
        <w:t xml:space="preserve"> Manual de Direito Administrativo, 37. ed., São Paulo: Atlas, 2023, p. 700.</w:t>
      </w:r>
    </w:p>
  </w:footnote>
  <w:footnote w:id="6">
    <w:p w14:paraId="1FA3CB82" w14:textId="77777777" w:rsidR="00613E20" w:rsidRPr="0009649B" w:rsidRDefault="00613E20">
      <w:pPr>
        <w:pStyle w:val="Textodenotaderodap"/>
        <w:rPr>
          <w:i/>
          <w:iCs/>
          <w:sz w:val="16"/>
          <w:szCs w:val="16"/>
        </w:rPr>
      </w:pPr>
      <w:r w:rsidRPr="0009649B">
        <w:rPr>
          <w:rStyle w:val="Refdenotaderodap"/>
          <w:i/>
          <w:iCs/>
          <w:sz w:val="16"/>
          <w:szCs w:val="16"/>
        </w:rPr>
        <w:footnoteRef/>
      </w:r>
      <w:r w:rsidRPr="0009649B">
        <w:rPr>
          <w:i/>
          <w:iCs/>
          <w:sz w:val="16"/>
          <w:szCs w:val="16"/>
        </w:rPr>
        <w:t xml:space="preserve"> Manual de Direito Administrativo, 37. ed., São Paulo: Atlas, 2023, p. 702</w:t>
      </w:r>
    </w:p>
  </w:footnote>
  <w:footnote w:id="7">
    <w:p w14:paraId="69C2ECA7" w14:textId="77777777" w:rsidR="002E444F" w:rsidRPr="0009649B" w:rsidRDefault="002E444F">
      <w:pPr>
        <w:pStyle w:val="Textodenotaderodap"/>
        <w:rPr>
          <w:i/>
          <w:iCs/>
          <w:sz w:val="16"/>
          <w:szCs w:val="16"/>
        </w:rPr>
      </w:pPr>
      <w:r w:rsidRPr="0009649B">
        <w:rPr>
          <w:rStyle w:val="Refdenotaderodap"/>
          <w:i/>
          <w:iCs/>
          <w:sz w:val="16"/>
          <w:szCs w:val="16"/>
        </w:rPr>
        <w:footnoteRef/>
      </w:r>
      <w:r w:rsidRPr="0009649B">
        <w:rPr>
          <w:i/>
          <w:iCs/>
          <w:sz w:val="16"/>
          <w:szCs w:val="16"/>
        </w:rPr>
        <w:t xml:space="preserve"> Direito Administrativo Brasileiro, 42. ed., São Paulo: Malheiros, 2016, p. 131</w:t>
      </w:r>
    </w:p>
  </w:footnote>
  <w:footnote w:id="8">
    <w:p w14:paraId="75FDA5DF" w14:textId="77777777" w:rsidR="0094141D" w:rsidRPr="0009649B" w:rsidRDefault="0094141D">
      <w:pPr>
        <w:pStyle w:val="Textodenotaderodap"/>
        <w:rPr>
          <w:i/>
          <w:iCs/>
          <w:sz w:val="16"/>
          <w:szCs w:val="16"/>
        </w:rPr>
      </w:pPr>
      <w:r w:rsidRPr="0009649B">
        <w:rPr>
          <w:rStyle w:val="Refdenotaderodap"/>
          <w:i/>
          <w:iCs/>
          <w:sz w:val="16"/>
          <w:szCs w:val="16"/>
        </w:rPr>
        <w:footnoteRef/>
      </w:r>
      <w:r w:rsidRPr="0009649B">
        <w:rPr>
          <w:i/>
          <w:iCs/>
          <w:sz w:val="16"/>
          <w:szCs w:val="16"/>
        </w:rPr>
        <w:t xml:space="preserve"> Curso de Direito Administrativo, 35. ed., São Paulo/Salvador: Malheiros/</w:t>
      </w:r>
      <w:r w:rsidRPr="0009649B">
        <w:rPr>
          <w:i/>
          <w:iCs/>
          <w:sz w:val="16"/>
          <w:szCs w:val="16"/>
        </w:rPr>
        <w:t>JusPODIVM, 2021, p. 134</w:t>
      </w:r>
    </w:p>
  </w:footnote>
  <w:footnote w:id="9">
    <w:p w14:paraId="1ED148BC" w14:textId="77777777" w:rsidR="0094141D" w:rsidRPr="0009649B" w:rsidRDefault="0094141D">
      <w:pPr>
        <w:pStyle w:val="Textodenotaderodap"/>
        <w:rPr>
          <w:i/>
          <w:iCs/>
          <w:sz w:val="16"/>
          <w:szCs w:val="16"/>
        </w:rPr>
      </w:pPr>
      <w:r w:rsidRPr="0009649B">
        <w:rPr>
          <w:rStyle w:val="Refdenotaderodap"/>
          <w:i/>
          <w:iCs/>
          <w:sz w:val="16"/>
          <w:szCs w:val="16"/>
        </w:rPr>
        <w:footnoteRef/>
      </w:r>
      <w:r w:rsidRPr="0009649B">
        <w:rPr>
          <w:i/>
          <w:iCs/>
          <w:sz w:val="16"/>
          <w:szCs w:val="16"/>
        </w:rPr>
        <w:t xml:space="preserve"> Direito Administrativo Moderno, 22. ed., Belo Horizonte: Fórum, 2019, p. 302</w:t>
      </w:r>
    </w:p>
  </w:footnote>
  <w:footnote w:id="10">
    <w:p w14:paraId="5DE01D5A" w14:textId="77777777" w:rsidR="00D92C62" w:rsidRPr="0009649B" w:rsidRDefault="00D92C62">
      <w:pPr>
        <w:pStyle w:val="Textodenotaderodap"/>
        <w:rPr>
          <w:i/>
          <w:iCs/>
          <w:sz w:val="16"/>
          <w:szCs w:val="16"/>
        </w:rPr>
      </w:pPr>
      <w:r w:rsidRPr="0009649B">
        <w:rPr>
          <w:rStyle w:val="Refdenotaderodap"/>
          <w:i/>
          <w:iCs/>
          <w:sz w:val="16"/>
          <w:szCs w:val="16"/>
        </w:rPr>
        <w:footnoteRef/>
      </w:r>
      <w:r w:rsidRPr="0009649B">
        <w:rPr>
          <w:i/>
          <w:iCs/>
          <w:sz w:val="16"/>
          <w:szCs w:val="16"/>
        </w:rPr>
        <w:t xml:space="preserve"> </w:t>
      </w:r>
      <w:r w:rsidRPr="0009649B">
        <w:rPr>
          <w:b/>
          <w:bCs/>
          <w:i/>
          <w:iCs/>
          <w:sz w:val="16"/>
          <w:szCs w:val="16"/>
        </w:rPr>
        <w:t>CGU</w:t>
      </w:r>
      <w:r w:rsidRPr="0009649B">
        <w:rPr>
          <w:i/>
          <w:iCs/>
          <w:sz w:val="16"/>
          <w:szCs w:val="16"/>
        </w:rPr>
        <w:t>, Manual de Processo Administrativo Disciplinar, Brasília: CGU, 2021, p. 89</w:t>
      </w:r>
    </w:p>
  </w:footnote>
  <w:footnote w:id="11">
    <w:p w14:paraId="79D2E35A" w14:textId="77777777" w:rsidR="00482CB1" w:rsidRPr="0009649B" w:rsidRDefault="00482CB1">
      <w:pPr>
        <w:pStyle w:val="Textodenotaderodap"/>
        <w:rPr>
          <w:i/>
          <w:iCs/>
          <w:sz w:val="16"/>
          <w:szCs w:val="16"/>
        </w:rPr>
      </w:pPr>
      <w:r w:rsidRPr="0009649B">
        <w:rPr>
          <w:rStyle w:val="Refdenotaderodap"/>
          <w:i/>
          <w:iCs/>
          <w:sz w:val="16"/>
          <w:szCs w:val="16"/>
        </w:rPr>
        <w:footnoteRef/>
      </w:r>
      <w:r w:rsidRPr="0009649B">
        <w:rPr>
          <w:i/>
          <w:iCs/>
          <w:sz w:val="16"/>
          <w:szCs w:val="16"/>
        </w:rPr>
        <w:t xml:space="preserve"> O preenchimento dos conceitos indeterminados nos tipos disciplinares", Revista Opinião Jurídica, Fortaleza, v. 8, n. 12, p. 263, 2010</w:t>
      </w:r>
    </w:p>
  </w:footnote>
  <w:footnote w:id="12">
    <w:p w14:paraId="2A68F5D9" w14:textId="77777777" w:rsidR="00057EA9" w:rsidRPr="00057EA9" w:rsidRDefault="00057EA9">
      <w:pPr>
        <w:pStyle w:val="Textodenotaderodap"/>
        <w:rPr>
          <w:sz w:val="16"/>
          <w:szCs w:val="16"/>
        </w:rPr>
      </w:pPr>
      <w:r w:rsidRPr="00057EA9">
        <w:rPr>
          <w:rStyle w:val="Refdenotaderodap"/>
          <w:sz w:val="16"/>
          <w:szCs w:val="16"/>
        </w:rPr>
        <w:footnoteRef/>
      </w:r>
      <w:r w:rsidRPr="00057EA9">
        <w:rPr>
          <w:sz w:val="16"/>
          <w:szCs w:val="16"/>
        </w:rPr>
        <w:t xml:space="preserve"> </w:t>
      </w:r>
      <w:r w:rsidRPr="00057EA9">
        <w:rPr>
          <w:i/>
          <w:iCs/>
          <w:sz w:val="16"/>
          <w:szCs w:val="16"/>
        </w:rPr>
        <w:t>Direito Administrativo Brasileiro</w:t>
      </w:r>
      <w:r w:rsidRPr="00057EA9">
        <w:rPr>
          <w:sz w:val="16"/>
          <w:szCs w:val="16"/>
        </w:rPr>
        <w:t>, 42. ed., São Paulo: Malheiros, 2016, p. 746</w:t>
      </w:r>
    </w:p>
  </w:footnote>
  <w:footnote w:id="13">
    <w:p w14:paraId="17AC4CF1" w14:textId="77777777" w:rsidR="00CF54B1" w:rsidRPr="0009649B" w:rsidRDefault="00CF54B1">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The Body Keeps the Score, 2014</w:t>
      </w:r>
    </w:p>
  </w:footnote>
  <w:footnote w:id="14">
    <w:p w14:paraId="48107B7D" w14:textId="77777777" w:rsidR="004A0621" w:rsidRPr="0009649B" w:rsidRDefault="004A0621">
      <w:pPr>
        <w:pStyle w:val="Textodenotaderodap"/>
        <w:rPr>
          <w:i/>
          <w:iCs/>
          <w:sz w:val="16"/>
          <w:szCs w:val="16"/>
        </w:rPr>
      </w:pPr>
      <w:r w:rsidRPr="0009649B">
        <w:rPr>
          <w:rStyle w:val="Refdenotaderodap"/>
          <w:i/>
          <w:iCs/>
          <w:sz w:val="16"/>
          <w:szCs w:val="16"/>
        </w:rPr>
        <w:footnoteRef/>
      </w:r>
      <w:r w:rsidRPr="0009649B">
        <w:rPr>
          <w:i/>
          <w:iCs/>
          <w:sz w:val="16"/>
          <w:szCs w:val="16"/>
        </w:rPr>
        <w:t xml:space="preserve"> Curso de Direito Penal, 19. ed., Niterói: </w:t>
      </w:r>
      <w:r w:rsidRPr="0009649B">
        <w:rPr>
          <w:i/>
          <w:iCs/>
          <w:sz w:val="16"/>
          <w:szCs w:val="16"/>
        </w:rPr>
        <w:t>Impetus, 2017, v. II, p. 485</w:t>
      </w:r>
    </w:p>
  </w:footnote>
  <w:footnote w:id="15">
    <w:p w14:paraId="3B5E3E41" w14:textId="77777777" w:rsidR="004A0621" w:rsidRPr="0009649B" w:rsidRDefault="004A0621">
      <w:pPr>
        <w:pStyle w:val="Textodenotaderodap"/>
        <w:rPr>
          <w:i/>
          <w:iCs/>
          <w:sz w:val="16"/>
          <w:szCs w:val="16"/>
        </w:rPr>
      </w:pPr>
      <w:r w:rsidRPr="0009649B">
        <w:rPr>
          <w:rStyle w:val="Refdenotaderodap"/>
          <w:i/>
          <w:iCs/>
          <w:sz w:val="16"/>
          <w:szCs w:val="16"/>
        </w:rPr>
        <w:footnoteRef/>
      </w:r>
      <w:r w:rsidRPr="0009649B">
        <w:rPr>
          <w:i/>
          <w:iCs/>
          <w:sz w:val="16"/>
          <w:szCs w:val="16"/>
        </w:rPr>
        <w:t xml:space="preserve"> Curso de Direito Penal, v. 2, 18. ed., São Paulo: Saraiva, 2018, p. 388</w:t>
      </w:r>
    </w:p>
  </w:footnote>
  <w:footnote w:id="16">
    <w:p w14:paraId="29872745" w14:textId="77777777" w:rsidR="00FA3D55" w:rsidRPr="0009649B" w:rsidRDefault="00FA3D55">
      <w:pPr>
        <w:pStyle w:val="Textodenotaderodap"/>
        <w:rPr>
          <w:i/>
          <w:iCs/>
          <w:sz w:val="16"/>
          <w:szCs w:val="16"/>
        </w:rPr>
      </w:pPr>
      <w:r w:rsidRPr="0009649B">
        <w:rPr>
          <w:rStyle w:val="Refdenotaderodap"/>
          <w:i/>
          <w:iCs/>
          <w:sz w:val="16"/>
          <w:szCs w:val="16"/>
        </w:rPr>
        <w:footnoteRef/>
      </w:r>
      <w:r w:rsidRPr="0009649B">
        <w:rPr>
          <w:i/>
          <w:iCs/>
          <w:sz w:val="16"/>
          <w:szCs w:val="16"/>
        </w:rPr>
        <w:t xml:space="preserve"> Dignidade da Pessoa Humana e Direitos Fundamentais, 10. ed., Porto Alegre: Livraria do Advogado, 2015, p. 81</w:t>
      </w:r>
    </w:p>
  </w:footnote>
  <w:footnote w:id="17">
    <w:p w14:paraId="40FA4BDF" w14:textId="77777777" w:rsidR="00FD4CBB" w:rsidRPr="00FD4CBB" w:rsidRDefault="00FD4CBB">
      <w:pPr>
        <w:pStyle w:val="Textodenotaderodap"/>
        <w:rPr>
          <w:sz w:val="16"/>
          <w:szCs w:val="16"/>
          <w:lang w:val="en-US"/>
        </w:rPr>
      </w:pPr>
      <w:r w:rsidRPr="00FD4CBB">
        <w:rPr>
          <w:rStyle w:val="Refdenotaderodap"/>
          <w:sz w:val="16"/>
          <w:szCs w:val="16"/>
        </w:rPr>
        <w:footnoteRef/>
      </w:r>
      <w:r w:rsidRPr="00FD4CBB">
        <w:rPr>
          <w:sz w:val="16"/>
          <w:szCs w:val="16"/>
          <w:lang w:val="en-US"/>
        </w:rPr>
        <w:t xml:space="preserve"> </w:t>
      </w:r>
      <w:r w:rsidR="007D04F5" w:rsidRPr="007D04F5">
        <w:rPr>
          <w:i/>
          <w:iCs/>
          <w:sz w:val="16"/>
          <w:szCs w:val="16"/>
          <w:lang w:val="en-US"/>
        </w:rPr>
        <w:t>Introduction to Feminist Legal Theory, 3. ed., New York: Aspen Publishers, 2013, p. 14</w:t>
      </w:r>
      <w:r w:rsidRPr="00FD4CBB">
        <w:rPr>
          <w:sz w:val="16"/>
          <w:szCs w:val="16"/>
          <w:lang w:val="en-US"/>
        </w:rPr>
        <w:t>9</w:t>
      </w:r>
    </w:p>
  </w:footnote>
  <w:footnote w:id="18">
    <w:p w14:paraId="5D3D80A1" w14:textId="77777777" w:rsidR="00964365" w:rsidRPr="0009649B" w:rsidRDefault="00964365">
      <w:pPr>
        <w:pStyle w:val="Textodenotaderodap"/>
        <w:rPr>
          <w:i/>
          <w:iCs/>
          <w:sz w:val="16"/>
          <w:szCs w:val="16"/>
        </w:rPr>
      </w:pPr>
      <w:r w:rsidRPr="0009649B">
        <w:rPr>
          <w:rStyle w:val="Refdenotaderodap"/>
          <w:i/>
          <w:iCs/>
          <w:sz w:val="16"/>
          <w:szCs w:val="16"/>
        </w:rPr>
        <w:footnoteRef/>
      </w:r>
      <w:r w:rsidRPr="0009649B">
        <w:rPr>
          <w:i/>
          <w:iCs/>
          <w:sz w:val="16"/>
          <w:szCs w:val="16"/>
        </w:rPr>
        <w:t xml:space="preserve"> Curso de Direito Civil Brasileiro, v. 1, 39. ed., São Paulo: Saraiva, 2022, p. 418</w:t>
      </w:r>
    </w:p>
  </w:footnote>
  <w:footnote w:id="19">
    <w:p w14:paraId="1B7C796E" w14:textId="77777777" w:rsidR="003F30C7" w:rsidRPr="0009649B" w:rsidRDefault="003F30C7">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FITZGERALD, Louise F. et al. The incidence and dimensions of sexual harassment in academia and the workplace. Journal of Vocational Behavior, v. 32, p. 152–175, 1988</w:t>
      </w:r>
    </w:p>
  </w:footnote>
  <w:footnote w:id="20">
    <w:p w14:paraId="114B3BBE" w14:textId="77777777" w:rsidR="00072DA2" w:rsidRPr="0009649B" w:rsidRDefault="00072DA2">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FITZGERALD, Louise F. et al. The antecedents and consequences of sexual harassment in organizations: A test of an integrated model. Journal of Applied Psychology, v. 82, n. 4, p. 578–589, 1997</w:t>
      </w:r>
    </w:p>
  </w:footnote>
  <w:footnote w:id="21">
    <w:p w14:paraId="0E3FA624" w14:textId="77777777" w:rsidR="00D7437F" w:rsidRPr="0009649B" w:rsidRDefault="00D7437F">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Ellison v. Brady, 924 F.2d 872 (9th Cir. 1991)</w:t>
      </w:r>
    </w:p>
  </w:footnote>
  <w:footnote w:id="22">
    <w:p w14:paraId="3AD57CCF" w14:textId="77777777" w:rsidR="006A62EC" w:rsidRPr="0009649B" w:rsidRDefault="006A62EC">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CRENSHAW, Kimberlé. Mapping the Margins: Intersectionality, Identity Politics and Violence Against Women of Color. Stanford Law Review, v. 43, n. 6, p. 1241–1299, 1991.</w:t>
      </w:r>
    </w:p>
  </w:footnote>
  <w:footnote w:id="23">
    <w:p w14:paraId="2B21E0D9" w14:textId="77777777" w:rsidR="00DC6912" w:rsidRPr="0009649B" w:rsidRDefault="00DC6912">
      <w:pPr>
        <w:pStyle w:val="Textodenotaderodap"/>
        <w:rPr>
          <w:i/>
          <w:iCs/>
          <w:sz w:val="16"/>
          <w:szCs w:val="16"/>
        </w:rPr>
      </w:pPr>
      <w:r w:rsidRPr="0009649B">
        <w:rPr>
          <w:rStyle w:val="Refdenotaderodap"/>
          <w:i/>
          <w:iCs/>
          <w:sz w:val="16"/>
          <w:szCs w:val="16"/>
        </w:rPr>
        <w:footnoteRef/>
      </w:r>
      <w:r w:rsidRPr="0009649B">
        <w:rPr>
          <w:i/>
          <w:iCs/>
          <w:sz w:val="16"/>
          <w:szCs w:val="16"/>
          <w:lang w:val="en-US"/>
        </w:rPr>
        <w:t xml:space="preserve"> </w:t>
      </w:r>
      <w:r w:rsidR="009717F5" w:rsidRPr="0009649B">
        <w:rPr>
          <w:i/>
          <w:iCs/>
          <w:sz w:val="16"/>
          <w:szCs w:val="16"/>
          <w:lang w:val="en-US"/>
        </w:rPr>
        <w:t xml:space="preserve">OSS, Mary P.; OROS, Cheryl J. Sexual Experiences Survey: a research instrument investigating sexual aggression and victimization. </w:t>
      </w:r>
      <w:r w:rsidR="009717F5" w:rsidRPr="0009649B">
        <w:rPr>
          <w:i/>
          <w:iCs/>
          <w:sz w:val="16"/>
          <w:szCs w:val="16"/>
        </w:rPr>
        <w:t>Journal of Consulting and Clinical Psychology, v. 50, n. 3, p. 455–457, 1982</w:t>
      </w:r>
    </w:p>
  </w:footnote>
  <w:footnote w:id="24">
    <w:p w14:paraId="4DBBC1E4" w14:textId="77777777" w:rsidR="00175226" w:rsidRPr="0009649B" w:rsidRDefault="00175226">
      <w:pPr>
        <w:pStyle w:val="Textodenotaderodap"/>
        <w:rPr>
          <w:i/>
          <w:iCs/>
          <w:sz w:val="16"/>
          <w:szCs w:val="16"/>
        </w:rPr>
      </w:pPr>
      <w:r w:rsidRPr="0009649B">
        <w:rPr>
          <w:rStyle w:val="Refdenotaderodap"/>
          <w:i/>
          <w:iCs/>
          <w:sz w:val="16"/>
          <w:szCs w:val="16"/>
        </w:rPr>
        <w:footnoteRef/>
      </w:r>
      <w:r w:rsidRPr="0009649B">
        <w:rPr>
          <w:i/>
          <w:iCs/>
          <w:sz w:val="16"/>
          <w:szCs w:val="16"/>
        </w:rPr>
        <w:t xml:space="preserve"> Assédio Moral: a violência perversa no cotidiano, 15. ed., Rio de Janeiro: Bertrand Brasil, 2014, p. 65</w:t>
      </w:r>
    </w:p>
  </w:footnote>
  <w:footnote w:id="25">
    <w:p w14:paraId="370A3899" w14:textId="77777777" w:rsidR="00987854" w:rsidRPr="0009649B" w:rsidRDefault="00987854">
      <w:pPr>
        <w:pStyle w:val="Textodenotaderodap"/>
        <w:rPr>
          <w:i/>
          <w:iCs/>
          <w:sz w:val="16"/>
          <w:szCs w:val="16"/>
        </w:rPr>
      </w:pPr>
      <w:r w:rsidRPr="0009649B">
        <w:rPr>
          <w:rStyle w:val="Refdenotaderodap"/>
          <w:i/>
          <w:iCs/>
          <w:sz w:val="16"/>
          <w:szCs w:val="16"/>
        </w:rPr>
        <w:footnoteRef/>
      </w:r>
      <w:r w:rsidRPr="0009649B">
        <w:rPr>
          <w:i/>
          <w:iCs/>
          <w:sz w:val="16"/>
          <w:szCs w:val="16"/>
          <w:lang w:val="en-US"/>
        </w:rPr>
        <w:t xml:space="preserve"> </w:t>
      </w:r>
      <w:r w:rsidR="008108A0" w:rsidRPr="0009649B">
        <w:rPr>
          <w:i/>
          <w:iCs/>
          <w:sz w:val="16"/>
          <w:szCs w:val="16"/>
          <w:lang w:val="en-US"/>
        </w:rPr>
        <w:t xml:space="preserve">LEYMANN, Heinz. Mobbing and Psychological Terror at Workplaces. </w:t>
      </w:r>
      <w:r w:rsidR="008108A0" w:rsidRPr="0009649B">
        <w:rPr>
          <w:i/>
          <w:iCs/>
          <w:sz w:val="16"/>
          <w:szCs w:val="16"/>
        </w:rPr>
        <w:t>Violence and Victims, v. 5, n. 2, p. 119–126, 1990</w:t>
      </w:r>
    </w:p>
  </w:footnote>
  <w:footnote w:id="26">
    <w:p w14:paraId="1E2A0739" w14:textId="77777777" w:rsidR="00987854" w:rsidRPr="0009649B" w:rsidRDefault="00987854">
      <w:pPr>
        <w:pStyle w:val="Textodenotaderodap"/>
        <w:rPr>
          <w:i/>
          <w:iCs/>
          <w:sz w:val="16"/>
          <w:szCs w:val="16"/>
        </w:rPr>
      </w:pPr>
      <w:r w:rsidRPr="0009649B">
        <w:rPr>
          <w:rStyle w:val="Refdenotaderodap"/>
          <w:i/>
          <w:iCs/>
          <w:sz w:val="16"/>
          <w:szCs w:val="16"/>
        </w:rPr>
        <w:footnoteRef/>
      </w:r>
      <w:r w:rsidRPr="0009649B">
        <w:rPr>
          <w:i/>
          <w:iCs/>
          <w:sz w:val="16"/>
          <w:szCs w:val="16"/>
        </w:rPr>
        <w:t xml:space="preserve"> Terror Psicológico no Trabalho, 3. ed., São Paulo: </w:t>
      </w:r>
      <w:r w:rsidRPr="0009649B">
        <w:rPr>
          <w:i/>
          <w:iCs/>
          <w:sz w:val="16"/>
          <w:szCs w:val="16"/>
        </w:rPr>
        <w:t>LTr, 2008, p. 42</w:t>
      </w:r>
    </w:p>
  </w:footnote>
  <w:footnote w:id="27">
    <w:p w14:paraId="4D63CDAE" w14:textId="77777777" w:rsidR="008A6A98" w:rsidRPr="0009649B" w:rsidRDefault="008A6A98">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Mobbing at Work and the Development of Post-Traumatic Stress Disorders, European Journal of Work and Organizational Psychology, v. 5, n. 2, p. 251–275, 1996</w:t>
      </w:r>
    </w:p>
  </w:footnote>
  <w:footnote w:id="28">
    <w:p w14:paraId="08D659FD" w14:textId="77777777" w:rsidR="008108A0" w:rsidRPr="0009649B" w:rsidRDefault="008108A0">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Burnout: The Cost of Caring, New Jersey: Prentice-Hall, 1982</w:t>
      </w:r>
    </w:p>
  </w:footnote>
  <w:footnote w:id="29">
    <w:p w14:paraId="22470738" w14:textId="77777777" w:rsidR="007336AA" w:rsidRPr="0009649B" w:rsidRDefault="007336AA">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VAN DER KOLK, Bessel. The Body Keeps the Score: Brain, Mind and Body in the Healing of Trauma. New York: Viking, 2014</w:t>
      </w:r>
    </w:p>
  </w:footnote>
  <w:footnote w:id="30">
    <w:p w14:paraId="19ECADB0" w14:textId="77777777" w:rsidR="00CD7D9C" w:rsidRPr="0009649B" w:rsidRDefault="00CD7D9C">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Mobbing at Work: An Inquiry into a Still Under-Researched Phenomenon, in Antón </w:t>
      </w:r>
      <w:r w:rsidRPr="0009649B">
        <w:rPr>
          <w:i/>
          <w:iCs/>
          <w:sz w:val="16"/>
          <w:szCs w:val="16"/>
          <w:lang w:val="en-US"/>
        </w:rPr>
        <w:t>Castellá Sarriera (Org.), Salud Laboral, Porto Alegre: Artmed, 2001</w:t>
      </w:r>
    </w:p>
  </w:footnote>
  <w:footnote w:id="31">
    <w:p w14:paraId="27CFF136" w14:textId="77777777" w:rsidR="0087558E" w:rsidRPr="0009649B" w:rsidRDefault="0087558E">
      <w:pPr>
        <w:pStyle w:val="Textodenotaderodap"/>
        <w:rPr>
          <w:i/>
          <w:iCs/>
          <w:sz w:val="16"/>
          <w:szCs w:val="16"/>
        </w:rPr>
      </w:pPr>
      <w:r w:rsidRPr="0009649B">
        <w:rPr>
          <w:rStyle w:val="Refdenotaderodap"/>
          <w:i/>
          <w:iCs/>
          <w:sz w:val="16"/>
          <w:szCs w:val="16"/>
        </w:rPr>
        <w:footnoteRef/>
      </w:r>
      <w:r w:rsidRPr="0009649B">
        <w:rPr>
          <w:i/>
          <w:iCs/>
          <w:sz w:val="16"/>
          <w:szCs w:val="16"/>
        </w:rPr>
        <w:t xml:space="preserve"> </w:t>
      </w:r>
      <w:r w:rsidRPr="0009649B">
        <w:rPr>
          <w:i/>
          <w:iCs/>
          <w:sz w:val="16"/>
          <w:szCs w:val="16"/>
        </w:rPr>
        <w:t>Mobbing: Psychological Violence at Work, publicação interna do Departamento de Saúde Ocupacional da Suécia, 1986</w:t>
      </w:r>
    </w:p>
  </w:footnote>
  <w:footnote w:id="32">
    <w:p w14:paraId="6F6567E6" w14:textId="77777777" w:rsidR="0087558E" w:rsidRPr="0009649B" w:rsidRDefault="0087558E">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The Fearless Organization, Hoboken: Wiley, 2018</w:t>
      </w:r>
    </w:p>
  </w:footnote>
  <w:footnote w:id="33">
    <w:p w14:paraId="204FE71B" w14:textId="77777777" w:rsidR="00416CB4" w:rsidRPr="0009649B" w:rsidRDefault="00416CB4">
      <w:pPr>
        <w:pStyle w:val="Textodenotaderodap"/>
        <w:rPr>
          <w:i/>
          <w:iCs/>
          <w:sz w:val="16"/>
          <w:szCs w:val="16"/>
        </w:rPr>
      </w:pPr>
      <w:r w:rsidRPr="0009649B">
        <w:rPr>
          <w:rStyle w:val="Refdenotaderodap"/>
          <w:i/>
          <w:iCs/>
          <w:sz w:val="16"/>
          <w:szCs w:val="16"/>
        </w:rPr>
        <w:footnoteRef/>
      </w:r>
      <w:r w:rsidRPr="0009649B">
        <w:rPr>
          <w:i/>
          <w:iCs/>
          <w:sz w:val="16"/>
          <w:szCs w:val="16"/>
        </w:rPr>
        <w:t xml:space="preserve"> Direitos Humanos e o Direito Constitucional Internacional, 14. ed., São Paulo: Saraiva, 2013, p. 312</w:t>
      </w:r>
    </w:p>
  </w:footnote>
  <w:footnote w:id="34">
    <w:p w14:paraId="3461B6B9" w14:textId="77777777" w:rsidR="00880C29" w:rsidRPr="0009649B" w:rsidRDefault="00880C29">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Edna </w:t>
      </w:r>
      <w:r w:rsidRPr="0009649B">
        <w:rPr>
          <w:i/>
          <w:iCs/>
          <w:sz w:val="16"/>
          <w:szCs w:val="16"/>
          <w:lang w:val="en-US"/>
        </w:rPr>
        <w:t>Bonacich e Lucie Cheng, Labour Immigration under Capitalism, Berkeley: University of California Press, 1984</w:t>
      </w:r>
    </w:p>
  </w:footnote>
  <w:footnote w:id="35">
    <w:p w14:paraId="23ABAEBA" w14:textId="77777777" w:rsidR="0000388E" w:rsidRPr="0009649B" w:rsidRDefault="0000388E">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Subtle and blatant forms of discrimination: The consequences of prejudice, European Journal of Work and Organizational Psychology, 2004</w:t>
      </w:r>
    </w:p>
  </w:footnote>
  <w:footnote w:id="36">
    <w:p w14:paraId="0C5ACF0B" w14:textId="77777777" w:rsidR="0000388E" w:rsidRPr="0009649B" w:rsidRDefault="0000388E">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A Threat in the Air: How Stereotypes Shape Intellectual Identity and Performance, American Psychologist, 1997</w:t>
      </w:r>
    </w:p>
  </w:footnote>
  <w:footnote w:id="37">
    <w:p w14:paraId="12C598B0" w14:textId="77777777" w:rsidR="00DD1477" w:rsidRPr="0009649B" w:rsidRDefault="00DD1477">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Dirty Looks and Stepping Stones: African American, Latina, and American Indian Faculty Experiencing Newly Racialized Environments, 2009</w:t>
      </w:r>
    </w:p>
  </w:footnote>
  <w:footnote w:id="38">
    <w:p w14:paraId="417F5A8D" w14:textId="77777777" w:rsidR="005E26A8" w:rsidRPr="0009649B" w:rsidRDefault="005E26A8">
      <w:pPr>
        <w:pStyle w:val="Textodenotaderodap"/>
        <w:rPr>
          <w:i/>
          <w:iCs/>
          <w:sz w:val="16"/>
          <w:szCs w:val="16"/>
          <w:lang w:val="en-US"/>
        </w:rPr>
      </w:pPr>
      <w:r w:rsidRPr="0009649B">
        <w:rPr>
          <w:rStyle w:val="Refdenotaderodap"/>
          <w:i/>
          <w:iCs/>
          <w:sz w:val="16"/>
          <w:szCs w:val="16"/>
        </w:rPr>
        <w:footnoteRef/>
      </w:r>
      <w:r w:rsidRPr="0009649B">
        <w:rPr>
          <w:i/>
          <w:iCs/>
          <w:sz w:val="16"/>
          <w:szCs w:val="16"/>
          <w:lang w:val="en-US"/>
        </w:rPr>
        <w:t xml:space="preserve"> Mapping the Margins, Stanford Law Review, 1991</w:t>
      </w:r>
    </w:p>
  </w:footnote>
  <w:footnote w:id="39">
    <w:p w14:paraId="4DC1990E" w14:textId="77777777" w:rsidR="00773022" w:rsidRPr="0009649B" w:rsidRDefault="00773022">
      <w:pPr>
        <w:pStyle w:val="Textodenotaderodap"/>
        <w:rPr>
          <w:i/>
          <w:iCs/>
          <w:sz w:val="16"/>
          <w:szCs w:val="16"/>
        </w:rPr>
      </w:pPr>
      <w:r w:rsidRPr="0009649B">
        <w:rPr>
          <w:rStyle w:val="Refdenotaderodap"/>
          <w:i/>
          <w:iCs/>
          <w:sz w:val="16"/>
          <w:szCs w:val="16"/>
        </w:rPr>
        <w:footnoteRef/>
      </w:r>
      <w:r w:rsidRPr="0009649B">
        <w:rPr>
          <w:i/>
          <w:iCs/>
          <w:sz w:val="16"/>
          <w:szCs w:val="16"/>
        </w:rPr>
        <w:t xml:space="preserve"> Curso de Direito Constitucional, 14. ed., São Paulo: Atlas, 2022, p. 341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081F" w14:textId="77777777" w:rsidR="00B2582D" w:rsidRDefault="00B2582D" w:rsidP="00B2582D">
    <w:pPr>
      <w:spacing w:before="600"/>
    </w:pPr>
    <w:r>
      <w:rPr>
        <w:rFonts w:ascii="Segoe UI Symbol" w:eastAsia="Barlow Condensed" w:hAnsi="Segoe UI Symbol" w:cs="Segoe UI Symbol"/>
        <w:b/>
        <w:bCs/>
        <w:color w:val="C9A35C"/>
        <w:sz w:val="24"/>
        <w:szCs w:val="24"/>
      </w:rPr>
      <w:t>▍</w:t>
    </w:r>
    <w:r>
      <w:rPr>
        <w:rFonts w:ascii="Barlow Condensed" w:eastAsia="Barlow Condensed" w:hAnsi="Barlow Condensed" w:cs="Barlow Condensed"/>
        <w:b/>
        <w:bCs/>
        <w:color w:val="C9A35C"/>
        <w:sz w:val="24"/>
        <w:szCs w:val="24"/>
      </w:rPr>
      <w:t xml:space="preserve"> </w:t>
    </w:r>
    <w:r w:rsidRPr="007B5826">
      <w:rPr>
        <w:rFonts w:ascii="Barlow Condensed" w:eastAsia="Barlow Condensed" w:hAnsi="Barlow Condensed" w:cs="Barlow Condensed"/>
        <w:b/>
        <w:bCs/>
        <w:color w:val="8C6E2C"/>
        <w:spacing w:val="30"/>
        <w:sz w:val="16"/>
        <w:szCs w:val="16"/>
      </w:rPr>
      <w:t>COGER · CORREGEDORIA</w:t>
    </w:r>
  </w:p>
  <w:p w14:paraId="29456FDE" w14:textId="77777777" w:rsidR="00B2582D" w:rsidRPr="007B5826" w:rsidRDefault="00B2582D" w:rsidP="00B2582D">
    <w:pPr>
      <w:spacing w:before="40"/>
      <w:rPr>
        <w:rFonts w:ascii="Barlow Condensed" w:eastAsia="Barlow Condensed" w:hAnsi="Barlow Condensed" w:cs="Barlow Condensed"/>
        <w:b/>
        <w:bCs/>
        <w:color w:val="051A3D"/>
        <w:sz w:val="24"/>
        <w:szCs w:val="24"/>
      </w:rPr>
    </w:pPr>
    <w:r w:rsidRPr="007B5826">
      <w:rPr>
        <w:rFonts w:ascii="Barlow Condensed" w:eastAsia="Barlow Condensed" w:hAnsi="Barlow Condensed" w:cs="Barlow Condensed"/>
        <w:b/>
        <w:bCs/>
        <w:color w:val="051A3D"/>
        <w:sz w:val="24"/>
        <w:szCs w:val="24"/>
      </w:rPr>
      <w:t>CORREGEDORIA DA SECRETARIA ESPECIAL DA RECEITA FEDERAL DO BRASIL</w:t>
    </w:r>
  </w:p>
  <w:p w14:paraId="67E172FC" w14:textId="77777777" w:rsidR="00B2582D" w:rsidRDefault="00B2582D">
    <w:pPr>
      <w:pStyle w:val="Cabealho"/>
    </w:pPr>
  </w:p>
  <w:p w14:paraId="4F05177F" w14:textId="77777777" w:rsidR="00B2582D" w:rsidRDefault="00B2582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CA7"/>
    <w:multiLevelType w:val="multilevel"/>
    <w:tmpl w:val="957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756F"/>
    <w:multiLevelType w:val="multilevel"/>
    <w:tmpl w:val="0B02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12CE7"/>
    <w:multiLevelType w:val="multilevel"/>
    <w:tmpl w:val="973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C4946"/>
    <w:multiLevelType w:val="multilevel"/>
    <w:tmpl w:val="6D4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50A55"/>
    <w:multiLevelType w:val="hybridMultilevel"/>
    <w:tmpl w:val="192AAC62"/>
    <w:lvl w:ilvl="0" w:tplc="A40A997E">
      <w:start w:val="1"/>
      <w:numFmt w:val="bullet"/>
      <w:lvlText w:val="—"/>
      <w:lvlJc w:val="left"/>
      <w:pPr>
        <w:ind w:left="480" w:hanging="240"/>
      </w:pPr>
    </w:lvl>
    <w:lvl w:ilvl="1" w:tplc="21482812">
      <w:numFmt w:val="decimal"/>
      <w:lvlText w:val=""/>
      <w:lvlJc w:val="left"/>
    </w:lvl>
    <w:lvl w:ilvl="2" w:tplc="7F902C88">
      <w:numFmt w:val="decimal"/>
      <w:lvlText w:val=""/>
      <w:lvlJc w:val="left"/>
    </w:lvl>
    <w:lvl w:ilvl="3" w:tplc="ED068486">
      <w:numFmt w:val="decimal"/>
      <w:lvlText w:val=""/>
      <w:lvlJc w:val="left"/>
    </w:lvl>
    <w:lvl w:ilvl="4" w:tplc="7862CE02">
      <w:numFmt w:val="decimal"/>
      <w:lvlText w:val=""/>
      <w:lvlJc w:val="left"/>
    </w:lvl>
    <w:lvl w:ilvl="5" w:tplc="A8D44AA4">
      <w:numFmt w:val="decimal"/>
      <w:lvlText w:val=""/>
      <w:lvlJc w:val="left"/>
    </w:lvl>
    <w:lvl w:ilvl="6" w:tplc="D6C61580">
      <w:numFmt w:val="decimal"/>
      <w:lvlText w:val=""/>
      <w:lvlJc w:val="left"/>
    </w:lvl>
    <w:lvl w:ilvl="7" w:tplc="491E9286">
      <w:numFmt w:val="decimal"/>
      <w:lvlText w:val=""/>
      <w:lvlJc w:val="left"/>
    </w:lvl>
    <w:lvl w:ilvl="8" w:tplc="CD362896">
      <w:numFmt w:val="decimal"/>
      <w:lvlText w:val=""/>
      <w:lvlJc w:val="left"/>
    </w:lvl>
  </w:abstractNum>
  <w:abstractNum w:abstractNumId="5" w15:restartNumberingAfterBreak="0">
    <w:nsid w:val="201032CC"/>
    <w:multiLevelType w:val="multilevel"/>
    <w:tmpl w:val="F1C8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22359"/>
    <w:multiLevelType w:val="multilevel"/>
    <w:tmpl w:val="6A7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C6C1B"/>
    <w:multiLevelType w:val="hybridMultilevel"/>
    <w:tmpl w:val="17E28B7C"/>
    <w:lvl w:ilvl="0" w:tplc="AE9AB994">
      <w:start w:val="1"/>
      <w:numFmt w:val="bullet"/>
      <w:lvlText w:val="—"/>
      <w:lvlJc w:val="left"/>
      <w:pPr>
        <w:ind w:left="480" w:hanging="240"/>
      </w:pPr>
    </w:lvl>
    <w:lvl w:ilvl="1" w:tplc="134A7772">
      <w:numFmt w:val="decimal"/>
      <w:lvlText w:val=""/>
      <w:lvlJc w:val="left"/>
    </w:lvl>
    <w:lvl w:ilvl="2" w:tplc="B65A4904">
      <w:numFmt w:val="decimal"/>
      <w:lvlText w:val=""/>
      <w:lvlJc w:val="left"/>
    </w:lvl>
    <w:lvl w:ilvl="3" w:tplc="B58683E0">
      <w:numFmt w:val="decimal"/>
      <w:lvlText w:val=""/>
      <w:lvlJc w:val="left"/>
    </w:lvl>
    <w:lvl w:ilvl="4" w:tplc="BD04C434">
      <w:numFmt w:val="decimal"/>
      <w:lvlText w:val=""/>
      <w:lvlJc w:val="left"/>
    </w:lvl>
    <w:lvl w:ilvl="5" w:tplc="6FD0EC6E">
      <w:numFmt w:val="decimal"/>
      <w:lvlText w:val=""/>
      <w:lvlJc w:val="left"/>
    </w:lvl>
    <w:lvl w:ilvl="6" w:tplc="CB3C5B68">
      <w:numFmt w:val="decimal"/>
      <w:lvlText w:val=""/>
      <w:lvlJc w:val="left"/>
    </w:lvl>
    <w:lvl w:ilvl="7" w:tplc="0E14640E">
      <w:numFmt w:val="decimal"/>
      <w:lvlText w:val=""/>
      <w:lvlJc w:val="left"/>
    </w:lvl>
    <w:lvl w:ilvl="8" w:tplc="DB946208">
      <w:numFmt w:val="decimal"/>
      <w:lvlText w:val=""/>
      <w:lvlJc w:val="left"/>
    </w:lvl>
  </w:abstractNum>
  <w:abstractNum w:abstractNumId="8" w15:restartNumberingAfterBreak="0">
    <w:nsid w:val="2A9149D0"/>
    <w:multiLevelType w:val="multilevel"/>
    <w:tmpl w:val="E95E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E735C"/>
    <w:multiLevelType w:val="hybridMultilevel"/>
    <w:tmpl w:val="BA246854"/>
    <w:lvl w:ilvl="0" w:tplc="C05868B4">
      <w:start w:val="1"/>
      <w:numFmt w:val="bullet"/>
      <w:lvlText w:val="—"/>
      <w:lvlJc w:val="left"/>
      <w:pPr>
        <w:ind w:left="480" w:hanging="240"/>
      </w:pPr>
    </w:lvl>
    <w:lvl w:ilvl="1" w:tplc="4B580216">
      <w:numFmt w:val="decimal"/>
      <w:lvlText w:val=""/>
      <w:lvlJc w:val="left"/>
    </w:lvl>
    <w:lvl w:ilvl="2" w:tplc="65562912">
      <w:numFmt w:val="decimal"/>
      <w:lvlText w:val=""/>
      <w:lvlJc w:val="left"/>
    </w:lvl>
    <w:lvl w:ilvl="3" w:tplc="0D223098">
      <w:numFmt w:val="decimal"/>
      <w:lvlText w:val=""/>
      <w:lvlJc w:val="left"/>
    </w:lvl>
    <w:lvl w:ilvl="4" w:tplc="90ACC2A0">
      <w:numFmt w:val="decimal"/>
      <w:lvlText w:val=""/>
      <w:lvlJc w:val="left"/>
    </w:lvl>
    <w:lvl w:ilvl="5" w:tplc="F82C74AE">
      <w:numFmt w:val="decimal"/>
      <w:lvlText w:val=""/>
      <w:lvlJc w:val="left"/>
    </w:lvl>
    <w:lvl w:ilvl="6" w:tplc="BBEE1A98">
      <w:numFmt w:val="decimal"/>
      <w:lvlText w:val=""/>
      <w:lvlJc w:val="left"/>
    </w:lvl>
    <w:lvl w:ilvl="7" w:tplc="A7A27596">
      <w:numFmt w:val="decimal"/>
      <w:lvlText w:val=""/>
      <w:lvlJc w:val="left"/>
    </w:lvl>
    <w:lvl w:ilvl="8" w:tplc="8936768C">
      <w:numFmt w:val="decimal"/>
      <w:lvlText w:val=""/>
      <w:lvlJc w:val="left"/>
    </w:lvl>
  </w:abstractNum>
  <w:abstractNum w:abstractNumId="10" w15:restartNumberingAfterBreak="0">
    <w:nsid w:val="2B796D5D"/>
    <w:multiLevelType w:val="hybridMultilevel"/>
    <w:tmpl w:val="D2F81438"/>
    <w:lvl w:ilvl="0" w:tplc="202EECCC">
      <w:start w:val="1"/>
      <w:numFmt w:val="bullet"/>
      <w:lvlText w:val="—"/>
      <w:lvlJc w:val="left"/>
      <w:pPr>
        <w:ind w:left="480" w:hanging="240"/>
      </w:pPr>
    </w:lvl>
    <w:lvl w:ilvl="1" w:tplc="FE164AC0">
      <w:numFmt w:val="decimal"/>
      <w:lvlText w:val=""/>
      <w:lvlJc w:val="left"/>
    </w:lvl>
    <w:lvl w:ilvl="2" w:tplc="05E0CBA6">
      <w:numFmt w:val="decimal"/>
      <w:lvlText w:val=""/>
      <w:lvlJc w:val="left"/>
    </w:lvl>
    <w:lvl w:ilvl="3" w:tplc="3084B48C">
      <w:numFmt w:val="decimal"/>
      <w:lvlText w:val=""/>
      <w:lvlJc w:val="left"/>
    </w:lvl>
    <w:lvl w:ilvl="4" w:tplc="F96A0FD2">
      <w:numFmt w:val="decimal"/>
      <w:lvlText w:val=""/>
      <w:lvlJc w:val="left"/>
    </w:lvl>
    <w:lvl w:ilvl="5" w:tplc="44C0CED2">
      <w:numFmt w:val="decimal"/>
      <w:lvlText w:val=""/>
      <w:lvlJc w:val="left"/>
    </w:lvl>
    <w:lvl w:ilvl="6" w:tplc="E8FCAB78">
      <w:numFmt w:val="decimal"/>
      <w:lvlText w:val=""/>
      <w:lvlJc w:val="left"/>
    </w:lvl>
    <w:lvl w:ilvl="7" w:tplc="B5B20C16">
      <w:numFmt w:val="decimal"/>
      <w:lvlText w:val=""/>
      <w:lvlJc w:val="left"/>
    </w:lvl>
    <w:lvl w:ilvl="8" w:tplc="E5A8FBDC">
      <w:numFmt w:val="decimal"/>
      <w:lvlText w:val=""/>
      <w:lvlJc w:val="left"/>
    </w:lvl>
  </w:abstractNum>
  <w:abstractNum w:abstractNumId="11" w15:restartNumberingAfterBreak="0">
    <w:nsid w:val="2B7B392F"/>
    <w:multiLevelType w:val="hybridMultilevel"/>
    <w:tmpl w:val="07EAEDAE"/>
    <w:lvl w:ilvl="0" w:tplc="D856FE4C">
      <w:start w:val="1"/>
      <w:numFmt w:val="bullet"/>
      <w:lvlText w:val="—"/>
      <w:lvlJc w:val="left"/>
      <w:pPr>
        <w:ind w:left="480" w:hanging="240"/>
      </w:pPr>
    </w:lvl>
    <w:lvl w:ilvl="1" w:tplc="604CC5A4">
      <w:numFmt w:val="decimal"/>
      <w:lvlText w:val=""/>
      <w:lvlJc w:val="left"/>
    </w:lvl>
    <w:lvl w:ilvl="2" w:tplc="BA6C6B38">
      <w:numFmt w:val="decimal"/>
      <w:lvlText w:val=""/>
      <w:lvlJc w:val="left"/>
    </w:lvl>
    <w:lvl w:ilvl="3" w:tplc="A448CAC6">
      <w:numFmt w:val="decimal"/>
      <w:lvlText w:val=""/>
      <w:lvlJc w:val="left"/>
    </w:lvl>
    <w:lvl w:ilvl="4" w:tplc="9AA66216">
      <w:numFmt w:val="decimal"/>
      <w:lvlText w:val=""/>
      <w:lvlJc w:val="left"/>
    </w:lvl>
    <w:lvl w:ilvl="5" w:tplc="4AEA7E36">
      <w:numFmt w:val="decimal"/>
      <w:lvlText w:val=""/>
      <w:lvlJc w:val="left"/>
    </w:lvl>
    <w:lvl w:ilvl="6" w:tplc="48266962">
      <w:numFmt w:val="decimal"/>
      <w:lvlText w:val=""/>
      <w:lvlJc w:val="left"/>
    </w:lvl>
    <w:lvl w:ilvl="7" w:tplc="5CD24F6A">
      <w:numFmt w:val="decimal"/>
      <w:lvlText w:val=""/>
      <w:lvlJc w:val="left"/>
    </w:lvl>
    <w:lvl w:ilvl="8" w:tplc="0D74685E">
      <w:numFmt w:val="decimal"/>
      <w:lvlText w:val=""/>
      <w:lvlJc w:val="left"/>
    </w:lvl>
  </w:abstractNum>
  <w:abstractNum w:abstractNumId="12" w15:restartNumberingAfterBreak="0">
    <w:nsid w:val="2BD95F96"/>
    <w:multiLevelType w:val="multilevel"/>
    <w:tmpl w:val="AB6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F7FDC"/>
    <w:multiLevelType w:val="multilevel"/>
    <w:tmpl w:val="E6C4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32171"/>
    <w:multiLevelType w:val="multilevel"/>
    <w:tmpl w:val="4500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22FB5"/>
    <w:multiLevelType w:val="multilevel"/>
    <w:tmpl w:val="DB8C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26A0A"/>
    <w:multiLevelType w:val="multilevel"/>
    <w:tmpl w:val="9C76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11873"/>
    <w:multiLevelType w:val="multilevel"/>
    <w:tmpl w:val="4878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417D9"/>
    <w:multiLevelType w:val="multilevel"/>
    <w:tmpl w:val="0D3C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B5F8E"/>
    <w:multiLevelType w:val="hybridMultilevel"/>
    <w:tmpl w:val="0B4E06AC"/>
    <w:lvl w:ilvl="0" w:tplc="6C6004D4">
      <w:start w:val="1"/>
      <w:numFmt w:val="bullet"/>
      <w:lvlText w:val="—"/>
      <w:lvlJc w:val="left"/>
      <w:pPr>
        <w:ind w:left="480" w:hanging="240"/>
      </w:pPr>
    </w:lvl>
    <w:lvl w:ilvl="1" w:tplc="B672AF78">
      <w:numFmt w:val="decimal"/>
      <w:lvlText w:val=""/>
      <w:lvlJc w:val="left"/>
    </w:lvl>
    <w:lvl w:ilvl="2" w:tplc="341466DA">
      <w:numFmt w:val="decimal"/>
      <w:lvlText w:val=""/>
      <w:lvlJc w:val="left"/>
    </w:lvl>
    <w:lvl w:ilvl="3" w:tplc="1416F52A">
      <w:numFmt w:val="decimal"/>
      <w:lvlText w:val=""/>
      <w:lvlJc w:val="left"/>
    </w:lvl>
    <w:lvl w:ilvl="4" w:tplc="06148BDE">
      <w:numFmt w:val="decimal"/>
      <w:lvlText w:val=""/>
      <w:lvlJc w:val="left"/>
    </w:lvl>
    <w:lvl w:ilvl="5" w:tplc="4A04EAE4">
      <w:numFmt w:val="decimal"/>
      <w:lvlText w:val=""/>
      <w:lvlJc w:val="left"/>
    </w:lvl>
    <w:lvl w:ilvl="6" w:tplc="E26CF57C">
      <w:numFmt w:val="decimal"/>
      <w:lvlText w:val=""/>
      <w:lvlJc w:val="left"/>
    </w:lvl>
    <w:lvl w:ilvl="7" w:tplc="3A727C90">
      <w:numFmt w:val="decimal"/>
      <w:lvlText w:val=""/>
      <w:lvlJc w:val="left"/>
    </w:lvl>
    <w:lvl w:ilvl="8" w:tplc="3B20A9A2">
      <w:numFmt w:val="decimal"/>
      <w:lvlText w:val=""/>
      <w:lvlJc w:val="left"/>
    </w:lvl>
  </w:abstractNum>
  <w:abstractNum w:abstractNumId="20" w15:restartNumberingAfterBreak="0">
    <w:nsid w:val="4622415B"/>
    <w:multiLevelType w:val="multilevel"/>
    <w:tmpl w:val="0C2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E0F1C"/>
    <w:multiLevelType w:val="hybridMultilevel"/>
    <w:tmpl w:val="65A499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F147603"/>
    <w:multiLevelType w:val="hybridMultilevel"/>
    <w:tmpl w:val="1F568A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10A2272"/>
    <w:multiLevelType w:val="multilevel"/>
    <w:tmpl w:val="74A0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8513F"/>
    <w:multiLevelType w:val="hybridMultilevel"/>
    <w:tmpl w:val="288263C0"/>
    <w:lvl w:ilvl="0" w:tplc="4AF05A38">
      <w:start w:val="1"/>
      <w:numFmt w:val="bullet"/>
      <w:lvlText w:val="—"/>
      <w:lvlJc w:val="left"/>
      <w:pPr>
        <w:ind w:left="480" w:hanging="240"/>
      </w:pPr>
    </w:lvl>
    <w:lvl w:ilvl="1" w:tplc="6F5A56D8">
      <w:numFmt w:val="decimal"/>
      <w:lvlText w:val=""/>
      <w:lvlJc w:val="left"/>
    </w:lvl>
    <w:lvl w:ilvl="2" w:tplc="18F6F5F6">
      <w:numFmt w:val="decimal"/>
      <w:lvlText w:val=""/>
      <w:lvlJc w:val="left"/>
    </w:lvl>
    <w:lvl w:ilvl="3" w:tplc="661A69D4">
      <w:numFmt w:val="decimal"/>
      <w:lvlText w:val=""/>
      <w:lvlJc w:val="left"/>
    </w:lvl>
    <w:lvl w:ilvl="4" w:tplc="4F6E8FF2">
      <w:numFmt w:val="decimal"/>
      <w:lvlText w:val=""/>
      <w:lvlJc w:val="left"/>
    </w:lvl>
    <w:lvl w:ilvl="5" w:tplc="C4E4D9CC">
      <w:numFmt w:val="decimal"/>
      <w:lvlText w:val=""/>
      <w:lvlJc w:val="left"/>
    </w:lvl>
    <w:lvl w:ilvl="6" w:tplc="E592AEA8">
      <w:numFmt w:val="decimal"/>
      <w:lvlText w:val=""/>
      <w:lvlJc w:val="left"/>
    </w:lvl>
    <w:lvl w:ilvl="7" w:tplc="D3B685C8">
      <w:numFmt w:val="decimal"/>
      <w:lvlText w:val=""/>
      <w:lvlJc w:val="left"/>
    </w:lvl>
    <w:lvl w:ilvl="8" w:tplc="C3788030">
      <w:numFmt w:val="decimal"/>
      <w:lvlText w:val=""/>
      <w:lvlJc w:val="left"/>
    </w:lvl>
  </w:abstractNum>
  <w:abstractNum w:abstractNumId="25" w15:restartNumberingAfterBreak="0">
    <w:nsid w:val="58950EDB"/>
    <w:multiLevelType w:val="multilevel"/>
    <w:tmpl w:val="396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A20CD"/>
    <w:multiLevelType w:val="hybridMultilevel"/>
    <w:tmpl w:val="3A729A36"/>
    <w:lvl w:ilvl="0" w:tplc="6F78C09C">
      <w:start w:val="1"/>
      <w:numFmt w:val="bullet"/>
      <w:lvlText w:val="▸"/>
      <w:lvlJc w:val="left"/>
      <w:pPr>
        <w:ind w:left="460" w:hanging="230"/>
      </w:pPr>
      <w:rPr>
        <w:rFonts w:ascii="Inter" w:eastAsia="Inter" w:hAnsi="Inter" w:cs="Inter"/>
        <w:color w:val="8C6E2C"/>
      </w:rPr>
    </w:lvl>
    <w:lvl w:ilvl="1" w:tplc="ABAA3236">
      <w:start w:val="1"/>
      <w:numFmt w:val="bullet"/>
      <w:lvlText w:val="–"/>
      <w:lvlJc w:val="left"/>
      <w:pPr>
        <w:ind w:left="920" w:hanging="230"/>
      </w:pPr>
      <w:rPr>
        <w:rFonts w:ascii="Inter" w:eastAsia="Inter" w:hAnsi="Inter" w:cs="Inter"/>
        <w:color w:val="5B6781"/>
      </w:rPr>
    </w:lvl>
    <w:lvl w:ilvl="2" w:tplc="A4CEFE8E">
      <w:numFmt w:val="decimal"/>
      <w:lvlText w:val=""/>
      <w:lvlJc w:val="left"/>
    </w:lvl>
    <w:lvl w:ilvl="3" w:tplc="3DE25E4A">
      <w:numFmt w:val="decimal"/>
      <w:lvlText w:val=""/>
      <w:lvlJc w:val="left"/>
    </w:lvl>
    <w:lvl w:ilvl="4" w:tplc="BBECC67C">
      <w:numFmt w:val="decimal"/>
      <w:lvlText w:val=""/>
      <w:lvlJc w:val="left"/>
    </w:lvl>
    <w:lvl w:ilvl="5" w:tplc="1EB423AC">
      <w:numFmt w:val="decimal"/>
      <w:lvlText w:val=""/>
      <w:lvlJc w:val="left"/>
    </w:lvl>
    <w:lvl w:ilvl="6" w:tplc="FCE69C02">
      <w:numFmt w:val="decimal"/>
      <w:lvlText w:val=""/>
      <w:lvlJc w:val="left"/>
    </w:lvl>
    <w:lvl w:ilvl="7" w:tplc="916E8C52">
      <w:numFmt w:val="decimal"/>
      <w:lvlText w:val=""/>
      <w:lvlJc w:val="left"/>
    </w:lvl>
    <w:lvl w:ilvl="8" w:tplc="AD0AD942">
      <w:numFmt w:val="decimal"/>
      <w:lvlText w:val=""/>
      <w:lvlJc w:val="left"/>
    </w:lvl>
  </w:abstractNum>
  <w:abstractNum w:abstractNumId="27" w15:restartNumberingAfterBreak="0">
    <w:nsid w:val="5E3E472C"/>
    <w:multiLevelType w:val="multilevel"/>
    <w:tmpl w:val="5B20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51A74"/>
    <w:multiLevelType w:val="hybridMultilevel"/>
    <w:tmpl w:val="25F210C6"/>
    <w:lvl w:ilvl="0" w:tplc="D06EBA64">
      <w:start w:val="1"/>
      <w:numFmt w:val="bullet"/>
      <w:lvlText w:val="—"/>
      <w:lvlJc w:val="left"/>
      <w:pPr>
        <w:ind w:left="480" w:hanging="240"/>
      </w:pPr>
    </w:lvl>
    <w:lvl w:ilvl="1" w:tplc="3BF8E3D2">
      <w:numFmt w:val="decimal"/>
      <w:lvlText w:val=""/>
      <w:lvlJc w:val="left"/>
    </w:lvl>
    <w:lvl w:ilvl="2" w:tplc="6DD88BF4">
      <w:numFmt w:val="decimal"/>
      <w:lvlText w:val=""/>
      <w:lvlJc w:val="left"/>
    </w:lvl>
    <w:lvl w:ilvl="3" w:tplc="747C53CA">
      <w:numFmt w:val="decimal"/>
      <w:lvlText w:val=""/>
      <w:lvlJc w:val="left"/>
    </w:lvl>
    <w:lvl w:ilvl="4" w:tplc="E3386882">
      <w:numFmt w:val="decimal"/>
      <w:lvlText w:val=""/>
      <w:lvlJc w:val="left"/>
    </w:lvl>
    <w:lvl w:ilvl="5" w:tplc="C0D42F2E">
      <w:numFmt w:val="decimal"/>
      <w:lvlText w:val=""/>
      <w:lvlJc w:val="left"/>
    </w:lvl>
    <w:lvl w:ilvl="6" w:tplc="3C9A6432">
      <w:numFmt w:val="decimal"/>
      <w:lvlText w:val=""/>
      <w:lvlJc w:val="left"/>
    </w:lvl>
    <w:lvl w:ilvl="7" w:tplc="454E42E4">
      <w:numFmt w:val="decimal"/>
      <w:lvlText w:val=""/>
      <w:lvlJc w:val="left"/>
    </w:lvl>
    <w:lvl w:ilvl="8" w:tplc="91B44382">
      <w:numFmt w:val="decimal"/>
      <w:lvlText w:val=""/>
      <w:lvlJc w:val="left"/>
    </w:lvl>
  </w:abstractNum>
  <w:abstractNum w:abstractNumId="29" w15:restartNumberingAfterBreak="0">
    <w:nsid w:val="61B108F2"/>
    <w:multiLevelType w:val="multilevel"/>
    <w:tmpl w:val="D3E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313A0"/>
    <w:multiLevelType w:val="multilevel"/>
    <w:tmpl w:val="44A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23347"/>
    <w:multiLevelType w:val="multilevel"/>
    <w:tmpl w:val="CEEE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1200C"/>
    <w:multiLevelType w:val="multilevel"/>
    <w:tmpl w:val="64B4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F97C89"/>
    <w:multiLevelType w:val="hybridMultilevel"/>
    <w:tmpl w:val="D7D46E88"/>
    <w:lvl w:ilvl="0" w:tplc="B844B6A6">
      <w:start w:val="1"/>
      <w:numFmt w:val="bullet"/>
      <w:lvlText w:val="—"/>
      <w:lvlJc w:val="left"/>
      <w:pPr>
        <w:ind w:left="480" w:hanging="240"/>
      </w:pPr>
    </w:lvl>
    <w:lvl w:ilvl="1" w:tplc="8488E50C">
      <w:numFmt w:val="decimal"/>
      <w:lvlText w:val=""/>
      <w:lvlJc w:val="left"/>
    </w:lvl>
    <w:lvl w:ilvl="2" w:tplc="834A3548">
      <w:numFmt w:val="decimal"/>
      <w:lvlText w:val=""/>
      <w:lvlJc w:val="left"/>
    </w:lvl>
    <w:lvl w:ilvl="3" w:tplc="6C8A415E">
      <w:numFmt w:val="decimal"/>
      <w:lvlText w:val=""/>
      <w:lvlJc w:val="left"/>
    </w:lvl>
    <w:lvl w:ilvl="4" w:tplc="345028AA">
      <w:numFmt w:val="decimal"/>
      <w:lvlText w:val=""/>
      <w:lvlJc w:val="left"/>
    </w:lvl>
    <w:lvl w:ilvl="5" w:tplc="6FF22310">
      <w:numFmt w:val="decimal"/>
      <w:lvlText w:val=""/>
      <w:lvlJc w:val="left"/>
    </w:lvl>
    <w:lvl w:ilvl="6" w:tplc="7034DE5E">
      <w:numFmt w:val="decimal"/>
      <w:lvlText w:val=""/>
      <w:lvlJc w:val="left"/>
    </w:lvl>
    <w:lvl w:ilvl="7" w:tplc="4F20D6B0">
      <w:numFmt w:val="decimal"/>
      <w:lvlText w:val=""/>
      <w:lvlJc w:val="left"/>
    </w:lvl>
    <w:lvl w:ilvl="8" w:tplc="BAFE4368">
      <w:numFmt w:val="decimal"/>
      <w:lvlText w:val=""/>
      <w:lvlJc w:val="left"/>
    </w:lvl>
  </w:abstractNum>
  <w:abstractNum w:abstractNumId="34" w15:restartNumberingAfterBreak="0">
    <w:nsid w:val="79004795"/>
    <w:multiLevelType w:val="multilevel"/>
    <w:tmpl w:val="CFF4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73502"/>
    <w:multiLevelType w:val="multilevel"/>
    <w:tmpl w:val="793A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934499">
    <w:abstractNumId w:val="26"/>
    <w:lvlOverride w:ilvl="0">
      <w:startOverride w:val="1"/>
    </w:lvlOverride>
  </w:num>
  <w:num w:numId="2" w16cid:durableId="1467048873">
    <w:abstractNumId w:val="13"/>
  </w:num>
  <w:num w:numId="3" w16cid:durableId="1148743966">
    <w:abstractNumId w:val="5"/>
  </w:num>
  <w:num w:numId="4" w16cid:durableId="1565264106">
    <w:abstractNumId w:val="2"/>
  </w:num>
  <w:num w:numId="5" w16cid:durableId="637076324">
    <w:abstractNumId w:val="15"/>
  </w:num>
  <w:num w:numId="6" w16cid:durableId="1580627308">
    <w:abstractNumId w:val="23"/>
  </w:num>
  <w:num w:numId="7" w16cid:durableId="1346438938">
    <w:abstractNumId w:val="35"/>
  </w:num>
  <w:num w:numId="8" w16cid:durableId="573660882">
    <w:abstractNumId w:val="6"/>
  </w:num>
  <w:num w:numId="9" w16cid:durableId="1631478617">
    <w:abstractNumId w:val="0"/>
  </w:num>
  <w:num w:numId="10" w16cid:durableId="1948542256">
    <w:abstractNumId w:val="8"/>
  </w:num>
  <w:num w:numId="11" w16cid:durableId="778837292">
    <w:abstractNumId w:val="14"/>
  </w:num>
  <w:num w:numId="12" w16cid:durableId="1196386190">
    <w:abstractNumId w:val="20"/>
  </w:num>
  <w:num w:numId="13" w16cid:durableId="1126125507">
    <w:abstractNumId w:val="1"/>
  </w:num>
  <w:num w:numId="14" w16cid:durableId="1803158070">
    <w:abstractNumId w:val="27"/>
  </w:num>
  <w:num w:numId="15" w16cid:durableId="930629607">
    <w:abstractNumId w:val="30"/>
  </w:num>
  <w:num w:numId="16" w16cid:durableId="741949306">
    <w:abstractNumId w:val="17"/>
  </w:num>
  <w:num w:numId="17" w16cid:durableId="1123307893">
    <w:abstractNumId w:val="29"/>
  </w:num>
  <w:num w:numId="18" w16cid:durableId="459809719">
    <w:abstractNumId w:val="31"/>
  </w:num>
  <w:num w:numId="19" w16cid:durableId="1160584656">
    <w:abstractNumId w:val="34"/>
  </w:num>
  <w:num w:numId="20" w16cid:durableId="788549625">
    <w:abstractNumId w:val="16"/>
  </w:num>
  <w:num w:numId="21" w16cid:durableId="1475633685">
    <w:abstractNumId w:val="25"/>
  </w:num>
  <w:num w:numId="22" w16cid:durableId="1547260039">
    <w:abstractNumId w:val="3"/>
  </w:num>
  <w:num w:numId="23" w16cid:durableId="1913813425">
    <w:abstractNumId w:val="21"/>
  </w:num>
  <w:num w:numId="24" w16cid:durableId="531264394">
    <w:abstractNumId w:val="9"/>
    <w:lvlOverride w:ilvl="0">
      <w:startOverride w:val="1"/>
    </w:lvlOverride>
  </w:num>
  <w:num w:numId="25" w16cid:durableId="1719040480">
    <w:abstractNumId w:val="33"/>
    <w:lvlOverride w:ilvl="0">
      <w:startOverride w:val="1"/>
    </w:lvlOverride>
  </w:num>
  <w:num w:numId="26" w16cid:durableId="467288232">
    <w:abstractNumId w:val="28"/>
    <w:lvlOverride w:ilvl="0">
      <w:startOverride w:val="1"/>
    </w:lvlOverride>
  </w:num>
  <w:num w:numId="27" w16cid:durableId="1910656216">
    <w:abstractNumId w:val="19"/>
    <w:lvlOverride w:ilvl="0">
      <w:startOverride w:val="1"/>
    </w:lvlOverride>
  </w:num>
  <w:num w:numId="28" w16cid:durableId="1109355932">
    <w:abstractNumId w:val="24"/>
    <w:lvlOverride w:ilvl="0">
      <w:startOverride w:val="1"/>
    </w:lvlOverride>
  </w:num>
  <w:num w:numId="29" w16cid:durableId="372966766">
    <w:abstractNumId w:val="7"/>
    <w:lvlOverride w:ilvl="0">
      <w:startOverride w:val="1"/>
    </w:lvlOverride>
  </w:num>
  <w:num w:numId="30" w16cid:durableId="2041466104">
    <w:abstractNumId w:val="11"/>
    <w:lvlOverride w:ilvl="0">
      <w:startOverride w:val="1"/>
    </w:lvlOverride>
  </w:num>
  <w:num w:numId="31" w16cid:durableId="1342969211">
    <w:abstractNumId w:val="4"/>
    <w:lvlOverride w:ilvl="0">
      <w:startOverride w:val="1"/>
    </w:lvlOverride>
  </w:num>
  <w:num w:numId="32" w16cid:durableId="2144342394">
    <w:abstractNumId w:val="10"/>
    <w:lvlOverride w:ilvl="0">
      <w:startOverride w:val="1"/>
    </w:lvlOverride>
  </w:num>
  <w:num w:numId="33" w16cid:durableId="1529679624">
    <w:abstractNumId w:val="18"/>
  </w:num>
  <w:num w:numId="34" w16cid:durableId="536312121">
    <w:abstractNumId w:val="22"/>
  </w:num>
  <w:num w:numId="35" w16cid:durableId="71632588">
    <w:abstractNumId w:val="12"/>
  </w:num>
  <w:num w:numId="36" w16cid:durableId="899289618">
    <w:abstractNumId w:val="3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D58"/>
    <w:rsid w:val="0000175F"/>
    <w:rsid w:val="0000198F"/>
    <w:rsid w:val="0000388E"/>
    <w:rsid w:val="000104BF"/>
    <w:rsid w:val="000121BB"/>
    <w:rsid w:val="000223B9"/>
    <w:rsid w:val="0002602E"/>
    <w:rsid w:val="00034B0C"/>
    <w:rsid w:val="0003539F"/>
    <w:rsid w:val="00040D2B"/>
    <w:rsid w:val="00057971"/>
    <w:rsid w:val="00057EA9"/>
    <w:rsid w:val="00060D5A"/>
    <w:rsid w:val="00061A41"/>
    <w:rsid w:val="00065118"/>
    <w:rsid w:val="00072DA2"/>
    <w:rsid w:val="00074861"/>
    <w:rsid w:val="00082F18"/>
    <w:rsid w:val="00083255"/>
    <w:rsid w:val="0008340B"/>
    <w:rsid w:val="00085436"/>
    <w:rsid w:val="0009649B"/>
    <w:rsid w:val="000A00A6"/>
    <w:rsid w:val="000A27DB"/>
    <w:rsid w:val="000A5ECD"/>
    <w:rsid w:val="000B6E3E"/>
    <w:rsid w:val="000C0DBA"/>
    <w:rsid w:val="000C26CC"/>
    <w:rsid w:val="000D35C9"/>
    <w:rsid w:val="000D5191"/>
    <w:rsid w:val="000E2F58"/>
    <w:rsid w:val="000E39B6"/>
    <w:rsid w:val="000E5F7A"/>
    <w:rsid w:val="000E7735"/>
    <w:rsid w:val="000F41B8"/>
    <w:rsid w:val="0010768D"/>
    <w:rsid w:val="00117966"/>
    <w:rsid w:val="00126F1B"/>
    <w:rsid w:val="0013080C"/>
    <w:rsid w:val="001378EF"/>
    <w:rsid w:val="0014069E"/>
    <w:rsid w:val="00146637"/>
    <w:rsid w:val="0015071D"/>
    <w:rsid w:val="001525B0"/>
    <w:rsid w:val="0015792A"/>
    <w:rsid w:val="00161CCD"/>
    <w:rsid w:val="0016213C"/>
    <w:rsid w:val="00175226"/>
    <w:rsid w:val="001836D1"/>
    <w:rsid w:val="001A4DE1"/>
    <w:rsid w:val="001B5E8C"/>
    <w:rsid w:val="001C6610"/>
    <w:rsid w:val="001C6E99"/>
    <w:rsid w:val="001D5E73"/>
    <w:rsid w:val="001E40DB"/>
    <w:rsid w:val="001F082E"/>
    <w:rsid w:val="001F2E1B"/>
    <w:rsid w:val="001F4E78"/>
    <w:rsid w:val="0020484D"/>
    <w:rsid w:val="0023266A"/>
    <w:rsid w:val="00235B37"/>
    <w:rsid w:val="002407AB"/>
    <w:rsid w:val="00263D7E"/>
    <w:rsid w:val="0026423C"/>
    <w:rsid w:val="00267491"/>
    <w:rsid w:val="00272228"/>
    <w:rsid w:val="0027230D"/>
    <w:rsid w:val="00272896"/>
    <w:rsid w:val="00282DF9"/>
    <w:rsid w:val="00287D58"/>
    <w:rsid w:val="00290533"/>
    <w:rsid w:val="00290988"/>
    <w:rsid w:val="002913EA"/>
    <w:rsid w:val="00293D57"/>
    <w:rsid w:val="002A330C"/>
    <w:rsid w:val="002A7E27"/>
    <w:rsid w:val="002B25D8"/>
    <w:rsid w:val="002C0034"/>
    <w:rsid w:val="002C0744"/>
    <w:rsid w:val="002C0BB6"/>
    <w:rsid w:val="002C1011"/>
    <w:rsid w:val="002C7931"/>
    <w:rsid w:val="002D2DFD"/>
    <w:rsid w:val="002D55E2"/>
    <w:rsid w:val="002E444F"/>
    <w:rsid w:val="002E4617"/>
    <w:rsid w:val="002E7F07"/>
    <w:rsid w:val="00313D26"/>
    <w:rsid w:val="003155B6"/>
    <w:rsid w:val="0032359E"/>
    <w:rsid w:val="003268C8"/>
    <w:rsid w:val="003302A2"/>
    <w:rsid w:val="0035671B"/>
    <w:rsid w:val="00356762"/>
    <w:rsid w:val="00360DD3"/>
    <w:rsid w:val="00375852"/>
    <w:rsid w:val="00375F61"/>
    <w:rsid w:val="00376409"/>
    <w:rsid w:val="003A0B79"/>
    <w:rsid w:val="003A65AA"/>
    <w:rsid w:val="003B78AF"/>
    <w:rsid w:val="003D0187"/>
    <w:rsid w:val="003D10D7"/>
    <w:rsid w:val="003D160A"/>
    <w:rsid w:val="003D2E0B"/>
    <w:rsid w:val="003D5DCD"/>
    <w:rsid w:val="003E076A"/>
    <w:rsid w:val="003E10BD"/>
    <w:rsid w:val="003F08AA"/>
    <w:rsid w:val="003F30C7"/>
    <w:rsid w:val="003F3EB0"/>
    <w:rsid w:val="003F4B4D"/>
    <w:rsid w:val="003F5D15"/>
    <w:rsid w:val="004006AF"/>
    <w:rsid w:val="0040550E"/>
    <w:rsid w:val="0040637D"/>
    <w:rsid w:val="00413D58"/>
    <w:rsid w:val="00416CB4"/>
    <w:rsid w:val="00426EAB"/>
    <w:rsid w:val="00427539"/>
    <w:rsid w:val="004313A2"/>
    <w:rsid w:val="00435932"/>
    <w:rsid w:val="00436C77"/>
    <w:rsid w:val="004418BE"/>
    <w:rsid w:val="00442B81"/>
    <w:rsid w:val="00446CBA"/>
    <w:rsid w:val="004479AA"/>
    <w:rsid w:val="00452B87"/>
    <w:rsid w:val="00456BC3"/>
    <w:rsid w:val="0046252E"/>
    <w:rsid w:val="00475D29"/>
    <w:rsid w:val="00482CB1"/>
    <w:rsid w:val="00483A84"/>
    <w:rsid w:val="00484197"/>
    <w:rsid w:val="004A0621"/>
    <w:rsid w:val="004A35D5"/>
    <w:rsid w:val="004A6E0D"/>
    <w:rsid w:val="004B651F"/>
    <w:rsid w:val="004C34BE"/>
    <w:rsid w:val="004D0708"/>
    <w:rsid w:val="004E30EE"/>
    <w:rsid w:val="004F1517"/>
    <w:rsid w:val="004F26FF"/>
    <w:rsid w:val="004F735F"/>
    <w:rsid w:val="0050777D"/>
    <w:rsid w:val="00516282"/>
    <w:rsid w:val="00522EEC"/>
    <w:rsid w:val="005368EF"/>
    <w:rsid w:val="00537F6A"/>
    <w:rsid w:val="00544B04"/>
    <w:rsid w:val="00545EE8"/>
    <w:rsid w:val="00552589"/>
    <w:rsid w:val="005528FC"/>
    <w:rsid w:val="0057368A"/>
    <w:rsid w:val="00580CDD"/>
    <w:rsid w:val="00580DE3"/>
    <w:rsid w:val="005921CD"/>
    <w:rsid w:val="00594340"/>
    <w:rsid w:val="005A1320"/>
    <w:rsid w:val="005A41C3"/>
    <w:rsid w:val="005B7A7B"/>
    <w:rsid w:val="005C1E93"/>
    <w:rsid w:val="005E26A8"/>
    <w:rsid w:val="005E7E73"/>
    <w:rsid w:val="005F3191"/>
    <w:rsid w:val="005F334F"/>
    <w:rsid w:val="005F5D58"/>
    <w:rsid w:val="006047BA"/>
    <w:rsid w:val="006070FB"/>
    <w:rsid w:val="006078F6"/>
    <w:rsid w:val="00613E20"/>
    <w:rsid w:val="00615EE0"/>
    <w:rsid w:val="006178D9"/>
    <w:rsid w:val="00620903"/>
    <w:rsid w:val="006242DE"/>
    <w:rsid w:val="006341C5"/>
    <w:rsid w:val="006343A1"/>
    <w:rsid w:val="00641FA8"/>
    <w:rsid w:val="00647A58"/>
    <w:rsid w:val="00652A8B"/>
    <w:rsid w:val="006564E5"/>
    <w:rsid w:val="00664A06"/>
    <w:rsid w:val="00667CB1"/>
    <w:rsid w:val="0067001A"/>
    <w:rsid w:val="00670D27"/>
    <w:rsid w:val="00672E95"/>
    <w:rsid w:val="006732CA"/>
    <w:rsid w:val="006756F7"/>
    <w:rsid w:val="00681011"/>
    <w:rsid w:val="0069375A"/>
    <w:rsid w:val="00697737"/>
    <w:rsid w:val="006A0188"/>
    <w:rsid w:val="006A4295"/>
    <w:rsid w:val="006A62EC"/>
    <w:rsid w:val="006A75EF"/>
    <w:rsid w:val="006B3B55"/>
    <w:rsid w:val="006B70D8"/>
    <w:rsid w:val="006E070B"/>
    <w:rsid w:val="006E2EA6"/>
    <w:rsid w:val="006F0293"/>
    <w:rsid w:val="006F234E"/>
    <w:rsid w:val="006F3F21"/>
    <w:rsid w:val="006F480B"/>
    <w:rsid w:val="00705B9F"/>
    <w:rsid w:val="00710394"/>
    <w:rsid w:val="00712707"/>
    <w:rsid w:val="00724818"/>
    <w:rsid w:val="00726EA2"/>
    <w:rsid w:val="007325FA"/>
    <w:rsid w:val="00732A34"/>
    <w:rsid w:val="007336AA"/>
    <w:rsid w:val="007464F6"/>
    <w:rsid w:val="00753AEA"/>
    <w:rsid w:val="00765A2F"/>
    <w:rsid w:val="00765B68"/>
    <w:rsid w:val="00766493"/>
    <w:rsid w:val="00772F14"/>
    <w:rsid w:val="00773022"/>
    <w:rsid w:val="00776C10"/>
    <w:rsid w:val="007776F0"/>
    <w:rsid w:val="00782931"/>
    <w:rsid w:val="00787968"/>
    <w:rsid w:val="00797E99"/>
    <w:rsid w:val="007A4118"/>
    <w:rsid w:val="007A692B"/>
    <w:rsid w:val="007B4C4A"/>
    <w:rsid w:val="007B56FE"/>
    <w:rsid w:val="007B5826"/>
    <w:rsid w:val="007B63AD"/>
    <w:rsid w:val="007C7DDA"/>
    <w:rsid w:val="007D04F5"/>
    <w:rsid w:val="007D0C42"/>
    <w:rsid w:val="007D4682"/>
    <w:rsid w:val="007E5FE9"/>
    <w:rsid w:val="007F02C3"/>
    <w:rsid w:val="007F53FD"/>
    <w:rsid w:val="007F54CF"/>
    <w:rsid w:val="007F59BF"/>
    <w:rsid w:val="007F6663"/>
    <w:rsid w:val="007F6B1D"/>
    <w:rsid w:val="007F6FEE"/>
    <w:rsid w:val="00802484"/>
    <w:rsid w:val="008036B8"/>
    <w:rsid w:val="008108A0"/>
    <w:rsid w:val="008219E1"/>
    <w:rsid w:val="00825670"/>
    <w:rsid w:val="00834D17"/>
    <w:rsid w:val="0083599D"/>
    <w:rsid w:val="008416A8"/>
    <w:rsid w:val="00850FCE"/>
    <w:rsid w:val="00855042"/>
    <w:rsid w:val="008579F9"/>
    <w:rsid w:val="008618B6"/>
    <w:rsid w:val="0087558E"/>
    <w:rsid w:val="00877647"/>
    <w:rsid w:val="00880C29"/>
    <w:rsid w:val="008842ED"/>
    <w:rsid w:val="008930A8"/>
    <w:rsid w:val="008960A0"/>
    <w:rsid w:val="008A4D83"/>
    <w:rsid w:val="008A5DF0"/>
    <w:rsid w:val="008A6A98"/>
    <w:rsid w:val="008B10E6"/>
    <w:rsid w:val="008B165A"/>
    <w:rsid w:val="008C0CBF"/>
    <w:rsid w:val="008C75A6"/>
    <w:rsid w:val="008D0CA3"/>
    <w:rsid w:val="008D4352"/>
    <w:rsid w:val="008D7C32"/>
    <w:rsid w:val="008E4C46"/>
    <w:rsid w:val="008F0206"/>
    <w:rsid w:val="008F33CE"/>
    <w:rsid w:val="00904F00"/>
    <w:rsid w:val="0090706F"/>
    <w:rsid w:val="0091080D"/>
    <w:rsid w:val="009164D8"/>
    <w:rsid w:val="009231BF"/>
    <w:rsid w:val="00927313"/>
    <w:rsid w:val="0093088C"/>
    <w:rsid w:val="0094141D"/>
    <w:rsid w:val="00942D6B"/>
    <w:rsid w:val="009440D6"/>
    <w:rsid w:val="00946685"/>
    <w:rsid w:val="00947075"/>
    <w:rsid w:val="00947D13"/>
    <w:rsid w:val="00951A4C"/>
    <w:rsid w:val="00952DE7"/>
    <w:rsid w:val="00953A61"/>
    <w:rsid w:val="009547E5"/>
    <w:rsid w:val="00954ACF"/>
    <w:rsid w:val="009554C7"/>
    <w:rsid w:val="009572DA"/>
    <w:rsid w:val="00957DCE"/>
    <w:rsid w:val="0096149F"/>
    <w:rsid w:val="00964365"/>
    <w:rsid w:val="009717F5"/>
    <w:rsid w:val="00972C3E"/>
    <w:rsid w:val="00973086"/>
    <w:rsid w:val="00973D12"/>
    <w:rsid w:val="00975EA0"/>
    <w:rsid w:val="00987854"/>
    <w:rsid w:val="009929AD"/>
    <w:rsid w:val="009A115D"/>
    <w:rsid w:val="009A7CC2"/>
    <w:rsid w:val="009B0BF1"/>
    <w:rsid w:val="009B5520"/>
    <w:rsid w:val="009C1B30"/>
    <w:rsid w:val="009D01E1"/>
    <w:rsid w:val="009E4AA7"/>
    <w:rsid w:val="009E50AD"/>
    <w:rsid w:val="009F1A77"/>
    <w:rsid w:val="009F2C49"/>
    <w:rsid w:val="009F7F16"/>
    <w:rsid w:val="00A033F2"/>
    <w:rsid w:val="00A03804"/>
    <w:rsid w:val="00A052E7"/>
    <w:rsid w:val="00A14408"/>
    <w:rsid w:val="00A1552E"/>
    <w:rsid w:val="00A1585B"/>
    <w:rsid w:val="00A226EB"/>
    <w:rsid w:val="00A24EC4"/>
    <w:rsid w:val="00A304DC"/>
    <w:rsid w:val="00A35121"/>
    <w:rsid w:val="00A4479D"/>
    <w:rsid w:val="00A45AEB"/>
    <w:rsid w:val="00A46D8B"/>
    <w:rsid w:val="00A47804"/>
    <w:rsid w:val="00A549D5"/>
    <w:rsid w:val="00A608E0"/>
    <w:rsid w:val="00A6235B"/>
    <w:rsid w:val="00A6751E"/>
    <w:rsid w:val="00A831E7"/>
    <w:rsid w:val="00A8730B"/>
    <w:rsid w:val="00A87386"/>
    <w:rsid w:val="00A9306E"/>
    <w:rsid w:val="00A93F8C"/>
    <w:rsid w:val="00A96497"/>
    <w:rsid w:val="00AA0108"/>
    <w:rsid w:val="00AA01AE"/>
    <w:rsid w:val="00AA1AB0"/>
    <w:rsid w:val="00AB5A02"/>
    <w:rsid w:val="00AD3DB2"/>
    <w:rsid w:val="00AD413E"/>
    <w:rsid w:val="00AD5071"/>
    <w:rsid w:val="00AD66BE"/>
    <w:rsid w:val="00AF0074"/>
    <w:rsid w:val="00B0287F"/>
    <w:rsid w:val="00B10998"/>
    <w:rsid w:val="00B1577F"/>
    <w:rsid w:val="00B16780"/>
    <w:rsid w:val="00B2582D"/>
    <w:rsid w:val="00B27F36"/>
    <w:rsid w:val="00B3767D"/>
    <w:rsid w:val="00B41A22"/>
    <w:rsid w:val="00B42FC7"/>
    <w:rsid w:val="00B46B14"/>
    <w:rsid w:val="00B534F7"/>
    <w:rsid w:val="00B55282"/>
    <w:rsid w:val="00B61D9C"/>
    <w:rsid w:val="00B63D34"/>
    <w:rsid w:val="00B65247"/>
    <w:rsid w:val="00B67246"/>
    <w:rsid w:val="00B722AE"/>
    <w:rsid w:val="00B7435B"/>
    <w:rsid w:val="00B769AA"/>
    <w:rsid w:val="00B775EC"/>
    <w:rsid w:val="00B80BB3"/>
    <w:rsid w:val="00B81561"/>
    <w:rsid w:val="00B8277D"/>
    <w:rsid w:val="00B8439A"/>
    <w:rsid w:val="00B94485"/>
    <w:rsid w:val="00BA3590"/>
    <w:rsid w:val="00BA68ED"/>
    <w:rsid w:val="00BB4205"/>
    <w:rsid w:val="00BB702D"/>
    <w:rsid w:val="00BC0B17"/>
    <w:rsid w:val="00BC0E54"/>
    <w:rsid w:val="00BE4F85"/>
    <w:rsid w:val="00BF0A3A"/>
    <w:rsid w:val="00C21A22"/>
    <w:rsid w:val="00C26E55"/>
    <w:rsid w:val="00C363F1"/>
    <w:rsid w:val="00C365E3"/>
    <w:rsid w:val="00C44F75"/>
    <w:rsid w:val="00C50480"/>
    <w:rsid w:val="00C52BF6"/>
    <w:rsid w:val="00C61C1C"/>
    <w:rsid w:val="00C70A33"/>
    <w:rsid w:val="00C72256"/>
    <w:rsid w:val="00C77079"/>
    <w:rsid w:val="00C91E2E"/>
    <w:rsid w:val="00C9771E"/>
    <w:rsid w:val="00CA7802"/>
    <w:rsid w:val="00CB3ADF"/>
    <w:rsid w:val="00CC6991"/>
    <w:rsid w:val="00CC7AAA"/>
    <w:rsid w:val="00CD37A5"/>
    <w:rsid w:val="00CD7D9C"/>
    <w:rsid w:val="00CE1E40"/>
    <w:rsid w:val="00CE4479"/>
    <w:rsid w:val="00CE4CEB"/>
    <w:rsid w:val="00CE544C"/>
    <w:rsid w:val="00CF2F96"/>
    <w:rsid w:val="00CF3B09"/>
    <w:rsid w:val="00CF41A2"/>
    <w:rsid w:val="00CF54B1"/>
    <w:rsid w:val="00CF7FD5"/>
    <w:rsid w:val="00D00353"/>
    <w:rsid w:val="00D06322"/>
    <w:rsid w:val="00D064F3"/>
    <w:rsid w:val="00D12D55"/>
    <w:rsid w:val="00D14CB1"/>
    <w:rsid w:val="00D15548"/>
    <w:rsid w:val="00D159C7"/>
    <w:rsid w:val="00D20883"/>
    <w:rsid w:val="00D20D4D"/>
    <w:rsid w:val="00D24494"/>
    <w:rsid w:val="00D26654"/>
    <w:rsid w:val="00D271E3"/>
    <w:rsid w:val="00D30F54"/>
    <w:rsid w:val="00D323FE"/>
    <w:rsid w:val="00D4086D"/>
    <w:rsid w:val="00D41A98"/>
    <w:rsid w:val="00D43CA4"/>
    <w:rsid w:val="00D46B55"/>
    <w:rsid w:val="00D5093A"/>
    <w:rsid w:val="00D5395A"/>
    <w:rsid w:val="00D61269"/>
    <w:rsid w:val="00D64FEF"/>
    <w:rsid w:val="00D72CBE"/>
    <w:rsid w:val="00D73520"/>
    <w:rsid w:val="00D7437F"/>
    <w:rsid w:val="00D91804"/>
    <w:rsid w:val="00D92C62"/>
    <w:rsid w:val="00DB655F"/>
    <w:rsid w:val="00DC0596"/>
    <w:rsid w:val="00DC6912"/>
    <w:rsid w:val="00DD1477"/>
    <w:rsid w:val="00DE0460"/>
    <w:rsid w:val="00DF1FB5"/>
    <w:rsid w:val="00DF5B96"/>
    <w:rsid w:val="00E04D2A"/>
    <w:rsid w:val="00E105B8"/>
    <w:rsid w:val="00E125C5"/>
    <w:rsid w:val="00E12B75"/>
    <w:rsid w:val="00E23816"/>
    <w:rsid w:val="00E309E1"/>
    <w:rsid w:val="00E4046E"/>
    <w:rsid w:val="00E425CF"/>
    <w:rsid w:val="00E4440B"/>
    <w:rsid w:val="00E5058D"/>
    <w:rsid w:val="00E57C60"/>
    <w:rsid w:val="00E60987"/>
    <w:rsid w:val="00E60C54"/>
    <w:rsid w:val="00E615FD"/>
    <w:rsid w:val="00E66B25"/>
    <w:rsid w:val="00E70830"/>
    <w:rsid w:val="00E72426"/>
    <w:rsid w:val="00E94FDD"/>
    <w:rsid w:val="00EA3C77"/>
    <w:rsid w:val="00EB075B"/>
    <w:rsid w:val="00EB32CD"/>
    <w:rsid w:val="00EB719D"/>
    <w:rsid w:val="00EC30DF"/>
    <w:rsid w:val="00EC6C84"/>
    <w:rsid w:val="00EC7C53"/>
    <w:rsid w:val="00ED54B2"/>
    <w:rsid w:val="00ED5AB0"/>
    <w:rsid w:val="00ED5BD0"/>
    <w:rsid w:val="00EF2AAE"/>
    <w:rsid w:val="00EF78B8"/>
    <w:rsid w:val="00F0268A"/>
    <w:rsid w:val="00F06651"/>
    <w:rsid w:val="00F205AD"/>
    <w:rsid w:val="00F22D73"/>
    <w:rsid w:val="00F2506F"/>
    <w:rsid w:val="00F33BCA"/>
    <w:rsid w:val="00F347E2"/>
    <w:rsid w:val="00F40CD1"/>
    <w:rsid w:val="00F45BCA"/>
    <w:rsid w:val="00F547DC"/>
    <w:rsid w:val="00F55019"/>
    <w:rsid w:val="00F56E03"/>
    <w:rsid w:val="00F611AA"/>
    <w:rsid w:val="00F62A4B"/>
    <w:rsid w:val="00F63D7E"/>
    <w:rsid w:val="00F84D50"/>
    <w:rsid w:val="00FA3D55"/>
    <w:rsid w:val="00FA768C"/>
    <w:rsid w:val="00FB30E9"/>
    <w:rsid w:val="00FB3FF0"/>
    <w:rsid w:val="00FB5744"/>
    <w:rsid w:val="00FB6379"/>
    <w:rsid w:val="00FC0C39"/>
    <w:rsid w:val="00FC19F7"/>
    <w:rsid w:val="00FD1F6A"/>
    <w:rsid w:val="00FD3526"/>
    <w:rsid w:val="00FD3D40"/>
    <w:rsid w:val="00FD4CBB"/>
    <w:rsid w:val="00FE10AD"/>
    <w:rsid w:val="00FE1E41"/>
    <w:rsid w:val="00FE3249"/>
    <w:rsid w:val="00FF3797"/>
    <w:rsid w:val="00FF6A37"/>
    <w:rsid w:val="330B9D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76C7"/>
  <w15:docId w15:val="{A682E6A2-E3C1-4FF0-A9BE-90F9BC472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A2740"/>
        <w:sz w:val="19"/>
        <w:szCs w:val="19"/>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0FB"/>
  </w:style>
  <w:style w:type="paragraph" w:styleId="Ttulo1">
    <w:name w:val="heading 1"/>
    <w:uiPriority w:val="9"/>
    <w:qFormat/>
    <w:pPr>
      <w:spacing w:before="120" w:after="140"/>
      <w:outlineLvl w:val="0"/>
    </w:pPr>
    <w:rPr>
      <w:rFonts w:ascii="Barlow Condensed" w:eastAsia="Barlow Condensed" w:hAnsi="Barlow Condensed" w:cs="Barlow Condensed"/>
      <w:b/>
      <w:bCs/>
      <w:color w:val="051A3D"/>
      <w:sz w:val="34"/>
      <w:szCs w:val="34"/>
    </w:rPr>
  </w:style>
  <w:style w:type="paragraph" w:styleId="Ttulo2">
    <w:name w:val="heading 2"/>
    <w:uiPriority w:val="9"/>
    <w:unhideWhenUsed/>
    <w:qFormat/>
    <w:pPr>
      <w:spacing w:before="240" w:after="80"/>
      <w:outlineLvl w:val="1"/>
    </w:pPr>
    <w:rPr>
      <w:rFonts w:ascii="Barlow Condensed" w:eastAsia="Barlow Condensed" w:hAnsi="Barlow Condensed" w:cs="Barlow Condensed"/>
      <w:b/>
      <w:bCs/>
      <w:color w:val="0B2C5F"/>
      <w:sz w:val="26"/>
      <w:szCs w:val="26"/>
    </w:rPr>
  </w:style>
  <w:style w:type="paragraph" w:styleId="Ttulo3">
    <w:name w:val="heading 3"/>
    <w:uiPriority w:val="9"/>
    <w:unhideWhenUsed/>
    <w:qFormat/>
    <w:pPr>
      <w:spacing w:before="180" w:after="60"/>
      <w:outlineLvl w:val="2"/>
    </w:pPr>
    <w:rPr>
      <w:rFonts w:ascii="Barlow Condensed" w:eastAsia="Barlow Condensed" w:hAnsi="Barlow Condensed" w:cs="Barlow Condensed"/>
      <w:b/>
      <w:bCs/>
      <w:color w:val="0B2C5F"/>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Hyperlink1">
    <w:name w:val="Hyperlink1"/>
    <w:rPr>
      <w:color w:val="1E4C99"/>
      <w:u w:val="single"/>
    </w:rPr>
  </w:style>
  <w:style w:type="paragraph" w:styleId="Sumrio1">
    <w:name w:val="toc 1"/>
    <w:basedOn w:val="Normal"/>
    <w:next w:val="Normal"/>
    <w:autoRedefine/>
    <w:uiPriority w:val="39"/>
    <w:unhideWhenUsed/>
    <w:rsid w:val="004479AA"/>
    <w:pPr>
      <w:spacing w:after="100"/>
    </w:pPr>
  </w:style>
  <w:style w:type="paragraph" w:styleId="Sumrio2">
    <w:name w:val="toc 2"/>
    <w:basedOn w:val="Normal"/>
    <w:next w:val="Normal"/>
    <w:autoRedefine/>
    <w:uiPriority w:val="39"/>
    <w:unhideWhenUsed/>
    <w:rsid w:val="004479AA"/>
    <w:pPr>
      <w:spacing w:after="100"/>
      <w:ind w:left="190"/>
    </w:pPr>
  </w:style>
  <w:style w:type="paragraph" w:styleId="Sumrio3">
    <w:name w:val="toc 3"/>
    <w:basedOn w:val="Normal"/>
    <w:next w:val="Normal"/>
    <w:autoRedefine/>
    <w:uiPriority w:val="39"/>
    <w:unhideWhenUsed/>
    <w:rsid w:val="004479AA"/>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Sumrio4">
    <w:name w:val="toc 4"/>
    <w:basedOn w:val="Normal"/>
    <w:next w:val="Normal"/>
    <w:autoRedefine/>
    <w:uiPriority w:val="39"/>
    <w:unhideWhenUsed/>
    <w:rsid w:val="004479A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Sumrio5">
    <w:name w:val="toc 5"/>
    <w:basedOn w:val="Normal"/>
    <w:next w:val="Normal"/>
    <w:autoRedefine/>
    <w:uiPriority w:val="39"/>
    <w:unhideWhenUsed/>
    <w:rsid w:val="004479A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Sumrio6">
    <w:name w:val="toc 6"/>
    <w:basedOn w:val="Normal"/>
    <w:next w:val="Normal"/>
    <w:autoRedefine/>
    <w:uiPriority w:val="39"/>
    <w:unhideWhenUsed/>
    <w:rsid w:val="004479A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Sumrio7">
    <w:name w:val="toc 7"/>
    <w:basedOn w:val="Normal"/>
    <w:next w:val="Normal"/>
    <w:autoRedefine/>
    <w:uiPriority w:val="39"/>
    <w:unhideWhenUsed/>
    <w:rsid w:val="004479A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Sumrio8">
    <w:name w:val="toc 8"/>
    <w:basedOn w:val="Normal"/>
    <w:next w:val="Normal"/>
    <w:autoRedefine/>
    <w:uiPriority w:val="39"/>
    <w:unhideWhenUsed/>
    <w:rsid w:val="004479A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Sumrio9">
    <w:name w:val="toc 9"/>
    <w:basedOn w:val="Normal"/>
    <w:next w:val="Normal"/>
    <w:autoRedefine/>
    <w:uiPriority w:val="39"/>
    <w:unhideWhenUsed/>
    <w:rsid w:val="004479A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oPendente">
    <w:name w:val="Unresolved Mention"/>
    <w:basedOn w:val="Fontepargpadro"/>
    <w:uiPriority w:val="99"/>
    <w:semiHidden/>
    <w:unhideWhenUsed/>
    <w:rsid w:val="004479AA"/>
    <w:rPr>
      <w:color w:val="605E5C"/>
      <w:shd w:val="clear" w:color="auto" w:fill="E1DFDD"/>
    </w:rPr>
  </w:style>
  <w:style w:type="paragraph" w:styleId="Cabealho">
    <w:name w:val="header"/>
    <w:basedOn w:val="Normal"/>
    <w:link w:val="CabealhoChar"/>
    <w:uiPriority w:val="99"/>
    <w:unhideWhenUsed/>
    <w:rsid w:val="002C1011"/>
    <w:pPr>
      <w:tabs>
        <w:tab w:val="center" w:pos="4252"/>
        <w:tab w:val="right" w:pos="8504"/>
      </w:tabs>
      <w:spacing w:line="240" w:lineRule="auto"/>
    </w:pPr>
  </w:style>
  <w:style w:type="character" w:customStyle="1" w:styleId="CabealhoChar">
    <w:name w:val="Cabeçalho Char"/>
    <w:basedOn w:val="Fontepargpadro"/>
    <w:link w:val="Cabealho"/>
    <w:uiPriority w:val="99"/>
    <w:rsid w:val="002C1011"/>
  </w:style>
  <w:style w:type="paragraph" w:styleId="Rodap">
    <w:name w:val="footer"/>
    <w:basedOn w:val="Normal"/>
    <w:link w:val="RodapChar"/>
    <w:uiPriority w:val="99"/>
    <w:unhideWhenUsed/>
    <w:rsid w:val="002C1011"/>
    <w:pPr>
      <w:tabs>
        <w:tab w:val="center" w:pos="4252"/>
        <w:tab w:val="right" w:pos="8504"/>
      </w:tabs>
      <w:spacing w:line="240" w:lineRule="auto"/>
    </w:pPr>
  </w:style>
  <w:style w:type="character" w:customStyle="1" w:styleId="RodapChar">
    <w:name w:val="Rodapé Char"/>
    <w:basedOn w:val="Fontepargpadro"/>
    <w:link w:val="Rodap"/>
    <w:uiPriority w:val="99"/>
    <w:rsid w:val="002C1011"/>
  </w:style>
  <w:style w:type="table" w:styleId="Tabelacomgrade">
    <w:name w:val="Table Grid"/>
    <w:basedOn w:val="Tabelanormal"/>
    <w:uiPriority w:val="39"/>
    <w:rsid w:val="00EB71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1">
    <w:name w:val="Grid Table 4 Accent 1"/>
    <w:basedOn w:val="Tabelanormal"/>
    <w:uiPriority w:val="49"/>
    <w:rsid w:val="00EB719D"/>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font-claude-response-body">
    <w:name w:val="font-claude-response-body"/>
    <w:basedOn w:val="Normal"/>
    <w:rsid w:val="002C003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Forte">
    <w:name w:val="Strong"/>
    <w:basedOn w:val="Fontepargpadro"/>
    <w:uiPriority w:val="22"/>
    <w:qFormat/>
    <w:rsid w:val="002C00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2FD9B-11A3-423F-A086-20FCBAA353AB}">
  <ds:schemaRefs>
    <ds:schemaRef ds:uri="http://schemas.openxmlformats.org/officeDocument/2006/bibliography"/>
  </ds:schemaRefs>
</ds:datastoreItem>
</file>

<file path=docMetadata/LabelInfo.xml><?xml version="1.0" encoding="utf-8"?>
<clbl:labelList xmlns:clbl="http://schemas.microsoft.com/office/2020/mipLabelMetadata">
  <clbl:label id="{6f49aa43-822a-4c20-9670-db7700bf1eb0}" enabled="0" method="" siteId="{6f49aa43-822a-4c20-9670-db7700bf1eb0}"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224</Pages>
  <Words>94967</Words>
  <Characters>512825</Characters>
  <Application>Microsoft Office Word</Application>
  <DocSecurity>0</DocSecurity>
  <Lines>4273</Lines>
  <Paragraphs>1213</Paragraphs>
  <ScaleCrop>false</ScaleCrop>
  <Company/>
  <LinksUpToDate>false</LinksUpToDate>
  <CharactersWithSpaces>606579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Análise de Condutas — Integritas v2</dc:title>
  <dc:creator>Corregedoria-Geral / Receita Federal do Brasil</dc:creator>
  <dc:description>Manual teórico-prático de apoio à ferramenta Integritas — Versão 2</dc:description>
  <cp:lastModifiedBy>Raphael Albuquerque de Souza</cp:lastModifiedBy>
  <cp:revision>473</cp:revision>
  <cp:lastPrinted>2026-06-17T13:00:00Z</cp:lastPrinted>
  <dcterms:created xsi:type="dcterms:W3CDTF">2026-06-15T15:18:00Z</dcterms:created>
  <dcterms:modified xsi:type="dcterms:W3CDTF">2026-08-19T11:54:00Z</dcterms:modified>
</cp:coreProperties>
</file>