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151307" w14:textId="77777777" w:rsidR="00560F38" w:rsidRDefault="00560F38"/>
    <w:p w14:paraId="0987F83F" w14:textId="77777777" w:rsidR="00560F38" w:rsidRDefault="00560F38"/>
    <w:p w14:paraId="404B3060" w14:textId="77777777" w:rsidR="00560F38" w:rsidRDefault="00000000">
      <w:pPr>
        <w:pBdr>
          <w:bottom w:val="single" w:sz="6" w:space="4" w:color="1F3864"/>
        </w:pBdr>
        <w:spacing w:after="40"/>
        <w:jc w:val="center"/>
      </w:pPr>
      <w:r>
        <w:rPr>
          <w:b/>
          <w:bCs/>
          <w:caps/>
          <w:color w:val="1F3864"/>
          <w:sz w:val="22"/>
          <w:szCs w:val="22"/>
        </w:rPr>
        <w:t>CORREGEDORIA DA SECRETARIA ESPECIAL DA RECEITA FEDERAL DO BRASIL</w:t>
      </w:r>
    </w:p>
    <w:p w14:paraId="1F8BA227" w14:textId="77777777" w:rsidR="00560F38" w:rsidRDefault="00560F38"/>
    <w:p w14:paraId="7A08CEF5" w14:textId="77777777" w:rsidR="001528BF" w:rsidRDefault="001528BF">
      <w:pPr>
        <w:spacing w:after="80"/>
        <w:jc w:val="center"/>
        <w:rPr>
          <w:b/>
          <w:bCs/>
          <w:caps/>
          <w:color w:val="1F3864"/>
          <w:sz w:val="34"/>
          <w:szCs w:val="34"/>
        </w:rPr>
      </w:pPr>
    </w:p>
    <w:p w14:paraId="5F98E412" w14:textId="77777777" w:rsidR="001528BF" w:rsidRDefault="001528BF">
      <w:pPr>
        <w:spacing w:after="80"/>
        <w:jc w:val="center"/>
        <w:rPr>
          <w:b/>
          <w:bCs/>
          <w:caps/>
          <w:color w:val="1F3864"/>
          <w:sz w:val="34"/>
          <w:szCs w:val="34"/>
        </w:rPr>
      </w:pPr>
    </w:p>
    <w:p w14:paraId="4E40A8DC" w14:textId="77777777" w:rsidR="001528BF" w:rsidRDefault="001528BF">
      <w:pPr>
        <w:spacing w:after="80"/>
        <w:jc w:val="center"/>
        <w:rPr>
          <w:b/>
          <w:bCs/>
          <w:caps/>
          <w:color w:val="1F3864"/>
          <w:sz w:val="34"/>
          <w:szCs w:val="34"/>
        </w:rPr>
      </w:pPr>
    </w:p>
    <w:p w14:paraId="7DBBDAC8" w14:textId="77777777" w:rsidR="001528BF" w:rsidRDefault="001528BF">
      <w:pPr>
        <w:spacing w:after="80"/>
        <w:jc w:val="center"/>
        <w:rPr>
          <w:b/>
          <w:bCs/>
          <w:caps/>
          <w:color w:val="1F3864"/>
          <w:sz w:val="34"/>
          <w:szCs w:val="34"/>
        </w:rPr>
      </w:pPr>
    </w:p>
    <w:p w14:paraId="6ACA1B7B" w14:textId="77777777" w:rsidR="001528BF" w:rsidRDefault="001528BF">
      <w:pPr>
        <w:spacing w:after="80"/>
        <w:jc w:val="center"/>
        <w:rPr>
          <w:b/>
          <w:bCs/>
          <w:caps/>
          <w:color w:val="1F3864"/>
          <w:sz w:val="34"/>
          <w:szCs w:val="34"/>
        </w:rPr>
      </w:pPr>
    </w:p>
    <w:p w14:paraId="4FDA49D6" w14:textId="77777777" w:rsidR="001528BF" w:rsidRDefault="001528BF">
      <w:pPr>
        <w:spacing w:after="80"/>
        <w:jc w:val="center"/>
        <w:rPr>
          <w:b/>
          <w:bCs/>
          <w:caps/>
          <w:color w:val="1F3864"/>
          <w:sz w:val="34"/>
          <w:szCs w:val="34"/>
        </w:rPr>
      </w:pPr>
    </w:p>
    <w:p w14:paraId="4AD86C63" w14:textId="07727D61" w:rsidR="00560F38" w:rsidRDefault="00000000">
      <w:pPr>
        <w:spacing w:after="80"/>
        <w:jc w:val="center"/>
      </w:pPr>
      <w:r>
        <w:rPr>
          <w:b/>
          <w:bCs/>
          <w:caps/>
          <w:color w:val="1F3864"/>
          <w:sz w:val="34"/>
          <w:szCs w:val="34"/>
        </w:rPr>
        <w:t>MANUAL TEÓRICO-JURÍDICO E PRÁTICO</w:t>
      </w:r>
    </w:p>
    <w:p w14:paraId="6BC2F0F9" w14:textId="77777777" w:rsidR="00560F38" w:rsidRDefault="00000000">
      <w:pPr>
        <w:spacing w:after="80"/>
        <w:jc w:val="center"/>
      </w:pPr>
      <w:r>
        <w:rPr>
          <w:b/>
          <w:bCs/>
          <w:caps/>
          <w:color w:val="2E5090"/>
          <w:sz w:val="26"/>
          <w:szCs w:val="26"/>
        </w:rPr>
        <w:t>DA CALCULADORA DE DOSIMETRIA DAS SANÇÕES DISCIPLINARES</w:t>
      </w:r>
    </w:p>
    <w:p w14:paraId="30A36696" w14:textId="77777777" w:rsidR="00560F38" w:rsidRDefault="00560F38"/>
    <w:p w14:paraId="4F0523F7" w14:textId="77777777" w:rsidR="001528BF" w:rsidRDefault="001528BF">
      <w:pPr>
        <w:spacing w:after="40"/>
        <w:jc w:val="center"/>
        <w:rPr>
          <w:i/>
          <w:iCs/>
          <w:color w:val="555555"/>
          <w:sz w:val="22"/>
          <w:szCs w:val="22"/>
        </w:rPr>
      </w:pPr>
    </w:p>
    <w:p w14:paraId="07A35227" w14:textId="134198B2" w:rsidR="00560F38" w:rsidRDefault="00000000">
      <w:pPr>
        <w:spacing w:after="40"/>
        <w:jc w:val="center"/>
      </w:pPr>
      <w:r>
        <w:rPr>
          <w:i/>
          <w:iCs/>
          <w:color w:val="555555"/>
          <w:sz w:val="22"/>
          <w:szCs w:val="22"/>
        </w:rPr>
        <w:t>Versão 1.0 — Edição Teórico-Prática</w:t>
      </w:r>
    </w:p>
    <w:p w14:paraId="1F93447D" w14:textId="77777777" w:rsidR="00560F38" w:rsidRDefault="00000000">
      <w:pPr>
        <w:spacing w:after="200"/>
        <w:jc w:val="center"/>
      </w:pPr>
      <w:r>
        <w:rPr>
          <w:i/>
          <w:iCs/>
          <w:color w:val="555555"/>
        </w:rPr>
        <w:t>Fundamentação teórica, jurídica e guia operacional da ferramenta</w:t>
      </w:r>
    </w:p>
    <w:p w14:paraId="6FB72A3A" w14:textId="77777777" w:rsidR="00560F38" w:rsidRDefault="00560F38"/>
    <w:p w14:paraId="60DBE376" w14:textId="77777777" w:rsidR="00560F38" w:rsidRDefault="00560F38"/>
    <w:p w14:paraId="4310BD7E" w14:textId="77777777" w:rsidR="001528BF" w:rsidRDefault="001528BF">
      <w:pPr>
        <w:spacing w:after="40"/>
        <w:jc w:val="center"/>
        <w:rPr>
          <w:b/>
          <w:bCs/>
        </w:rPr>
      </w:pPr>
    </w:p>
    <w:p w14:paraId="33739D30" w14:textId="77777777" w:rsidR="001528BF" w:rsidRDefault="001528BF">
      <w:pPr>
        <w:spacing w:after="40"/>
        <w:jc w:val="center"/>
        <w:rPr>
          <w:b/>
          <w:bCs/>
        </w:rPr>
      </w:pPr>
    </w:p>
    <w:p w14:paraId="4F4632BD" w14:textId="77777777" w:rsidR="001528BF" w:rsidRDefault="001528BF">
      <w:pPr>
        <w:spacing w:after="40"/>
        <w:jc w:val="center"/>
        <w:rPr>
          <w:b/>
          <w:bCs/>
        </w:rPr>
      </w:pPr>
    </w:p>
    <w:p w14:paraId="070B6D7D" w14:textId="77777777" w:rsidR="001528BF" w:rsidRDefault="001528BF">
      <w:pPr>
        <w:spacing w:after="40"/>
        <w:jc w:val="center"/>
        <w:rPr>
          <w:b/>
          <w:bCs/>
        </w:rPr>
      </w:pPr>
    </w:p>
    <w:p w14:paraId="6A89823D" w14:textId="77777777" w:rsidR="001528BF" w:rsidRDefault="001528BF">
      <w:pPr>
        <w:spacing w:after="40"/>
        <w:jc w:val="center"/>
        <w:rPr>
          <w:b/>
          <w:bCs/>
        </w:rPr>
      </w:pPr>
    </w:p>
    <w:p w14:paraId="5F97FF32" w14:textId="77777777" w:rsidR="001528BF" w:rsidRDefault="001528BF">
      <w:pPr>
        <w:spacing w:after="40"/>
        <w:jc w:val="center"/>
        <w:rPr>
          <w:b/>
          <w:bCs/>
        </w:rPr>
      </w:pPr>
    </w:p>
    <w:p w14:paraId="7EC1B405" w14:textId="77777777" w:rsidR="001528BF" w:rsidRDefault="001528BF">
      <w:pPr>
        <w:spacing w:after="40"/>
        <w:jc w:val="center"/>
        <w:rPr>
          <w:b/>
          <w:bCs/>
        </w:rPr>
      </w:pPr>
    </w:p>
    <w:p w14:paraId="4EA8F86D" w14:textId="77777777" w:rsidR="001528BF" w:rsidRDefault="001528BF">
      <w:pPr>
        <w:spacing w:after="40"/>
        <w:jc w:val="center"/>
        <w:rPr>
          <w:b/>
          <w:bCs/>
        </w:rPr>
      </w:pPr>
    </w:p>
    <w:p w14:paraId="54407C2D" w14:textId="77777777" w:rsidR="001528BF" w:rsidRDefault="001528BF">
      <w:pPr>
        <w:spacing w:after="40"/>
        <w:jc w:val="center"/>
        <w:rPr>
          <w:b/>
          <w:bCs/>
        </w:rPr>
      </w:pPr>
    </w:p>
    <w:p w14:paraId="22035F30" w14:textId="77777777" w:rsidR="001528BF" w:rsidRDefault="001528BF">
      <w:pPr>
        <w:spacing w:after="40"/>
        <w:jc w:val="center"/>
        <w:rPr>
          <w:b/>
          <w:bCs/>
        </w:rPr>
      </w:pPr>
    </w:p>
    <w:p w14:paraId="78B3E60C" w14:textId="77777777" w:rsidR="001528BF" w:rsidRDefault="001528BF">
      <w:pPr>
        <w:spacing w:after="40"/>
        <w:jc w:val="center"/>
        <w:rPr>
          <w:b/>
          <w:bCs/>
        </w:rPr>
      </w:pPr>
    </w:p>
    <w:p w14:paraId="4FD86F14" w14:textId="77777777" w:rsidR="001528BF" w:rsidRDefault="001528BF">
      <w:pPr>
        <w:spacing w:after="40"/>
        <w:jc w:val="center"/>
        <w:rPr>
          <w:b/>
          <w:bCs/>
        </w:rPr>
      </w:pPr>
    </w:p>
    <w:p w14:paraId="17972637" w14:textId="77777777" w:rsidR="001528BF" w:rsidRDefault="001528BF">
      <w:pPr>
        <w:spacing w:after="40"/>
        <w:jc w:val="center"/>
        <w:rPr>
          <w:b/>
          <w:bCs/>
        </w:rPr>
      </w:pPr>
    </w:p>
    <w:p w14:paraId="0420DE58" w14:textId="77777777" w:rsidR="001528BF" w:rsidRDefault="001528BF">
      <w:pPr>
        <w:spacing w:after="40"/>
        <w:jc w:val="center"/>
        <w:rPr>
          <w:b/>
          <w:bCs/>
        </w:rPr>
      </w:pPr>
    </w:p>
    <w:p w14:paraId="6EA98F0F" w14:textId="77777777" w:rsidR="001528BF" w:rsidRDefault="001528BF">
      <w:pPr>
        <w:spacing w:after="40"/>
        <w:jc w:val="center"/>
        <w:rPr>
          <w:b/>
          <w:bCs/>
        </w:rPr>
      </w:pPr>
    </w:p>
    <w:p w14:paraId="72A4A61B" w14:textId="77777777" w:rsidR="001528BF" w:rsidRDefault="001528BF">
      <w:pPr>
        <w:spacing w:after="40"/>
        <w:jc w:val="center"/>
        <w:rPr>
          <w:b/>
          <w:bCs/>
        </w:rPr>
      </w:pPr>
    </w:p>
    <w:p w14:paraId="6EB21163" w14:textId="79E21DF8" w:rsidR="00560F38" w:rsidRDefault="00000000" w:rsidP="001528BF">
      <w:pPr>
        <w:spacing w:after="40"/>
        <w:jc w:val="right"/>
      </w:pPr>
      <w:r>
        <w:rPr>
          <w:b/>
          <w:bCs/>
        </w:rPr>
        <w:t>Autores:</w:t>
      </w:r>
    </w:p>
    <w:p w14:paraId="4051F5E8" w14:textId="77777777" w:rsidR="00560F38" w:rsidRDefault="00000000" w:rsidP="001528BF">
      <w:pPr>
        <w:spacing w:after="40"/>
        <w:jc w:val="right"/>
      </w:pPr>
      <w:r>
        <w:t>Auditor-Fiscal da Receita Federal do Brasil Raphael Albuquerque de Souza</w:t>
      </w:r>
    </w:p>
    <w:p w14:paraId="23539156" w14:textId="77777777" w:rsidR="00560F38" w:rsidRDefault="00000000" w:rsidP="001528BF">
      <w:pPr>
        <w:spacing w:after="200"/>
        <w:jc w:val="right"/>
      </w:pPr>
      <w:r>
        <w:t>Auditor-Fiscal da Receita Federal do Brasil Marcos Salles Teixeira</w:t>
      </w:r>
    </w:p>
    <w:p w14:paraId="57FB51BA" w14:textId="77777777" w:rsidR="00560F38" w:rsidRDefault="00560F38"/>
    <w:p w14:paraId="5F7B4354" w14:textId="77777777" w:rsidR="00560F38" w:rsidRDefault="00560F38"/>
    <w:p w14:paraId="3463E41D" w14:textId="77777777" w:rsidR="00560F38" w:rsidRDefault="00560F38"/>
    <w:p w14:paraId="025ED4FB" w14:textId="77777777" w:rsidR="001528BF" w:rsidRDefault="001528BF"/>
    <w:p w14:paraId="7732F1EA" w14:textId="77777777" w:rsidR="00560F38" w:rsidRDefault="00560F38"/>
    <w:p w14:paraId="7877A5DA" w14:textId="77777777" w:rsidR="00560F38" w:rsidRDefault="00560F38"/>
    <w:p w14:paraId="43E8B411" w14:textId="044F64D2" w:rsidR="00560F38" w:rsidRDefault="00000000" w:rsidP="001528BF">
      <w:pPr>
        <w:pBdr>
          <w:top w:val="single" w:sz="6" w:space="4" w:color="1F3864"/>
        </w:pBdr>
        <w:jc w:val="center"/>
      </w:pPr>
      <w:r>
        <w:rPr>
          <w:b/>
          <w:bCs/>
          <w:color w:val="1F3864"/>
        </w:rPr>
        <w:t>Brasília · 2026</w:t>
      </w:r>
      <w:r>
        <w:br w:type="page"/>
      </w:r>
    </w:p>
    <w:p w14:paraId="5150C119" w14:textId="77777777" w:rsidR="00560F38" w:rsidRDefault="00000000">
      <w:pPr>
        <w:pStyle w:val="Ttulo1"/>
      </w:pPr>
      <w:bookmarkStart w:id="0" w:name="_Toc232175845"/>
      <w:r>
        <w:lastRenderedPageBreak/>
        <w:t>Ficha Técnica</w:t>
      </w:r>
      <w:bookmarkEnd w:id="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560F38" w14:paraId="3367058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8EDF5"/>
            <w:tcMar>
              <w:top w:w="80" w:type="dxa"/>
              <w:left w:w="120" w:type="dxa"/>
              <w:bottom w:w="80" w:type="dxa"/>
              <w:right w:w="120" w:type="dxa"/>
            </w:tcMar>
          </w:tcPr>
          <w:p w14:paraId="220CBC84" w14:textId="77777777" w:rsidR="00560F38" w:rsidRDefault="00000000">
            <w:r>
              <w:rPr>
                <w:b/>
                <w:bCs/>
                <w:sz w:val="18"/>
                <w:szCs w:val="18"/>
              </w:rPr>
              <w:t>Título</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A8E506" w14:textId="77777777" w:rsidR="00560F38" w:rsidRDefault="00000000">
            <w:r>
              <w:rPr>
                <w:sz w:val="18"/>
                <w:szCs w:val="18"/>
              </w:rPr>
              <w:t>Manual Teórico-Jurídico e Prático da Calculadora de Dosimetria das Sanções Disciplinares</w:t>
            </w:r>
          </w:p>
        </w:tc>
      </w:tr>
      <w:tr w:rsidR="00560F38" w14:paraId="2E48B04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8EDF5"/>
            <w:tcMar>
              <w:top w:w="80" w:type="dxa"/>
              <w:left w:w="120" w:type="dxa"/>
              <w:bottom w:w="80" w:type="dxa"/>
              <w:right w:w="120" w:type="dxa"/>
            </w:tcMar>
          </w:tcPr>
          <w:p w14:paraId="124CBB0E" w14:textId="77777777" w:rsidR="00560F38" w:rsidRDefault="00000000">
            <w:r>
              <w:rPr>
                <w:b/>
                <w:bCs/>
                <w:sz w:val="18"/>
                <w:szCs w:val="18"/>
              </w:rPr>
              <w:t>Versão da Ferramenta</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B0D0D8" w14:textId="77777777" w:rsidR="00560F38" w:rsidRDefault="00000000">
            <w:r>
              <w:rPr>
                <w:sz w:val="18"/>
                <w:szCs w:val="18"/>
              </w:rPr>
              <w:t>v3.0</w:t>
            </w:r>
          </w:p>
        </w:tc>
      </w:tr>
      <w:tr w:rsidR="00560F38" w14:paraId="44834C0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8EDF5"/>
            <w:tcMar>
              <w:top w:w="80" w:type="dxa"/>
              <w:left w:w="120" w:type="dxa"/>
              <w:bottom w:w="80" w:type="dxa"/>
              <w:right w:w="120" w:type="dxa"/>
            </w:tcMar>
          </w:tcPr>
          <w:p w14:paraId="359E99E3" w14:textId="77777777" w:rsidR="00560F38" w:rsidRDefault="00000000">
            <w:r>
              <w:rPr>
                <w:b/>
                <w:bCs/>
                <w:sz w:val="18"/>
                <w:szCs w:val="18"/>
              </w:rPr>
              <w:t>Versão do Manual</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825F00" w14:textId="77777777" w:rsidR="00560F38" w:rsidRDefault="00000000">
            <w:r>
              <w:rPr>
                <w:sz w:val="18"/>
                <w:szCs w:val="18"/>
              </w:rPr>
              <w:t>3.0 — Edição Teórico-Prática</w:t>
            </w:r>
          </w:p>
        </w:tc>
      </w:tr>
      <w:tr w:rsidR="00560F38" w14:paraId="03B4D67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8EDF5"/>
            <w:tcMar>
              <w:top w:w="80" w:type="dxa"/>
              <w:left w:w="120" w:type="dxa"/>
              <w:bottom w:w="80" w:type="dxa"/>
              <w:right w:w="120" w:type="dxa"/>
            </w:tcMar>
          </w:tcPr>
          <w:p w14:paraId="7C0992BE" w14:textId="77777777" w:rsidR="00560F38" w:rsidRDefault="00000000">
            <w:r>
              <w:rPr>
                <w:b/>
                <w:bCs/>
                <w:sz w:val="18"/>
                <w:szCs w:val="18"/>
              </w:rPr>
              <w:t>Órgão responsável</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4F852D" w14:textId="77777777" w:rsidR="00560F38" w:rsidRDefault="00000000">
            <w:r>
              <w:rPr>
                <w:sz w:val="18"/>
                <w:szCs w:val="18"/>
              </w:rPr>
              <w:t>Corregedoria da Secretaria Especial da Receita Federal do Brasil</w:t>
            </w:r>
          </w:p>
        </w:tc>
      </w:tr>
      <w:tr w:rsidR="00560F38" w14:paraId="35C6ACA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8EDF5"/>
            <w:tcMar>
              <w:top w:w="80" w:type="dxa"/>
              <w:left w:w="120" w:type="dxa"/>
              <w:bottom w:w="80" w:type="dxa"/>
              <w:right w:w="120" w:type="dxa"/>
            </w:tcMar>
          </w:tcPr>
          <w:p w14:paraId="4B940871" w14:textId="77777777" w:rsidR="00560F38" w:rsidRDefault="00000000">
            <w:r>
              <w:rPr>
                <w:b/>
                <w:bCs/>
                <w:sz w:val="18"/>
                <w:szCs w:val="18"/>
              </w:rPr>
              <w:t>Autores</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14AAE6" w14:textId="77777777" w:rsidR="00560F38" w:rsidRDefault="00000000">
            <w:r>
              <w:rPr>
                <w:sz w:val="18"/>
                <w:szCs w:val="18"/>
              </w:rPr>
              <w:t>Auditor-Fiscal da Receita Federal do Brasil Raphael Albuquerque de Souza</w:t>
            </w:r>
          </w:p>
          <w:p w14:paraId="78ECF6D8" w14:textId="77777777" w:rsidR="00560F38" w:rsidRDefault="00000000">
            <w:r>
              <w:rPr>
                <w:sz w:val="18"/>
                <w:szCs w:val="18"/>
              </w:rPr>
              <w:t>Auditor-Fiscal da Receita Federal do Brasil Marcos Salles Teixeira</w:t>
            </w:r>
          </w:p>
        </w:tc>
      </w:tr>
      <w:tr w:rsidR="00560F38" w14:paraId="64B4A97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8EDF5"/>
            <w:tcMar>
              <w:top w:w="80" w:type="dxa"/>
              <w:left w:w="120" w:type="dxa"/>
              <w:bottom w:w="80" w:type="dxa"/>
              <w:right w:w="120" w:type="dxa"/>
            </w:tcMar>
          </w:tcPr>
          <w:p w14:paraId="21D9BFE9" w14:textId="77777777" w:rsidR="00560F38" w:rsidRDefault="00000000">
            <w:r>
              <w:rPr>
                <w:b/>
                <w:bCs/>
                <w:sz w:val="18"/>
                <w:szCs w:val="18"/>
              </w:rPr>
              <w:t>Natureza</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A40731" w14:textId="77777777" w:rsidR="00560F38" w:rsidRDefault="00000000">
            <w:r>
              <w:rPr>
                <w:sz w:val="18"/>
                <w:szCs w:val="18"/>
              </w:rPr>
              <w:t>Documento técnico de apoio à decisão correcional. Fundamentação teórica e jurídica dos elementos da dosimetria e guia operacional passo a passo da Calculadora v3.</w:t>
            </w:r>
          </w:p>
        </w:tc>
      </w:tr>
      <w:tr w:rsidR="00560F38" w14:paraId="5FF0D6E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8EDF5"/>
            <w:tcMar>
              <w:top w:w="80" w:type="dxa"/>
              <w:left w:w="120" w:type="dxa"/>
              <w:bottom w:w="80" w:type="dxa"/>
              <w:right w:w="120" w:type="dxa"/>
            </w:tcMar>
          </w:tcPr>
          <w:p w14:paraId="01D5D25D" w14:textId="77777777" w:rsidR="00560F38" w:rsidRDefault="00000000">
            <w:r>
              <w:rPr>
                <w:b/>
                <w:bCs/>
                <w:sz w:val="18"/>
                <w:szCs w:val="18"/>
              </w:rPr>
              <w:t>Âmbito normativo</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F3D9A2" w14:textId="77777777" w:rsidR="00560F38" w:rsidRDefault="00000000">
            <w:r>
              <w:rPr>
                <w:sz w:val="18"/>
                <w:szCs w:val="18"/>
              </w:rPr>
              <w:t>Lei nº 8.112/1990; Decreto-Lei nº 4.657/1942 (LINDB); Decreto nº 9.830/2019; Lei nº 9.784/1999; Lei nº 12.527/2011 (LAI); Lei nº 5.172/1966 (CTN); Portaria Normativa CGU nº 27/2022.</w:t>
            </w:r>
          </w:p>
        </w:tc>
      </w:tr>
      <w:tr w:rsidR="00560F38" w14:paraId="2EBE989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8EDF5"/>
            <w:tcMar>
              <w:top w:w="80" w:type="dxa"/>
              <w:left w:w="120" w:type="dxa"/>
              <w:bottom w:w="80" w:type="dxa"/>
              <w:right w:w="120" w:type="dxa"/>
            </w:tcMar>
          </w:tcPr>
          <w:p w14:paraId="35710520" w14:textId="77777777" w:rsidR="00560F38" w:rsidRDefault="00000000">
            <w:r>
              <w:rPr>
                <w:b/>
                <w:bCs/>
                <w:sz w:val="18"/>
                <w:szCs w:val="18"/>
              </w:rPr>
              <w:t>Uso</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DE6B13" w14:textId="77777777" w:rsidR="00560F38" w:rsidRDefault="00000000">
            <w:r>
              <w:rPr>
                <w:sz w:val="18"/>
                <w:szCs w:val="18"/>
              </w:rPr>
              <w:t>Restrito a servidores autorizados. Reprodução permitida no âmbito do serviço público, com citação da fonte.</w:t>
            </w:r>
          </w:p>
        </w:tc>
      </w:tr>
    </w:tbl>
    <w:p w14:paraId="60EF8BED" w14:textId="77777777" w:rsidR="00560F38" w:rsidRDefault="00560F38"/>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60F38" w14:paraId="38794B65" w14:textId="77777777">
        <w:tblPrEx>
          <w:tblCellMar>
            <w:top w:w="0" w:type="dxa"/>
            <w:bottom w:w="0" w:type="dxa"/>
          </w:tblCellMar>
        </w:tblPrEx>
        <w:tc>
          <w:tcPr>
            <w:tcW w:w="9360" w:type="dxa"/>
            <w:tcBorders>
              <w:top w:val="single" w:sz="4" w:space="0" w:color="1F3864"/>
              <w:left w:val="single" w:sz="4" w:space="0" w:color="1F3864"/>
              <w:bottom w:val="single" w:sz="4" w:space="0" w:color="1F3864"/>
              <w:right w:val="single" w:sz="4" w:space="0" w:color="1F3864"/>
            </w:tcBorders>
            <w:shd w:val="clear" w:color="auto" w:fill="EEF2F7"/>
            <w:tcMar>
              <w:top w:w="100" w:type="dxa"/>
              <w:left w:w="180" w:type="dxa"/>
              <w:bottom w:w="100" w:type="dxa"/>
              <w:right w:w="180" w:type="dxa"/>
            </w:tcMar>
          </w:tcPr>
          <w:p w14:paraId="60D7E51A" w14:textId="77777777" w:rsidR="00560F38" w:rsidRDefault="00000000">
            <w:pPr>
              <w:spacing w:before="60" w:after="40"/>
            </w:pPr>
            <w:r>
              <w:rPr>
                <w:b/>
                <w:bCs/>
                <w:color w:val="1F3864"/>
                <w:sz w:val="18"/>
                <w:szCs w:val="18"/>
              </w:rPr>
              <w:t>NOTA</w:t>
            </w:r>
          </w:p>
          <w:p w14:paraId="557D06C3" w14:textId="77777777" w:rsidR="00560F38" w:rsidRDefault="00000000">
            <w:pPr>
              <w:spacing w:before="40" w:after="60" w:line="260" w:lineRule="auto"/>
              <w:jc w:val="both"/>
            </w:pPr>
            <w:r>
              <w:rPr>
                <w:i/>
                <w:iCs/>
                <w:sz w:val="18"/>
                <w:szCs w:val="18"/>
              </w:rPr>
              <w:t>Este Manual não tem caráter vinculante. O resultado da Calculadora constitui subsídio técnico estruturado, destinado a orientar o julgamento e a facilitar a construção da motivação do ato decisório, sem substituir a apreciação da autoridade competente. A decisão final sobre a penalidade aplicável e sobre a oportunidade e a conveniência de propor Termo de Ajustamento de Conduta permanece integralmente da autoridade julgadora, nos termos dos arts. 65 e 66 da Portaria Normativa CGU nº 27, de 2022.</w:t>
            </w:r>
          </w:p>
        </w:tc>
      </w:tr>
    </w:tbl>
    <w:p w14:paraId="561FC3B4" w14:textId="77777777" w:rsidR="001528BF" w:rsidRDefault="001528BF"/>
    <w:p w14:paraId="7092AD6E" w14:textId="77777777" w:rsidR="001528BF" w:rsidRDefault="001528BF">
      <w:r>
        <w:br w:type="page"/>
      </w:r>
    </w:p>
    <w:sdt>
      <w:sdtPr>
        <w:id w:val="730812316"/>
        <w:docPartObj>
          <w:docPartGallery w:val="Table of Contents"/>
          <w:docPartUnique/>
        </w:docPartObj>
      </w:sdtPr>
      <w:sdtEndPr>
        <w:rPr>
          <w:rFonts w:ascii="Arial" w:eastAsia="Arial" w:hAnsi="Arial" w:cs="Arial"/>
          <w:b/>
          <w:bCs/>
          <w:color w:val="auto"/>
          <w:sz w:val="20"/>
          <w:szCs w:val="20"/>
        </w:rPr>
      </w:sdtEndPr>
      <w:sdtContent>
        <w:p w14:paraId="66DD8ABF" w14:textId="61527475" w:rsidR="001528BF" w:rsidRDefault="001528BF">
          <w:pPr>
            <w:pStyle w:val="CabealhodoSumrio"/>
          </w:pPr>
          <w:r>
            <w:t>Sumário</w:t>
          </w:r>
        </w:p>
        <w:p w14:paraId="7FFFCB28" w14:textId="67ACD5AA" w:rsidR="001528BF" w:rsidRDefault="001528BF">
          <w:pPr>
            <w:pStyle w:val="Sumrio1"/>
            <w:tabs>
              <w:tab w:val="right" w:leader="dot" w:pos="8656"/>
            </w:tabs>
            <w:rPr>
              <w:noProof/>
            </w:rPr>
          </w:pPr>
          <w:r>
            <w:fldChar w:fldCharType="begin"/>
            <w:instrText xml:space="preserve"> TOC \o "1-3" \h \z \u </w:instrText>
            <w:fldChar w:fldCharType="separate"/>
          </w:r>
          <w:hyperlink w:anchor="_Toc232175845" w:history="1">
            <w:r>
              <w:rPr>
                <w:rStyle w:val="Hyperlink"/>
                <w:noProof/>
              </w:rPr>
              <w:t>Ficha Técnica</w:t>
            </w:r>
            <w:r>
              <w:rPr>
                <w:noProof/>
                <w:webHidden/>
              </w:rPr>
              <w:tab/>
              <w:fldChar w:fldCharType="begin"/>
              <w:instrText xml:space="preserve"> PAGEREF _Toc232175845 \h </w:instrText>
              <w:fldChar w:fldCharType="separate"/>
              <w:t>2</w:t>
              <w:fldChar w:fldCharType="end"/>
            </w:r>
          </w:hyperlink>
        </w:p>
        <w:p w14:paraId="1321B4E5" w14:textId="18A5C616" w:rsidR="001528BF" w:rsidRDefault="001528BF">
          <w:pPr>
            <w:pStyle w:val="Sumrio1"/>
            <w:tabs>
              <w:tab w:val="right" w:leader="dot" w:pos="8656"/>
            </w:tabs>
            <w:rPr>
              <w:noProof/>
            </w:rPr>
          </w:pPr>
          <w:hyperlink w:anchor="_Toc232175846" w:history="1">
            <w:r>
              <w:rPr>
                <w:rStyle w:val="Hyperlink"/>
                <w:noProof/>
              </w:rPr>
              <w:t>1. Apresentação e Finalidade</w:t>
            </w:r>
            <w:r>
              <w:rPr>
                <w:noProof/>
                <w:webHidden/>
              </w:rPr>
              <w:tab/>
              <w:fldChar w:fldCharType="begin"/>
              <w:instrText xml:space="preserve"> PAGEREF _Toc232175846 \h </w:instrText>
              <w:fldChar w:fldCharType="separate"/>
              <w:t>4</w:t>
              <w:fldChar w:fldCharType="end"/>
            </w:r>
          </w:hyperlink>
        </w:p>
        <w:p w14:paraId="0F25764F" w14:textId="48275A5E" w:rsidR="001528BF" w:rsidRDefault="001528BF">
          <w:pPr>
            <w:pStyle w:val="Sumrio2"/>
            <w:tabs>
              <w:tab w:val="right" w:leader="dot" w:pos="8656"/>
            </w:tabs>
            <w:rPr>
              <w:noProof/>
            </w:rPr>
          </w:pPr>
          <w:hyperlink w:anchor="_Toc232175847" w:history="1">
            <w:r>
              <w:rPr>
                <w:rStyle w:val="Hyperlink"/>
                <w:noProof/>
              </w:rPr>
              <w:t>1.1 A que se propõe este Manual</w:t>
            </w:r>
            <w:r>
              <w:rPr>
                <w:noProof/>
                <w:webHidden/>
              </w:rPr>
              <w:tab/>
              <w:fldChar w:fldCharType="begin"/>
              <w:instrText xml:space="preserve"> PAGEREF _Toc232175847 \h </w:instrText>
              <w:fldChar w:fldCharType="separate"/>
              <w:t>4</w:t>
              <w:fldChar w:fldCharType="end"/>
            </w:r>
          </w:hyperlink>
        </w:p>
        <w:p w14:paraId="2B386242" w14:textId="4E687199" w:rsidR="001528BF" w:rsidRDefault="001528BF">
          <w:pPr>
            <w:pStyle w:val="Sumrio2"/>
            <w:tabs>
              <w:tab w:val="right" w:leader="dot" w:pos="8656"/>
            </w:tabs>
            <w:rPr>
              <w:noProof/>
            </w:rPr>
          </w:pPr>
          <w:hyperlink w:anchor="_Toc232175848" w:history="1">
            <w:r>
              <w:rPr>
                <w:rStyle w:val="Hyperlink"/>
                <w:noProof/>
              </w:rPr>
              <w:t>1.2 Âmbito de aplicação</w:t>
            </w:r>
            <w:r>
              <w:rPr>
                <w:noProof/>
                <w:webHidden/>
              </w:rPr>
              <w:tab/>
              <w:fldChar w:fldCharType="begin"/>
              <w:instrText xml:space="preserve"> PAGEREF _Toc232175848 \h </w:instrText>
              <w:fldChar w:fldCharType="separate"/>
              <w:t>4</w:t>
              <w:fldChar w:fldCharType="end"/>
            </w:r>
          </w:hyperlink>
        </w:p>
        <w:p w14:paraId="2D1E423D" w14:textId="4227F87E" w:rsidR="001528BF" w:rsidRDefault="001528BF">
          <w:pPr>
            <w:pStyle w:val="Sumrio1"/>
            <w:tabs>
              <w:tab w:val="right" w:leader="dot" w:pos="8656"/>
            </w:tabs>
            <w:rPr>
              <w:noProof/>
            </w:rPr>
          </w:pPr>
          <w:hyperlink w:anchor="_Toc232175849" w:history="1">
            <w:r>
              <w:rPr>
                <w:rStyle w:val="Hyperlink"/>
                <w:noProof/>
              </w:rPr>
              <w:t>2. Fundamentos Jurídicos da Dosimetria</w:t>
            </w:r>
            <w:r>
              <w:rPr>
                <w:noProof/>
                <w:webHidden/>
              </w:rPr>
              <w:tab/>
              <w:fldChar w:fldCharType="begin"/>
              <w:instrText xml:space="preserve"> PAGEREF _Toc232175849 \h </w:instrText>
              <w:fldChar w:fldCharType="separate"/>
              <w:t>5</w:t>
              <w:fldChar w:fldCharType="end"/>
            </w:r>
          </w:hyperlink>
        </w:p>
        <w:p w14:paraId="7CDFE3D7" w14:textId="2509D52D" w:rsidR="001528BF" w:rsidRDefault="001528BF">
          <w:pPr>
            <w:pStyle w:val="Sumrio2"/>
            <w:tabs>
              <w:tab w:val="right" w:leader="dot" w:pos="8656"/>
            </w:tabs>
            <w:rPr>
              <w:noProof/>
            </w:rPr>
          </w:pPr>
          <w:hyperlink w:anchor="_Toc232175850" w:history="1">
            <w:r>
              <w:rPr>
                <w:rStyle w:val="Hyperlink"/>
                <w:noProof/>
              </w:rPr>
              <w:t>2.1 Quadro normativo de referência</w:t>
            </w:r>
            <w:r>
              <w:rPr>
                <w:noProof/>
                <w:webHidden/>
              </w:rPr>
              <w:tab/>
              <w:fldChar w:fldCharType="begin"/>
              <w:instrText xml:space="preserve"> PAGEREF _Toc232175850 \h </w:instrText>
              <w:fldChar w:fldCharType="separate"/>
              <w:t>5</w:t>
              <w:fldChar w:fldCharType="end"/>
            </w:r>
          </w:hyperlink>
        </w:p>
        <w:p w14:paraId="3434AC76" w14:textId="1AB30403" w:rsidR="001528BF" w:rsidRDefault="001528BF">
          <w:pPr>
            <w:pStyle w:val="Sumrio2"/>
            <w:tabs>
              <w:tab w:val="right" w:leader="dot" w:pos="8656"/>
            </w:tabs>
            <w:rPr>
              <w:noProof/>
            </w:rPr>
          </w:pPr>
          <w:hyperlink w:anchor="_Toc232175851" w:history="1">
            <w:r>
              <w:rPr>
                <w:rStyle w:val="Hyperlink"/>
                <w:noProof/>
              </w:rPr>
              <w:t>2.2 Proporcionalidade e dever de motivação</w:t>
            </w:r>
            <w:r>
              <w:rPr>
                <w:noProof/>
                <w:webHidden/>
              </w:rPr>
              <w:tab/>
              <w:fldChar w:fldCharType="begin"/>
              <w:instrText xml:space="preserve"> PAGEREF _Toc232175851 \h </w:instrText>
              <w:fldChar w:fldCharType="separate"/>
              <w:t>5</w:t>
              <w:fldChar w:fldCharType="end"/>
            </w:r>
          </w:hyperlink>
        </w:p>
        <w:p w14:paraId="63C9005C" w14:textId="7E51C6E1" w:rsidR="001528BF" w:rsidRDefault="001528BF">
          <w:pPr>
            <w:pStyle w:val="Sumrio2"/>
            <w:tabs>
              <w:tab w:val="right" w:leader="dot" w:pos="8656"/>
            </w:tabs>
            <w:rPr>
              <w:noProof/>
            </w:rPr>
          </w:pPr>
          <w:hyperlink w:anchor="_Toc232175852" w:history="1">
            <w:r>
              <w:rPr>
                <w:rStyle w:val="Hyperlink"/>
                <w:noProof/>
              </w:rPr>
              <w:t>2.3 Discricionariedade vinculada</w:t>
            </w:r>
            <w:r>
              <w:rPr>
                <w:noProof/>
                <w:webHidden/>
              </w:rPr>
              <w:tab/>
              <w:fldChar w:fldCharType="begin"/>
              <w:instrText xml:space="preserve"> PAGEREF _Toc232175852 \h </w:instrText>
              <w:fldChar w:fldCharType="separate"/>
              <w:t>5</w:t>
              <w:fldChar w:fldCharType="end"/>
            </w:r>
          </w:hyperlink>
        </w:p>
        <w:p w14:paraId="311FACEE" w14:textId="3228DB20" w:rsidR="001528BF" w:rsidRDefault="001528BF">
          <w:pPr>
            <w:pStyle w:val="Sumrio2"/>
            <w:tabs>
              <w:tab w:val="right" w:leader="dot" w:pos="8656"/>
            </w:tabs>
            <w:rPr>
              <w:noProof/>
            </w:rPr>
          </w:pPr>
          <w:hyperlink w:anchor="_Toc232175853" w:history="1">
            <w:r>
              <w:rPr>
                <w:rStyle w:val="Hyperlink"/>
                <w:noProof/>
              </w:rPr>
              <w:t>2.4 Por que um sistema de pontos</w:t>
            </w:r>
            <w:r>
              <w:rPr>
                <w:noProof/>
                <w:webHidden/>
              </w:rPr>
              <w:tab/>
              <w:fldChar w:fldCharType="begin"/>
              <w:instrText xml:space="preserve"> PAGEREF _Toc232175853 \h </w:instrText>
              <w:fldChar w:fldCharType="separate"/>
              <w:t>6</w:t>
              <w:fldChar w:fldCharType="end"/>
            </w:r>
          </w:hyperlink>
        </w:p>
        <w:p w14:paraId="2739E255" w14:textId="7F0DB34E" w:rsidR="001528BF" w:rsidRDefault="001528BF">
          <w:pPr>
            <w:pStyle w:val="Sumrio1"/>
            <w:tabs>
              <w:tab w:val="right" w:leader="dot" w:pos="8656"/>
            </w:tabs>
            <w:rPr>
              <w:noProof/>
            </w:rPr>
          </w:pPr>
          <w:hyperlink w:anchor="_Toc232175854" w:history="1">
            <w:r>
              <w:rPr>
                <w:rStyle w:val="Hyperlink"/>
                <w:noProof/>
              </w:rPr>
              <w:t>3. Estrutura Metodológica</w:t>
            </w:r>
            <w:r>
              <w:rPr>
                <w:noProof/>
                <w:webHidden/>
              </w:rPr>
              <w:tab/>
              <w:fldChar w:fldCharType="begin"/>
              <w:instrText xml:space="preserve"> PAGEREF _Toc232175854 \h </w:instrText>
              <w:fldChar w:fldCharType="separate"/>
              <w:t>7</w:t>
              <w:fldChar w:fldCharType="end"/>
            </w:r>
          </w:hyperlink>
        </w:p>
        <w:p w14:paraId="72AC8F5F" w14:textId="08F6DCC0" w:rsidR="001528BF" w:rsidRDefault="001528BF">
          <w:pPr>
            <w:pStyle w:val="Sumrio2"/>
            <w:tabs>
              <w:tab w:val="right" w:leader="dot" w:pos="8656"/>
            </w:tabs>
            <w:rPr>
              <w:noProof/>
            </w:rPr>
          </w:pPr>
          <w:hyperlink w:anchor="_Toc232175855" w:history="1">
            <w:r>
              <w:rPr>
                <w:rStyle w:val="Hyperlink"/>
                <w:noProof/>
              </w:rPr>
              <w:t>3.1 O sistema de pontos e os tetos por elemento</w:t>
            </w:r>
            <w:r>
              <w:rPr>
                <w:noProof/>
                <w:webHidden/>
              </w:rPr>
              <w:tab/>
              <w:fldChar w:fldCharType="begin"/>
              <w:instrText xml:space="preserve"> PAGEREF _Toc232175855 \h </w:instrText>
              <w:fldChar w:fldCharType="separate"/>
              <w:t>7</w:t>
              <w:fldChar w:fldCharType="end"/>
            </w:r>
          </w:hyperlink>
        </w:p>
        <w:p w14:paraId="2C9199DB" w14:textId="77777777" w:rsidR="00AA0001" w:rsidRDefault="00000000">
          <w:pPr>
            <w:pStyle w:val="Ttulo2"/>
          </w:pPr>
          <w:r>
            <w:t>4.X Fundamentos da diferenciação de regimes</w:t>
          </w:r>
        </w:p>
        <w:p w14:paraId="1874AB64" w14:textId="77777777" w:rsidR="00AA0001" w:rsidRDefault="00000000">
          <w:pPr>
            <w:pStyle w:val="Ttulo3"/>
          </w:pPr>
          <w:r>
            <w:t>4.X.1 O problema da conversão uniforme</w:t>
          </w:r>
        </w:p>
        <w:p w14:paraId="75F5DEBE" w14:textId="77777777" w:rsidR="00AA0001" w:rsidRDefault="00000000">
          <w:pPr>
            <w:spacing w:before="80" w:after="80" w:line="276" w:lineRule="auto"/>
            <w:jc w:val="both"/>
          </w:pPr>
          <w:r>
            <w:t xml:space="preserve">A pontuação produzida pela primeira fase da Calculadora é uma grandeza abstrata: expressa o grau de reprovabilidade da conduta na escala interna do sistema, mas não se converte automaticamente em penalidade. A conversão — o mecanismo que transforma pontos em advertência ou dias de suspensão — é etapa distinta, sujeita a uma variável que a primeira fase não capta: o regime punitivo específico ao qual a infração está submetida.</w:t>
          </w:r>
        </w:p>
        <w:p w14:paraId="7046EBEF" w14:textId="77777777" w:rsidR="00AA0001" w:rsidRDefault="00AA0001"/>
        <w:p w14:paraId="0BC51222" w14:textId="77777777" w:rsidR="00AA0001" w:rsidRDefault="00000000">
          <w:pPr>
            <w:spacing w:before="80" w:after="80" w:line="276" w:lineRule="auto"/>
            <w:jc w:val="both"/>
          </w:pPr>
          <w:r>
            <w:t xml:space="preserve">Se a conversão fosse uniforme para todas as infrações, condutas com idêntica pontuação resultariam sempre na mesma penalidade, independentemente do dispositivo violado. Essa aparente isonomia seria, na verdade, uma isonomia formal que ignora desigualdades materiais relevantes: o legislador, em determinadas hipóteses, já realizou seu próprio juízo de maior reprovabilidade ao excluir a advertência como resposta possível. Aplicar a essas hipóteses a mesma fórmula de conversão das infrações ordinárias seria, paradoxalmente, tratar de forma igual situações que o próprio ordenamento tratou de forma diferente. Os regimes de conversão operacionalizam, portanto, uma diferenciação que não vem da Calculadora — vem da lei.</w:t>
          </w:r>
        </w:p>
        <w:p w14:paraId="2525B2C3" w14:textId="77777777" w:rsidR="00AA0001" w:rsidRDefault="00AA0001"/>
        <w:p w14:paraId="12BA65F7" w14:textId="77777777" w:rsidR="00AA0001" w:rsidRDefault="00000000">
          <w:pPr>
            <w:pStyle w:val="Ttulo3"/>
          </w:pPr>
          <w:r>
            <w:t>4.X.2 A estrutura constitucional da diferenciação</w:t>
          </w:r>
        </w:p>
        <w:p w14:paraId="6DE6CFD5" w14:textId="77777777" w:rsidR="00AA0001" w:rsidRDefault="00000000">
          <w:pPr>
            <w:spacing w:before="80" w:after="80" w:line="276" w:lineRule="auto"/>
            <w:jc w:val="both"/>
          </w:pPr>
          <w:r>
            <w:t xml:space="preserve">A legalidade em matéria sancionadora (art. 5º, XXXIX, da Constituição Federal; art. 37, caput) impõe que as condições de aplicação de qualquer penalidade estejam fixadas em lei. Quando o legislador estabelece, para determinadas infrações, que a penalidade mínima é a suspensão — vedando expressamente a advertência —, está exercendo a prerrogativa exclusiva de graduar a priori a resposta estatal a categorias de conduta que considerou mais graves. Os regimes especiais são, nesse sentido, uma exigência de dupla legalidade: nem menos punitivos do que a lei determina, nem mais.</w:t>
          </w:r>
        </w:p>
        <w:p w14:paraId="53430727" w14:textId="77777777" w:rsidR="00AA0001" w:rsidRDefault="00AA0001"/>
        <w:p w14:paraId="486BC91E" w14:textId="77777777" w:rsidR="00AA0001" w:rsidRDefault="00000000">
          <w:pPr>
            <w:pStyle w:val="Ttulo3"/>
          </w:pPr>
          <w:r>
            <w:t>4.X.3 Regime Geral — a referência de base</w:t>
          </w:r>
        </w:p>
        <w:p w14:paraId="09B20918" w14:textId="77777777" w:rsidR="00AA0001" w:rsidRDefault="00000000">
          <w:pPr>
            <w:spacing w:before="80" w:after="80" w:line="276" w:lineRule="auto"/>
            <w:jc w:val="both"/>
          </w:pPr>
          <w:r>
            <w:t xml:space="preserve">O Regime Geral aplica-se às infrações que comportam tanto advertência quanto suspensão — o espectro completo de penalidades previsto pelos arts. 129 e 130 da Lei nº 8.112/90. É o regime de maior plasticidade. O ponto de corte em 30 pontos representa o limiar a partir do qual a reprovabilidade acumulada justifica a passagem da penalidade mais branda (advertência) para a mais gravosa (suspensão). Abaixo dele, a resposta proporcional é o registro formal; acima dele, a restrição temporária do exercício funcional.</w:t>
          </w:r>
        </w:p>
        <w:p w14:paraId="05DB77A4" w14:textId="77777777" w:rsidR="00AA0001" w:rsidRDefault="00AA0001"/>
        <w:p w14:paraId="580F509A" w14:textId="77777777" w:rsidR="00AA0001" w:rsidRDefault="00000000">
          <w:pPr>
            <w:pStyle w:val="Ttulo3"/>
          </w:pPr>
          <w:r>
            <w:t>4.X.4 Regimes Especiais — o juízo legislativo de gravidade qualificada</w:t>
          </w:r>
        </w:p>
        <w:p w14:paraId="5D0F488F" w14:textId="77777777" w:rsidR="00AA0001" w:rsidRDefault="00000000">
          <w:pPr>
            <w:spacing w:before="80" w:after="80" w:line="276" w:lineRule="auto"/>
            <w:jc w:val="both"/>
          </w:pPr>
          <w:r>
            <w:t xml:space="preserve">RE1 — Art. 117, XVII e XVIII da Lei nº 8.112/90. Os incisos XVII (cometer a outro servidor atribuições estranhas ao cargo) e XVIII (exercer atividades incompatíveis com o exercício do cargo) estão sujeitos somente à suspensão, que pode variar de 1 a 90 dias (art. 130, caput). Ao prever suspensão — e não advertência —, o legislador emitiu sinal inequívoco: a reprovabilidade mínima dessas condutas já supera o patamar que autoriza a penalidade mais branda. O regime RE1 operacionaliza esse sinal: qualquer pontuação, mesmo a mais baixa, converte-se em suspensão, não em advertência.</w:t>
          </w:r>
        </w:p>
        <w:p w14:paraId="07FE9A3D" w14:textId="77777777" w:rsidR="00AA0001" w:rsidRDefault="00AA0001"/>
        <w:p w14:paraId="456DD414" w14:textId="77777777" w:rsidR="00AA0001" w:rsidRDefault="00000000">
          <w:pPr>
            <w:spacing w:before="80" w:after="80" w:line="276" w:lineRule="auto"/>
            <w:jc w:val="both"/>
          </w:pPr>
          <w:r>
            <w:t xml:space="preserve">RE2 — Art. 130, §1º (recusa de inspeção médica). A recusa de submissão à inspeção médica determinada pela autoridade competente recebe tratamento autônomo: suspensão de até 15 dias. O teto reduzido (15 dias, não 90) revela que o legislador quis uma resposta proporcionalmente mais contida — mas ainda assim necessariamente suspensiva.</w:t>
          </w:r>
        </w:p>
        <w:p w14:paraId="1C201950" w14:textId="77777777" w:rsidR="00AA0001" w:rsidRDefault="00AA0001"/>
        <w:p w14:paraId="3407BED4" w14:textId="77777777" w:rsidR="00AA0001" w:rsidRDefault="00000000">
          <w:pPr>
            <w:spacing w:before="80" w:after="80" w:line="276" w:lineRule="auto"/>
            <w:jc w:val="both"/>
          </w:pPr>
          <w:r>
            <w:t xml:space="preserve">RE3 — Art. 32 da Lei nº 12.527/2011 (LAI). A Lei de Acesso à Informação tipificou infrações funcionais autônomas, cominando suspensão de 1 a 90 dias (art. 32, §2º). Ao excluir a advertência, o legislador da LAI fez escolha expressa de maior severidade. O fundamento complementar é constitucional: a LAI tutela o direito fundamental de acesso à informação pública (art. 5º, XXXIII, e art. 37, §3º, II, da Constituição), cujo núcleo essencial merece proteção autônoma, não diluída na lógica residual do Regime Geral.</w:t>
          </w:r>
        </w:p>
        <w:p w14:paraId="449991CD" w14:textId="77777777" w:rsidR="00AA0001" w:rsidRDefault="00AA0001"/>
        <w:p w14:paraId="3C39D34D" w14:textId="77777777" w:rsidR="00AA0001" w:rsidRDefault="00000000">
          <w:pPr>
            <w:pStyle w:val="Ttulo3"/>
          </w:pPr>
          <w:r>
            <w:t>4.X.5 O regime de Concurso Material — regra de consolidação, não de conversão</w:t>
          </w:r>
        </w:p>
        <w:p w14:paraId="29AF9E49" w14:textId="77777777" w:rsidR="00AA0001" w:rsidRDefault="00000000">
          <w:pPr>
            <w:spacing w:before="80" w:after="80" w:line="276" w:lineRule="auto"/>
            <w:jc w:val="both"/>
          </w:pPr>
          <w:r>
            <w:t xml:space="preserve">O Concurso Material de Infrações não constitui, em sentido estrito, um quinto regime de conversão: é uma regra de consolidação de resultados. Cada infração em concurso percorre seu próprio regime individualmente, gerando sua própria penalidade parcial. A consolidação ocorre em momento posterior, segundo as regras do item 11 deste Manual. Tratar o Concurso como um "regime diferente" seria metodologicamente incorreto e poderia sugerir, erroneamente, que a pontuação dos elementos se mistura entre as infrações. Cada ciclo é independente; a consolidação é aritmética.</w:t>
          </w:r>
        </w:p>
        <w:p w14:paraId="56181C43" w14:textId="77777777" w:rsidR="00AA0001" w:rsidRDefault="00AA0001"/>
        <w:p w14:paraId="06DD7964" w14:textId="77777777" w:rsidR="00AA0001" w:rsidRDefault="00000000">
          <w:pPr>
            <w:pStyle w:val="Ttulo3"/>
          </w:pPr>
          <w:r>
            <w:t>4.X.6 Isonomia material e diferenciação de regimes</w:t>
          </w:r>
        </w:p>
        <w:p w14:paraId="48D30FA6" w14:textId="77777777" w:rsidR="00AA0001" w:rsidRDefault="00000000">
          <w:pPr>
            <w:spacing w:before="80" w:after="80" w:line="276" w:lineRule="auto"/>
            <w:jc w:val="both"/>
          </w:pPr>
          <w:r>
            <w:t xml:space="preserve">A diferenciação de regimes não viola a isonomia — pressupõe-na em sua dimensão material. A isonomia material exige que a resposta do sistema seja proporcional às distinções que o próprio ordenamento reconheceu como juridicamente relevantes. Quando o legislador distinguiu, o intérprete não pode nivelar. Os regimes especiais garantem que o servidor que viola norma de regime qualificado não se beneficie da mesma escala de conversão daquele que viola norma ordinária — e, simetricamente, que o servidor em regime de teto reduzido (RE2) não seja submetido à escala de um regime mais gravoso.</w:t>
          </w:r>
        </w:p>
        <w:p w14:paraId="7812028B" w14:textId="77777777" w:rsidR="00AA0001" w:rsidRDefault="00AA0001"/>
        <w:p w14:paraId="61052E10" w14:textId="0D0DEE42" w:rsidR="001528BF" w:rsidRDefault="001528BF">
          <w:pPr>
            <w:pStyle w:val="Sumrio1"/>
            <w:tabs>
              <w:tab w:val="right" w:leader="dot" w:pos="8656"/>
            </w:tabs>
            <w:rPr>
              <w:noProof/>
            </w:rPr>
          </w:pPr>
          <w:hyperlink w:anchor="_Toc232175856" w:history="1">
            <w:r>
              <w:rPr>
                <w:rStyle w:val="Hyperlink"/>
                <w:noProof/>
              </w:rPr>
              <w:t>4. Regimes de Conversão</w:t>
            </w:r>
            <w:r>
              <w:rPr>
                <w:noProof/>
                <w:webHidden/>
              </w:rPr>
              <w:tab/>
              <w:fldChar w:fldCharType="begin"/>
              <w:instrText xml:space="preserve"> PAGEREF _Toc232175856 \h </w:instrText>
              <w:fldChar w:fldCharType="separate"/>
              <w:t>8</w:t>
              <w:fldChar w:fldCharType="end"/>
            </w:r>
          </w:hyperlink>
        </w:p>
        <w:p w14:paraId="1EC51413" w14:textId="677157AA" w:rsidR="001528BF" w:rsidRDefault="001528BF">
          <w:pPr>
            <w:pStyle w:val="Sumrio1"/>
            <w:tabs>
              <w:tab w:val="right" w:leader="dot" w:pos="8656"/>
            </w:tabs>
            <w:rPr>
              <w:noProof/>
            </w:rPr>
          </w:pPr>
          <w:hyperlink w:anchor="_Toc232175857" w:history="1">
            <w:r>
              <w:rPr>
                <w:rStyle w:val="Hyperlink"/>
                <w:noProof/>
              </w:rPr>
              <w:t>5. Elemento 1 — Natureza da Infração</w:t>
            </w:r>
            <w:r>
              <w:rPr>
                <w:noProof/>
                <w:webHidden/>
              </w:rPr>
              <w:tab/>
              <w:fldChar w:fldCharType="begin"/>
              <w:instrText xml:space="preserve"> PAGEREF _Toc232175857 \h </w:instrText>
              <w:fldChar w:fldCharType="separate"/>
              <w:t>9</w:t>
              <w:fldChar w:fldCharType="end"/>
            </w:r>
          </w:hyperlink>
        </w:p>
        <w:p w14:paraId="099FE4D6" w14:textId="7B659E07" w:rsidR="001528BF" w:rsidRDefault="001528BF">
          <w:pPr>
            <w:pStyle w:val="Sumrio2"/>
            <w:tabs>
              <w:tab w:val="right" w:leader="dot" w:pos="8656"/>
            </w:tabs>
            <w:rPr>
              <w:noProof/>
            </w:rPr>
          </w:pPr>
          <w:hyperlink w:anchor="_Toc232175858" w:history="1">
            <w:r>
              <w:rPr>
                <w:rStyle w:val="Hyperlink"/>
                <w:noProof/>
              </w:rPr>
              <w:t>5.1 O dolo</w:t>
            </w:r>
            <w:r>
              <w:rPr>
                <w:noProof/>
                <w:webHidden/>
              </w:rPr>
              <w:tab/>
              <w:fldChar w:fldCharType="begin"/>
              <w:instrText xml:space="preserve"> PAGEREF _Toc232175858 \h </w:instrText>
              <w:fldChar w:fldCharType="separate"/>
              <w:t>9</w:t>
              <w:fldChar w:fldCharType="end"/>
            </w:r>
          </w:hyperlink>
        </w:p>
        <w:p w14:paraId="561AA79A" w14:textId="502A4A3F" w:rsidR="001528BF" w:rsidRDefault="001528BF">
          <w:pPr>
            <w:pStyle w:val="Sumrio3"/>
            <w:tabs>
              <w:tab w:val="right" w:leader="dot" w:pos="8656"/>
            </w:tabs>
            <w:rPr>
              <w:noProof/>
            </w:rPr>
          </w:pPr>
          <w:hyperlink w:anchor="_Toc232175859" w:history="1">
            <w:r>
              <w:rPr>
                <w:rStyle w:val="Hyperlink"/>
                <w:noProof/>
              </w:rPr>
              <w:t>5.1.1 Dolo direto</w:t>
            </w:r>
            <w:r>
              <w:rPr>
                <w:noProof/>
                <w:webHidden/>
              </w:rPr>
              <w:tab/>
              <w:fldChar w:fldCharType="begin"/>
              <w:instrText xml:space="preserve"> PAGEREF _Toc232175859 \h </w:instrText>
              <w:fldChar w:fldCharType="separate"/>
              <w:t>9</w:t>
              <w:fldChar w:fldCharType="end"/>
            </w:r>
          </w:hyperlink>
        </w:p>
        <w:p w14:paraId="579CB22F" w14:textId="23443407" w:rsidR="001528BF" w:rsidRDefault="001528BF">
          <w:pPr>
            <w:pStyle w:val="Sumrio3"/>
            <w:tabs>
              <w:tab w:val="right" w:leader="dot" w:pos="8656"/>
            </w:tabs>
            <w:rPr>
              <w:noProof/>
            </w:rPr>
          </w:pPr>
          <w:hyperlink w:anchor="_Toc232175860" w:history="1">
            <w:r>
              <w:rPr>
                <w:rStyle w:val="Hyperlink"/>
                <w:noProof/>
              </w:rPr>
              <w:t>5.1.2 Dolo eventual</w:t>
            </w:r>
            <w:r>
              <w:rPr>
                <w:noProof/>
                <w:webHidden/>
              </w:rPr>
              <w:tab/>
              <w:fldChar w:fldCharType="begin"/>
              <w:instrText xml:space="preserve"> PAGEREF _Toc232175860 \h </w:instrText>
              <w:fldChar w:fldCharType="separate"/>
              <w:t>9</w:t>
              <w:fldChar w:fldCharType="end"/>
            </w:r>
          </w:hyperlink>
        </w:p>
        <w:p w14:paraId="316C9CDA" w14:textId="50B98E46" w:rsidR="001528BF" w:rsidRDefault="001528BF">
          <w:pPr>
            <w:pStyle w:val="Sumrio3"/>
            <w:tabs>
              <w:tab w:val="right" w:leader="dot" w:pos="8656"/>
            </w:tabs>
            <w:rPr>
              <w:noProof/>
            </w:rPr>
          </w:pPr>
          <w:hyperlink w:anchor="_Toc232175861" w:history="1">
            <w:r>
              <w:rPr>
                <w:rStyle w:val="Hyperlink"/>
                <w:noProof/>
              </w:rPr>
              <w:t>5.1.3 A fronteira entre dolo eventual e culpa consciente</w:t>
            </w:r>
            <w:r>
              <w:rPr>
                <w:noProof/>
                <w:webHidden/>
              </w:rPr>
              <w:tab/>
              <w:fldChar w:fldCharType="begin"/>
              <w:instrText xml:space="preserve"> PAGEREF _Toc232175861 \h </w:instrText>
              <w:fldChar w:fldCharType="separate"/>
              <w:t>9</w:t>
              <w:fldChar w:fldCharType="end"/>
            </w:r>
          </w:hyperlink>
        </w:p>
        <w:p w14:paraId="2ECA20A0" w14:textId="3BAA6A23" w:rsidR="001528BF" w:rsidRDefault="001528BF">
          <w:pPr>
            <w:pStyle w:val="Sumrio2"/>
            <w:tabs>
              <w:tab w:val="right" w:leader="dot" w:pos="8656"/>
            </w:tabs>
            <w:rPr>
              <w:noProof/>
            </w:rPr>
          </w:pPr>
          <w:hyperlink w:anchor="_Toc232175862" w:history="1">
            <w:r>
              <w:rPr>
                <w:rStyle w:val="Hyperlink"/>
                <w:noProof/>
              </w:rPr>
              <w:t>5.2 A prova do dolo: o catálogo de indicadores</w:t>
            </w:r>
            <w:r>
              <w:rPr>
                <w:noProof/>
                <w:webHidden/>
              </w:rPr>
              <w:tab/>
              <w:fldChar w:fldCharType="begin"/>
              <w:instrText xml:space="preserve"> PAGEREF _Toc232175862 \h </w:instrText>
              <w:fldChar w:fldCharType="separate"/>
              <w:t>10</w:t>
              <w:fldChar w:fldCharType="end"/>
            </w:r>
          </w:hyperlink>
        </w:p>
        <w:p w14:paraId="1B527444" w14:textId="5D20A49B" w:rsidR="001528BF" w:rsidRDefault="001528BF">
          <w:pPr>
            <w:pStyle w:val="Sumrio2"/>
            <w:tabs>
              <w:tab w:val="right" w:leader="dot" w:pos="8656"/>
            </w:tabs>
            <w:rPr>
              <w:noProof/>
            </w:rPr>
          </w:pPr>
          <w:hyperlink w:anchor="_Toc232175863" w:history="1">
            <w:r>
              <w:rPr>
                <w:rStyle w:val="Hyperlink"/>
                <w:noProof/>
              </w:rPr>
              <w:t>5.3 A culpa</w:t>
            </w:r>
            <w:r>
              <w:rPr>
                <w:noProof/>
                <w:webHidden/>
              </w:rPr>
              <w:tab/>
              <w:fldChar w:fldCharType="begin"/>
              <w:instrText xml:space="preserve"> PAGEREF _Toc232175863 \h </w:instrText>
              <w:fldChar w:fldCharType="separate"/>
              <w:t>10</w:t>
              <w:fldChar w:fldCharType="end"/>
            </w:r>
          </w:hyperlink>
        </w:p>
        <w:p w14:paraId="45431BE3" w14:textId="6619C8A1" w:rsidR="001528BF" w:rsidRDefault="001528BF">
          <w:pPr>
            <w:pStyle w:val="Sumrio3"/>
            <w:tabs>
              <w:tab w:val="right" w:leader="dot" w:pos="8656"/>
            </w:tabs>
            <w:rPr>
              <w:noProof/>
            </w:rPr>
          </w:pPr>
          <w:hyperlink w:anchor="_Toc232175864" w:history="1">
            <w:r>
              <w:rPr>
                <w:rStyle w:val="Hyperlink"/>
                <w:noProof/>
              </w:rPr>
              <w:t>5.3.1 Modalidades: negligência, imprudência e imperícia</w:t>
            </w:r>
            <w:r>
              <w:rPr>
                <w:noProof/>
                <w:webHidden/>
              </w:rPr>
              <w:tab/>
              <w:fldChar w:fldCharType="begin"/>
              <w:instrText xml:space="preserve"> PAGEREF _Toc232175864 \h </w:instrText>
              <w:fldChar w:fldCharType="separate"/>
              <w:t>10</w:t>
              <w:fldChar w:fldCharType="end"/>
            </w:r>
          </w:hyperlink>
        </w:p>
        <w:p w14:paraId="3A919C5F" w14:textId="632218CD" w:rsidR="001528BF" w:rsidRDefault="001528BF">
          <w:pPr>
            <w:pStyle w:val="Sumrio3"/>
            <w:tabs>
              <w:tab w:val="right" w:leader="dot" w:pos="8656"/>
            </w:tabs>
            <w:rPr>
              <w:noProof/>
            </w:rPr>
          </w:pPr>
          <w:hyperlink w:anchor="_Toc232175865" w:history="1">
            <w:r>
              <w:rPr>
                <w:rStyle w:val="Hyperlink"/>
                <w:noProof/>
              </w:rPr>
              <w:t>5.3.2 Culpa grave (erro grosseiro)</w:t>
            </w:r>
            <w:r>
              <w:rPr>
                <w:noProof/>
                <w:webHidden/>
              </w:rPr>
              <w:tab/>
              <w:fldChar w:fldCharType="begin"/>
              <w:instrText xml:space="preserve"> PAGEREF _Toc232175865 \h </w:instrText>
              <w:fldChar w:fldCharType="separate"/>
              <w:t>10</w:t>
              <w:fldChar w:fldCharType="end"/>
            </w:r>
          </w:hyperlink>
        </w:p>
        <w:p w14:paraId="7F28B83B" w14:textId="5E9C4820" w:rsidR="001528BF" w:rsidRDefault="001528BF">
          <w:pPr>
            <w:pStyle w:val="Sumrio3"/>
            <w:tabs>
              <w:tab w:val="right" w:leader="dot" w:pos="8656"/>
            </w:tabs>
            <w:rPr>
              <w:noProof/>
            </w:rPr>
          </w:pPr>
          <w:hyperlink w:anchor="_Toc232175866" w:history="1">
            <w:r>
              <w:rPr>
                <w:rStyle w:val="Hyperlink"/>
                <w:noProof/>
              </w:rPr>
              <w:t>5.3.3 Culpa leve</w:t>
            </w:r>
            <w:r>
              <w:rPr>
                <w:noProof/>
                <w:webHidden/>
              </w:rPr>
              <w:tab/>
              <w:fldChar w:fldCharType="begin"/>
              <w:instrText xml:space="preserve"> PAGEREF _Toc232175866 \h </w:instrText>
              <w:fldChar w:fldCharType="separate"/>
              <w:t>11</w:t>
              <w:fldChar w:fldCharType="end"/>
            </w:r>
          </w:hyperlink>
        </w:p>
        <w:p w14:paraId="5830B9D3" w14:textId="725D8ED4" w:rsidR="001528BF" w:rsidRDefault="001528BF">
          <w:pPr>
            <w:pStyle w:val="Sumrio2"/>
            <w:tabs>
              <w:tab w:val="right" w:leader="dot" w:pos="8656"/>
            </w:tabs>
            <w:rPr>
              <w:noProof/>
            </w:rPr>
          </w:pPr>
          <w:hyperlink w:anchor="_Toc232175867" w:history="1">
            <w:r>
              <w:rPr>
                <w:rStyle w:val="Hyperlink"/>
                <w:noProof/>
              </w:rPr>
              <w:t>5.4 O erro escusável: fundamento, definição, pressupostos e detecção</w:t>
            </w:r>
            <w:r>
              <w:rPr>
                <w:noProof/>
                <w:webHidden/>
              </w:rPr>
              <w:tab/>
              <w:fldChar w:fldCharType="begin"/>
              <w:instrText xml:space="preserve"> PAGEREF _Toc232175867 \h </w:instrText>
              <w:fldChar w:fldCharType="separate"/>
              <w:t>11</w:t>
              <w:fldChar w:fldCharType="end"/>
            </w:r>
          </w:hyperlink>
        </w:p>
        <w:p w14:paraId="6055C05F" w14:textId="6DC791C3" w:rsidR="001528BF" w:rsidRDefault="001528BF">
          <w:pPr>
            <w:pStyle w:val="Sumrio3"/>
            <w:tabs>
              <w:tab w:val="right" w:leader="dot" w:pos="8656"/>
            </w:tabs>
            <w:rPr>
              <w:noProof/>
            </w:rPr>
          </w:pPr>
          <w:hyperlink w:anchor="_Toc232175868" w:history="1">
            <w:r>
              <w:rPr>
                <w:rStyle w:val="Hyperlink"/>
                <w:noProof/>
              </w:rPr>
              <w:t>5.4.1 Por que o erro escusável?</w:t>
            </w:r>
            <w:r>
              <w:rPr>
                <w:noProof/>
                <w:webHidden/>
              </w:rPr>
              <w:tab/>
              <w:fldChar w:fldCharType="begin"/>
              <w:instrText xml:space="preserve"> PAGEREF _Toc232175868 \h </w:instrText>
              <w:fldChar w:fldCharType="separate"/>
              <w:t>11</w:t>
              <w:fldChar w:fldCharType="end"/>
            </w:r>
          </w:hyperlink>
        </w:p>
        <w:p w14:paraId="54C1EBDB" w14:textId="72DB79B6" w:rsidR="001528BF" w:rsidRDefault="001528BF">
          <w:pPr>
            <w:pStyle w:val="Sumrio3"/>
            <w:tabs>
              <w:tab w:val="right" w:leader="dot" w:pos="8656"/>
            </w:tabs>
            <w:rPr>
              <w:noProof/>
            </w:rPr>
          </w:pPr>
          <w:hyperlink w:anchor="_Toc232175869" w:history="1">
            <w:r>
              <w:rPr>
                <w:rStyle w:val="Hyperlink"/>
                <w:noProof/>
              </w:rPr>
              <w:t>5.4.2 Definição e natureza jurídica</w:t>
            </w:r>
            <w:r>
              <w:rPr>
                <w:noProof/>
                <w:webHidden/>
              </w:rPr>
              <w:tab/>
              <w:fldChar w:fldCharType="begin"/>
              <w:instrText xml:space="preserve"> PAGEREF _Toc232175869 \h </w:instrText>
              <w:fldChar w:fldCharType="separate"/>
              <w:t>11</w:t>
              <w:fldChar w:fldCharType="end"/>
            </w:r>
          </w:hyperlink>
        </w:p>
        <w:p w14:paraId="2E820741" w14:textId="6EB1C289" w:rsidR="001528BF" w:rsidRDefault="001528BF">
          <w:pPr>
            <w:pStyle w:val="Sumrio3"/>
            <w:tabs>
              <w:tab w:val="right" w:leader="dot" w:pos="8656"/>
            </w:tabs>
            <w:rPr>
              <w:noProof/>
            </w:rPr>
          </w:pPr>
          <w:hyperlink w:anchor="_Toc232175870" w:history="1">
            <w:r>
              <w:rPr>
                <w:rStyle w:val="Hyperlink"/>
                <w:noProof/>
              </w:rPr>
              <w:t>5.4.3 Pressupostos cumulativos</w:t>
            </w:r>
            <w:r>
              <w:rPr>
                <w:noProof/>
                <w:webHidden/>
              </w:rPr>
              <w:tab/>
              <w:fldChar w:fldCharType="begin"/>
              <w:instrText xml:space="preserve"> PAGEREF _Toc232175870 \h </w:instrText>
              <w:fldChar w:fldCharType="separate"/>
              <w:t>11</w:t>
              <w:fldChar w:fldCharType="end"/>
            </w:r>
          </w:hyperlink>
        </w:p>
        <w:p w14:paraId="4D5D0228" w14:textId="4FC0529F" w:rsidR="001528BF" w:rsidRDefault="001528BF">
          <w:pPr>
            <w:pStyle w:val="Sumrio3"/>
            <w:tabs>
              <w:tab w:val="right" w:leader="dot" w:pos="8656"/>
            </w:tabs>
            <w:rPr>
              <w:noProof/>
            </w:rPr>
          </w:pPr>
          <w:hyperlink w:anchor="_Toc232175871" w:history="1">
            <w:r>
              <w:rPr>
                <w:rStyle w:val="Hyperlink"/>
                <w:noProof/>
              </w:rPr>
              <w:t>5.4.4 Relação com a escala do elemento subjetivo</w:t>
            </w:r>
            <w:r>
              <w:rPr>
                <w:noProof/>
                <w:webHidden/>
              </w:rPr>
              <w:tab/>
              <w:fldChar w:fldCharType="begin"/>
              <w:instrText xml:space="preserve"> PAGEREF _Toc232175871 \h </w:instrText>
              <w:fldChar w:fldCharType="separate"/>
              <w:t>12</w:t>
              <w:fldChar w:fldCharType="end"/>
            </w:r>
          </w:hyperlink>
        </w:p>
        <w:p w14:paraId="0428A58E" w14:textId="31AC40BF" w:rsidR="001528BF" w:rsidRDefault="001528BF">
          <w:pPr>
            <w:pStyle w:val="Sumrio3"/>
            <w:tabs>
              <w:tab w:val="right" w:leader="dot" w:pos="8656"/>
            </w:tabs>
            <w:rPr>
              <w:noProof/>
            </w:rPr>
          </w:pPr>
          <w:hyperlink w:anchor="_Toc232175872" w:history="1">
            <w:r>
              <w:rPr>
                <w:rStyle w:val="Hyperlink"/>
                <w:noProof/>
              </w:rPr>
              <w:t>5.4.5 Como a Calculadora sinaliza a hipótese de erro escusável</w:t>
            </w:r>
            <w:r>
              <w:rPr>
                <w:noProof/>
                <w:webHidden/>
              </w:rPr>
              <w:tab/>
              <w:fldChar w:fldCharType="begin"/>
              <w:instrText xml:space="preserve"> PAGEREF _Toc232175872 \h </w:instrText>
              <w:fldChar w:fldCharType="separate"/>
              <w:t>12</w:t>
              <w:fldChar w:fldCharType="end"/>
            </w:r>
          </w:hyperlink>
        </w:p>
        <w:p w14:paraId="2663F714" w14:textId="0D279169" w:rsidR="001528BF" w:rsidRDefault="001528BF">
          <w:pPr>
            <w:pStyle w:val="Sumrio2"/>
            <w:tabs>
              <w:tab w:val="right" w:leader="dot" w:pos="8656"/>
            </w:tabs>
            <w:rPr>
              <w:noProof/>
            </w:rPr>
          </w:pPr>
          <w:hyperlink w:anchor="_Toc232175873" w:history="1">
            <w:r>
              <w:rPr>
                <w:rStyle w:val="Hyperlink"/>
                <w:noProof/>
              </w:rPr>
              <w:t>5.5 Consciência da ilicitude e erro de proibição</w:t>
            </w:r>
            <w:r>
              <w:rPr>
                <w:noProof/>
                <w:webHidden/>
              </w:rPr>
              <w:tab/>
              <w:fldChar w:fldCharType="begin"/>
              <w:instrText xml:space="preserve"> PAGEREF _Toc232175873 \h </w:instrText>
              <w:fldChar w:fldCharType="separate"/>
              <w:t>12</w:t>
              <w:fldChar w:fldCharType="end"/>
            </w:r>
          </w:hyperlink>
        </w:p>
        <w:p w14:paraId="640A8079" w14:textId="647B83AB" w:rsidR="001528BF" w:rsidRDefault="001528BF">
          <w:pPr>
            <w:pStyle w:val="Sumrio2"/>
            <w:tabs>
              <w:tab w:val="right" w:leader="dot" w:pos="8656"/>
            </w:tabs>
            <w:rPr>
              <w:noProof/>
            </w:rPr>
          </w:pPr>
          <w:hyperlink w:anchor="_Toc232175874" w:history="1">
            <w:r>
              <w:rPr>
                <w:rStyle w:val="Hyperlink"/>
                <w:noProof/>
              </w:rPr>
              <w:t>5.6 Operacionalização na Calculadora</w:t>
            </w:r>
            <w:r>
              <w:rPr>
                <w:noProof/>
                <w:webHidden/>
              </w:rPr>
              <w:tab/>
              <w:fldChar w:fldCharType="begin"/>
              <w:instrText xml:space="preserve"> PAGEREF _Toc232175874 \h </w:instrText>
              <w:fldChar w:fldCharType="separate"/>
              <w:t>12</w:t>
              <w:fldChar w:fldCharType="end"/>
            </w:r>
          </w:hyperlink>
        </w:p>
        <w:p w14:paraId="01EF835E" w14:textId="0098D61F" w:rsidR="001528BF" w:rsidRDefault="001528BF">
          <w:pPr>
            <w:pStyle w:val="Sumrio1"/>
            <w:tabs>
              <w:tab w:val="right" w:leader="dot" w:pos="8656"/>
            </w:tabs>
            <w:rPr>
              <w:noProof/>
            </w:rPr>
          </w:pPr>
          <w:hyperlink w:anchor="_Toc232175875" w:history="1">
            <w:r>
              <w:rPr>
                <w:rStyle w:val="Hyperlink"/>
                <w:noProof/>
              </w:rPr>
              <w:t>6. Elemento 2 — Gravidade da Infração</w:t>
            </w:r>
            <w:r>
              <w:rPr>
                <w:noProof/>
                <w:webHidden/>
              </w:rPr>
              <w:tab/>
              <w:fldChar w:fldCharType="begin"/>
              <w:instrText xml:space="preserve"> PAGEREF _Toc232175875 \h </w:instrText>
              <w:fldChar w:fldCharType="separate"/>
              <w:t>13</w:t>
              <w:fldChar w:fldCharType="end"/>
            </w:r>
          </w:hyperlink>
        </w:p>
        <w:p w14:paraId="5C8F65B8" w14:textId="79173E44" w:rsidR="001528BF" w:rsidRDefault="001528BF">
          <w:pPr>
            <w:pStyle w:val="Sumrio2"/>
            <w:tabs>
              <w:tab w:val="right" w:leader="dot" w:pos="8656"/>
            </w:tabs>
            <w:rPr>
              <w:noProof/>
            </w:rPr>
          </w:pPr>
          <w:hyperlink w:anchor="_Toc232175876" w:history="1">
            <w:r>
              <w:rPr>
                <w:rStyle w:val="Hyperlink"/>
                <w:noProof/>
              </w:rPr>
              <w:t>6.1 O peso da norma violada</w:t>
            </w:r>
            <w:r>
              <w:rPr>
                <w:noProof/>
                <w:webHidden/>
              </w:rPr>
              <w:tab/>
              <w:fldChar w:fldCharType="begin"/>
              <w:instrText xml:space="preserve"> PAGEREF _Toc232175876 \h </w:instrText>
              <w:fldChar w:fldCharType="separate"/>
              <w:t>13</w:t>
              <w:fldChar w:fldCharType="end"/>
            </w:r>
          </w:hyperlink>
        </w:p>
        <w:p w14:paraId="043E2302" w14:textId="5ED4CEAD" w:rsidR="001528BF" w:rsidRDefault="001528BF">
          <w:pPr>
            <w:pStyle w:val="Sumrio2"/>
            <w:tabs>
              <w:tab w:val="right" w:leader="dot" w:pos="8656"/>
            </w:tabs>
            <w:rPr>
              <w:noProof/>
            </w:rPr>
          </w:pPr>
          <w:hyperlink w:anchor="_Toc232175877" w:history="1">
            <w:r>
              <w:rPr>
                <w:rStyle w:val="Hyperlink"/>
                <w:noProof/>
              </w:rPr>
              <w:t>6.2 Concurso formal, concurso material e infração continuada</w:t>
            </w:r>
            <w:r>
              <w:rPr>
                <w:noProof/>
                <w:webHidden/>
              </w:rPr>
              <w:tab/>
              <w:fldChar w:fldCharType="begin"/>
              <w:instrText xml:space="preserve"> PAGEREF _Toc232175877 \h </w:instrText>
              <w:fldChar w:fldCharType="separate"/>
              <w:t>13</w:t>
              <w:fldChar w:fldCharType="end"/>
            </w:r>
          </w:hyperlink>
        </w:p>
        <w:p w14:paraId="5ED1C211" w14:textId="7E84A9D2" w:rsidR="001528BF" w:rsidRDefault="001528BF">
          <w:pPr>
            <w:pStyle w:val="Sumrio2"/>
            <w:tabs>
              <w:tab w:val="right" w:leader="dot" w:pos="8656"/>
            </w:tabs>
            <w:rPr>
              <w:noProof/>
            </w:rPr>
          </w:pPr>
          <w:hyperlink w:anchor="_Toc232175878" w:history="1">
            <w:r>
              <w:rPr>
                <w:rStyle w:val="Hyperlink"/>
                <w:noProof/>
              </w:rPr>
              <w:t>6.3 A vedação ao ne bis in idem</w:t>
            </w:r>
            <w:r>
              <w:rPr>
                <w:noProof/>
                <w:webHidden/>
              </w:rPr>
              <w:tab/>
              <w:fldChar w:fldCharType="begin"/>
              <w:instrText xml:space="preserve"> PAGEREF _Toc232175878 \h </w:instrText>
              <w:fldChar w:fldCharType="separate"/>
              <w:t>14</w:t>
              <w:fldChar w:fldCharType="end"/>
            </w:r>
          </w:hyperlink>
        </w:p>
        <w:p w14:paraId="300EE4D0" w14:textId="6F72BA35" w:rsidR="001528BF" w:rsidRDefault="001528BF">
          <w:pPr>
            <w:pStyle w:val="Sumrio2"/>
            <w:tabs>
              <w:tab w:val="right" w:leader="dot" w:pos="8656"/>
            </w:tabs>
            <w:rPr>
              <w:noProof/>
            </w:rPr>
          </w:pPr>
          <w:hyperlink w:anchor="_Toc232175879" w:history="1">
            <w:r>
              <w:rPr>
                <w:rStyle w:val="Hyperlink"/>
                <w:noProof/>
              </w:rPr>
              <w:t>6.4 Operacionalização na Calculadora</w:t>
            </w:r>
            <w:r>
              <w:rPr>
                <w:noProof/>
                <w:webHidden/>
              </w:rPr>
              <w:tab/>
              <w:fldChar w:fldCharType="begin"/>
              <w:instrText xml:space="preserve"> PAGEREF _Toc232175879 \h </w:instrText>
              <w:fldChar w:fldCharType="separate"/>
              <w:t>14</w:t>
              <w:fldChar w:fldCharType="end"/>
            </w:r>
          </w:hyperlink>
        </w:p>
        <w:p w14:paraId="466CC2D9" w14:textId="079E1490" w:rsidR="001528BF" w:rsidRDefault="001528BF">
          <w:pPr>
            <w:pStyle w:val="Sumrio1"/>
            <w:tabs>
              <w:tab w:val="right" w:leader="dot" w:pos="8656"/>
            </w:tabs>
            <w:rPr>
              <w:noProof/>
            </w:rPr>
          </w:pPr>
          <w:hyperlink w:anchor="_Toc232175880" w:history="1">
            <w:r>
              <w:rPr>
                <w:rStyle w:val="Hyperlink"/>
                <w:noProof/>
              </w:rPr>
              <w:t>7. Elemento 3 — Dano</w:t>
            </w:r>
            <w:r>
              <w:rPr>
                <w:noProof/>
                <w:webHidden/>
              </w:rPr>
              <w:tab/>
              <w:fldChar w:fldCharType="begin"/>
              <w:instrText xml:space="preserve"> PAGEREF _Toc232175880 \h </w:instrText>
              <w:fldChar w:fldCharType="separate"/>
              <w:t>14</w:t>
              <w:fldChar w:fldCharType="end"/>
            </w:r>
          </w:hyperlink>
        </w:p>
        <w:p w14:paraId="557BDD04" w14:textId="29413399" w:rsidR="001528BF" w:rsidRDefault="001528BF">
          <w:pPr>
            <w:pStyle w:val="Sumrio2"/>
            <w:tabs>
              <w:tab w:val="right" w:leader="dot" w:pos="8656"/>
            </w:tabs>
            <w:rPr>
              <w:noProof/>
            </w:rPr>
          </w:pPr>
          <w:hyperlink w:anchor="_Toc232175881" w:history="1">
            <w:r>
              <w:rPr>
                <w:rStyle w:val="Hyperlink"/>
                <w:noProof/>
              </w:rPr>
              <w:t>7.1 Dano material e dano imaterial</w:t>
            </w:r>
            <w:r>
              <w:rPr>
                <w:noProof/>
                <w:webHidden/>
              </w:rPr>
              <w:tab/>
              <w:fldChar w:fldCharType="begin"/>
              <w:instrText xml:space="preserve"> PAGEREF _Toc232175881 \h </w:instrText>
              <w:fldChar w:fldCharType="separate"/>
              <w:t>15</w:t>
              <w:fldChar w:fldCharType="end"/>
            </w:r>
          </w:hyperlink>
        </w:p>
        <w:p w14:paraId="0BDAC8A9" w14:textId="5A30BA66" w:rsidR="001528BF" w:rsidRDefault="001528BF">
          <w:pPr>
            <w:pStyle w:val="Sumrio2"/>
            <w:tabs>
              <w:tab w:val="right" w:leader="dot" w:pos="8656"/>
            </w:tabs>
            <w:rPr>
              <w:noProof/>
            </w:rPr>
          </w:pPr>
          <w:hyperlink w:anchor="_Toc232175882" w:history="1">
            <w:r>
              <w:rPr>
                <w:rStyle w:val="Hyperlink"/>
                <w:noProof/>
              </w:rPr>
              <w:t>7.2 Vedação à presunção do dano</w:t>
            </w:r>
            <w:r>
              <w:rPr>
                <w:noProof/>
                <w:webHidden/>
              </w:rPr>
              <w:tab/>
              <w:fldChar w:fldCharType="begin"/>
              <w:instrText xml:space="preserve"> PAGEREF _Toc232175882 \h </w:instrText>
              <w:fldChar w:fldCharType="separate"/>
              <w:t>15</w:t>
              <w:fldChar w:fldCharType="end"/>
            </w:r>
          </w:hyperlink>
        </w:p>
        <w:p w14:paraId="6350A594" w14:textId="3063AE3C" w:rsidR="001528BF" w:rsidRDefault="001528BF">
          <w:pPr>
            <w:pStyle w:val="Sumrio2"/>
            <w:tabs>
              <w:tab w:val="right" w:leader="dot" w:pos="8656"/>
            </w:tabs>
            <w:rPr>
              <w:noProof/>
            </w:rPr>
          </w:pPr>
          <w:hyperlink w:anchor="_Toc232175883" w:history="1">
            <w:r>
              <w:rPr>
                <w:rStyle w:val="Hyperlink"/>
                <w:noProof/>
              </w:rPr>
              <w:t>7.3 Especificidades da atividade da RFB</w:t>
            </w:r>
            <w:r>
              <w:rPr>
                <w:noProof/>
                <w:webHidden/>
              </w:rPr>
              <w:tab/>
              <w:fldChar w:fldCharType="begin"/>
              <w:instrText xml:space="preserve"> PAGEREF _Toc232175883 \h </w:instrText>
              <w:fldChar w:fldCharType="separate"/>
              <w:t>15</w:t>
              <w:fldChar w:fldCharType="end"/>
            </w:r>
          </w:hyperlink>
        </w:p>
        <w:p w14:paraId="27ED02B9" w14:textId="185BD085" w:rsidR="001528BF" w:rsidRDefault="001528BF">
          <w:pPr>
            <w:pStyle w:val="Sumrio2"/>
            <w:tabs>
              <w:tab w:val="right" w:leader="dot" w:pos="8656"/>
            </w:tabs>
            <w:rPr>
              <w:noProof/>
            </w:rPr>
          </w:pPr>
          <w:hyperlink w:anchor="_Toc232175884" w:history="1">
            <w:r>
              <w:rPr>
                <w:rStyle w:val="Hyperlink"/>
                <w:noProof/>
              </w:rPr>
              <w:t>7.4 Cumulatividade e operacionalização</w:t>
            </w:r>
            <w:r>
              <w:rPr>
                <w:noProof/>
                <w:webHidden/>
              </w:rPr>
              <w:tab/>
              <w:fldChar w:fldCharType="begin"/>
              <w:instrText xml:space="preserve"> PAGEREF _Toc232175884 \h </w:instrText>
              <w:fldChar w:fldCharType="separate"/>
              <w:t>15</w:t>
              <w:fldChar w:fldCharType="end"/>
            </w:r>
          </w:hyperlink>
        </w:p>
        <w:p w14:paraId="4A8E3285" w14:textId="65CE9336" w:rsidR="001528BF" w:rsidRDefault="001528BF">
          <w:pPr>
            <w:pStyle w:val="Sumrio1"/>
            <w:tabs>
              <w:tab w:val="right" w:leader="dot" w:pos="8656"/>
            </w:tabs>
            <w:rPr>
              <w:noProof/>
            </w:rPr>
          </w:pPr>
          <w:hyperlink w:anchor="_Toc232175885" w:history="1">
            <w:r>
              <w:rPr>
                <w:rStyle w:val="Hyperlink"/>
                <w:noProof/>
              </w:rPr>
              <w:t>8. Elemento 4 — Circunstâncias Agravantes e Atenuantes</w:t>
            </w:r>
            <w:r>
              <w:rPr>
                <w:noProof/>
                <w:webHidden/>
              </w:rPr>
              <w:tab/>
              <w:fldChar w:fldCharType="begin"/>
              <w:instrText xml:space="preserve"> PAGEREF _Toc232175885 \h </w:instrText>
              <w:fldChar w:fldCharType="separate"/>
              <w:t>16</w:t>
              <w:fldChar w:fldCharType="end"/>
            </w:r>
          </w:hyperlink>
        </w:p>
        <w:p w14:paraId="11D2A295" w14:textId="77777777" w:rsidR="00AA0001" w:rsidRDefault="00000000">
          <w:pPr>
            <w:pStyle w:val="Ttulo2"/>
          </w:pPr>
          <w:r>
            <w:t>8.X Fundamentos teóricos das circunstâncias agravantes e atenuantes</w:t>
          </w:r>
        </w:p>
        <w:p w14:paraId="5EE0C3F3" w14:textId="77777777" w:rsidR="00AA0001" w:rsidRDefault="00000000">
          <w:pPr>
            <w:pStyle w:val="Ttulo3"/>
          </w:pPr>
          <w:r>
            <w:t>8.X.1 A função dogmática das circunstâncias</w:t>
          </w:r>
        </w:p>
        <w:p w14:paraId="46743DD5" w14:textId="77777777" w:rsidR="00AA0001" w:rsidRDefault="00000000">
          <w:pPr>
            <w:spacing w:before="80" w:after="80" w:line="276" w:lineRule="auto"/>
            <w:jc w:val="both"/>
          </w:pPr>
          <w:r>
            <w:t xml:space="preserve">As circunstâncias não descrevem o ilícito: o circundam. Essa posição periférica tem consequência direta sobre sua função na dosimetria: não constroem a reprovação, modulam-na. A lei não as define; o art. 128 apenas as menciona como critério a considerar, delegando ao aplicador a tarefa de identificá-las e ponderá-las em cada caso concreto. A Calculadora operacionaliza essa abertura por meio de um catálogo fechado de itens acompanhados de sliders de intensidade. O catálogo fecha o espaço de escolha — reduzindo a arbitrariedade na identificação das circunstâncias relevantes —; os sliders preservam o espaço de graduação — reconhecendo que a mesma circunstância pode ter intensidade muito diferente de caso para caso.</w:t>
          </w:r>
        </w:p>
        <w:p w14:paraId="6F3BB15A" w14:textId="77777777" w:rsidR="00AA0001" w:rsidRDefault="00AA0001"/>
        <w:p w14:paraId="378F5827" w14:textId="77777777" w:rsidR="00AA0001" w:rsidRDefault="00000000">
          <w:pPr>
            <w:pStyle w:val="Ttulo3"/>
          </w:pPr>
          <w:r>
            <w:t>8.X.2 Limites gerais das circunstâncias</w:t>
          </w:r>
        </w:p>
        <w:p w14:paraId="5FA94F47" w14:textId="77777777" w:rsidR="00AA0001" w:rsidRDefault="00000000">
          <w:pPr>
            <w:spacing w:before="80" w:after="80" w:line="276" w:lineRule="auto"/>
            <w:jc w:val="both"/>
          </w:pPr>
          <w:r>
            <w:t xml:space="preserve">Primeiro limite — vedação à dupla valoração. Nenhuma circunstância pode valorar fato ou dado que já integrou a pontuação de outro elemento. A Súmula 241 do STJ exprime, no plano penal, princípio de validade geral para todo o direito sancionador. Na Calculadora, o risco mais frequente é pontuar como agravante contextual um fato que já compôs SF2.1 (hierarquia da norma) ou o dano: a posição de chefia, por exemplo, já eleva SF2.1 quando a norma violada protege bens sob custódia do chefe — não pode reaparecer como agravante circunstancial pelo mesmo motivo.</w:t>
          </w:r>
        </w:p>
        <w:p w14:paraId="62AE831A" w14:textId="77777777" w:rsidR="00AA0001" w:rsidRDefault="00AA0001"/>
        <w:p w14:paraId="1AF2AB99" w14:textId="77777777" w:rsidR="00AA0001" w:rsidRDefault="00000000">
          <w:pPr>
            <w:spacing w:before="80" w:after="80" w:line="276" w:lineRule="auto"/>
            <w:jc w:val="both"/>
          </w:pPr>
          <w:r>
            <w:t xml:space="preserve">Segundo limite — vedação à conversão em pena capital. O art. 128 restringe-se ao intervalo advertência–suspensão. As circunstâncias não podem, por mais graves que sejam, transformar a infração em caso de demissão. Seu papel é mover a penalidade dentro do intervalo legal, não deslocar o enquadramento para fora dele.</w:t>
          </w:r>
        </w:p>
        <w:p w14:paraId="772FB118" w14:textId="77777777" w:rsidR="00AA0001" w:rsidRDefault="00AA0001"/>
        <w:p w14:paraId="47756D18" w14:textId="77777777" w:rsidR="00AA0001" w:rsidRDefault="00000000">
          <w:pPr>
            <w:pStyle w:val="Ttulo3"/>
          </w:pPr>
          <w:r>
            <w:t>8.X.3 Fundamentos dos agravantes</w:t>
          </w:r>
        </w:p>
        <w:p w14:paraId="41B01150" w14:textId="77777777" w:rsidR="00AA0001" w:rsidRDefault="00000000">
          <w:pPr>
            <w:spacing w:before="80" w:after="80" w:line="276" w:lineRule="auto"/>
            <w:jc w:val="both"/>
          </w:pPr>
          <w:r>
            <w:t xml:space="preserve">AG1 — Alta qualificação ou capacitação técnica na área do ilícito. O fundamento é o princípio da culpabilidade em sua dimensão de exigibilidade: exige-se mais de quem pode mais. Quem detém conhecimento especializado na área em que cometeu a infração tinha maior capacidade de perceber a irregularidade e de evitá-la — o que eleva o grau de censurabilidade da conduta sem alterar seu elemento subjetivo. O art. 22 da LINDB confirma a lógica ao reconhecer a relevância das "condições reais" do agente.</w:t>
          </w:r>
        </w:p>
        <w:p w14:paraId="2BA0FD1D" w14:textId="77777777" w:rsidR="00AA0001" w:rsidRDefault="00AA0001"/>
        <w:p w14:paraId="668AA193" w14:textId="77777777" w:rsidR="00AA0001" w:rsidRDefault="00000000">
          <w:pPr>
            <w:spacing w:before="80" w:after="80" w:line="276" w:lineRule="auto"/>
            <w:jc w:val="both"/>
          </w:pPr>
          <w:r>
            <w:t xml:space="preserve">AG2 — Exercício de cargo em comissão ou função gratificada na área do ilícito. A posição hierárquica superior implica deveres funcionais reforçados: dever de supervisão, de controle, de dar o exemplo institucional. O fundamento normativo direto é o art. 116, III e XI, combinado com os arts. 13 e 14 da Lei nº 8.112/90. A jurisprudência do STJ reconhece que a posição hierárquica pode agravar a reprovação sem configurar bis in idem, desde que o que se valora seja o dever especial — não o dano.</w:t>
          </w:r>
        </w:p>
        <w:p w14:paraId="575D08EA" w14:textId="77777777" w:rsidR="00AA0001" w:rsidRDefault="00AA0001"/>
        <w:p w14:paraId="36A8AD67" w14:textId="77777777" w:rsidR="00AA0001" w:rsidRDefault="00000000">
          <w:pPr>
            <w:spacing w:before="80" w:after="80" w:line="276" w:lineRule="auto"/>
            <w:jc w:val="both"/>
          </w:pPr>
          <w:r>
            <w:t xml:space="preserve">AG3 — Premeditação ou planejamento verificável. A premeditação distingue a conduta impulsiva da deliberada: quem planeja tem tempo para reconsiderar, buscar orientação ou comunicar a dificuldade à chefia. A ausência dessas providências, quando havia tempo e oportunidade para tomá-las, revela uma escolha — e escolhas deliberadas são mais censuráveis do que reações imediatas. No direito penal, a premeditação é agravante clássico (art. 61, II, a, do Código Penal); no direito disciplinar, sua incidência decorre dos princípios gerais do direito sancionador.</w:t>
          </w:r>
        </w:p>
        <w:p w14:paraId="1F706C6C" w14:textId="77777777" w:rsidR="00AA0001" w:rsidRDefault="00AA0001"/>
        <w:p w14:paraId="556FCC90" w14:textId="77777777" w:rsidR="00AA0001" w:rsidRDefault="00000000">
          <w:pPr>
            <w:spacing w:before="80" w:after="80" w:line="276" w:lineRule="auto"/>
            <w:jc w:val="both"/>
          </w:pPr>
          <w:r>
            <w:t xml:space="preserve">AG4 — Cometimento por motivo fútil ou de baixa relevância. O motivo fútil revela especial censurabilidade: o agente violou norma relevante por razão desproporcional à gravidade da infração — sinal de que a proteção do bem jurídico foi conscientemente desconsiderada em favor de interesse de ínfimo valor. A futilidade do motivo não altera o dolo já pontuado em SF1.1, mas aumenta a reprovabilidade da escolha dolosa.</w:t>
          </w:r>
        </w:p>
        <w:p w14:paraId="28386971" w14:textId="77777777" w:rsidR="00AA0001" w:rsidRDefault="00AA0001"/>
        <w:p w14:paraId="495995A9" w14:textId="77777777" w:rsidR="00AA0001" w:rsidRDefault="00000000">
          <w:pPr>
            <w:spacing w:before="80" w:after="80" w:line="276" w:lineRule="auto"/>
            <w:jc w:val="both"/>
          </w:pPr>
          <w:r>
            <w:t xml:space="preserve">AG5 — Reiteração da conduta durante o mesmo período apurado (sem continuidade delitiva). Difere da infração continuada (captada em SF2.2) porque aqui não há unidade de desígnio nem modus operandi único: são condutas repetidas por descuido sistemático ou indiferença reiterada, que demonstra padrão de desatenção que excede o desvio pontual e merece valoração adicional.</w:t>
          </w:r>
        </w:p>
        <w:p w14:paraId="3176D377" w14:textId="77777777" w:rsidR="00AA0001" w:rsidRDefault="00AA0001"/>
        <w:p w14:paraId="706C1696" w14:textId="77777777" w:rsidR="00AA0001" w:rsidRDefault="00000000">
          <w:pPr>
            <w:spacing w:before="80" w:after="80" w:line="276" w:lineRule="auto"/>
            <w:jc w:val="both"/>
          </w:pPr>
          <w:r>
            <w:t xml:space="preserve">AG6 — Tentativa de ocultação da irregularidade ou de obstaculização da apuração. Conduta posterior ao ilícito que revela persistência na violação. No plano subjetivo, confirma a consciência da ilicitude; no plano objetivo, causa dano autônomo à regularidade do procedimento disciplinar, que é bem jurídico distinto do bem tutelado pela norma violada.</w:t>
          </w:r>
        </w:p>
        <w:p w14:paraId="5FAFDDE9" w14:textId="77777777" w:rsidR="00AA0001" w:rsidRDefault="00AA0001"/>
        <w:p w14:paraId="0D0391A6" w14:textId="77777777" w:rsidR="00AA0001" w:rsidRDefault="00000000">
          <w:pPr>
            <w:spacing w:before="80" w:after="80" w:line="276" w:lineRule="auto"/>
            <w:jc w:val="both"/>
          </w:pPr>
          <w:r>
            <w:t xml:space="preserve">AG7 — Ausência de qualquer providência reparatória, quando possível. O agente que poderia reparar o dano e deliberadamente não o fez demonstra indiferença persistente às consequências de sua conduta. O fundamento é o princípio da boa-fé objetiva nas relações funcionais (art. 116, IX, da Lei nº 8.112/90 — manter conduta compatível com a moralidade administrativa).</w:t>
          </w:r>
        </w:p>
        <w:p w14:paraId="6BF4EBB9" w14:textId="77777777" w:rsidR="00AA0001" w:rsidRDefault="00AA0001"/>
        <w:p w14:paraId="3BFFD1B5" w14:textId="77777777" w:rsidR="00AA0001" w:rsidRDefault="00000000">
          <w:pPr>
            <w:pStyle w:val="Ttulo3"/>
          </w:pPr>
          <w:r>
            <w:t>8.X.4 Fundamentos dos atenuantes</w:t>
          </w:r>
        </w:p>
        <w:p w14:paraId="5FF25E64" w14:textId="77777777" w:rsidR="00AA0001" w:rsidRDefault="00000000">
          <w:pPr>
            <w:spacing w:before="80" w:after="80" w:line="276" w:lineRule="auto"/>
            <w:jc w:val="both"/>
          </w:pPr>
          <w:r>
            <w:t xml:space="preserve">AT1 — Confissão espontânea antes da instauração formal do processo. O fundamento é duplo: no plano processual, colabora com a instrução; no plano material, revela postura de accountability funcional. A analogia com o art. 65, III, d, do Código Penal é expressamente admitida pela doutrina administrativista por força dos princípios gerais do direito sancionador. O limite é a espontaneidade: confissão após o início formal da apuração não configura este atenuante.</w:t>
          </w:r>
        </w:p>
        <w:p w14:paraId="6225BE63" w14:textId="77777777" w:rsidR="00AA0001" w:rsidRDefault="00AA0001"/>
        <w:p w14:paraId="5DF32626" w14:textId="77777777" w:rsidR="00AA0001" w:rsidRDefault="00000000">
          <w:pPr>
            <w:spacing w:before="80" w:after="80" w:line="276" w:lineRule="auto"/>
            <w:jc w:val="both"/>
          </w:pPr>
          <w:r>
            <w:t xml:space="preserve">AT2 — Reparação voluntária do dano antes do julgamento. A reparação voluntária não extingue a punibilidade, mas reduz o desvalor do resultado considerado ao momento do julgamento. Fundamento normativo: art. 65, III, b, do Código Penal, aplicado por analogia; e art. 128 da Lei nº 8.112/90 lido em conjunto com o princípio da proporcionalidade.</w:t>
          </w:r>
        </w:p>
        <w:p w14:paraId="398DEC69" w14:textId="77777777" w:rsidR="00AA0001" w:rsidRDefault="00AA0001"/>
        <w:p w14:paraId="3B67A8BC" w14:textId="77777777" w:rsidR="00AA0001" w:rsidRDefault="00000000">
          <w:pPr>
            <w:spacing w:before="80" w:after="80" w:line="276" w:lineRule="auto"/>
            <w:jc w:val="both"/>
          </w:pPr>
          <w:r>
            <w:t xml:space="preserve">AT3 — Falta de treinamento ou capacitação documentada na área do ilícito. A base normativa direta é o art. 22 da LINDB: "Na interpretação de normas sobre gestão pública, serão considerados os obstáculos e as dificuldades reais do gestor". A ausência de capacitação adequada é, inequivocamente, um obstáculo real. O fundamento complementar é o princípio da culpabilidade na dimensão da exigibilidade de conduta diversa. Condição de aplicação: a falta de capacitação precisa ser documentada nos autos.</w:t>
          </w:r>
        </w:p>
        <w:p w14:paraId="22A643C5" w14:textId="77777777" w:rsidR="00AA0001" w:rsidRDefault="00AA0001"/>
        <w:p w14:paraId="16C6B271" w14:textId="77777777" w:rsidR="00AA0001" w:rsidRDefault="00000000">
          <w:pPr>
            <w:spacing w:before="80" w:after="80" w:line="276" w:lineRule="auto"/>
            <w:jc w:val="both"/>
          </w:pPr>
          <w:r>
            <w:t xml:space="preserve">AT4 — Pressão institucional documentada ou sobrecarga operacional verificável. O art. 22 da LINDB é o âncora principal: "exigências das políticas públicas a seu cargo" e "obstáculos e dificuldades reais" incluem o contexto operacional. Fundamento complementar: a teoria das causas supralegais de exculpação (inexigibilidade de conduta diversa). Condição inegociável: a pressão ou sobrecarga deve ser verificável objetivamente nos autos — registros de pessoal, volume de processos, determinações hierárquicas documentadas.</w:t>
          </w:r>
        </w:p>
        <w:p w14:paraId="258C1357" w14:textId="77777777" w:rsidR="00AA0001" w:rsidRDefault="00AA0001"/>
        <w:p w14:paraId="537E9D2D" w14:textId="77777777" w:rsidR="00AA0001" w:rsidRDefault="00000000">
          <w:pPr>
            <w:spacing w:before="80" w:after="80" w:line="276" w:lineRule="auto"/>
            <w:jc w:val="both"/>
          </w:pPr>
          <w:r>
            <w:t xml:space="preserve">AT5 — Pouco tempo no exercício da função específica. O fundamento é a curva de aprendizado funcional: toda atribuição tem um período de adaptação em que a exigibilidade de conduta diversa é legitimamente menor. Deve-se verificar não apenas o tempo de serviço no órgão, mas o tempo efetivo no exercício daquela função específica — um servidor com vinte anos de carreira pode ser principiante numa atribuição nova.</w:t>
          </w:r>
        </w:p>
        <w:p w14:paraId="7CFE3B1B" w14:textId="77777777" w:rsidR="00AA0001" w:rsidRDefault="00AA0001"/>
        <w:p w14:paraId="42DE292A" w14:textId="77777777" w:rsidR="00AA0001" w:rsidRDefault="00000000">
          <w:pPr>
            <w:spacing w:before="80" w:after="80" w:line="276" w:lineRule="auto"/>
            <w:jc w:val="both"/>
          </w:pPr>
          <w:r>
            <w:t xml:space="preserve">AT6 — Colaboração efetiva com a apuração. Distinta da confissão (AT1), a colaboração efetiva engloba auxílio ativo na instrução: fornecimento voluntário de documentos, indicação de testemunhas, elucidação de contextos que a comissão não alcançaria por seus próprios meios.</w:t>
          </w:r>
        </w:p>
        <w:p w14:paraId="047994B4" w14:textId="77777777" w:rsidR="00AA0001" w:rsidRDefault="00AA0001"/>
        <w:p w14:paraId="1DBBAA39" w14:textId="77777777" w:rsidR="00AA0001" w:rsidRDefault="00000000">
          <w:pPr>
            <w:spacing w:before="80" w:after="80" w:line="276" w:lineRule="auto"/>
            <w:jc w:val="both"/>
          </w:pPr>
          <w:r>
            <w:t xml:space="preserve">AT7 — Arrependimento posterior demonstrado por ações concretas. O arrependimento relevante para a dosimetria não é o declarado, mas o demonstrado por ações: comunicação espontânea à chefia, adoção de providências para evitar reincidência. Condição: as ações devem ser anteriores ao início formal da apuração ou independentes dela.</w:t>
          </w:r>
        </w:p>
        <w:p w14:paraId="386E278C" w14:textId="77777777" w:rsidR="00AA0001" w:rsidRDefault="00AA0001"/>
        <w:p w14:paraId="701F5B62" w14:textId="77777777" w:rsidR="00AA0001" w:rsidRDefault="00000000">
          <w:pPr>
            <w:spacing w:before="80" w:after="80" w:line="276" w:lineRule="auto"/>
            <w:jc w:val="both"/>
          </w:pPr>
          <w:r>
            <w:t xml:space="preserve">AT8 — Ausência de benefício pessoal da conduta. Este atenuante só tem relevância autônoma em condutas dolosas. Em condutas culposas, a ausência de benefício é inerente à própria natureza da culpa e não acrescenta nada à mitigação já expressa pela natureza da infração.</w:t>
          </w:r>
        </w:p>
        <w:p w14:paraId="62396608" w14:textId="77777777" w:rsidR="00AA0001" w:rsidRDefault="00AA0001"/>
        <w:p w14:paraId="009659DE" w14:textId="77777777" w:rsidR="00AA0001" w:rsidRDefault="00000000">
          <w:pPr>
            <w:spacing w:before="80" w:after="80" w:line="276" w:lineRule="auto"/>
            <w:jc w:val="both"/>
          </w:pPr>
          <w:r>
            <w:t xml:space="preserve">AT9 — Existência de normas internas contraditórias ou ambíguas. Quando normas internas apresentam redação contraditória, o servidor que escolheu uma das interpretações possíveis — ainda que a escolhida fosse a incorreta — não pode ser censurado com a mesma intensidade de quem violou norma clara. O art. 22 da LINDB é relevante: a ambiguidade normativa é um obstáculo real que o próprio órgão criou. A contradição deve ser demonstrável no texto das normas.</w:t>
          </w:r>
        </w:p>
        <w:p w14:paraId="287CB4BF" w14:textId="77777777" w:rsidR="00AA0001" w:rsidRDefault="00AA0001"/>
        <w:p w14:paraId="00224F88" w14:textId="77777777" w:rsidR="00AA0001" w:rsidRDefault="00000000">
          <w:pPr>
            <w:spacing w:before="80" w:after="80" w:line="276" w:lineRule="auto"/>
            <w:jc w:val="both"/>
          </w:pPr>
          <w:r>
            <w:t xml:space="preserve">AT10 — Inexistência de orientação formal prévia sobre a conduta esperada. Distinto do AT3 (capacitação técnica) e do AT9 (ambiguidade normativa), capta a lacuna de orientação: há norma clara, o servidor tem capacidade técnica, mas o órgão nunca forneceu orientação formal explícita sobre como aplicá-la naquele contexto específico. O fundamento é o art. 22 da LINDB e o dever da Administração de fornecer ao servidor as condições para o correto desempenho de suas funções.</w:t>
          </w:r>
        </w:p>
        <w:p w14:paraId="612E0C99" w14:textId="77777777" w:rsidR="00AA0001" w:rsidRDefault="00AA0001"/>
        <w:p w14:paraId="18BE6AF3" w14:textId="77777777" w:rsidR="00AA0001" w:rsidRDefault="00000000">
          <w:pPr>
            <w:spacing w:before="80" w:after="80" w:line="276" w:lineRule="auto"/>
            <w:jc w:val="both"/>
          </w:pPr>
          <w:r>
            <w:t xml:space="preserve">AT11 — Ato isolado em longo histórico de conformidade. O fundamento é o princípio da culpabilidade pelo fato em sua dimensão longitudinal: quando o servidor tem longo histórico de conformidade funcional e comete uma única irregularidade, o peso relativo desse ato no conjunto de sua trajetória é menor. Não se confunde com os bons antecedentes (elemento autônomo do art. 128): os bons antecedentes valoram registros formais abonatórios; este atenuante valoriza a ausência de irregularidades — a trajetória de conformidade, mesmo sem elogios formais.</w:t>
          </w:r>
        </w:p>
        <w:p w14:paraId="7C70411D" w14:textId="77777777" w:rsidR="00AA0001" w:rsidRDefault="00AA0001"/>
        <w:p w14:paraId="0316CE1E" w14:textId="77777777" w:rsidR="00AA0001" w:rsidRDefault="00000000">
          <w:pPr>
            <w:spacing w:before="80" w:after="80" w:line="276" w:lineRule="auto"/>
            <w:jc w:val="both"/>
          </w:pPr>
          <w:r>
            <w:t xml:space="preserve">AT12 — Contexto de crise, emergência ou situação excepcional documentada. Enquanto AT4 trata de pressão estrutural crônica, AT12 trata de situação excepcional e temporária — crises institucionais, emergências sanitárias, reestruturações abruptas — que nenhum planejamento individual poderia ter antecipado. O fundamento é o art. 22 da LINDB. A situação excepcional deve ser documentada institucionalmente.</w:t>
          </w:r>
        </w:p>
        <w:p w14:paraId="19BE0552" w14:textId="77777777" w:rsidR="00AA0001" w:rsidRDefault="00AA0001"/>
        <w:p w14:paraId="10CAB576" w14:textId="77777777" w:rsidR="00AA0001" w:rsidRDefault="00000000">
          <w:pPr>
            <w:spacing w:before="80" w:after="80" w:line="276" w:lineRule="auto"/>
            <w:jc w:val="both"/>
          </w:pPr>
          <w:r>
            <w:t xml:space="preserve">AT13 — Baixo grau de autonomia decisória na conduta. Quem age sob instrução direta de superior hierárquico, sem margem real de recusa, tem sua culpabilidade reduzida pela limitação da liberdade decisória. Fundamento: art. 116, IV, da Lei nº 8.112/90 lido em sua dimensão atenuante. Limite fundamental: este atenuante não se aplica quando a ordem era manifestamente ilegal.</w:t>
          </w:r>
        </w:p>
        <w:p w14:paraId="44D8D5F1" w14:textId="77777777" w:rsidR="00AA0001" w:rsidRDefault="00AA0001"/>
        <w:p w14:paraId="7DF33B47" w14:textId="77777777" w:rsidR="00AA0001" w:rsidRDefault="00000000">
          <w:pPr>
            <w:pStyle w:val="Ttulo3"/>
          </w:pPr>
          <w:r>
            <w:t>8.X.5 A exigência de comprovação: circunstâncias não se presumem</w:t>
          </w:r>
        </w:p>
        <w:p w14:paraId="47458282" w14:textId="77777777" w:rsidR="00AA0001" w:rsidRDefault="00000000">
          <w:pPr>
            <w:spacing w:before="80" w:after="80" w:line="276" w:lineRule="auto"/>
            <w:jc w:val="both"/>
          </w:pPr>
          <w:r>
            <w:t xml:space="preserve">A regra transversal a todos os itens do catálogo — agravantes e atenuantes — é que circunstâncias não se presumem. Devem estar demonstradas nos autos por elementos probatórios concretos: documentos, registros, depoimentos, certificados, escalas, determinações hierárquicas. A mera alegação não é suficiente. Essa exigência tem fundamento constitucional (presunção de inocência; art. 5º, LVII) e legal (art. 2º, XII, da Lei nº 9.784/1999). O campo de complementação obrigatória na Calculadora, associado a cada item marcado, serve exatamente a esse propósito: forçar o operador a registrar o fundamento probatório no mesmo momento da escolha.</w:t>
          </w:r>
        </w:p>
        <w:p w14:paraId="24D82F51" w14:textId="77777777" w:rsidR="00AA0001" w:rsidRDefault="00AA0001"/>
        <w:p w14:paraId="4C3504D0" w14:textId="2DE77EC7" w:rsidR="001528BF" w:rsidRDefault="001528BF">
          <w:pPr>
            <w:pStyle w:val="Sumrio2"/>
            <w:tabs>
              <w:tab w:val="right" w:leader="dot" w:pos="8656"/>
            </w:tabs>
            <w:rPr>
              <w:noProof/>
            </w:rPr>
          </w:pPr>
          <w:hyperlink w:anchor="_Toc232175886" w:history="1">
            <w:r>
              <w:rPr>
                <w:rStyle w:val="Hyperlink"/>
                <w:noProof/>
              </w:rPr>
              <w:t>8.1 Limites das circunstâncias</w:t>
            </w:r>
            <w:r>
              <w:rPr>
                <w:noProof/>
                <w:webHidden/>
              </w:rPr>
              <w:tab/>
              <w:fldChar w:fldCharType="begin"/>
              <w:instrText xml:space="preserve"> PAGEREF _Toc232175886 \h </w:instrText>
              <w:fldChar w:fldCharType="separate"/>
              <w:t>16</w:t>
              <w:fldChar w:fldCharType="end"/>
            </w:r>
          </w:hyperlink>
        </w:p>
        <w:p w14:paraId="29067A01" w14:textId="432A5C4D" w:rsidR="001528BF" w:rsidRDefault="001528BF">
          <w:pPr>
            <w:pStyle w:val="Sumrio2"/>
            <w:tabs>
              <w:tab w:val="right" w:leader="dot" w:pos="8656"/>
            </w:tabs>
            <w:rPr>
              <w:noProof/>
            </w:rPr>
          </w:pPr>
          <w:hyperlink w:anchor="_Toc232175887" w:history="1">
            <w:r>
              <w:rPr>
                <w:rStyle w:val="Hyperlink"/>
                <w:noProof/>
              </w:rPr>
              <w:t>8.2.1 Agravantes (7 itens)</w:t>
            </w:r>
            <w:r>
              <w:rPr>
                <w:noProof/>
                <w:webHidden/>
              </w:rPr>
              <w:tab/>
              <w:fldChar w:fldCharType="begin"/>
              <w:instrText xml:space="preserve"> PAGEREF _Toc232175887 \h </w:instrText>
              <w:fldChar w:fldCharType="separate"/>
              <w:t>16</w:t>
              <w:fldChar w:fldCharType="end"/>
            </w:r>
          </w:hyperlink>
        </w:p>
        <w:p w14:paraId="7883350D" w14:textId="371EF94A" w:rsidR="001528BF" w:rsidRDefault="001528BF">
          <w:pPr>
            <w:pStyle w:val="Sumrio2"/>
            <w:tabs>
              <w:tab w:val="right" w:leader="dot" w:pos="8656"/>
            </w:tabs>
            <w:rPr>
              <w:noProof/>
            </w:rPr>
          </w:pPr>
          <w:hyperlink w:anchor="_Toc232175888" w:history="1">
            <w:r>
              <w:rPr>
                <w:rStyle w:val="Hyperlink"/>
                <w:noProof/>
              </w:rPr>
              <w:t>8.2.2 Atenuantes (13 itens)</w:t>
            </w:r>
            <w:r>
              <w:rPr>
                <w:noProof/>
                <w:webHidden/>
              </w:rPr>
              <w:tab/>
              <w:fldChar w:fldCharType="begin"/>
              <w:instrText xml:space="preserve"> PAGEREF _Toc232175888 \h </w:instrText>
              <w:fldChar w:fldCharType="separate"/>
              <w:t>17</w:t>
              <w:fldChar w:fldCharType="end"/>
            </w:r>
          </w:hyperlink>
        </w:p>
        <w:p w14:paraId="5C9738DE" w14:textId="69CCDC77" w:rsidR="001528BF" w:rsidRDefault="001528BF">
          <w:pPr>
            <w:pStyle w:val="Sumrio1"/>
            <w:tabs>
              <w:tab w:val="right" w:leader="dot" w:pos="8656"/>
            </w:tabs>
            <w:rPr>
              <w:noProof/>
            </w:rPr>
          </w:pPr>
          <w:hyperlink w:anchor="_Toc232175889" w:history="1">
            <w:r>
              <w:rPr>
                <w:rStyle w:val="Hyperlink"/>
                <w:noProof/>
              </w:rPr>
              <w:t>9. Elemento 5 — Antecedentes Funcionais</w:t>
            </w:r>
            <w:r>
              <w:rPr>
                <w:noProof/>
                <w:webHidden/>
              </w:rPr>
              <w:tab/>
              <w:fldChar w:fldCharType="begin"/>
              <w:instrText xml:space="preserve"> PAGEREF _Toc232175889 \h </w:instrText>
              <w:fldChar w:fldCharType="separate"/>
              <w:t>17</w:t>
              <w:fldChar w:fldCharType="end"/>
            </w:r>
          </w:hyperlink>
        </w:p>
        <w:p w14:paraId="306D944F" w14:textId="7D89CD1D" w:rsidR="001528BF" w:rsidRDefault="001528BF">
          <w:pPr>
            <w:pStyle w:val="Sumrio2"/>
            <w:tabs>
              <w:tab w:val="right" w:leader="dot" w:pos="8656"/>
            </w:tabs>
            <w:rPr>
              <w:noProof/>
            </w:rPr>
          </w:pPr>
          <w:hyperlink w:anchor="_Toc232175890" w:history="1">
            <w:r>
              <w:rPr>
                <w:rStyle w:val="Hyperlink"/>
                <w:noProof/>
              </w:rPr>
              <w:t>9.1 Bons antecedentes (reduzem a pontuação)</w:t>
            </w:r>
            <w:r>
              <w:rPr>
                <w:noProof/>
                <w:webHidden/>
              </w:rPr>
              <w:tab/>
              <w:fldChar w:fldCharType="begin"/>
              <w:instrText xml:space="preserve"> PAGEREF _Toc232175890 \h </w:instrText>
              <w:fldChar w:fldCharType="separate"/>
              <w:t>17</w:t>
              <w:fldChar w:fldCharType="end"/>
            </w:r>
          </w:hyperlink>
        </w:p>
        <w:p w14:paraId="76DF779B" w14:textId="42B820ED" w:rsidR="001528BF" w:rsidRDefault="001528BF">
          <w:pPr>
            <w:pStyle w:val="Sumrio2"/>
            <w:tabs>
              <w:tab w:val="right" w:leader="dot" w:pos="8656"/>
            </w:tabs>
            <w:rPr>
              <w:noProof/>
            </w:rPr>
          </w:pPr>
          <w:hyperlink w:anchor="_Toc232175891" w:history="1">
            <w:r>
              <w:rPr>
                <w:rStyle w:val="Hyperlink"/>
                <w:noProof/>
              </w:rPr>
              <w:t>9.2 Maus antecedentes (aumentam a pontuação)</w:t>
            </w:r>
            <w:r>
              <w:rPr>
                <w:noProof/>
                <w:webHidden/>
              </w:rPr>
              <w:tab/>
              <w:fldChar w:fldCharType="begin"/>
              <w:instrText xml:space="preserve"> PAGEREF _Toc232175891 \h </w:instrText>
              <w:fldChar w:fldCharType="separate"/>
              <w:t>18</w:t>
              <w:fldChar w:fldCharType="end"/>
            </w:r>
          </w:hyperlink>
        </w:p>
        <w:p w14:paraId="75FC7E80" w14:textId="5C1ACDD9" w:rsidR="001528BF" w:rsidRDefault="001528BF">
          <w:pPr>
            <w:pStyle w:val="Sumrio2"/>
            <w:tabs>
              <w:tab w:val="right" w:leader="dot" w:pos="8656"/>
            </w:tabs>
            <w:rPr>
              <w:noProof/>
            </w:rPr>
          </w:pPr>
          <w:hyperlink w:anchor="_Toc232175892" w:history="1">
            <w:r>
              <w:rPr>
                <w:rStyle w:val="Hyperlink"/>
                <w:noProof/>
              </w:rPr>
              <w:t>9.3 A distinção entre antecedentes e reincidência</w:t>
            </w:r>
            <w:r>
              <w:rPr>
                <w:noProof/>
                <w:webHidden/>
              </w:rPr>
              <w:tab/>
              <w:fldChar w:fldCharType="begin"/>
              <w:instrText xml:space="preserve"> PAGEREF _Toc232175892 \h </w:instrText>
              <w:fldChar w:fldCharType="separate"/>
              <w:t>18</w:t>
              <w:fldChar w:fldCharType="end"/>
            </w:r>
          </w:hyperlink>
        </w:p>
        <w:p w14:paraId="728DE4D1" w14:textId="47C26793" w:rsidR="001528BF" w:rsidRDefault="001528BF">
          <w:pPr>
            <w:pStyle w:val="Sumrio1"/>
            <w:tabs>
              <w:tab w:val="right" w:leader="dot" w:pos="8656"/>
            </w:tabs>
            <w:rPr>
              <w:noProof/>
            </w:rPr>
          </w:pPr>
          <w:hyperlink w:anchor="_Toc232175893" w:history="1">
            <w:r>
              <w:rPr>
                <w:rStyle w:val="Hyperlink"/>
                <w:noProof/>
              </w:rPr>
              <w:t>10. A Reincidência (Segunda Fase)</w:t>
            </w:r>
            <w:r>
              <w:rPr>
                <w:noProof/>
                <w:webHidden/>
              </w:rPr>
              <w:tab/>
              <w:fldChar w:fldCharType="begin"/>
              <w:instrText xml:space="preserve"> PAGEREF _Toc232175893 \h </w:instrText>
              <w:fldChar w:fldCharType="separate"/>
              <w:t>18</w:t>
              <w:fldChar w:fldCharType="end"/>
            </w:r>
          </w:hyperlink>
        </w:p>
        <w:p w14:paraId="48900A8E" w14:textId="599C664A" w:rsidR="001528BF" w:rsidRDefault="001528BF">
          <w:pPr>
            <w:pStyle w:val="Sumrio2"/>
            <w:tabs>
              <w:tab w:val="right" w:leader="dot" w:pos="8656"/>
            </w:tabs>
            <w:rPr>
              <w:noProof/>
            </w:rPr>
          </w:pPr>
          <w:hyperlink w:anchor="_Toc232175894" w:history="1">
            <w:r>
              <w:rPr>
                <w:rStyle w:val="Hyperlink"/>
                <w:noProof/>
              </w:rPr>
              <w:t>10.1 Conceito e requisitos</w:t>
            </w:r>
            <w:r>
              <w:rPr>
                <w:noProof/>
                <w:webHidden/>
              </w:rPr>
              <w:tab/>
              <w:fldChar w:fldCharType="begin"/>
              <w:instrText xml:space="preserve"> PAGEREF _Toc232175894 \h </w:instrText>
              <w:fldChar w:fldCharType="separate"/>
              <w:t>19</w:t>
              <w:fldChar w:fldCharType="end"/>
            </w:r>
          </w:hyperlink>
        </w:p>
        <w:p w14:paraId="58F1C153" w14:textId="719702B5" w:rsidR="001528BF" w:rsidRDefault="001528BF">
          <w:pPr>
            <w:pStyle w:val="Sumrio2"/>
            <w:tabs>
              <w:tab w:val="right" w:leader="dot" w:pos="8656"/>
            </w:tabs>
            <w:rPr>
              <w:noProof/>
            </w:rPr>
          </w:pPr>
          <w:hyperlink w:anchor="_Toc232175895" w:history="1">
            <w:r>
              <w:rPr>
                <w:rStyle w:val="Hyperlink"/>
                <w:noProof/>
              </w:rPr>
              <w:t>10.2 O efeito exclusivamente conversor</w:t>
            </w:r>
            <w:r>
              <w:rPr>
                <w:noProof/>
                <w:webHidden/>
              </w:rPr>
              <w:tab/>
              <w:fldChar w:fldCharType="begin"/>
              <w:instrText xml:space="preserve"> PAGEREF _Toc232175895 \h </w:instrText>
              <w:fldChar w:fldCharType="separate"/>
              <w:t>19</w:t>
              <w:fldChar w:fldCharType="end"/>
            </w:r>
          </w:hyperlink>
        </w:p>
        <w:p w14:paraId="4D9281E4" w14:textId="155595C1" w:rsidR="001528BF" w:rsidRDefault="001528BF">
          <w:pPr>
            <w:pStyle w:val="Sumrio1"/>
            <w:tabs>
              <w:tab w:val="right" w:leader="dot" w:pos="8656"/>
            </w:tabs>
            <w:rPr>
              <w:noProof/>
            </w:rPr>
          </w:pPr>
          <w:hyperlink w:anchor="_Toc232175896" w:history="1">
            <w:r>
              <w:rPr>
                <w:rStyle w:val="Hyperlink"/>
                <w:noProof/>
              </w:rPr>
              <w:t>11. Concurso Material de Infrações</w:t>
            </w:r>
            <w:r>
              <w:rPr>
                <w:noProof/>
                <w:webHidden/>
              </w:rPr>
              <w:tab/>
              <w:fldChar w:fldCharType="begin"/>
              <w:instrText xml:space="preserve"> PAGEREF _Toc232175896 \h </w:instrText>
              <w:fldChar w:fldCharType="separate"/>
              <w:t>19</w:t>
              <w:fldChar w:fldCharType="end"/>
            </w:r>
          </w:hyperlink>
        </w:p>
        <w:p w14:paraId="088DE185" w14:textId="4259C3A8" w:rsidR="001528BF" w:rsidRDefault="001528BF">
          <w:pPr>
            <w:pStyle w:val="Sumrio2"/>
            <w:tabs>
              <w:tab w:val="right" w:leader="dot" w:pos="8656"/>
            </w:tabs>
            <w:rPr>
              <w:noProof/>
            </w:rPr>
          </w:pPr>
          <w:hyperlink w:anchor="_Toc232175897" w:history="1">
            <w:r>
              <w:rPr>
                <w:rStyle w:val="Hyperlink"/>
                <w:noProof/>
              </w:rPr>
              <w:t>11.1 Regras de consolidação</w:t>
            </w:r>
            <w:r>
              <w:rPr>
                <w:noProof/>
                <w:webHidden/>
              </w:rPr>
              <w:tab/>
              <w:fldChar w:fldCharType="begin"/>
              <w:instrText xml:space="preserve"> PAGEREF _Toc232175897 \h </w:instrText>
              <w:fldChar w:fldCharType="separate"/>
              <w:t>19</w:t>
              <w:fldChar w:fldCharType="end"/>
            </w:r>
          </w:hyperlink>
        </w:p>
        <w:p w14:paraId="46116F0D" w14:textId="7539FDDD" w:rsidR="001528BF" w:rsidRDefault="001528BF">
          <w:pPr>
            <w:pStyle w:val="Sumrio1"/>
            <w:tabs>
              <w:tab w:val="right" w:leader="dot" w:pos="8656"/>
            </w:tabs>
            <w:rPr>
              <w:noProof/>
            </w:rPr>
          </w:pPr>
          <w:hyperlink w:anchor="_Toc232175898" w:history="1">
            <w:r>
              <w:rPr>
                <w:rStyle w:val="Hyperlink"/>
                <w:noProof/>
              </w:rPr>
              <w:t>12. Admissibilidade do Termo de Ajustamento de Conduta</w:t>
            </w:r>
            <w:r>
              <w:rPr>
                <w:noProof/>
                <w:webHidden/>
              </w:rPr>
              <w:tab/>
              <w:fldChar w:fldCharType="begin"/>
              <w:instrText xml:space="preserve"> PAGEREF _Toc232175898 \h </w:instrText>
              <w:fldChar w:fldCharType="separate"/>
              <w:t>20</w:t>
              <w:fldChar w:fldCharType="end"/>
            </w:r>
          </w:hyperlink>
        </w:p>
        <w:p w14:paraId="25DE275B" w14:textId="7115332F" w:rsidR="001528BF" w:rsidRDefault="001528BF">
          <w:pPr>
            <w:pStyle w:val="Sumrio2"/>
            <w:tabs>
              <w:tab w:val="right" w:leader="dot" w:pos="8656"/>
            </w:tabs>
            <w:rPr>
              <w:noProof/>
            </w:rPr>
          </w:pPr>
          <w:hyperlink w:anchor="_Toc232175899" w:history="1">
            <w:r>
              <w:rPr>
                <w:rStyle w:val="Hyperlink"/>
                <w:noProof/>
              </w:rPr>
              <w:t>12.1 Camada 1 — Elegibilidade da infração (art. 62)</w:t>
            </w:r>
            <w:r>
              <w:rPr>
                <w:noProof/>
                <w:webHidden/>
              </w:rPr>
              <w:tab/>
              <w:fldChar w:fldCharType="begin"/>
              <w:instrText xml:space="preserve"> PAGEREF _Toc232175899 \h </w:instrText>
              <w:fldChar w:fldCharType="separate"/>
              <w:t>20</w:t>
              <w:fldChar w:fldCharType="end"/>
            </w:r>
          </w:hyperlink>
        </w:p>
        <w:p w14:paraId="56989B89" w14:textId="693C14E1" w:rsidR="001528BF" w:rsidRDefault="001528BF">
          <w:pPr>
            <w:pStyle w:val="Sumrio2"/>
            <w:tabs>
              <w:tab w:val="right" w:leader="dot" w:pos="8656"/>
            </w:tabs>
            <w:rPr>
              <w:noProof/>
            </w:rPr>
          </w:pPr>
          <w:hyperlink w:anchor="_Toc232175900" w:history="1">
            <w:r>
              <w:rPr>
                <w:rStyle w:val="Hyperlink"/>
                <w:noProof/>
              </w:rPr>
              <w:t>12.2 Camada 2 — Elegibilidade do servidor (art. 63)</w:t>
            </w:r>
            <w:r>
              <w:rPr>
                <w:noProof/>
                <w:webHidden/>
              </w:rPr>
              <w:tab/>
              <w:fldChar w:fldCharType="begin"/>
              <w:instrText xml:space="preserve"> PAGEREF _Toc232175900 \h </w:instrText>
              <w:fldChar w:fldCharType="separate"/>
              <w:t>20</w:t>
              <w:fldChar w:fldCharType="end"/>
            </w:r>
          </w:hyperlink>
        </w:p>
        <w:p w14:paraId="3793A991" w14:textId="4E046399" w:rsidR="001528BF" w:rsidRDefault="001528BF">
          <w:pPr>
            <w:pStyle w:val="Sumrio2"/>
            <w:tabs>
              <w:tab w:val="right" w:leader="dot" w:pos="8656"/>
            </w:tabs>
            <w:rPr>
              <w:noProof/>
            </w:rPr>
          </w:pPr>
          <w:hyperlink w:anchor="_Toc232175901" w:history="1">
            <w:r>
              <w:rPr>
                <w:rStyle w:val="Hyperlink"/>
                <w:noProof/>
              </w:rPr>
              <w:t>12.3 Camada 3 — Proporcionalidade das obrigações (art. 68)</w:t>
            </w:r>
            <w:r>
              <w:rPr>
                <w:noProof/>
                <w:webHidden/>
              </w:rPr>
              <w:tab/>
              <w:fldChar w:fldCharType="begin"/>
              <w:instrText xml:space="preserve"> PAGEREF _Toc232175901 \h </w:instrText>
              <w:fldChar w:fldCharType="separate"/>
              <w:t>20</w:t>
              <w:fldChar w:fldCharType="end"/>
            </w:r>
          </w:hyperlink>
        </w:p>
        <w:p w14:paraId="36DCEE80" w14:textId="225FE4B6" w:rsidR="001528BF" w:rsidRDefault="001528BF">
          <w:pPr>
            <w:pStyle w:val="Sumrio1"/>
            <w:tabs>
              <w:tab w:val="right" w:leader="dot" w:pos="8656"/>
            </w:tabs>
            <w:rPr>
              <w:noProof/>
            </w:rPr>
          </w:pPr>
          <w:hyperlink w:anchor="_Toc232175902" w:history="1">
            <w:r>
              <w:rPr>
                <w:rStyle w:val="Hyperlink"/>
                <w:noProof/>
              </w:rPr>
              <w:t>13. Recursos Gerais da Ferramenta</w:t>
            </w:r>
            <w:r>
              <w:rPr>
                <w:noProof/>
                <w:webHidden/>
              </w:rPr>
              <w:tab/>
              <w:fldChar w:fldCharType="begin"/>
              <w:instrText xml:space="preserve"> PAGEREF _Toc232175902 \h </w:instrText>
              <w:fldChar w:fldCharType="separate"/>
              <w:t>22</w:t>
              <w:fldChar w:fldCharType="end"/>
            </w:r>
          </w:hyperlink>
        </w:p>
        <w:p w14:paraId="54B681A3" w14:textId="4D2BA728" w:rsidR="001528BF" w:rsidRDefault="001528BF">
          <w:pPr>
            <w:pStyle w:val="Sumrio2"/>
            <w:tabs>
              <w:tab w:val="right" w:leader="dot" w:pos="8656"/>
            </w:tabs>
            <w:rPr>
              <w:noProof/>
            </w:rPr>
          </w:pPr>
          <w:hyperlink w:anchor="_Toc232175903" w:history="1">
            <w:r>
              <w:rPr>
                <w:rStyle w:val="Hyperlink"/>
                <w:noProof/>
              </w:rPr>
              <w:t>13.1 Persistência automática de sessão</w:t>
            </w:r>
            <w:r>
              <w:rPr>
                <w:noProof/>
                <w:webHidden/>
              </w:rPr>
              <w:tab/>
              <w:fldChar w:fldCharType="begin"/>
              <w:instrText xml:space="preserve"> PAGEREF _Toc232175903 \h </w:instrText>
              <w:fldChar w:fldCharType="separate"/>
              <w:t>22</w:t>
              <w:fldChar w:fldCharType="end"/>
            </w:r>
          </w:hyperlink>
        </w:p>
        <w:p w14:paraId="78981B95" w14:textId="27FF0066" w:rsidR="001528BF" w:rsidRDefault="001528BF">
          <w:pPr>
            <w:pStyle w:val="Sumrio2"/>
            <w:tabs>
              <w:tab w:val="right" w:leader="dot" w:pos="8656"/>
            </w:tabs>
            <w:rPr>
              <w:noProof/>
            </w:rPr>
          </w:pPr>
          <w:hyperlink w:anchor="_Toc232175904" w:history="1">
            <w:r>
              <w:rPr>
                <w:rStyle w:val="Hyperlink"/>
                <w:noProof/>
              </w:rPr>
              <w:t>13.2 Barra de progresso e navegação por telas</w:t>
            </w:r>
            <w:r>
              <w:rPr>
                <w:noProof/>
                <w:webHidden/>
              </w:rPr>
              <w:tab/>
              <w:fldChar w:fldCharType="begin"/>
              <w:instrText xml:space="preserve"> PAGEREF _Toc232175904 \h </w:instrText>
              <w:fldChar w:fldCharType="separate"/>
              <w:t>22</w:t>
              <w:fldChar w:fldCharType="end"/>
            </w:r>
          </w:hyperlink>
        </w:p>
        <w:p w14:paraId="7E672D5E" w14:textId="4BBE9BF5" w:rsidR="001528BF" w:rsidRDefault="001528BF">
          <w:pPr>
            <w:pStyle w:val="Sumrio2"/>
            <w:tabs>
              <w:tab w:val="right" w:leader="dot" w:pos="8656"/>
            </w:tabs>
            <w:rPr>
              <w:noProof/>
            </w:rPr>
          </w:pPr>
          <w:hyperlink w:anchor="_Toc232175905" w:history="1">
            <w:r>
              <w:rPr>
                <w:rStyle w:val="Hyperlink"/>
                <w:noProof/>
              </w:rPr>
              <w:t>13.3 Campos de complementação facultativa</w:t>
            </w:r>
            <w:r>
              <w:rPr>
                <w:noProof/>
                <w:webHidden/>
              </w:rPr>
              <w:tab/>
              <w:fldChar w:fldCharType="begin"/>
              <w:instrText xml:space="preserve"> PAGEREF _Toc232175905 \h </w:instrText>
              <w:fldChar w:fldCharType="separate"/>
              <w:t>22</w:t>
              <w:fldChar w:fldCharType="end"/>
            </w:r>
          </w:hyperlink>
        </w:p>
        <w:p w14:paraId="5744744B" w14:textId="2F03E35D" w:rsidR="001528BF" w:rsidRDefault="001528BF">
          <w:pPr>
            <w:pStyle w:val="Sumrio2"/>
            <w:tabs>
              <w:tab w:val="right" w:leader="dot" w:pos="8656"/>
            </w:tabs>
            <w:rPr>
              <w:noProof/>
            </w:rPr>
          </w:pPr>
          <w:hyperlink w:anchor="_Toc232175906" w:history="1">
            <w:r>
              <w:rPr>
                <w:rStyle w:val="Hyperlink"/>
                <w:noProof/>
              </w:rPr>
              <w:t>13.4 Sliders de intensidade</w:t>
            </w:r>
            <w:r>
              <w:rPr>
                <w:noProof/>
                <w:webHidden/>
              </w:rPr>
              <w:tab/>
              <w:fldChar w:fldCharType="begin"/>
              <w:instrText xml:space="preserve"> PAGEREF _Toc232175906 \h </w:instrText>
              <w:fldChar w:fldCharType="separate"/>
              <w:t>22</w:t>
              <w:fldChar w:fldCharType="end"/>
            </w:r>
          </w:hyperlink>
        </w:p>
        <w:p w14:paraId="782E58E7" w14:textId="12AD938F" w:rsidR="001528BF" w:rsidRDefault="001528BF">
          <w:pPr>
            <w:pStyle w:val="Sumrio2"/>
            <w:tabs>
              <w:tab w:val="right" w:leader="dot" w:pos="8656"/>
            </w:tabs>
            <w:rPr>
              <w:noProof/>
            </w:rPr>
          </w:pPr>
          <w:hyperlink w:anchor="_Toc232175907" w:history="1">
            <w:r>
              <w:rPr>
                <w:rStyle w:val="Hyperlink"/>
                <w:noProof/>
              </w:rPr>
              <w:t>13.5 Zona limítrofe</w:t>
            </w:r>
            <w:r>
              <w:rPr>
                <w:noProof/>
                <w:webHidden/>
              </w:rPr>
              <w:tab/>
              <w:fldChar w:fldCharType="begin"/>
              <w:instrText xml:space="preserve"> PAGEREF _Toc232175907 \h </w:instrText>
              <w:fldChar w:fldCharType="separate"/>
              <w:t>22</w:t>
              <w:fldChar w:fldCharType="end"/>
            </w:r>
          </w:hyperlink>
        </w:p>
        <w:p w14:paraId="25159932" w14:textId="06B6B290" w:rsidR="001528BF" w:rsidRDefault="001528BF">
          <w:pPr>
            <w:pStyle w:val="Sumrio2"/>
            <w:tabs>
              <w:tab w:val="right" w:leader="dot" w:pos="8656"/>
            </w:tabs>
            <w:rPr>
              <w:noProof/>
            </w:rPr>
          </w:pPr>
          <w:hyperlink w:anchor="_Toc232175908" w:history="1">
            <w:r>
              <w:rPr>
                <w:rStyle w:val="Hyperlink"/>
                <w:noProof/>
              </w:rPr>
              <w:t>13.6 Exportação de documentos</w:t>
            </w:r>
            <w:r>
              <w:rPr>
                <w:noProof/>
                <w:webHidden/>
              </w:rPr>
              <w:tab/>
              <w:fldChar w:fldCharType="begin"/>
              <w:instrText xml:space="preserve"> PAGEREF _Toc232175908 \h </w:instrText>
              <w:fldChar w:fldCharType="separate"/>
              <w:t>22</w:t>
              <w:fldChar w:fldCharType="end"/>
            </w:r>
          </w:hyperlink>
        </w:p>
        <w:p w14:paraId="48A2CFA2" w14:textId="02D39ABF" w:rsidR="001528BF" w:rsidRDefault="001528BF">
          <w:pPr>
            <w:pStyle w:val="Sumrio2"/>
            <w:tabs>
              <w:tab w:val="right" w:leader="dot" w:pos="8656"/>
            </w:tabs>
            <w:rPr>
              <w:noProof/>
            </w:rPr>
          </w:pPr>
          <w:hyperlink w:anchor="_Toc232175909" w:history="1">
            <w:r>
              <w:rPr>
                <w:rStyle w:val="Hyperlink"/>
                <w:noProof/>
              </w:rPr>
              <w:t>13.7 Painel "Perfil da Conduta"</w:t>
            </w:r>
            <w:r>
              <w:rPr>
                <w:noProof/>
                <w:webHidden/>
              </w:rPr>
              <w:tab/>
              <w:fldChar w:fldCharType="begin"/>
              <w:instrText xml:space="preserve"> PAGEREF _Toc232175909 \h </w:instrText>
              <w:fldChar w:fldCharType="separate"/>
              <w:t>22</w:t>
              <w:fldChar w:fldCharType="end"/>
            </w:r>
          </w:hyperlink>
        </w:p>
        <w:p w14:paraId="290443BC" w14:textId="73A85325" w:rsidR="001528BF" w:rsidRDefault="001528BF">
          <w:pPr>
            <w:pStyle w:val="Sumrio2"/>
            <w:tabs>
              <w:tab w:val="right" w:leader="dot" w:pos="8656"/>
            </w:tabs>
            <w:rPr>
              <w:noProof/>
            </w:rPr>
          </w:pPr>
          <w:hyperlink w:anchor="_Toc232175910" w:history="1">
            <w:r>
              <w:rPr>
                <w:rStyle w:val="Hyperlink"/>
                <w:noProof/>
              </w:rPr>
              <w:t>13.8 Painel "Pontos de Atenção Identificados"</w:t>
            </w:r>
            <w:r>
              <w:rPr>
                <w:noProof/>
                <w:webHidden/>
              </w:rPr>
              <w:tab/>
              <w:fldChar w:fldCharType="begin"/>
              <w:instrText xml:space="preserve"> PAGEREF _Toc232175910 \h </w:instrText>
              <w:fldChar w:fldCharType="separate"/>
              <w:t>23</w:t>
              <w:fldChar w:fldCharType="end"/>
            </w:r>
          </w:hyperlink>
        </w:p>
        <w:p w14:paraId="23A73A85" w14:textId="30C912B6" w:rsidR="001528BF" w:rsidRDefault="001528BF">
          <w:pPr>
            <w:pStyle w:val="Sumrio1"/>
            <w:tabs>
              <w:tab w:val="right" w:leader="dot" w:pos="8656"/>
            </w:tabs>
            <w:rPr>
              <w:noProof/>
            </w:rPr>
          </w:pPr>
          <w:hyperlink w:anchor="_Toc232175911" w:history="1">
            <w:r>
              <w:rPr>
                <w:rStyle w:val="Hyperlink"/>
                <w:noProof/>
              </w:rPr>
              <w:t>14. Fluxo Operacional Passo a Passo</w:t>
            </w:r>
            <w:r>
              <w:rPr>
                <w:noProof/>
                <w:webHidden/>
              </w:rPr>
              <w:tab/>
              <w:fldChar w:fldCharType="begin"/>
              <w:instrText xml:space="preserve"> PAGEREF _Toc232175911 \h </w:instrText>
              <w:fldChar w:fldCharType="separate"/>
              <w:t>24</w:t>
              <w:fldChar w:fldCharType="end"/>
            </w:r>
          </w:hyperlink>
        </w:p>
        <w:p w14:paraId="617CD522" w14:textId="1BB30BBD" w:rsidR="001528BF" w:rsidRDefault="001528BF">
          <w:pPr>
            <w:pStyle w:val="Sumrio2"/>
            <w:tabs>
              <w:tab w:val="right" w:leader="dot" w:pos="8656"/>
            </w:tabs>
            <w:rPr>
              <w:noProof/>
            </w:rPr>
          </w:pPr>
          <w:hyperlink w:anchor="_Toc232175912" w:history="1">
            <w:r>
              <w:rPr>
                <w:rStyle w:val="Hyperlink"/>
                <w:noProof/>
              </w:rPr>
              <w:t>Tela 0 — Identificação</w:t>
            </w:r>
            <w:r>
              <w:rPr>
                <w:noProof/>
                <w:webHidden/>
              </w:rPr>
              <w:tab/>
              <w:fldChar w:fldCharType="begin"/>
              <w:instrText xml:space="preserve"> PAGEREF _Toc232175912 \h </w:instrText>
              <w:fldChar w:fldCharType="separate"/>
              <w:t>24</w:t>
              <w:fldChar w:fldCharType="end"/>
            </w:r>
          </w:hyperlink>
        </w:p>
        <w:p w14:paraId="0D096ADF" w14:textId="35BAA86E" w:rsidR="001528BF" w:rsidRDefault="001528BF">
          <w:pPr>
            <w:pStyle w:val="Sumrio2"/>
            <w:tabs>
              <w:tab w:val="right" w:leader="dot" w:pos="8656"/>
            </w:tabs>
            <w:rPr>
              <w:noProof/>
            </w:rPr>
          </w:pPr>
          <w:hyperlink w:anchor="_Toc232175913" w:history="1">
            <w:r>
              <w:rPr>
                <w:rStyle w:val="Hyperlink"/>
                <w:noProof/>
              </w:rPr>
              <w:t>Tela 1 — Classificação</w:t>
            </w:r>
            <w:r>
              <w:rPr>
                <w:noProof/>
                <w:webHidden/>
              </w:rPr>
              <w:tab/>
              <w:fldChar w:fldCharType="begin"/>
              <w:instrText xml:space="preserve"> PAGEREF _Toc232175913 \h </w:instrText>
              <w:fldChar w:fldCharType="separate"/>
              <w:t>25</w:t>
              <w:fldChar w:fldCharType="end"/>
            </w:r>
          </w:hyperlink>
        </w:p>
        <w:p w14:paraId="3D55A79B" w14:textId="20C0246B" w:rsidR="001528BF" w:rsidRDefault="001528BF">
          <w:pPr>
            <w:pStyle w:val="Sumrio2"/>
            <w:tabs>
              <w:tab w:val="right" w:leader="dot" w:pos="8656"/>
            </w:tabs>
            <w:rPr>
              <w:noProof/>
            </w:rPr>
          </w:pPr>
          <w:hyperlink w:anchor="_Toc232175914" w:history="1">
            <w:r>
              <w:rPr>
                <w:rStyle w:val="Hyperlink"/>
                <w:noProof/>
              </w:rPr>
              <w:t>Tela 2 — Natureza</w:t>
            </w:r>
            <w:r>
              <w:rPr>
                <w:noProof/>
                <w:webHidden/>
              </w:rPr>
              <w:tab/>
              <w:fldChar w:fldCharType="begin"/>
              <w:instrText xml:space="preserve"> PAGEREF _Toc232175914 \h </w:instrText>
              <w:fldChar w:fldCharType="separate"/>
              <w:t>25</w:t>
              <w:fldChar w:fldCharType="end"/>
            </w:r>
          </w:hyperlink>
        </w:p>
        <w:p w14:paraId="1A0BC0CC" w14:textId="2B26DB5A" w:rsidR="001528BF" w:rsidRDefault="001528BF">
          <w:pPr>
            <w:pStyle w:val="Sumrio2"/>
            <w:tabs>
              <w:tab w:val="right" w:leader="dot" w:pos="8656"/>
            </w:tabs>
            <w:rPr>
              <w:noProof/>
            </w:rPr>
          </w:pPr>
          <w:hyperlink w:anchor="_Toc232175915" w:history="1">
            <w:r>
              <w:rPr>
                <w:rStyle w:val="Hyperlink"/>
                <w:noProof/>
              </w:rPr>
              <w:t>Tela 3 — Gravidade</w:t>
            </w:r>
            <w:r>
              <w:rPr>
                <w:noProof/>
                <w:webHidden/>
              </w:rPr>
              <w:tab/>
              <w:fldChar w:fldCharType="begin"/>
              <w:instrText xml:space="preserve"> PAGEREF _Toc232175915 \h </w:instrText>
              <w:fldChar w:fldCharType="separate"/>
              <w:t>25</w:t>
              <w:fldChar w:fldCharType="end"/>
            </w:r>
          </w:hyperlink>
        </w:p>
        <w:p w14:paraId="4FF023A1" w14:textId="5065C46F" w:rsidR="001528BF" w:rsidRDefault="001528BF">
          <w:pPr>
            <w:pStyle w:val="Sumrio2"/>
            <w:tabs>
              <w:tab w:val="right" w:leader="dot" w:pos="8656"/>
            </w:tabs>
            <w:rPr>
              <w:noProof/>
            </w:rPr>
          </w:pPr>
          <w:hyperlink w:anchor="_Toc232175916" w:history="1">
            <w:r>
              <w:rPr>
                <w:rStyle w:val="Hyperlink"/>
                <w:noProof/>
              </w:rPr>
              <w:t>Tela 4 — Dano Material</w:t>
            </w:r>
            <w:r>
              <w:rPr>
                <w:noProof/>
                <w:webHidden/>
              </w:rPr>
              <w:tab/>
              <w:fldChar w:fldCharType="begin"/>
              <w:instrText xml:space="preserve"> PAGEREF _Toc232175916 \h </w:instrText>
              <w:fldChar w:fldCharType="separate"/>
              <w:t>25</w:t>
              <w:fldChar w:fldCharType="end"/>
            </w:r>
          </w:hyperlink>
        </w:p>
        <w:p w14:paraId="4A93C94E" w14:textId="5621C685" w:rsidR="001528BF" w:rsidRDefault="001528BF">
          <w:pPr>
            <w:pStyle w:val="Sumrio2"/>
            <w:tabs>
              <w:tab w:val="right" w:leader="dot" w:pos="8656"/>
            </w:tabs>
            <w:rPr>
              <w:noProof/>
            </w:rPr>
          </w:pPr>
          <w:hyperlink w:anchor="_Toc232175917" w:history="1">
            <w:r>
              <w:rPr>
                <w:rStyle w:val="Hyperlink"/>
                <w:noProof/>
              </w:rPr>
              <w:t>Tela 5 — Dano Imaterial</w:t>
            </w:r>
            <w:r>
              <w:rPr>
                <w:noProof/>
                <w:webHidden/>
              </w:rPr>
              <w:tab/>
              <w:fldChar w:fldCharType="begin"/>
              <w:instrText xml:space="preserve"> PAGEREF _Toc232175917 \h </w:instrText>
              <w:fldChar w:fldCharType="separate"/>
              <w:t>25</w:t>
              <w:fldChar w:fldCharType="end"/>
            </w:r>
          </w:hyperlink>
        </w:p>
        <w:p w14:paraId="229E8BCE" w14:textId="1DDC6884" w:rsidR="001528BF" w:rsidRDefault="001528BF">
          <w:pPr>
            <w:pStyle w:val="Sumrio2"/>
            <w:tabs>
              <w:tab w:val="right" w:leader="dot" w:pos="8656"/>
            </w:tabs>
            <w:rPr>
              <w:noProof/>
            </w:rPr>
          </w:pPr>
          <w:hyperlink w:anchor="_Toc232175918" w:history="1">
            <w:r>
              <w:rPr>
                <w:rStyle w:val="Hyperlink"/>
                <w:noProof/>
              </w:rPr>
              <w:t>Tela 6 — Circunstâncias</w:t>
            </w:r>
            <w:r>
              <w:rPr>
                <w:noProof/>
                <w:webHidden/>
              </w:rPr>
              <w:tab/>
              <w:fldChar w:fldCharType="begin"/>
              <w:instrText xml:space="preserve"> PAGEREF _Toc232175918 \h </w:instrText>
              <w:fldChar w:fldCharType="separate"/>
              <w:t>25</w:t>
              <w:fldChar w:fldCharType="end"/>
            </w:r>
          </w:hyperlink>
        </w:p>
        <w:p w14:paraId="376628D7" w14:textId="0C82D34E" w:rsidR="001528BF" w:rsidRDefault="001528BF">
          <w:pPr>
            <w:pStyle w:val="Sumrio2"/>
            <w:tabs>
              <w:tab w:val="right" w:leader="dot" w:pos="8656"/>
            </w:tabs>
            <w:rPr>
              <w:noProof/>
            </w:rPr>
          </w:pPr>
          <w:hyperlink w:anchor="_Toc232175919" w:history="1">
            <w:r>
              <w:rPr>
                <w:rStyle w:val="Hyperlink"/>
                <w:noProof/>
              </w:rPr>
              <w:t>Tela 7 — Antecedentes</w:t>
            </w:r>
            <w:r>
              <w:rPr>
                <w:noProof/>
                <w:webHidden/>
              </w:rPr>
              <w:tab/>
              <w:fldChar w:fldCharType="begin"/>
              <w:instrText xml:space="preserve"> PAGEREF _Toc232175919 \h </w:instrText>
              <w:fldChar w:fldCharType="separate"/>
              <w:t>25</w:t>
              <w:fldChar w:fldCharType="end"/>
            </w:r>
          </w:hyperlink>
        </w:p>
        <w:p w14:paraId="65399320" w14:textId="6AA277EB" w:rsidR="001528BF" w:rsidRDefault="001528BF">
          <w:pPr>
            <w:pStyle w:val="Sumrio2"/>
            <w:tabs>
              <w:tab w:val="right" w:leader="dot" w:pos="8656"/>
            </w:tabs>
            <w:rPr>
              <w:noProof/>
            </w:rPr>
          </w:pPr>
          <w:hyperlink w:anchor="_Toc232175920" w:history="1">
            <w:r>
              <w:rPr>
                <w:rStyle w:val="Hyperlink"/>
                <w:noProof/>
              </w:rPr>
              <w:t>Tela 8 — Dados TAC</w:t>
            </w:r>
            <w:r>
              <w:rPr>
                <w:noProof/>
                <w:webHidden/>
              </w:rPr>
              <w:tab/>
              <w:fldChar w:fldCharType="begin"/>
              <w:instrText xml:space="preserve"> PAGEREF _Toc232175920 \h </w:instrText>
              <w:fldChar w:fldCharType="separate"/>
              <w:t>26</w:t>
              <w:fldChar w:fldCharType="end"/>
            </w:r>
          </w:hyperlink>
        </w:p>
        <w:p w14:paraId="6CCE165A" w14:textId="14642F4E" w:rsidR="001528BF" w:rsidRDefault="001528BF">
          <w:pPr>
            <w:pStyle w:val="Sumrio2"/>
            <w:tabs>
              <w:tab w:val="right" w:leader="dot" w:pos="8656"/>
            </w:tabs>
            <w:rPr>
              <w:noProof/>
            </w:rPr>
          </w:pPr>
          <w:hyperlink w:anchor="_Toc232175921" w:history="1">
            <w:r>
              <w:rPr>
                <w:rStyle w:val="Hyperlink"/>
                <w:noProof/>
              </w:rPr>
              <w:t>Tela 9 — Resultado</w:t>
            </w:r>
            <w:r>
              <w:rPr>
                <w:noProof/>
                <w:webHidden/>
              </w:rPr>
              <w:tab/>
              <w:fldChar w:fldCharType="begin"/>
              <w:instrText xml:space="preserve"> PAGEREF _Toc232175921 \h </w:instrText>
              <w:fldChar w:fldCharType="separate"/>
              <w:t>26</w:t>
              <w:fldChar w:fldCharType="end"/>
            </w:r>
          </w:hyperlink>
        </w:p>
        <w:p w14:paraId="393C71D5" w14:textId="20432B21" w:rsidR="001528BF" w:rsidRDefault="001528BF">
          <w:pPr>
            <w:pStyle w:val="Sumrio2"/>
            <w:tabs>
              <w:tab w:val="right" w:leader="dot" w:pos="8656"/>
            </w:tabs>
            <w:rPr>
              <w:noProof/>
            </w:rPr>
          </w:pPr>
          <w:hyperlink w:anchor="_Toc232175922" w:history="1">
            <w:r>
              <w:rPr>
                <w:rStyle w:val="Hyperlink"/>
                <w:noProof/>
              </w:rPr>
              <w:t>Tela 10 — Revisão TAC</w:t>
            </w:r>
            <w:r>
              <w:rPr>
                <w:noProof/>
                <w:webHidden/>
              </w:rPr>
              <w:tab/>
              <w:fldChar w:fldCharType="begin"/>
              <w:instrText xml:space="preserve"> PAGEREF _Toc232175922 \h </w:instrText>
              <w:fldChar w:fldCharType="separate"/>
              <w:t>26</w:t>
              <w:fldChar w:fldCharType="end"/>
            </w:r>
          </w:hyperlink>
        </w:p>
        <w:p w14:paraId="5EE7CB06" w14:textId="0FA99918" w:rsidR="001528BF" w:rsidRDefault="001528BF">
          <w:pPr>
            <w:pStyle w:val="Sumrio2"/>
            <w:tabs>
              <w:tab w:val="right" w:leader="dot" w:pos="8656"/>
            </w:tabs>
            <w:rPr>
              <w:noProof/>
            </w:rPr>
          </w:pPr>
          <w:hyperlink w:anchor="_Toc232175923" w:history="1">
            <w:r>
              <w:rPr>
                <w:rStyle w:val="Hyperlink"/>
                <w:noProof/>
              </w:rPr>
              <w:t>Tela 11 — Relatório</w:t>
            </w:r>
            <w:r>
              <w:rPr>
                <w:noProof/>
                <w:webHidden/>
              </w:rPr>
              <w:tab/>
              <w:fldChar w:fldCharType="begin"/>
              <w:instrText xml:space="preserve"> PAGEREF _Toc232175923 \h </w:instrText>
              <w:fldChar w:fldCharType="separate"/>
              <w:t>26</w:t>
              <w:fldChar w:fldCharType="end"/>
            </w:r>
          </w:hyperlink>
        </w:p>
        <w:p w14:paraId="7D648C6D" w14:textId="072EECC4" w:rsidR="001528BF" w:rsidRDefault="001528BF">
          <w:pPr>
            <w:pStyle w:val="Sumrio1"/>
            <w:tabs>
              <w:tab w:val="right" w:leader="dot" w:pos="8656"/>
            </w:tabs>
            <w:rPr>
              <w:noProof/>
            </w:rPr>
          </w:pPr>
          <w:hyperlink w:anchor="_Toc232175924" w:history="1">
            <w:r>
              <w:rPr>
                <w:rStyle w:val="Hyperlink"/>
                <w:noProof/>
              </w:rPr>
              <w:t>15. Relatório de Fundamentação</w:t>
            </w:r>
            <w:r>
              <w:rPr>
                <w:noProof/>
                <w:webHidden/>
              </w:rPr>
              <w:tab/>
              <w:fldChar w:fldCharType="begin"/>
              <w:instrText xml:space="preserve"> PAGEREF _Toc232175924 \h </w:instrText>
              <w:fldChar w:fldCharType="separate"/>
              <w:t>26</w:t>
              <w:fldChar w:fldCharType="end"/>
            </w:r>
          </w:hyperlink>
        </w:p>
        <w:p w14:paraId="156C3D58" w14:textId="1634239B" w:rsidR="001528BF" w:rsidRDefault="001528BF">
          <w:pPr>
            <w:pStyle w:val="Sumrio2"/>
            <w:tabs>
              <w:tab w:val="right" w:leader="dot" w:pos="8656"/>
            </w:tabs>
            <w:rPr>
              <w:noProof/>
            </w:rPr>
          </w:pPr>
          <w:hyperlink w:anchor="_Toc232175925" w:history="1">
            <w:r>
              <w:rPr>
                <w:rStyle w:val="Hyperlink"/>
                <w:noProof/>
              </w:rPr>
              <w:t>15.1 Conteúdo</w:t>
            </w:r>
            <w:r>
              <w:rPr>
                <w:noProof/>
                <w:webHidden/>
              </w:rPr>
              <w:tab/>
              <w:fldChar w:fldCharType="begin"/>
              <w:instrText xml:space="preserve"> PAGEREF _Toc232175925 \h </w:instrText>
              <w:fldChar w:fldCharType="separate"/>
              <w:t>26</w:t>
              <w:fldChar w:fldCharType="end"/>
            </w:r>
          </w:hyperlink>
        </w:p>
        <w:p w14:paraId="747A034D" w14:textId="59EC997F" w:rsidR="001528BF" w:rsidRDefault="001528BF">
          <w:pPr>
            <w:pStyle w:val="Sumrio2"/>
            <w:tabs>
              <w:tab w:val="right" w:leader="dot" w:pos="8656"/>
            </w:tabs>
            <w:rPr>
              <w:noProof/>
            </w:rPr>
          </w:pPr>
          <w:hyperlink w:anchor="_Toc232175926" w:history="1">
            <w:r>
              <w:rPr>
                <w:rStyle w:val="Hyperlink"/>
                <w:noProof/>
              </w:rPr>
              <w:t>15.2 Diferenciação visual das complementações do operador</w:t>
            </w:r>
            <w:r>
              <w:rPr>
                <w:noProof/>
                <w:webHidden/>
              </w:rPr>
              <w:tab/>
              <w:fldChar w:fldCharType="begin"/>
              <w:instrText xml:space="preserve"> PAGEREF _Toc232175926 \h </w:instrText>
              <w:fldChar w:fldCharType="separate"/>
              <w:t>27</w:t>
              <w:fldChar w:fldCharType="end"/>
            </w:r>
          </w:hyperlink>
        </w:p>
        <w:p w14:paraId="07DD92DE" w14:textId="20871F41" w:rsidR="001528BF" w:rsidRDefault="001528BF">
          <w:pPr>
            <w:pStyle w:val="Sumrio1"/>
            <w:tabs>
              <w:tab w:val="right" w:leader="dot" w:pos="8656"/>
            </w:tabs>
            <w:rPr>
              <w:noProof/>
            </w:rPr>
          </w:pPr>
          <w:hyperlink w:anchor="_Toc232175927" w:history="1">
            <w:r>
              <w:rPr>
                <w:rStyle w:val="Hyperlink"/>
                <w:noProof/>
              </w:rPr>
              <w:t>16. Limitações, Boas Práticas e Salvaguardas</w:t>
            </w:r>
            <w:r>
              <w:rPr>
                <w:noProof/>
                <w:webHidden/>
              </w:rPr>
              <w:tab/>
              <w:fldChar w:fldCharType="begin"/>
              <w:instrText xml:space="preserve"> PAGEREF _Toc232175927 \h </w:instrText>
              <w:fldChar w:fldCharType="separate"/>
              <w:t>27</w:t>
              <w:fldChar w:fldCharType="end"/>
            </w:r>
          </w:hyperlink>
        </w:p>
        <w:p w14:paraId="5A5805B8" w14:textId="33CF69D7" w:rsidR="001528BF" w:rsidRDefault="001528BF">
          <w:pPr>
            <w:pStyle w:val="Sumrio2"/>
            <w:tabs>
              <w:tab w:val="right" w:leader="dot" w:pos="8656"/>
            </w:tabs>
            <w:rPr>
              <w:noProof/>
            </w:rPr>
          </w:pPr>
          <w:hyperlink w:anchor="_Toc232175928" w:history="1">
            <w:r>
              <w:rPr>
                <w:rStyle w:val="Hyperlink"/>
                <w:noProof/>
              </w:rPr>
              <w:t>16.1 Limitações reconhecidas</w:t>
            </w:r>
            <w:r>
              <w:rPr>
                <w:noProof/>
                <w:webHidden/>
              </w:rPr>
              <w:tab/>
              <w:fldChar w:fldCharType="begin"/>
              <w:instrText xml:space="preserve"> PAGEREF _Toc232175928 \h </w:instrText>
              <w:fldChar w:fldCharType="separate"/>
              <w:t>27</w:t>
              <w:fldChar w:fldCharType="end"/>
            </w:r>
          </w:hyperlink>
        </w:p>
        <w:p w14:paraId="7DE05116" w14:textId="4D895536" w:rsidR="001528BF" w:rsidRDefault="001528BF">
          <w:pPr>
            <w:pStyle w:val="Sumrio2"/>
            <w:tabs>
              <w:tab w:val="right" w:leader="dot" w:pos="8656"/>
            </w:tabs>
            <w:rPr>
              <w:noProof/>
            </w:rPr>
          </w:pPr>
          <w:hyperlink w:anchor="_Toc232175929" w:history="1">
            <w:r>
              <w:rPr>
                <w:rStyle w:val="Hyperlink"/>
                <w:noProof/>
              </w:rPr>
              <w:t>16.2 Boas práticas</w:t>
            </w:r>
            <w:r>
              <w:rPr>
                <w:noProof/>
                <w:webHidden/>
              </w:rPr>
              <w:tab/>
              <w:fldChar w:fldCharType="begin"/>
              <w:instrText xml:space="preserve"> PAGEREF _Toc232175929 \h </w:instrText>
              <w:fldChar w:fldCharType="separate"/>
              <w:t>27</w:t>
              <w:fldChar w:fldCharType="end"/>
            </w:r>
          </w:hyperlink>
        </w:p>
        <w:p w14:paraId="2193B2C1" w14:textId="3C9BE99C" w:rsidR="001528BF" w:rsidRDefault="001528BF">
          <w:pPr>
            <w:pStyle w:val="Sumrio1"/>
            <w:tabs>
              <w:tab w:val="right" w:leader="dot" w:pos="8656"/>
            </w:tabs>
            <w:rPr>
              <w:noProof/>
            </w:rPr>
          </w:pPr>
          <w:hyperlink w:anchor="_Toc232175930" w:history="1">
            <w:r>
              <w:rPr>
                <w:rStyle w:val="Hyperlink"/>
                <w:noProof/>
              </w:rPr>
              <w:t>17. Modelos de Fundamentação</w:t>
            </w:r>
            <w:r>
              <w:rPr>
                <w:noProof/>
                <w:webHidden/>
              </w:rPr>
              <w:tab/>
              <w:fldChar w:fldCharType="begin"/>
              <w:instrText xml:space="preserve"> PAGEREF _Toc232175930 \h </w:instrText>
              <w:fldChar w:fldCharType="separate"/>
              <w:t>28</w:t>
              <w:fldChar w:fldCharType="end"/>
            </w:r>
          </w:hyperlink>
        </w:p>
        <w:p w14:paraId="3A3D5009" w14:textId="5D74975E" w:rsidR="001528BF" w:rsidRDefault="001528BF">
          <w:pPr>
            <w:pStyle w:val="Sumrio2"/>
            <w:tabs>
              <w:tab w:val="right" w:leader="dot" w:pos="8656"/>
            </w:tabs>
            <w:rPr>
              <w:noProof/>
            </w:rPr>
          </w:pPr>
          <w:hyperlink w:anchor="_Toc232175931" w:history="1">
            <w:r>
              <w:rPr>
                <w:rStyle w:val="Hyperlink"/>
                <w:noProof/>
              </w:rPr>
              <w:t>17.1 Abertura e enquadramento</w:t>
            </w:r>
            <w:r>
              <w:rPr>
                <w:noProof/>
                <w:webHidden/>
              </w:rPr>
              <w:tab/>
              <w:fldChar w:fldCharType="begin"/>
              <w:instrText xml:space="preserve"> PAGEREF _Toc232175931 \h </w:instrText>
              <w:fldChar w:fldCharType="separate"/>
              <w:t>28</w:t>
              <w:fldChar w:fldCharType="end"/>
            </w:r>
          </w:hyperlink>
        </w:p>
        <w:p w14:paraId="5D342C67" w14:textId="1349BD41" w:rsidR="001528BF" w:rsidRDefault="001528BF">
          <w:pPr>
            <w:pStyle w:val="Sumrio2"/>
            <w:tabs>
              <w:tab w:val="right" w:leader="dot" w:pos="8656"/>
            </w:tabs>
            <w:rPr>
              <w:noProof/>
            </w:rPr>
          </w:pPr>
          <w:hyperlink w:anchor="_Toc232175932" w:history="1">
            <w:r>
              <w:rPr>
                <w:rStyle w:val="Hyperlink"/>
                <w:noProof/>
              </w:rPr>
              <w:t>17.2 Natureza</w:t>
            </w:r>
            <w:r>
              <w:rPr>
                <w:noProof/>
                <w:webHidden/>
              </w:rPr>
              <w:tab/>
              <w:fldChar w:fldCharType="begin"/>
              <w:instrText xml:space="preserve"> PAGEREF _Toc232175932 \h </w:instrText>
              <w:fldChar w:fldCharType="separate"/>
              <w:t>28</w:t>
              <w:fldChar w:fldCharType="end"/>
            </w:r>
          </w:hyperlink>
        </w:p>
        <w:p w14:paraId="35986208" w14:textId="602F2D3B" w:rsidR="001528BF" w:rsidRDefault="001528BF">
          <w:pPr>
            <w:pStyle w:val="Sumrio2"/>
            <w:tabs>
              <w:tab w:val="right" w:leader="dot" w:pos="8656"/>
            </w:tabs>
            <w:rPr>
              <w:noProof/>
            </w:rPr>
          </w:pPr>
          <w:hyperlink w:anchor="_Toc232175933" w:history="1">
            <w:r>
              <w:rPr>
                <w:rStyle w:val="Hyperlink"/>
                <w:noProof/>
              </w:rPr>
              <w:t>17.3 Gravidade</w:t>
            </w:r>
            <w:r>
              <w:rPr>
                <w:noProof/>
                <w:webHidden/>
              </w:rPr>
              <w:tab/>
              <w:fldChar w:fldCharType="begin"/>
              <w:instrText xml:space="preserve"> PAGEREF _Toc232175933 \h </w:instrText>
              <w:fldChar w:fldCharType="separate"/>
              <w:t>28</w:t>
              <w:fldChar w:fldCharType="end"/>
            </w:r>
          </w:hyperlink>
        </w:p>
        <w:p w14:paraId="31F594FD" w14:textId="1A7003D7" w:rsidR="001528BF" w:rsidRDefault="001528BF">
          <w:pPr>
            <w:pStyle w:val="Sumrio2"/>
            <w:tabs>
              <w:tab w:val="right" w:leader="dot" w:pos="8656"/>
            </w:tabs>
            <w:rPr>
              <w:noProof/>
            </w:rPr>
          </w:pPr>
          <w:hyperlink w:anchor="_Toc232175934" w:history="1">
            <w:r>
              <w:rPr>
                <w:rStyle w:val="Hyperlink"/>
                <w:noProof/>
              </w:rPr>
              <w:t>17.4 Dano</w:t>
            </w:r>
            <w:r>
              <w:rPr>
                <w:noProof/>
                <w:webHidden/>
              </w:rPr>
              <w:tab/>
              <w:fldChar w:fldCharType="begin"/>
              <w:instrText xml:space="preserve"> PAGEREF _Toc232175934 \h </w:instrText>
              <w:fldChar w:fldCharType="separate"/>
              <w:t>28</w:t>
              <w:fldChar w:fldCharType="end"/>
            </w:r>
          </w:hyperlink>
        </w:p>
        <w:p w14:paraId="35617DB6" w14:textId="58BEC5EF" w:rsidR="001528BF" w:rsidRDefault="001528BF">
          <w:pPr>
            <w:pStyle w:val="Sumrio2"/>
            <w:tabs>
              <w:tab w:val="right" w:leader="dot" w:pos="8656"/>
            </w:tabs>
            <w:rPr>
              <w:noProof/>
            </w:rPr>
          </w:pPr>
          <w:hyperlink w:anchor="_Toc232175935" w:history="1">
            <w:r>
              <w:rPr>
                <w:rStyle w:val="Hyperlink"/>
                <w:noProof/>
              </w:rPr>
              <w:t>17.5 Circunstâncias e antecedentes</w:t>
            </w:r>
            <w:r>
              <w:rPr>
                <w:noProof/>
                <w:webHidden/>
              </w:rPr>
              <w:tab/>
              <w:fldChar w:fldCharType="begin"/>
              <w:instrText xml:space="preserve"> PAGEREF _Toc232175935 \h </w:instrText>
              <w:fldChar w:fldCharType="separate"/>
              <w:t>28</w:t>
              <w:fldChar w:fldCharType="end"/>
            </w:r>
          </w:hyperlink>
        </w:p>
        <w:p w14:paraId="782073C0" w14:textId="382F5910" w:rsidR="001528BF" w:rsidRDefault="001528BF">
          <w:pPr>
            <w:pStyle w:val="Sumrio2"/>
            <w:tabs>
              <w:tab w:val="right" w:leader="dot" w:pos="8656"/>
            </w:tabs>
            <w:rPr>
              <w:noProof/>
            </w:rPr>
          </w:pPr>
          <w:hyperlink w:anchor="_Toc232175936" w:history="1">
            <w:r>
              <w:rPr>
                <w:rStyle w:val="Hyperlink"/>
                <w:noProof/>
              </w:rPr>
              <w:t>17.6 Resultado e reincidência</w:t>
            </w:r>
            <w:r>
              <w:rPr>
                <w:noProof/>
                <w:webHidden/>
              </w:rPr>
              <w:tab/>
              <w:fldChar w:fldCharType="begin"/>
              <w:instrText xml:space="preserve"> PAGEREF _Toc232175936 \h </w:instrText>
              <w:fldChar w:fldCharType="separate"/>
              <w:t>28</w:t>
              <w:fldChar w:fldCharType="end"/>
            </w:r>
          </w:hyperlink>
        </w:p>
        <w:p w14:paraId="10057547" w14:textId="2D7E0A3C" w:rsidR="001528BF" w:rsidRDefault="001528BF">
          <w:pPr>
            <w:pStyle w:val="Sumrio2"/>
            <w:tabs>
              <w:tab w:val="right" w:leader="dot" w:pos="8656"/>
            </w:tabs>
            <w:rPr>
              <w:noProof/>
            </w:rPr>
          </w:pPr>
          <w:hyperlink w:anchor="_Toc232175937" w:history="1">
            <w:r>
              <w:rPr>
                <w:rStyle w:val="Hyperlink"/>
                <w:noProof/>
              </w:rPr>
              <w:t>17.7 TAC</w:t>
            </w:r>
            <w:r>
              <w:rPr>
                <w:noProof/>
                <w:webHidden/>
              </w:rPr>
              <w:tab/>
              <w:fldChar w:fldCharType="begin"/>
              <w:instrText xml:space="preserve"> PAGEREF _Toc232175937 \h </w:instrText>
              <w:fldChar w:fldCharType="separate"/>
              <w:t>29</w:t>
              <w:fldChar w:fldCharType="end"/>
            </w:r>
          </w:hyperlink>
        </w:p>
        <w:p w14:paraId="3C70E741" w14:textId="6B0B773F" w:rsidR="001528BF" w:rsidRDefault="001528BF">
          <w:pPr>
            <w:pStyle w:val="Sumrio1"/>
            <w:tabs>
              <w:tab w:val="right" w:leader="dot" w:pos="8656"/>
            </w:tabs>
            <w:rPr>
              <w:noProof/>
            </w:rPr>
          </w:pPr>
          <w:hyperlink w:anchor="_Toc232175938" w:history="1">
            <w:r>
              <w:rPr>
                <w:rStyle w:val="Hyperlink"/>
                <w:noProof/>
              </w:rPr>
              <w:t>18. Glossário</w:t>
            </w:r>
            <w:r>
              <w:rPr>
                <w:noProof/>
                <w:webHidden/>
              </w:rPr>
              <w:tab/>
              <w:fldChar w:fldCharType="begin"/>
              <w:instrText xml:space="preserve"> PAGEREF _Toc232175938 \h </w:instrText>
              <w:fldChar w:fldCharType="separate"/>
              <w:t>30</w:t>
              <w:fldChar w:fldCharType="end"/>
            </w:r>
          </w:hyperlink>
        </w:p>
        <w:p w14:paraId="526486DF" w14:textId="1196CE97" w:rsidR="001528BF" w:rsidRDefault="001528BF">
          <w:pPr>
            <w:pStyle w:val="Sumrio1"/>
            <w:tabs>
              <w:tab w:val="right" w:leader="dot" w:pos="8656"/>
            </w:tabs>
            <w:rPr>
              <w:noProof/>
            </w:rPr>
          </w:pPr>
          <w:hyperlink w:anchor="_Toc232175939" w:history="1">
            <w:r>
              <w:rPr>
                <w:rStyle w:val="Hyperlink"/>
                <w:noProof/>
              </w:rPr>
              <w:t>19. Referências</w:t>
            </w:r>
            <w:r>
              <w:rPr>
                <w:noProof/>
                <w:webHidden/>
              </w:rPr>
              <w:tab/>
              <w:fldChar w:fldCharType="begin"/>
              <w:instrText xml:space="preserve"> PAGEREF _Toc232175939 \h </w:instrText>
              <w:fldChar w:fldCharType="separate"/>
              <w:t>31</w:t>
              <w:fldChar w:fldCharType="end"/>
            </w:r>
          </w:hyperlink>
        </w:p>
        <w:p w14:paraId="7597062E" w14:textId="0E0CE33C" w:rsidR="001528BF" w:rsidRDefault="001528BF">
          <w:pPr>
            <w:pStyle w:val="Sumrio2"/>
            <w:tabs>
              <w:tab w:val="right" w:leader="dot" w:pos="8656"/>
            </w:tabs>
            <w:rPr>
              <w:noProof/>
            </w:rPr>
          </w:pPr>
          <w:hyperlink w:anchor="_Toc232175940" w:history="1">
            <w:r>
              <w:rPr>
                <w:rStyle w:val="Hyperlink"/>
                <w:noProof/>
              </w:rPr>
              <w:t>19.1 Normas</w:t>
            </w:r>
            <w:r>
              <w:rPr>
                <w:noProof/>
                <w:webHidden/>
              </w:rPr>
              <w:tab/>
              <w:fldChar w:fldCharType="begin"/>
              <w:instrText xml:space="preserve"> PAGEREF _Toc232175940 \h </w:instrText>
              <w:fldChar w:fldCharType="separate"/>
              <w:t>31</w:t>
              <w:fldChar w:fldCharType="end"/>
            </w:r>
          </w:hyperlink>
        </w:p>
        <w:p w14:paraId="3DD50580" w14:textId="1283BC26" w:rsidR="001528BF" w:rsidRDefault="001528BF">
          <w:pPr>
            <w:pStyle w:val="Sumrio2"/>
            <w:tabs>
              <w:tab w:val="right" w:leader="dot" w:pos="8656"/>
            </w:tabs>
            <w:rPr>
              <w:noProof/>
            </w:rPr>
          </w:pPr>
          <w:hyperlink w:anchor="_Toc232175941" w:history="1">
            <w:r>
              <w:rPr>
                <w:rStyle w:val="Hyperlink"/>
                <w:noProof/>
              </w:rPr>
              <w:t>19.2 Jurisprudência e súmulas</w:t>
            </w:r>
            <w:r>
              <w:rPr>
                <w:noProof/>
                <w:webHidden/>
              </w:rPr>
              <w:tab/>
              <w:fldChar w:fldCharType="begin"/>
              <w:instrText xml:space="preserve"> PAGEREF _Toc232175941 \h </w:instrText>
              <w:fldChar w:fldCharType="separate"/>
              <w:t>31</w:t>
              <w:fldChar w:fldCharType="end"/>
            </w:r>
          </w:hyperlink>
        </w:p>
        <w:p w14:paraId="3040E3D5" w14:textId="3C047D0F" w:rsidR="001528BF" w:rsidRDefault="001528BF">
          <w:pPr>
            <w:pStyle w:val="Sumrio2"/>
            <w:tabs>
              <w:tab w:val="right" w:leader="dot" w:pos="8656"/>
            </w:tabs>
            <w:rPr>
              <w:noProof/>
            </w:rPr>
          </w:pPr>
          <w:hyperlink w:anchor="_Toc232175942" w:history="1">
            <w:r>
              <w:rPr>
                <w:rStyle w:val="Hyperlink"/>
                <w:noProof/>
              </w:rPr>
              <w:t>19.3 Documentos de referência</w:t>
            </w:r>
            <w:r>
              <w:rPr>
                <w:noProof/>
                <w:webHidden/>
              </w:rPr>
              <w:tab/>
              <w:fldChar w:fldCharType="begin"/>
              <w:instrText xml:space="preserve"> PAGEREF _Toc232175942 \h </w:instrText>
              <w:fldChar w:fldCharType="separate"/>
              <w:t>31</w:t>
              <w:fldChar w:fldCharType="end"/>
            </w:r>
          </w:hyperlink>
        </w:p>
        <w:p w14:paraId="5C20A74A" w14:textId="133E8A75" w:rsidR="001528BF" w:rsidRDefault="001528BF">
          <w:r>
            <w:rPr>
              <w:b/>
              <w:bCs/>
            </w:rPr>
            <w:fldChar w:fldCharType="end"/>
          </w:r>
        </w:p>
      </w:sdtContent>
    </w:sdt>
    <w:p w14:paraId="204E3264" w14:textId="1BA3A8E2" w:rsidR="00560F38" w:rsidRDefault="00000000">
      <w:r>
        <w:br w:type="page"/>
      </w:r>
    </w:p>
    <w:p w14:paraId="72EFF1DA" w14:textId="77777777" w:rsidR="00560F38" w:rsidRDefault="00000000">
      <w:pPr>
        <w:shd w:val="clear" w:color="auto" w:fill="1F3864"/>
        <w:spacing w:before="200" w:after="200"/>
        <w:jc w:val="center"/>
      </w:pPr>
      <w:r>
        <w:rPr>
          <w:b/>
          <w:bCs/>
          <w:color w:val="FFFFFF"/>
          <w:sz w:val="28"/>
          <w:szCs w:val="28"/>
        </w:rPr>
        <w:lastRenderedPageBreak/>
        <w:t>PARTE I — FUNDAMENTOS JURÍDICOS</w:t>
      </w:r>
    </w:p>
    <w:p w14:paraId="7A1E3BFE" w14:textId="77777777" w:rsidR="00560F38" w:rsidRDefault="00000000">
      <w:pPr>
        <w:pStyle w:val="Ttulo1"/>
      </w:pPr>
      <w:bookmarkStart w:id="1" w:name="_Toc232175846"/>
      <w:r>
        <w:t>1. Apresentação e Finalidade</w:t>
      </w:r>
      <w:bookmarkEnd w:id="1"/>
    </w:p>
    <w:p w14:paraId="74F06C97" w14:textId="77777777" w:rsidR="00560F38" w:rsidRDefault="00000000">
      <w:pPr>
        <w:spacing w:before="80" w:after="80" w:line="276" w:lineRule="auto"/>
        <w:jc w:val="both"/>
      </w:pPr>
      <w:r>
        <w:t>A Calculadora de Dosimetria das Sanções Disciplinares é ferramenta de apoio à decisão desenvolvida pela Corregedoria da Secretaria Especial da Receita Federal do Brasil (Coger/RFB) para auxiliar comissões processantes e autoridades julgadoras na individualização fundamentada das penalidades de advertência e de suspensão, nos termos dos arts. 128 a 130 da Lei nº 8.112, de 11 de dezembro de 1990.</w:t>
      </w:r>
    </w:p>
    <w:p w14:paraId="4682DDA8" w14:textId="77777777" w:rsidR="00560F38" w:rsidRDefault="00000000">
      <w:pPr>
        <w:spacing w:before="80" w:after="80" w:line="276" w:lineRule="auto"/>
        <w:jc w:val="both"/>
      </w:pPr>
      <w:r>
        <w:t>A ferramenta desempenha três funções integradas, a partir de um único conjunto de respostas fornecidas pelo operador. Primeiro, apura a dosimetria da penalidade, percorrendo os cinco elementos do art. 128 e a reincidência. Segundo, apura a viabilidade do Termo de Ajustamento de Conduta (TAC), verificando as três camadas de elegibilidade da Portaria Normativa CGU nº 27, de 2022. Terceiro, sinaliza quando as respostas configuram situação de baixíssima reprovabilidade compatível com o erro escusável, alertando para a possibilidade de arquivamento com base na tese jurídica da Coger/RFB (Nota Técnica Coger/RFB nº 12/2021).</w:t>
      </w:r>
    </w:p>
    <w:p w14:paraId="257E592A" w14:textId="77777777" w:rsidR="00560F38" w:rsidRDefault="00000000">
      <w:pPr>
        <w:spacing w:before="80" w:after="80" w:line="276" w:lineRule="auto"/>
        <w:jc w:val="both"/>
      </w:pPr>
      <w:r>
        <w:t>A versão 3.0 da Calculadora (v3) aprimorou a granularidade dos subfatores, incorporou novos agravantes e atenuantes, unificou a detecção da modalidade dolosa em SF1.1, incluiu enquadramento legal por artigo e inciso, persistência automática de sessão, exportação em PDF e exportação do estado em JSON para arquivamento e auditabilidade. Salvo menção expressa em contrário, artigos citados neste Manual referem-se à Lei nº 8.112, de 1990.</w:t>
      </w:r>
    </w:p>
    <w:p w14:paraId="7B2F5FA5" w14:textId="77777777" w:rsidR="00560F38" w:rsidRDefault="00000000">
      <w:pPr>
        <w:spacing w:before="80" w:after="80" w:line="276" w:lineRule="auto"/>
        <w:jc w:val="both"/>
      </w:pPr>
      <w:r>
        <w:t>A simples obtenção de um resultado numérico não satisfaz o dever de motivação. A Calculadora estrutura a avaliação; a fundamentação concreta é tarefa indelegável do aplicador do Direito, que deve consignar os pesos atribuídos, o cálculo da pontuação, as razões de cada valor e a captura da tela da ferramenta na manifestação técnica.</w:t>
      </w:r>
    </w:p>
    <w:p w14:paraId="2E2EB77F" w14:textId="77777777" w:rsidR="00AA0001" w:rsidRDefault="00AA0001"/>
    <w:p w14:paraId="613E38E7" w14:textId="77777777" w:rsidR="00AA0001" w:rsidRDefault="00000000">
      <w:pPr>
        <w:pStyle w:val="Ttulo2"/>
      </w:pPr>
      <w:r>
        <w:t>1.1 A dívida intelectual que este Manual reconhece: a contribuição da CGU</w:t>
      </w:r>
    </w:p>
    <w:p w14:paraId="7514143A" w14:textId="77777777" w:rsidR="00AA0001" w:rsidRDefault="00000000">
      <w:pPr>
        <w:pStyle w:val="Ttulo3"/>
      </w:pPr>
      <w:r>
        <w:t>1.1.1 O problema que existia antes</w:t>
      </w:r>
    </w:p>
    <w:p w14:paraId="70A3FA94" w14:textId="77777777" w:rsidR="00AA0001" w:rsidRDefault="00000000">
      <w:pPr>
        <w:spacing w:before="80" w:after="80" w:line="276" w:lineRule="auto"/>
        <w:jc w:val="both"/>
      </w:pPr>
      <w:r>
        <w:t xml:space="preserve">Por mais de duas décadas após a edição da Lei nº 8.112, de 1990, o art. 128 funcionou como critério sem método: enunciava cinco elementos de graduação — natureza, gravidade, dano, circunstâncias e antecedentes —, mas não fornecia ao aplicador qualquer parâmetro objetivo sobre como distribuí-los no caso concreto. O resultado era previsível e documentado: decisões díspares para casos semelhantes, motivações genéricas que repetiam a literalidade do artigo sem explicar os pesos atribuídos, e ausência de instrumentos que permitissem à defesa ou ao controle externo verificar se a penalidade resultava de juízo fundamentado ou de impressão individual do julgador. A dosimetria disciplinar era, em grande medida, uma caixa-preta.</w:t>
      </w:r>
    </w:p>
    <w:p w14:paraId="6C78078F" w14:textId="77777777" w:rsidR="00AA0001" w:rsidRDefault="00AA0001"/>
    <w:p w14:paraId="49D365E4" w14:textId="77777777" w:rsidR="00AA0001" w:rsidRDefault="00000000">
      <w:pPr>
        <w:pStyle w:val="Ttulo3"/>
      </w:pPr>
      <w:r>
        <w:t>1.1.2 O estudo que fundou o método</w:t>
      </w:r>
    </w:p>
    <w:p w14:paraId="39EA3769" w14:textId="77777777" w:rsidR="00AA0001" w:rsidRDefault="00000000">
      <w:pPr>
        <w:spacing w:before="80" w:after="80" w:line="276" w:lineRule="auto"/>
        <w:jc w:val="both"/>
      </w:pPr>
      <w:r>
        <w:t xml:space="preserve">Foi a Corregedoria-Geral da União, órgão central do Sistema de Correição do Poder Executivo Federal (SISCOR), que abriu o caminho para superar esse estado de coisas — e o fez por meio de uma contribuição que merece ser nomeada com a precisão que lhe é devida.</w:t>
      </w:r>
    </w:p>
    <w:p w14:paraId="30C3CD26" w14:textId="77777777" w:rsidR="00AA0001" w:rsidRDefault="00AA0001"/>
    <w:p w14:paraId="5186DF81" w14:textId="77777777" w:rsidR="00AA0001" w:rsidRDefault="00000000">
      <w:pPr>
        <w:spacing w:before="80" w:after="80" w:line="276" w:lineRule="auto"/>
        <w:jc w:val="both"/>
      </w:pPr>
      <w:r>
        <w:t xml:space="preserve">Amanda Patrícia Sousa Dutra de Melo, José Ernane Barbosa de Castro e Cláudia Raquel Leão Brizolla, no estudo "Dosimetria das Sanções Administrativas Disciplinares: Advertência e Suspensão", publicado no repositório institucional da CGU, construíram o primeiro método operacional completo para a graduação das penalidades de advertência e suspensão no âmbito do serviço público federal. Esse trabalho é o marco zero da dosimetria disciplinar sistematizada no Brasil — e é dele que derivam, direta ou indiretamente, todos os instrumentos que vieram depois, inclusive o presente Manual.</w:t>
      </w:r>
    </w:p>
    <w:p w14:paraId="7EB2E115" w14:textId="77777777" w:rsidR="00AA0001" w:rsidRDefault="00AA0001"/>
    <w:p w14:paraId="428C8698" w14:textId="77777777" w:rsidR="00AA0001" w:rsidRDefault="00000000">
      <w:pPr>
        <w:spacing w:before="80" w:after="80" w:line="276" w:lineRule="auto"/>
        <w:jc w:val="both"/>
      </w:pPr>
      <w:r>
        <w:t xml:space="preserve">A contribuição dos autores foi de três ordens. Primeira, teórica: demonstraram que o silêncio do art. 128 sobre os pesos dos critérios não era convite à arbitrariedade, mas espaço a ser preenchido por método racional fundado nos próprios limites legais — a escala de advertência a suspensão de 90 dias como grade de referência para a distribuição dos pontos. Segunda, matemática: a partir de raciocínio equacional rigoroso, derivaram o valor de 21 pontos por elemento como o único que satisfaz simultaneamente as exigências de ser múltiplo de três, superior a 18 e compatível com os limites do art. 130 da Lei nº 8.112/90 — dedução que transformou uma escolha metodológica em necessidade lógica. Terceira, operacional: converteram o método em instrumento de uso imediato, com tabelas de graduação, régua de conversão e casos práticos que tornaram a dosimetria acessível a comissões processantes sem formação especializada.</w:t>
      </w:r>
    </w:p>
    <w:p w14:paraId="1FF47652" w14:textId="77777777" w:rsidR="00AA0001" w:rsidRDefault="00AA0001"/>
    <w:p w14:paraId="362BF68B" w14:textId="77777777" w:rsidR="00AA0001" w:rsidRDefault="00000000">
      <w:pPr>
        <w:spacing w:before="80" w:after="80" w:line="276" w:lineRule="auto"/>
        <w:jc w:val="both"/>
      </w:pPr>
      <w:r>
        <w:t xml:space="preserve">O Relatório apresentado na 21ª Reunião da Comissão de Coordenação de Correição havia lançado as primeiras intuições sobre a necessidade de sistematização. Melo, Castro e Brizolla transformaram essas intuições em método — e esse é o salto que distingue uma reflexão de uma contribuição.</w:t>
      </w:r>
    </w:p>
    <w:p w14:paraId="30AE3A36" w14:textId="77777777" w:rsidR="00AA0001" w:rsidRDefault="00AA0001"/>
    <w:p w14:paraId="61406E6E" w14:textId="77777777" w:rsidR="00AA0001" w:rsidRDefault="00000000">
      <w:pPr>
        <w:pStyle w:val="Ttulo3"/>
      </w:pPr>
      <w:r>
        <w:t>1.1.3 O que veio depois — e o que a CGU consolidou em 2024</w:t>
      </w:r>
    </w:p>
    <w:p w14:paraId="66F1E06F" w14:textId="77777777" w:rsidR="00AA0001" w:rsidRDefault="00000000">
      <w:pPr>
        <w:spacing w:before="80" w:after="80" w:line="276" w:lineRule="auto"/>
        <w:jc w:val="both"/>
      </w:pPr>
      <w:r>
        <w:t xml:space="preserve">O estudo fundador abriu caminho para o desenvolvimento de ferramentas eletrônicas que o materializaram em instrumento de uso cotidiano: as calculadoras de penalidade administrativa e de viabilidade de TAC, disponíveis no Portal de Corregedorias, operacionalizam diretamente os critérios e a régua de conversão que Melo, Castro e Brizolla estabeleceram.</w:t>
      </w:r>
    </w:p>
    <w:p w14:paraId="493ABC1B" w14:textId="77777777" w:rsidR="00AA0001" w:rsidRDefault="00AA0001"/>
    <w:p w14:paraId="6AAC54CB" w14:textId="77777777" w:rsidR="00AA0001" w:rsidRDefault="00000000">
      <w:pPr>
        <w:spacing w:before="80" w:after="80" w:line="276" w:lineRule="auto"/>
        <w:jc w:val="both"/>
      </w:pPr>
      <w:r>
        <w:t xml:space="preserve">Em 2024, a Corregedoria-Geral da União — então sob a gestão do Corregedor-Geral Ricardo Wagner de Araújo — avançou mais um passo com o Guia Teórico e Prático da Dosimetria da Sanção Disciplinar, elaborado por Amanda Patrícia Sousa Dutra de Melo e revisado por Amanda Cerqueira de Moraes, Bruno Wahl Goedert e José Trindade Monteiro Neto. Esse Guia deu ao método o que ainda lhe faltava: um roteiro operacional passo a passo com modelos de texto adaptáveis para a fundamentação processual, tornando a dosimetria acessível a qualquer operador do direito no âmbito do SISCOR.</w:t>
      </w:r>
    </w:p>
    <w:p w14:paraId="0AE55971" w14:textId="77777777" w:rsidR="00AA0001" w:rsidRDefault="00AA0001"/>
    <w:p w14:paraId="5948ABF5" w14:textId="77777777" w:rsidR="00AA0001" w:rsidRDefault="00000000">
      <w:pPr>
        <w:spacing w:before="80" w:after="80" w:line="276" w:lineRule="auto"/>
        <w:jc w:val="both"/>
      </w:pPr>
      <w:r>
        <w:t xml:space="preserve">O conjunto dessas contribuições — o estudo fundador, as calculadoras e o Guia de 2024 — representa um dos avanços mais significativos na história recente do direito administrativo disciplinar brasileiro. Antes delas, a dosimetria era um exercício de retórica; depois delas, tornou-se procedimento estruturado, auditável e comparável entre processos.</w:t>
      </w:r>
    </w:p>
    <w:p w14:paraId="6AEDDAB9" w14:textId="77777777" w:rsidR="00AA0001" w:rsidRDefault="00AA0001"/>
    <w:p w14:paraId="7590CC00" w14:textId="77777777" w:rsidR="00AA0001" w:rsidRDefault="00000000">
      <w:pPr>
        <w:pStyle w:val="Ttulo3"/>
      </w:pPr>
      <w:r>
        <w:t>1.1.4 O que este Manual faz com essa herança</w:t>
      </w:r>
    </w:p>
    <w:p w14:paraId="332FE043" w14:textId="77777777" w:rsidR="00AA0001" w:rsidRDefault="00000000">
      <w:pPr>
        <w:spacing w:before="80" w:after="80" w:line="276" w:lineRule="auto"/>
        <w:jc w:val="both"/>
      </w:pPr>
      <w:r>
        <w:t xml:space="preserve">A Corregedoria da Secretaria Especial da Receita Federal do Brasil (Coger/RFB) parte do trabalho de Melo, Castro e Brizolla — não apesar dele, mas por causa dele. É precisamente porque o método original é sólido que foi possível identificar, com clareza, os dois limites metodológicos que a experiência correcional da Coger/RFB revelou ao longo do tempo.</w:t>
      </w:r>
    </w:p>
    <w:p w14:paraId="65EB7ED3" w14:textId="77777777" w:rsidR="00AA0001" w:rsidRDefault="00AA0001"/>
    <w:p w14:paraId="4DF144B2" w14:textId="77777777" w:rsidR="00AA0001" w:rsidRDefault="00000000">
      <w:pPr>
        <w:spacing w:before="80" w:after="80" w:line="276" w:lineRule="auto"/>
        <w:jc w:val="both"/>
      </w:pPr>
      <w:r>
        <w:t xml:space="preserve">O primeiro limite é a subjetividade residual dentro de cada elemento. O método define faixas de pontuação — culpa leve de 1 a 7, culpa grave de 8 a 14, dolo de 15 a 21 —, mas não especifica o que, dentro dessas faixas, justifica atribuir 3 em vez de 7, ou 16 em vez de 21. Essa abertura é virtude num instrumento de alcance nacional — os autores não poderiam, ao mesmo tempo, sistematizar a dosimetria para todo o SISCOR e subdividir os elementos em subfatores calibrados para realidades tão distintas quanto as de cada órgão federal. Mas o que é necessário num instrumento de uso geral torna-se insuficiente num instrumento de uso específico: a Coger/RFB, no contexto da atividade tributária e aduaneira, precisava de granularidade maior para garantir isonomia entre processos do mesmo órgão.</w:t>
      </w:r>
    </w:p>
    <w:p w14:paraId="6611B83C" w14:textId="77777777" w:rsidR="00AA0001" w:rsidRDefault="00AA0001"/>
    <w:p w14:paraId="50FABCA8" w14:textId="77777777" w:rsidR="00AA0001" w:rsidRDefault="00000000">
      <w:pPr>
        <w:spacing w:before="80" w:after="80" w:line="276" w:lineRule="auto"/>
        <w:jc w:val="both"/>
      </w:pPr>
      <w:r>
        <w:t xml:space="preserve">O segundo limite é a equiparação de peso entre os cinco elementos. A atribuição do mesmo teto de 21 pontos a natureza, gravidade, dano, circunstâncias e antecedentes é uma opção metodológica legítima — e tem a virtude da simplicidade e da simetria. Mas implica que os antecedentes funcionais possam exercer sobre o resultado a mesma influência que o dano efetivo ao serviço público, e que as circunstâncias contextuais possam pesar tanto quanto o elemento subjetivo da conduta. A Coger/RFB entendeu que essa equiparação não reflete a hierarquia lógica entre os critérios do art. 128 — hierarquia desenvolvida na seção 2.5 deste Manual: natureza, gravidade e dano compõem o núcleo do ilícito; circunstâncias e antecedentes são seus moduladores periféricos.</w:t>
      </w:r>
    </w:p>
    <w:p w14:paraId="51169FE3" w14:textId="77777777" w:rsidR="00AA0001" w:rsidRDefault="00AA0001"/>
    <w:p w14:paraId="227626CA" w14:textId="77777777" w:rsidR="00AA0001" w:rsidRDefault="00000000">
      <w:pPr>
        <w:spacing w:before="80" w:after="80" w:line="276" w:lineRule="auto"/>
        <w:jc w:val="both"/>
      </w:pPr>
      <w:r>
        <w:t xml:space="preserve">A versão 3.0 da Calculadora da Coger/RFB foi desenvolvida para superar esses dois limites — não para substituir o método de Melo, Castro e Brizolla, mas para aprofundá-lo no contexto particular da Receita Federal. Mantém plena aderência ao marco normativo e metodológico que a CGU estabeleceu: os mesmos cinco elementos do art. 128, a mesma distinção entre casos gerais e regimes especiais, a mesma estrutura bifásica com a reincidência verificada ao final, a mesma compatibilidade com a Portaria Normativa CGU nº 27, de 2022.</w:t>
      </w:r>
    </w:p>
    <w:p w14:paraId="6464C612" w14:textId="77777777" w:rsidR="00AA0001" w:rsidRDefault="00AA0001"/>
    <w:p w14:paraId="08FB8F0A" w14:textId="77777777" w:rsidR="00AA0001" w:rsidRDefault="00000000">
      <w:pPr>
        <w:pStyle w:val="Ttulo3"/>
      </w:pPr>
      <w:r>
        <w:t>1.1.5 Uma nota sobre a natureza do progresso institucional</w:t>
      </w:r>
    </w:p>
    <w:p w14:paraId="0060CA94" w14:textId="77777777" w:rsidR="00AA0001" w:rsidRDefault="00000000">
      <w:pPr>
        <w:spacing w:before="80" w:after="80" w:line="276" w:lineRule="auto"/>
        <w:jc w:val="both"/>
      </w:pPr>
      <w:r>
        <w:t xml:space="preserve">Toda inovação metodológica genuína se apoia em trabalho anterior: não porque lhe faltaria originalidade, mas porque o avanço verdadeiro só é possível a partir de um ponto de partida sólido. O estudo de Melo, Castro e Brizolla é esse ponto de partida para o presente Manual. Reconhecer isso não diminui a contribuição da Coger/RFB — ao contrário, situa-a no lugar correto: o de um desenvolvimento institucional que honra a tradição em que se insere e que aspira, por sua vez, a tornar-se referência para outros órgãos que enfrentem o mesmo desafio de reduzir a subjetividade residual dentro do método que a CGU fundou.</w:t>
      </w:r>
    </w:p>
    <w:p w14:paraId="5AF82DC2" w14:textId="77777777" w:rsidR="00AA0001" w:rsidRDefault="00AA0001"/>
    <w:p w14:paraId="63753067" w14:textId="77777777" w:rsidR="00560F38" w:rsidRDefault="00000000">
      <w:pPr>
        <w:pStyle w:val="Ttulo2"/>
      </w:pPr>
      <w:bookmarkStart w:id="2" w:name="_Toc232175847"/>
      <w:r>
        <w:t>1.2 A que se propõe este Manual</w:t>
      </w:r>
      <w:bookmarkEnd w:id="2"/>
    </w:p>
    <w:p w14:paraId="21CEDC2D" w14:textId="77777777" w:rsidR="00560F38" w:rsidRDefault="00000000">
      <w:pPr>
        <w:pStyle w:val="PargrafodaLista"/>
        <w:numPr>
          <w:ilvl w:val="0"/>
          <w:numId w:val="2"/>
        </w:numPr>
        <w:spacing w:before="60" w:after="60" w:line="260" w:lineRule="auto"/>
      </w:pPr>
      <w:r>
        <w:t>Expor a teoria jurídica de cada elemento do art. 128 — natureza, gravidade, dano, circunstâncias e antecedentes — e da reincidência;</w:t>
      </w:r>
    </w:p>
    <w:p w14:paraId="17E16E63" w14:textId="77777777" w:rsidR="00560F38" w:rsidRDefault="00000000">
      <w:pPr>
        <w:pStyle w:val="PargrafodaLista"/>
        <w:numPr>
          <w:ilvl w:val="0"/>
          <w:numId w:val="2"/>
        </w:numPr>
        <w:spacing w:before="60" w:after="60" w:line="260" w:lineRule="auto"/>
      </w:pPr>
      <w:r>
        <w:t>Demonstrar como cada conceito jurídico foi operacionalizado em subfatores e faixas de pontuação da Calculadora;</w:t>
      </w:r>
    </w:p>
    <w:p w14:paraId="3E547CBE" w14:textId="77777777" w:rsidR="00560F38" w:rsidRDefault="00000000">
      <w:pPr>
        <w:pStyle w:val="PargrafodaLista"/>
        <w:numPr>
          <w:ilvl w:val="0"/>
          <w:numId w:val="2"/>
        </w:numPr>
        <w:spacing w:before="60" w:after="60" w:line="260" w:lineRule="auto"/>
      </w:pPr>
      <w:r>
        <w:t>Descrever o fluxo operacional passo a passo da Calculadora v3;</w:t>
      </w:r>
    </w:p>
    <w:p w14:paraId="4A426861" w14:textId="77777777" w:rsidR="00560F38" w:rsidRDefault="00000000">
      <w:pPr>
        <w:pStyle w:val="PargrafodaLista"/>
        <w:numPr>
          <w:ilvl w:val="0"/>
          <w:numId w:val="2"/>
        </w:numPr>
        <w:spacing w:before="60" w:after="60" w:line="260" w:lineRule="auto"/>
      </w:pPr>
      <w:r>
        <w:t>Oferecer modelos de fundamentação adaptáveis e reunir referências normativas, doutrinárias e jurisprudenciais.</w:t>
      </w:r>
    </w:p>
    <w:p w14:paraId="70AB2588" w14:textId="77777777" w:rsidR="00560F38" w:rsidRDefault="00000000">
      <w:pPr>
        <w:pStyle w:val="Ttulo2"/>
      </w:pPr>
      <w:bookmarkStart w:id="3" w:name="_Toc232175848"/>
      <w:r>
        <w:t>1.3 Âmbito de aplicação</w:t>
      </w:r>
      <w:bookmarkEnd w:id="3"/>
    </w:p>
    <w:p w14:paraId="70CBB981" w14:textId="77777777" w:rsidR="00560F38" w:rsidRDefault="00000000">
      <w:pPr>
        <w:spacing w:before="80" w:after="80" w:line="276" w:lineRule="auto"/>
        <w:jc w:val="both"/>
      </w:pPr>
      <w:r>
        <w:t>A ferramenta aplica-se exclusivamente a infrações que comportem advertência (art. 129) ou suspensão de até 90 dias (art. 130). Infrações sujeitas a demissão, cassação de aposentadoria, destituição de cargo em comissão ou destituição de função comissionada (art. 132) estão fora do escopo.</w:t>
      </w:r>
    </w:p>
    <w:p w14:paraId="529887AB" w14:textId="77777777" w:rsidR="00560F38" w:rsidRDefault="00560F38"/>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60F38" w14:paraId="3BC49956" w14:textId="77777777">
        <w:tblPrEx>
          <w:tblCellMar>
            <w:top w:w="0" w:type="dxa"/>
            <w:bottom w:w="0" w:type="dxa"/>
          </w:tblCellMar>
        </w:tblPrEx>
        <w:tc>
          <w:tcPr>
            <w:tcW w:w="9360" w:type="dxa"/>
            <w:tcBorders>
              <w:top w:val="single" w:sz="4" w:space="0" w:color="C00000"/>
              <w:left w:val="single" w:sz="4" w:space="0" w:color="C00000"/>
              <w:bottom w:val="single" w:sz="4" w:space="0" w:color="C00000"/>
              <w:right w:val="single" w:sz="4" w:space="0" w:color="C00000"/>
            </w:tcBorders>
            <w:shd w:val="clear" w:color="auto" w:fill="FFF2F2"/>
            <w:tcMar>
              <w:top w:w="100" w:type="dxa"/>
              <w:left w:w="180" w:type="dxa"/>
              <w:bottom w:w="100" w:type="dxa"/>
              <w:right w:w="180" w:type="dxa"/>
            </w:tcMar>
          </w:tcPr>
          <w:p w14:paraId="40998410" w14:textId="77777777" w:rsidR="00560F38" w:rsidRDefault="00000000">
            <w:pPr>
              <w:spacing w:before="60" w:after="40"/>
            </w:pPr>
            <w:r>
              <w:rPr>
                <w:b/>
                <w:bCs/>
                <w:color w:val="C00000"/>
                <w:sz w:val="18"/>
                <w:szCs w:val="18"/>
              </w:rPr>
              <w:t>ART. 132 — PENAS CAPITAIS FORA DO ESCOPO</w:t>
            </w:r>
          </w:p>
          <w:p w14:paraId="5C6C2497" w14:textId="77777777" w:rsidR="00560F38" w:rsidRDefault="00000000">
            <w:pPr>
              <w:spacing w:before="40" w:after="60" w:line="260" w:lineRule="auto"/>
              <w:jc w:val="both"/>
            </w:pPr>
            <w:r>
              <w:rPr>
                <w:i/>
                <w:iCs/>
                <w:sz w:val="18"/>
                <w:szCs w:val="18"/>
              </w:rPr>
              <w:t>As hipóteses do art. 132 resultam em penas capitais de aplicação vinculada. Não é adequado invocar a proporcionalidade ou a razoabilidade para nelas aplicar advertência ou suspensão, nem realizar dosimetria. Nesse sentido, a Súmula 650 do STJ. O sistema bloqueia o avanço enquanto o operador não confirmar, expressamente, a ausência de enquadramento no art. 132.</w:t>
            </w:r>
          </w:p>
        </w:tc>
      </w:tr>
    </w:tbl>
    <w:p w14:paraId="003B41FA" w14:textId="77777777" w:rsidR="00560F38" w:rsidRDefault="00560F38"/>
    <w:p w14:paraId="7C5EBD1A" w14:textId="77777777" w:rsidR="00560F38" w:rsidRDefault="00000000">
      <w:pPr>
        <w:spacing w:before="80" w:after="80" w:line="276" w:lineRule="auto"/>
        <w:jc w:val="both"/>
      </w:pPr>
      <w:r>
        <w:t xml:space="preserve">Há também um limite inferior de reprovabilidade. Quando a conduta configura erro escusável, descabe a sanção e a própria instauração do processo disciplinar. A pontuação mínima em SF1.1 </w:t>
        <w:lastRenderedPageBreak/>
        <w:t>e SF1.2, combinada com dano ínfimo e conduta isolada, resulta numa Soma Total muito baixa, orientando a autoridade para a hipótese de arquivamento (item 5.4).</w:t>
      </w:r>
    </w:p>
    <w:p w14:paraId="598991DF" w14:textId="77777777" w:rsidR="00560F38" w:rsidRDefault="00000000">
      <w:pPr>
        <w:pStyle w:val="Ttulo1"/>
      </w:pPr>
      <w:bookmarkStart w:id="4" w:name="_Toc232175849"/>
      <w:r>
        <w:t>2. Fundamentos Jurídicos da Dosimetria</w:t>
      </w:r>
      <w:bookmarkEnd w:id="4"/>
    </w:p>
    <w:p w14:paraId="0DADF0CE" w14:textId="77777777" w:rsidR="00560F38" w:rsidRDefault="00000000">
      <w:pPr>
        <w:spacing w:before="80" w:after="80" w:line="276" w:lineRule="auto"/>
        <w:jc w:val="both"/>
      </w:pPr>
      <w:r>
        <w:t>A dosimetria da sanção disciplinar é uma das tarefas mais delicadas da atividade correcional. A Lei nº 8.112, de 1990 oferece, no seu art. 128, cinco critérios de graduação — natureza, gravidade, dano, circunstâncias e antecedentes —, mas não fornece baliza objetiva sobre como distribuir esses critérios em cada caso concreto. Esse vácuo metodológico é a razão de ser da Calculadora: ela converte conceitos normativos abertos em faixas de pontuação auditáveis, sem suprimir o juízo do aplicador, conferindo maior eficiência à atividade correcional e, sobretudo, maior segurança jurídica e isonomia aos acusados.</w:t>
      </w:r>
    </w:p>
    <w:p w14:paraId="64FBCBAD" w14:textId="77777777" w:rsidR="00560F38" w:rsidRDefault="00560F38"/>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60F38" w14:paraId="0319B083" w14:textId="77777777">
        <w:tblPrEx>
          <w:tblCellMar>
            <w:top w:w="0" w:type="dxa"/>
            <w:bottom w:w="0" w:type="dxa"/>
          </w:tblCellMar>
        </w:tblPrEx>
        <w:tc>
          <w:tcPr>
            <w:tcW w:w="9360" w:type="dxa"/>
            <w:tcBorders>
              <w:top w:val="single" w:sz="4" w:space="0" w:color="2E5090"/>
              <w:left w:val="single" w:sz="4" w:space="0" w:color="2E5090"/>
              <w:bottom w:val="single" w:sz="4" w:space="0" w:color="2E5090"/>
              <w:right w:val="single" w:sz="4" w:space="0" w:color="2E5090"/>
            </w:tcBorders>
            <w:shd w:val="clear" w:color="auto" w:fill="EEF2F7"/>
            <w:tcMar>
              <w:top w:w="100" w:type="dxa"/>
              <w:left w:w="180" w:type="dxa"/>
              <w:bottom w:w="100" w:type="dxa"/>
              <w:right w:w="180" w:type="dxa"/>
            </w:tcMar>
          </w:tcPr>
          <w:p w14:paraId="2AC19892" w14:textId="77777777" w:rsidR="00560F38" w:rsidRDefault="00000000">
            <w:pPr>
              <w:spacing w:before="60" w:after="40"/>
            </w:pPr>
            <w:r>
              <w:rPr>
                <w:b/>
                <w:bCs/>
                <w:color w:val="2E5090"/>
                <w:sz w:val="18"/>
                <w:szCs w:val="18"/>
              </w:rPr>
              <w:t>ART. 128</w:t>
            </w:r>
          </w:p>
          <w:p w14:paraId="6006E205" w14:textId="77777777" w:rsidR="00560F38" w:rsidRDefault="00000000">
            <w:pPr>
              <w:spacing w:before="40" w:after="60" w:line="260" w:lineRule="auto"/>
              <w:jc w:val="both"/>
            </w:pPr>
            <w:r>
              <w:rPr>
                <w:i/>
                <w:iCs/>
                <w:sz w:val="18"/>
                <w:szCs w:val="18"/>
              </w:rPr>
              <w:t>Na aplicação das penalidades serão consideradas a natureza e a gravidade da infração cometida, os danos que dela provierem para o serviço público, as circunstâncias agravantes ou atenuantes e os antecedentes funcionais.</w:t>
            </w:r>
          </w:p>
        </w:tc>
      </w:tr>
    </w:tbl>
    <w:p w14:paraId="0B954B23" w14:textId="77777777" w:rsidR="00560F38" w:rsidRDefault="00560F38"/>
    <w:p w14:paraId="7970445F" w14:textId="77777777" w:rsidR="00560F38" w:rsidRDefault="00000000">
      <w:pPr>
        <w:pStyle w:val="Ttulo2"/>
      </w:pPr>
      <w:bookmarkStart w:id="5" w:name="_Toc232175850"/>
      <w:r>
        <w:t>2.1 Quadro normativo de referência</w:t>
      </w:r>
      <w:bookmarkEnd w:id="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560F38" w14:paraId="3029A895"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2FBEC5B" w14:textId="77777777" w:rsidR="00560F38" w:rsidRDefault="00000000">
            <w:pPr>
              <w:jc w:val="both"/>
            </w:pPr>
            <w:r>
              <w:rPr>
                <w:b/>
                <w:bCs/>
                <w:color w:val="FFFFFF"/>
                <w:sz w:val="18"/>
                <w:szCs w:val="18"/>
              </w:rPr>
              <w:t>Norma</w:t>
            </w:r>
          </w:p>
        </w:tc>
        <w:tc>
          <w:tcPr>
            <w:tcW w:w="67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5A759B7" w14:textId="77777777" w:rsidR="00560F38" w:rsidRDefault="00000000">
            <w:pPr>
              <w:jc w:val="both"/>
            </w:pPr>
            <w:r>
              <w:rPr>
                <w:b/>
                <w:bCs/>
                <w:color w:val="FFFFFF"/>
                <w:sz w:val="18"/>
                <w:szCs w:val="18"/>
              </w:rPr>
              <w:t>Dispositivos e função na dosimetria</w:t>
            </w:r>
          </w:p>
        </w:tc>
      </w:tr>
      <w:tr w:rsidR="00560F38" w14:paraId="6CAEC817"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353392" w14:textId="77777777" w:rsidR="00560F38" w:rsidRDefault="00000000">
            <w:pPr>
              <w:jc w:val="both"/>
            </w:pPr>
            <w:r>
              <w:rPr>
                <w:color w:val="000000"/>
                <w:sz w:val="18"/>
                <w:szCs w:val="18"/>
              </w:rPr>
              <w:t>Lei nº 8.112/1990</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0840E8" w14:textId="77777777" w:rsidR="00560F38" w:rsidRDefault="00000000">
            <w:pPr>
              <w:jc w:val="both"/>
            </w:pPr>
            <w:r>
              <w:rPr>
                <w:color w:val="000000"/>
                <w:sz w:val="18"/>
                <w:szCs w:val="18"/>
              </w:rPr>
              <w:t>Arts. 116 (deveres) e 117 (proibições); art. 128 (critérios de graduação); arts. 129–130 (penalidades); art. 131 (prazos de cancelamento); art. 132 (penas capitais, fora do escopo).</w:t>
            </w:r>
          </w:p>
        </w:tc>
      </w:tr>
      <w:tr w:rsidR="00560F38" w14:paraId="5108AE97"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5F7FB"/>
            <w:tcMar>
              <w:top w:w="80" w:type="dxa"/>
              <w:left w:w="120" w:type="dxa"/>
              <w:bottom w:w="80" w:type="dxa"/>
              <w:right w:w="120" w:type="dxa"/>
            </w:tcMar>
          </w:tcPr>
          <w:p w14:paraId="083F02F6" w14:textId="77777777" w:rsidR="00560F38" w:rsidRDefault="00000000">
            <w:pPr>
              <w:jc w:val="both"/>
            </w:pPr>
            <w:r>
              <w:rPr>
                <w:color w:val="000000"/>
                <w:sz w:val="18"/>
                <w:szCs w:val="18"/>
              </w:rPr>
              <w:t>Decreto nº 9.830/2019</w:t>
            </w:r>
          </w:p>
        </w:tc>
        <w:tc>
          <w:tcPr>
            <w:tcW w:w="6760" w:type="dxa"/>
            <w:tcBorders>
              <w:top w:val="single" w:sz="1" w:space="0" w:color="CCCCCC"/>
              <w:left w:val="single" w:sz="1" w:space="0" w:color="CCCCCC"/>
              <w:bottom w:val="single" w:sz="1" w:space="0" w:color="CCCCCC"/>
              <w:right w:val="single" w:sz="1" w:space="0" w:color="CCCCCC"/>
            </w:tcBorders>
            <w:shd w:val="clear" w:color="auto" w:fill="F5F7FB"/>
            <w:tcMar>
              <w:top w:w="80" w:type="dxa"/>
              <w:left w:w="120" w:type="dxa"/>
              <w:bottom w:w="80" w:type="dxa"/>
              <w:right w:w="120" w:type="dxa"/>
            </w:tcMar>
          </w:tcPr>
          <w:p w14:paraId="74613A5B" w14:textId="77777777" w:rsidR="00560F38" w:rsidRDefault="00000000">
            <w:pPr>
              <w:jc w:val="both"/>
            </w:pPr>
            <w:r>
              <w:rPr>
                <w:color w:val="000000"/>
                <w:sz w:val="18"/>
                <w:szCs w:val="18"/>
              </w:rPr>
              <w:t>Art. 12 (elemento subjetivo, erro grosseiro, §1º e §5º); art. 16 (proporcionalidade e motivação); art. 17 (sanção admissível também na culpa leve).</w:t>
            </w:r>
          </w:p>
        </w:tc>
      </w:tr>
      <w:tr w:rsidR="00560F38" w14:paraId="7A330FA4"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1EC8AC" w14:textId="77777777" w:rsidR="00560F38" w:rsidRDefault="00000000">
            <w:pPr>
              <w:jc w:val="both"/>
            </w:pPr>
            <w:r>
              <w:rPr>
                <w:color w:val="000000"/>
                <w:sz w:val="18"/>
                <w:szCs w:val="18"/>
              </w:rPr>
              <w:t>LINDB</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0544F4" w14:textId="77777777" w:rsidR="00560F38" w:rsidRDefault="00000000">
            <w:pPr>
              <w:jc w:val="both"/>
            </w:pPr>
            <w:r>
              <w:rPr>
                <w:color w:val="000000"/>
                <w:sz w:val="18"/>
                <w:szCs w:val="18"/>
              </w:rPr>
              <w:t>Art. 20 (consequências práticas); art. 22 (obstáculos reais do gestor); art. 28 (dolo ou erro grosseiro).</w:t>
            </w:r>
          </w:p>
        </w:tc>
      </w:tr>
      <w:tr w:rsidR="00560F38" w14:paraId="7F57E3DA"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5F7FB"/>
            <w:tcMar>
              <w:top w:w="80" w:type="dxa"/>
              <w:left w:w="120" w:type="dxa"/>
              <w:bottom w:w="80" w:type="dxa"/>
              <w:right w:w="120" w:type="dxa"/>
            </w:tcMar>
          </w:tcPr>
          <w:p w14:paraId="13EBFFF7" w14:textId="77777777" w:rsidR="00560F38" w:rsidRDefault="00000000">
            <w:pPr>
              <w:jc w:val="both"/>
            </w:pPr>
            <w:r>
              <w:rPr>
                <w:color w:val="000000"/>
                <w:sz w:val="18"/>
                <w:szCs w:val="18"/>
              </w:rPr>
              <w:t>Lei nº 9.784/1999</w:t>
            </w:r>
          </w:p>
        </w:tc>
        <w:tc>
          <w:tcPr>
            <w:tcW w:w="6760" w:type="dxa"/>
            <w:tcBorders>
              <w:top w:val="single" w:sz="1" w:space="0" w:color="CCCCCC"/>
              <w:left w:val="single" w:sz="1" w:space="0" w:color="CCCCCC"/>
              <w:bottom w:val="single" w:sz="1" w:space="0" w:color="CCCCCC"/>
              <w:right w:val="single" w:sz="1" w:space="0" w:color="CCCCCC"/>
            </w:tcBorders>
            <w:shd w:val="clear" w:color="auto" w:fill="F5F7FB"/>
            <w:tcMar>
              <w:top w:w="80" w:type="dxa"/>
              <w:left w:w="120" w:type="dxa"/>
              <w:bottom w:w="80" w:type="dxa"/>
              <w:right w:w="120" w:type="dxa"/>
            </w:tcMar>
          </w:tcPr>
          <w:p w14:paraId="5FC76418" w14:textId="77777777" w:rsidR="00560F38" w:rsidRDefault="00000000">
            <w:pPr>
              <w:jc w:val="both"/>
            </w:pPr>
            <w:r>
              <w:rPr>
                <w:color w:val="000000"/>
                <w:sz w:val="18"/>
                <w:szCs w:val="18"/>
              </w:rPr>
              <w:t>Art. 2º, parágrafo único, VIII e IX (formalismo moderado); art. 50, I e II (dever de motivação).</w:t>
            </w:r>
          </w:p>
        </w:tc>
      </w:tr>
      <w:tr w:rsidR="00560F38" w14:paraId="4B72338C"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CD1B0D" w14:textId="77777777" w:rsidR="00560F38" w:rsidRDefault="00000000">
            <w:pPr>
              <w:jc w:val="both"/>
            </w:pPr>
            <w:r>
              <w:rPr>
                <w:color w:val="000000"/>
                <w:sz w:val="18"/>
                <w:szCs w:val="18"/>
              </w:rPr>
              <w:t>LAI (Lei nº 12.527/2011)</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93C179" w14:textId="77777777" w:rsidR="00560F38" w:rsidRDefault="00000000">
            <w:pPr>
              <w:jc w:val="both"/>
            </w:pPr>
            <w:r>
              <w:rPr>
                <w:color w:val="000000"/>
                <w:sz w:val="18"/>
                <w:szCs w:val="18"/>
              </w:rPr>
              <w:t>Art. 32 (infrações funcionais — base do Regime RE3).</w:t>
            </w:r>
          </w:p>
        </w:tc>
      </w:tr>
      <w:tr w:rsidR="00560F38" w14:paraId="0C56F020"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5F7FB"/>
            <w:tcMar>
              <w:top w:w="80" w:type="dxa"/>
              <w:left w:w="120" w:type="dxa"/>
              <w:bottom w:w="80" w:type="dxa"/>
              <w:right w:w="120" w:type="dxa"/>
            </w:tcMar>
          </w:tcPr>
          <w:p w14:paraId="77304D9C" w14:textId="77777777" w:rsidR="00560F38" w:rsidRDefault="00000000">
            <w:pPr>
              <w:jc w:val="both"/>
            </w:pPr>
            <w:r>
              <w:rPr>
                <w:color w:val="000000"/>
                <w:sz w:val="18"/>
                <w:szCs w:val="18"/>
              </w:rPr>
              <w:t>CTN (Lei nº 5.172/1966)</w:t>
            </w:r>
          </w:p>
        </w:tc>
        <w:tc>
          <w:tcPr>
            <w:tcW w:w="6760" w:type="dxa"/>
            <w:tcBorders>
              <w:top w:val="single" w:sz="1" w:space="0" w:color="CCCCCC"/>
              <w:left w:val="single" w:sz="1" w:space="0" w:color="CCCCCC"/>
              <w:bottom w:val="single" w:sz="1" w:space="0" w:color="CCCCCC"/>
              <w:right w:val="single" w:sz="1" w:space="0" w:color="CCCCCC"/>
            </w:tcBorders>
            <w:shd w:val="clear" w:color="auto" w:fill="F5F7FB"/>
            <w:tcMar>
              <w:top w:w="80" w:type="dxa"/>
              <w:left w:w="120" w:type="dxa"/>
              <w:bottom w:w="80" w:type="dxa"/>
              <w:right w:w="120" w:type="dxa"/>
            </w:tcMar>
          </w:tcPr>
          <w:p w14:paraId="131E4C04" w14:textId="77777777" w:rsidR="00560F38" w:rsidRDefault="00000000">
            <w:pPr>
              <w:jc w:val="both"/>
            </w:pPr>
            <w:r>
              <w:rPr>
                <w:color w:val="000000"/>
                <w:sz w:val="18"/>
                <w:szCs w:val="18"/>
              </w:rPr>
              <w:t>Art. 198 (sigilo fiscal; bem jurídico nuclear da atividade tributária).</w:t>
            </w:r>
          </w:p>
        </w:tc>
      </w:tr>
      <w:tr w:rsidR="00560F38" w14:paraId="5AA1CBCA"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46B7B7" w14:textId="77777777" w:rsidR="00560F38" w:rsidRDefault="00000000">
            <w:pPr>
              <w:jc w:val="both"/>
            </w:pPr>
            <w:r>
              <w:rPr>
                <w:color w:val="000000"/>
                <w:sz w:val="18"/>
                <w:szCs w:val="18"/>
              </w:rPr>
              <w:t>Portaria Normativa CGU nº 27/2022</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02DB3E" w14:textId="77777777" w:rsidR="00560F38" w:rsidRDefault="00000000">
            <w:pPr>
              <w:jc w:val="both"/>
            </w:pPr>
            <w:r>
              <w:rPr>
                <w:color w:val="000000"/>
                <w:sz w:val="18"/>
                <w:szCs w:val="18"/>
              </w:rPr>
              <w:t>Arts. 62–72 (TAC); arts. 65 e 66 (competência); arts. 140 e 141 (uso da Calculadora).</w:t>
            </w:r>
          </w:p>
        </w:tc>
      </w:tr>
      <w:tr w:rsidR="00560F38" w14:paraId="4291F069"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5F7FB"/>
            <w:tcMar>
              <w:top w:w="80" w:type="dxa"/>
              <w:left w:w="120" w:type="dxa"/>
              <w:bottom w:w="80" w:type="dxa"/>
              <w:right w:w="120" w:type="dxa"/>
            </w:tcMar>
          </w:tcPr>
          <w:p w14:paraId="0C13DE60" w14:textId="77777777" w:rsidR="00560F38" w:rsidRDefault="00000000">
            <w:pPr>
              <w:jc w:val="both"/>
            </w:pPr>
            <w:r>
              <w:rPr>
                <w:color w:val="000000"/>
                <w:sz w:val="18"/>
                <w:szCs w:val="18"/>
              </w:rPr>
              <w:t>Jurisprudência sumular</w:t>
            </w:r>
          </w:p>
        </w:tc>
        <w:tc>
          <w:tcPr>
            <w:tcW w:w="6760" w:type="dxa"/>
            <w:tcBorders>
              <w:top w:val="single" w:sz="1" w:space="0" w:color="CCCCCC"/>
              <w:left w:val="single" w:sz="1" w:space="0" w:color="CCCCCC"/>
              <w:bottom w:val="single" w:sz="1" w:space="0" w:color="CCCCCC"/>
              <w:right w:val="single" w:sz="1" w:space="0" w:color="CCCCCC"/>
            </w:tcBorders>
            <w:shd w:val="clear" w:color="auto" w:fill="F5F7FB"/>
            <w:tcMar>
              <w:top w:w="80" w:type="dxa"/>
              <w:left w:w="120" w:type="dxa"/>
              <w:bottom w:w="80" w:type="dxa"/>
              <w:right w:w="120" w:type="dxa"/>
            </w:tcMar>
          </w:tcPr>
          <w:p w14:paraId="7146C21E" w14:textId="77777777" w:rsidR="00560F38" w:rsidRDefault="00000000">
            <w:pPr>
              <w:jc w:val="both"/>
            </w:pPr>
            <w:r>
              <w:rPr>
                <w:color w:val="000000"/>
                <w:sz w:val="18"/>
                <w:szCs w:val="18"/>
              </w:rPr>
              <w:t>Súmula 650/STJ (demissão vinculada); Súmula 231/STJ (atenuante não reduz abaixo do mínimo); Súmula 241/STJ (vedação à dupla valoração).</w:t>
            </w:r>
          </w:p>
        </w:tc>
      </w:tr>
    </w:tbl>
    <w:p w14:paraId="73C0BB31" w14:textId="77777777" w:rsidR="00560F38" w:rsidRDefault="00000000">
      <w:pPr>
        <w:pStyle w:val="Ttulo2"/>
      </w:pPr>
      <w:bookmarkStart w:id="6" w:name="_Toc232175851"/>
      <w:r>
        <w:t>2.2 Proporcionalidade e dever de motivação</w:t>
      </w:r>
      <w:bookmarkEnd w:id="6"/>
    </w:p>
    <w:p w14:paraId="43DA38D7" w14:textId="77777777" w:rsidR="00560F38" w:rsidRDefault="00000000">
      <w:pPr>
        <w:spacing w:before="80" w:after="80" w:line="276" w:lineRule="auto"/>
        <w:jc w:val="both"/>
      </w:pPr>
      <w:r>
        <w:t>A proporcionalidade desdobra-se em adequação, necessidade e proporcionalidade em sentido estrito. A Calculadora operacionaliza esses subprincípios ao decompor a conduta em elementos avaliados individualmente, submetendo cada um a um teto de pontos predefinido. O dever de motivação (art. 50, I e II, da Lei nº 9.784/1999; art. 16 do Decreto nº 9.830/2019) exige que a manifestação técnica contenha os pesos atribuídos, o cálculo da pontuação, as razões de cada valor e a captura de tela. O relatório gerado fornece a estrutura inicial da motivação — não a substitui.</w:t>
      </w:r>
    </w:p>
    <w:p w14:paraId="25C37BA1" w14:textId="77777777" w:rsidR="00560F38" w:rsidRDefault="00000000">
      <w:pPr>
        <w:pStyle w:val="Ttulo2"/>
      </w:pPr>
      <w:bookmarkStart w:id="7" w:name="_Toc232175852"/>
      <w:r>
        <w:t>2.3 Discricionariedade vinculada</w:t>
      </w:r>
      <w:bookmarkEnd w:id="7"/>
    </w:p>
    <w:p w14:paraId="576A9C10" w14:textId="77777777" w:rsidR="00560F38" w:rsidRDefault="00000000">
      <w:pPr>
        <w:spacing w:before="80" w:after="80" w:line="276" w:lineRule="auto"/>
        <w:jc w:val="both"/>
      </w:pPr>
      <w:r>
        <w:t>A atuação da autoridade não é ato arbitrário nem puramente discricionário: trata-se de ato pautado nos elementos constantes dos autos — discricionariedade vinculada ao contido no processo. A jurisprudência reforça que essa graduação não dispensa fundamentação concreta:</w:t>
      </w:r>
    </w:p>
    <w:p w14:paraId="2FF20414" w14:textId="77777777" w:rsidR="00560F38" w:rsidRDefault="00000000">
      <w:pPr>
        <w:spacing w:before="80" w:after="80" w:line="260" w:lineRule="auto"/>
        <w:ind w:left="720"/>
        <w:jc w:val="both"/>
      </w:pPr>
      <w:r>
        <w:rPr>
          <w:i/>
          <w:iCs/>
        </w:rPr>
        <w:lastRenderedPageBreak/>
        <w:t>Conquanto o grau de reprovabilidade da conduta constitua fator idôneo a ser sopesado, o julgador não se vê livre da tarefa de indicar elementos concretamente aferíveis que deem suporte à sua consideração.</w:t>
      </w:r>
    </w:p>
    <w:p w14:paraId="72934D2D" w14:textId="77777777" w:rsidR="00560F38" w:rsidRPr="001528BF" w:rsidRDefault="00000000">
      <w:pPr>
        <w:spacing w:after="80"/>
        <w:jc w:val="right"/>
        <w:rPr>
          <w:lang w:val="en-US"/>
        </w:rPr>
      </w:pPr>
      <w:r>
        <w:rPr>
          <w:i/>
          <w:iCs/>
          <w:color w:val="555555"/>
          <w:sz w:val="18"/>
          <w:szCs w:val="18"/>
          <w:lang w:val="en-US"/>
        </w:rPr>
        <w:t>— STJ, HC 229.260/GO, 5ª Turma, j. 25.06.2013</w:t>
      </w:r>
    </w:p>
    <w:p w14:paraId="1804B65B" w14:textId="77777777" w:rsidR="00560F38" w:rsidRDefault="00000000">
      <w:pPr>
        <w:pStyle w:val="Ttulo2"/>
      </w:pPr>
      <w:bookmarkStart w:id="8" w:name="_Toc232175853"/>
      <w:r>
        <w:t>2.4 Por que um sistema de pontos</w:t>
      </w:r>
      <w:bookmarkEnd w:id="8"/>
    </w:p>
    <w:p w14:paraId="07D4700B" w14:textId="77777777" w:rsidR="00560F38" w:rsidRDefault="00000000">
      <w:pPr>
        <w:spacing w:before="80" w:after="80" w:line="276" w:lineRule="auto"/>
        <w:jc w:val="both"/>
      </w:pPr>
      <w:r>
        <w:t>A opção por um sistema de pontos decorre da necessidade de tornar comparáveis e auditáveis decisões que, de outro modo, dependeriam exclusivamente da impressão individual de cada julgador. As faixas refletem escolhas metodológicas da Corregedoria, calibradas a partir do Estudo de Dosimetria da CGU e da experiência correcional acumulada. Não são determinações legais explícitas e podem ser revistas.</w:t>
      </w:r>
    </w:p>
    <w:p w14:paraId="02F4D442" w14:textId="77777777" w:rsidR="00AA0001" w:rsidRDefault="00AA0001"/>
    <w:p w14:paraId="0B5C5F5F" w14:textId="77777777" w:rsidR="00AA0001" w:rsidRDefault="00000000">
      <w:pPr>
        <w:pStyle w:val="Ttulo1"/>
      </w:pPr>
      <w:r>
        <w:t>2.5 A hierarquia interna dos elementos do art. 128: fundamentos da ponderação assimétrica</w:t>
      </w:r>
    </w:p>
    <w:p w14:paraId="419AEDAF" w14:textId="77777777" w:rsidR="00AA0001" w:rsidRDefault="00000000">
      <w:pPr>
        <w:pStyle w:val="Ttulo2"/>
      </w:pPr>
      <w:r>
        <w:t>2.5.1 O problema da isonomia aparente</w:t>
      </w:r>
    </w:p>
    <w:p w14:paraId="24879A1B" w14:textId="77777777" w:rsidR="00AA0001" w:rsidRDefault="00000000">
      <w:pPr>
        <w:spacing w:before="80" w:after="80" w:line="276" w:lineRule="auto"/>
        <w:jc w:val="both"/>
      </w:pPr>
      <w:r>
        <w:t xml:space="preserve">O art. 128 da Lei nº 8.112, de 1990, enumera cinco critérios de graduação sem lhes atribuir pesos. Diante desse silêncio, duas leituras são possíveis. A primeira — adotada pelo modelo da CGU — presume a equivalência: cada critério recebe idêntico teto de pontuação (21 pontos), de modo que antecedentes funcionais podem exercer sobre o resultado a mesma influência que o dano efetivamente causado ao serviço público. A segunda leitura — adotada por esta Corregedoria — sustenta que a equivalência de pesos não é uma posição neutra, mas uma escolha axiológica tão carente de justificação quanto qualquer outra, e que a estrutura dogmática do ilícito disciplinar, o regime constitucional do direito sancionador e a própria arquitetura do sistema punitivo brasileiro apontam para uma hierarquia interna entre os critérios: natureza, gravidade e dano compõem o núcleo do juízo de reprovação; circunstâncias e antecedentes operam como moduladores periféricos desse núcleo.</w:t>
      </w:r>
    </w:p>
    <w:p w14:paraId="7B24CA2D" w14:textId="77777777" w:rsidR="00AA0001" w:rsidRDefault="00AA0001"/>
    <w:p w14:paraId="52239812" w14:textId="77777777" w:rsidR="00AA0001" w:rsidRDefault="00000000">
      <w:pPr>
        <w:spacing w:before="80" w:after="80" w:line="276" w:lineRule="auto"/>
        <w:jc w:val="both"/>
      </w:pPr>
      <w:r>
        <w:t xml:space="preserve">A presente seção expõe os fundamentos dessa ponderação assimétrica, que se traduz, na Calculadora, na seguinte distribuição: 90 pontos fixos para o núcleo (Natureza 30 + Gravidade 30 + Dano 30) e 30 pontos variáveis para os moduladores agravantes (Circunstâncias +15 + Maus Antecedentes +15), sem teto negativo para os moduladores favoráveis ao servidor.</w:t>
      </w:r>
    </w:p>
    <w:p w14:paraId="47C75B49" w14:textId="77777777" w:rsidR="00AA0001" w:rsidRDefault="00AA0001"/>
    <w:p w14:paraId="3DA4C34D" w14:textId="77777777" w:rsidR="00AA0001" w:rsidRDefault="00000000">
      <w:pPr>
        <w:pStyle w:val="Ttulo2"/>
      </w:pPr>
      <w:r>
        <w:t>2.5.2 A dupla dimensão do injusto: desvalor da ação e desvalor do resultado</w:t>
      </w:r>
    </w:p>
    <w:p w14:paraId="5701EE32" w14:textId="77777777" w:rsidR="00AA0001" w:rsidRDefault="00000000">
      <w:pPr>
        <w:spacing w:before="80" w:after="80" w:line="276" w:lineRule="auto"/>
        <w:jc w:val="both"/>
      </w:pPr>
      <w:r>
        <w:t xml:space="preserve">A dogmática penal contemporânea — aplicável ao direito disciplinar por força da unidade do ius puniendi estatal, reconhecida pela doutrina administrativista sancionadora — assentou, desde a teoria finalista de Hans Welzel, que o injusto não se esgota no desvalor do resultado: compõe-se também, e primariamente, do desvalor da ação. Na sistematização do próprio autor: "nos delitos culposos baseiam-se também na consideração da ação humana como uma obra: a vontade. Aqui, o jurista tem de operar com um desvalor da ação".¹ A separação entre Handlungsunwert (desvalor da ação) e Erfolgsunwert (desvalor do resultado) como dimensões autônomas do injusto foi consolidada por Welzel em Das Deutsche Strafrecht e é hoje patrimônio comum da teoria geral do delito.</w:t>
      </w:r>
    </w:p>
    <w:p w14:paraId="7921B99A" w14:textId="77777777" w:rsidR="00AA0001" w:rsidRDefault="00AA0001"/>
    <w:p w14:paraId="236AB7CC" w14:textId="77777777" w:rsidR="00AA0001" w:rsidRDefault="00000000">
      <w:pPr>
        <w:spacing w:before="80" w:after="80" w:line="276" w:lineRule="auto"/>
        <w:jc w:val="both"/>
      </w:pPr>
      <w:r>
        <w:t xml:space="preserve">A aplicabilidade desses conceitos ao direito disciplinar decorre da unidade substancial do ius puniendi estatal. Fábio Medina Osório demonstrou que as normas penais e as normas administrativas repressoras compartilham a mesma fonte dogmática do poder punitivo estatal, de modo que os princípios gerais do direito sancionador — incluindo a estrutura dual do injusto — aplicam-se ao direito administrativo sancionador como exigência constitucional.² Rafael Munhoz de Mello sustentou que o princípio da culpabilidade, com todos os seus desdobramentos, integra o regime constitucional das sanções administrativas, sendo sua inobservância vício de inconstitucionalidade.³</w:t>
      </w:r>
    </w:p>
    <w:p w14:paraId="3AE4AFA8" w14:textId="77777777" w:rsidR="00AA0001" w:rsidRDefault="00AA0001"/>
    <w:p w14:paraId="2592E41E" w14:textId="77777777" w:rsidR="00AA0001" w:rsidRDefault="00000000">
      <w:pPr>
        <w:spacing w:before="80" w:after="80" w:line="276" w:lineRule="auto"/>
        <w:jc w:val="both"/>
      </w:pPr>
      <w:r>
        <w:t xml:space="preserve">Os três primeiros critérios do art. 128 correspondem, com precisão notável, a essa estrutura dual do injusto: a natureza (elemento subjetivo: dolo ou culpa) exprime o desvalor subjetivo da ação; a gravidade (hierarquia da norma violada e do bem jurídico que ela protege em abstrato) exprime o desvalor objetivo da ação; o dano exprime o desvalor do resultado. Natureza, gravidade e dano, portanto, não são três critérios entre cinco: são as três dimensões que, juntas, esgotam a descrição dogmática do ilícito.</w:t>
      </w:r>
    </w:p>
    <w:p w14:paraId="0A000F8F" w14:textId="77777777" w:rsidR="00AA0001" w:rsidRDefault="00AA0001"/>
    <w:p w14:paraId="5B579643" w14:textId="77777777" w:rsidR="00AA0001" w:rsidRDefault="00000000">
      <w:pPr>
        <w:spacing w:before="40" w:after="40" w:line="240" w:lineRule="auto"/>
        <w:ind w:left="360"/>
        <w:jc w:val="both"/>
        <w:rPr>
          <w:sz w:val="18"/>
          <w:szCs w:val="18"/>
        </w:rPr>
      </w:pPr>
      <w:r>
        <w:rPr>
          <w:b/>
          <w:sz w:val="18"/>
          <w:szCs w:val="18"/>
        </w:rPr>
        <w:t xml:space="preserve">¹ </w:t>
      </w:r>
      <w:r>
        <w:rPr>
          <w:sz w:val="18"/>
          <w:szCs w:val="18"/>
        </w:rPr>
        <w:t xml:space="preserve">WELZEL, Hans. Das Deutsche Strafrecht. 11. ed. Berlin: Walter de Gruyter, 1969, § 12. Tradução espanhola: El derecho penal alemán: parte general. Trad. Juan Bustos Ramírez e Sergio Yáñez Pérez. 4. ed. Santiago: Editorial Jurídica de Chile, 1997, cap. referente à estrutura do injusto. Versão introdutória: El nuevo sistema del derecho penal: una introducción a la doctrina de la acción finalista. Trad. José Cerezo Mir. Barcelona: Ariel, 1964, cap. III.</w:t>
      </w:r>
    </w:p>
    <w:p w14:paraId="3DA80AF0" w14:textId="77777777" w:rsidR="00AA0001" w:rsidRDefault="00000000">
      <w:pPr>
        <w:spacing w:before="40" w:after="40" w:line="240" w:lineRule="auto"/>
        <w:ind w:left="360"/>
        <w:jc w:val="both"/>
        <w:rPr>
          <w:sz w:val="18"/>
          <w:szCs w:val="18"/>
        </w:rPr>
      </w:pPr>
      <w:r>
        <w:rPr>
          <w:b/>
          <w:sz w:val="18"/>
          <w:szCs w:val="18"/>
        </w:rPr>
        <w:t xml:space="preserve">² </w:t>
      </w:r>
      <w:r>
        <w:rPr>
          <w:sz w:val="18"/>
          <w:szCs w:val="18"/>
        </w:rPr>
        <w:t xml:space="preserve">OSÓRIO, Fábio Medina. Direito Administrativo Sancionador. 8. ed. rev. e atual. São Paulo: Revista dos Tribunais, 2020, item 2.4.2 ("Unidade Substancial de Normas Penais e Normas Administrativas Repressoras"). A obra está em sua 10. ed. (2025, Thomson Reuters/RT).</w:t>
      </w:r>
    </w:p>
    <w:p w14:paraId="1DFAC919" w14:textId="77777777" w:rsidR="00AA0001" w:rsidRDefault="00000000">
      <w:pPr>
        <w:spacing w:before="40" w:after="40" w:line="240" w:lineRule="auto"/>
        <w:ind w:left="360"/>
        <w:jc w:val="both"/>
        <w:rPr>
          <w:sz w:val="18"/>
          <w:szCs w:val="18"/>
        </w:rPr>
      </w:pPr>
      <w:r>
        <w:rPr>
          <w:b/>
          <w:sz w:val="18"/>
          <w:szCs w:val="18"/>
        </w:rPr>
        <w:t xml:space="preserve">³ </w:t>
      </w:r>
      <w:r>
        <w:rPr>
          <w:sz w:val="18"/>
          <w:szCs w:val="18"/>
        </w:rPr>
        <w:t xml:space="preserve">MUNHOZ DE MELLO, Rafael. Princípios Constitucionais de Direito Administrativo Sancionador: as sanções administrativas à luz da Constituição Federal de 1988. São Paulo: Malheiros, 2007, cap. IV (Princípio da culpabilidade no direito administrativo sancionador). 280 p. Disponível na Rede Virtual de Bibliotecas do Poder Executivo Federal.</w:t>
      </w:r>
    </w:p>
    <w:p w14:paraId="40CCF9BD" w14:textId="77777777" w:rsidR="00AA0001" w:rsidRDefault="00AA0001"/>
    <w:p w14:paraId="02FFCE06" w14:textId="77777777" w:rsidR="00AA0001" w:rsidRDefault="00000000">
      <w:pPr>
        <w:pStyle w:val="Ttulo2"/>
      </w:pPr>
      <w:r>
        <w:t>2.5.3 Circunstâncias como entorno do fato, não como fato</w:t>
      </w:r>
    </w:p>
    <w:p w14:paraId="07623472" w14:textId="77777777" w:rsidR="00AA0001" w:rsidRDefault="00000000">
      <w:pPr>
        <w:spacing w:before="80" w:after="80" w:line="276" w:lineRule="auto"/>
        <w:jc w:val="both"/>
      </w:pPr>
      <w:r>
        <w:t xml:space="preserve">A distinção entre elementos e circunstâncias é clássica na teoria do delito. As elementares integram a definição do ilícito; as circunstâncias — do latim circum stare, "estar ao redor" — situam-se na periferia do fato, qualificando-o sem constituí-lo. A consequência dogmática é direta: aquilo que apenas circunda o fato não pode pesar tanto quanto aquilo que o constitui. Um modelo que atribui às circunstâncias o mesmo teto dos elementos constitutivos dissolve a fronteira entre o ilícito e seu entorno, permitindo que o acessório module o principal em igualdade de condições — inversão metodológica que nenhuma teoria do ilícito autoriza.</w:t>
      </w:r>
    </w:p>
    <w:p w14:paraId="1540692C" w14:textId="77777777" w:rsidR="00AA0001" w:rsidRDefault="00AA0001"/>
    <w:p w14:paraId="3283CC9E" w14:textId="77777777" w:rsidR="00AA0001" w:rsidRDefault="00000000">
      <w:pPr>
        <w:pStyle w:val="Ttulo2"/>
      </w:pPr>
      <w:r>
        <w:t>2.5.4 Antecedentes e o princípio da culpabilidade pelo fato</w:t>
      </w:r>
    </w:p>
    <w:p w14:paraId="001B283D" w14:textId="77777777" w:rsidR="00AA0001" w:rsidRDefault="00000000">
      <w:pPr>
        <w:spacing w:before="80" w:after="80" w:line="276" w:lineRule="auto"/>
        <w:jc w:val="both"/>
      </w:pPr>
      <w:r>
        <w:t xml:space="preserve">O argumento mais forte da ponderação assimétrica é de estatura constitucional. O direito sancionador brasileiro é um direito do fato, não um direito do autor: pune-se o que o agente fez, não o que o agente é ou foi. A culpabilidade pelo fato (Tatschuld) é decorrência do princípio constitucional da culpabilidade; sua antítese, a culpabilidade do autor (Täterschuld), está historicamente associada a modelos punitivos autoritários. Roxin, ao revisar o conceito de culpabilidade à luz de critérios político-criminais, reafirma que a responsabilidade penal deve orientar-se pelo fato praticado, não pela personalidade do autor.⁴ Zaffaroni denuncia que o direito penal de autor representa uma "pretensão de punir o ser e não o fazer", estruturalmente incompatível com o Estado de Direito.⁵</w:t>
      </w:r>
    </w:p>
    <w:p w14:paraId="4CE7C995" w14:textId="77777777" w:rsidR="00AA0001" w:rsidRDefault="00AA0001"/>
    <w:p w14:paraId="51A1324F" w14:textId="77777777" w:rsidR="00AA0001" w:rsidRDefault="00000000">
      <w:pPr>
        <w:spacing w:before="80" w:after="80" w:line="276" w:lineRule="auto"/>
        <w:jc w:val="both"/>
      </w:pPr>
      <w:r>
        <w:t xml:space="preserve">Os antecedentes funcionais são, por definição, um juízo sobre a história do autor, não sobre o fato apurado. Sua consideração é legítima — o próprio art. 128 a impõe —, mas sua função só pode ser a de modular a reprovação do fato, jamais a de concorrer em pé de igualdade com ela. A cautela do sistema com a valoração do passado funcional está cristalizada na Súmula 241 do STJ (vedação à dupla valoração da reincidência) e no art. 131 da Lei nº 8.112/90 (cancelamento dos registros pelo decurso do tempo).</w:t>
      </w:r>
    </w:p>
    <w:p w14:paraId="6DCA470D" w14:textId="77777777" w:rsidR="00AA0001" w:rsidRDefault="00AA0001"/>
    <w:p w14:paraId="16932601" w14:textId="77777777" w:rsidR="00AA0001" w:rsidRDefault="00000000">
      <w:pPr>
        <w:spacing w:before="40" w:after="40" w:line="240" w:lineRule="auto"/>
        <w:ind w:left="360"/>
        <w:jc w:val="both"/>
        <w:rPr>
          <w:sz w:val="18"/>
          <w:szCs w:val="18"/>
        </w:rPr>
      </w:pPr>
      <w:r>
        <w:rPr>
          <w:b/>
          <w:sz w:val="18"/>
          <w:szCs w:val="18"/>
        </w:rPr>
        <w:t xml:space="preserve">⁴ </w:t>
      </w:r>
      <w:r>
        <w:rPr>
          <w:sz w:val="18"/>
          <w:szCs w:val="18"/>
        </w:rPr>
        <w:t xml:space="preserve">ROXIN, Claus; GRECO, Luís. Direito Penal: Parte Geral. Tomo I: Fundamentos — A Estrutura da Teoria do Crime. São Paulo: Marcial Pons, 2024, § 19 (Questões fundamentais da teoria da responsabilidade). Edição anterior: ROXIN, Claus. Derecho Penal: Parte General. Tomo I. 2. ed. Trad. Diego-Manuel Luzón Peña et al. Madrid: Civitas, 1997, § 19.</w:t>
      </w:r>
    </w:p>
    <w:p w14:paraId="7AF22E38" w14:textId="77777777" w:rsidR="00AA0001" w:rsidRDefault="00000000">
      <w:pPr>
        <w:spacing w:before="40" w:after="40" w:line="240" w:lineRule="auto"/>
        <w:ind w:left="360"/>
        <w:jc w:val="both"/>
        <w:rPr>
          <w:sz w:val="18"/>
          <w:szCs w:val="18"/>
        </w:rPr>
      </w:pPr>
      <w:r>
        <w:rPr>
          <w:b/>
          <w:sz w:val="18"/>
          <w:szCs w:val="18"/>
        </w:rPr>
        <w:t xml:space="preserve">⁵ </w:t>
      </w:r>
      <w:r>
        <w:rPr>
          <w:sz w:val="18"/>
          <w:szCs w:val="18"/>
        </w:rPr>
        <w:t xml:space="preserve">ZAFFARONI, Eugenio Raúl; ALAGIA, Alejandro; SLOKAR, Alejandro. Derecho Penal: Parte General. 2. ed. Buenos Aires: Ediar, 2002, § 18. Versão brasileira equivalente: ZAFFARONI, Eugenio Raúl; PIERANGELI, José Henrique. Manual de Direito Penal Brasileiro: Parte Geral. 12. ed. São Paulo: Revista dos Tribunais, 2018, cap. sobre culpabilidade.</w:t>
      </w:r>
    </w:p>
    <w:p w14:paraId="1A35FF33" w14:textId="77777777" w:rsidR="00AA0001" w:rsidRDefault="00AA0001"/>
    <w:p w14:paraId="690AE408" w14:textId="77777777" w:rsidR="00AA0001" w:rsidRDefault="00000000">
      <w:pPr>
        <w:pStyle w:val="Ttulo2"/>
      </w:pPr>
      <w:r>
        <w:t>2.5.5 A lição estrutural do critério trifásico penal</w:t>
      </w:r>
    </w:p>
    <w:p w14:paraId="6971DE60" w14:textId="77777777" w:rsidR="00AA0001" w:rsidRDefault="00000000">
      <w:pPr>
        <w:spacing w:before="80" w:after="80" w:line="276" w:lineRule="auto"/>
        <w:jc w:val="both"/>
      </w:pPr>
      <w:r>
        <w:t xml:space="preserve">O direito penal brasileiro enfrentou problema idêntico e o resolveu pela mesma lógica aqui adotada. No critério trifásico do art. 68 do Código Penal — cujo método a doutrina atribui a Nelson Hungria⁶ —, a pena-base é fixada a partir das circunstâncias judiciais do fato (art. 59); as agravantes e atenuantes operam sobre essa base em segunda fase; e não podem transpor os limites que a primeira fase estabeleceu: a Súmula 231 do STJ veda que a atenuante conduza a pena abaixo do mínimo legal. A arquitetura é inequívoca: os moduladores refinam o juízo nuclear; não o substituem. O próprio Hungria, ao comentar o art. 42 do CP/1940, ensinou que o Código consagrava o "arbitrium regulatum, o arbítrio temperado, o poder discricionário relativo".⁷</w:t>
      </w:r>
    </w:p>
    <w:p w14:paraId="740BBD97" w14:textId="77777777" w:rsidR="00AA0001" w:rsidRDefault="00AA0001"/>
    <w:p w14:paraId="624724FA" w14:textId="77777777" w:rsidR="00AA0001" w:rsidRDefault="00000000">
      <w:pPr>
        <w:spacing w:before="40" w:after="40" w:line="240" w:lineRule="auto"/>
        <w:ind w:left="360"/>
        <w:jc w:val="both"/>
        <w:rPr>
          <w:sz w:val="18"/>
          <w:szCs w:val="18"/>
        </w:rPr>
      </w:pPr>
      <w:r>
        <w:rPr>
          <w:b/>
          <w:sz w:val="18"/>
          <w:szCs w:val="18"/>
        </w:rPr>
        <w:t xml:space="preserve">⁶ </w:t>
      </w:r>
      <w:r>
        <w:rPr>
          <w:sz w:val="18"/>
          <w:szCs w:val="18"/>
        </w:rPr>
        <w:t xml:space="preserve">DELMANTO, Celso et al. Código Penal Comentado. 8. ed. São Paulo: Saraiva, 2010, comentário ao art. 68: "no também chamado método de Nelson Hungria (em oposição ao método de duas fases de Roberto Lyra)". A adoção pelo CP/1984 é justificada na Exposição de Motivos da Nova Parte Geral (item 50). Disponível em: &lt;https://www.planalto.gov.br/ccivil_03/decreto-lei/del2848compilado.htm&gt;.</w:t>
      </w:r>
    </w:p>
    <w:p w14:paraId="5434902A" w14:textId="77777777" w:rsidR="00AA0001" w:rsidRDefault="00000000">
      <w:pPr>
        <w:spacing w:before="40" w:after="40" w:line="240" w:lineRule="auto"/>
        <w:ind w:left="360"/>
        <w:jc w:val="both"/>
        <w:rPr>
          <w:sz w:val="18"/>
          <w:szCs w:val="18"/>
        </w:rPr>
      </w:pPr>
      <w:r>
        <w:rPr>
          <w:b/>
          <w:sz w:val="18"/>
          <w:szCs w:val="18"/>
        </w:rPr>
        <w:t xml:space="preserve">⁷ </w:t>
      </w:r>
      <w:r>
        <w:rPr>
          <w:sz w:val="18"/>
          <w:szCs w:val="18"/>
        </w:rPr>
        <w:t xml:space="preserve">HUNGRIA, Nelson. O arbítrio judicial na medida da pena. In: HUNGRIA, Nelson. Comentários ao Código Penal. v. V (arts. 121 a 136). Rio de Janeiro: Revista Forense, 1942. Passagem reproduzida em: CONJUR. Dosimetria da pena: ensinamento de Nelson Hungria segue atual. Consultor Jurídico, 3 dez. 2025. Disponível em: &lt;https://www.conjur.com.br/2025-dez-03/ensinamentos-de-nelson-hungria-sobre-dosimetria-da-pena-seguem-atuais/&gt;.</w:t>
      </w:r>
    </w:p>
    <w:p w14:paraId="09539CDB" w14:textId="77777777" w:rsidR="00AA0001" w:rsidRDefault="00AA0001"/>
    <w:p w14:paraId="3CCC8204" w14:textId="77777777" w:rsidR="00AA0001" w:rsidRDefault="00000000">
      <w:pPr>
        <w:pStyle w:val="Ttulo2"/>
      </w:pPr>
      <w:r>
        <w:t>2.5.6 A assimetria em favor do servidor</w:t>
      </w:r>
    </w:p>
    <w:p w14:paraId="225C5AD3" w14:textId="77777777" w:rsidR="00AA0001" w:rsidRDefault="00000000">
      <w:pPr>
        <w:spacing w:before="80" w:after="80" w:line="276" w:lineRule="auto"/>
        <w:jc w:val="both"/>
      </w:pPr>
      <w:r>
        <w:t xml:space="preserve">A contenção dos moduladores opera apenas no sentido agravante. Atenuantes e bons antecedentes não possuem teto negativo: podem reduzir a Soma Total sem limite inferior predeterminado (vedado apenas o resultado negativo). Essa assimetria é deliberada e reflete a orientação favor rei que informa todo o direito sancionador: a contenção dogmática dirige-se ao poder punitivo, não à defesa. O modelo é, assim, simultaneamente mais rigoroso na estrutura e mais generoso na mitigação — combinação que reforça, e não enfraquece, sua compatibilidade com o regime de garantias do acusado.</w:t>
      </w:r>
    </w:p>
    <w:p w14:paraId="0F466CC8" w14:textId="77777777" w:rsidR="00AA0001" w:rsidRDefault="00AA0001"/>
    <w:p w14:paraId="3B7F76AA" w14:textId="77777777" w:rsidR="00AA0001" w:rsidRDefault="00000000">
      <w:pPr>
        <w:pStyle w:val="Ttulo2"/>
      </w:pPr>
      <w:r>
        <w:t>2.5.7 Confirmações normativas</w:t>
      </w:r>
    </w:p>
    <w:p w14:paraId="78D98EED" w14:textId="77777777" w:rsidR="00AA0001" w:rsidRDefault="00000000">
      <w:pPr>
        <w:spacing w:before="80" w:after="80" w:line="276" w:lineRule="auto"/>
        <w:jc w:val="both"/>
      </w:pPr>
      <w:r>
        <w:t xml:space="preserve">Dois dados de direito positivo confirmam — sem fundar, reconheça-se, pois a ordem de enunciação legislativa é argumento topográfico, de força confirmatória — a hierarquia adotada. Primeiro, a sequência do próprio art. 128: natureza e gravidade abrem a enumeração, seguidas do dano, e somente então das circunstâncias e dos antecedentes. Segundo, o art. 16 do Decreto nº 9.830/2019 reproduz idêntica ordenação ao disciplinar a decisão sancionadora. Em ambos os textos, o legislador e o regulamentador enunciaram primeiro o fato e suas dimensões, depois o entorno e o histórico — sequência que o modelo de pesos uniformes ignora e que a ponderação assimétrica leva a sério.</w:t>
      </w:r>
    </w:p>
    <w:p w14:paraId="609C542F" w14:textId="77777777" w:rsidR="00AA0001" w:rsidRDefault="00AA0001"/>
    <w:p w14:paraId="4F508BAA" w14:textId="77777777" w:rsidR="00AA0001" w:rsidRDefault="00000000">
      <w:pPr>
        <w:pStyle w:val="Ttulo2"/>
      </w:pPr>
      <w:r>
        <w:t>2.5.8 Síntese</w:t>
      </w:r>
    </w:p>
    <w:p w14:paraId="4DFCE1D9" w14:textId="77777777" w:rsidR="00AA0001" w:rsidRDefault="00000000">
      <w:pPr>
        <w:spacing w:before="80" w:after="80" w:line="276" w:lineRule="auto"/>
        <w:jc w:val="both"/>
      </w:pPr>
      <w:r>
        <w:t xml:space="preserve">A distribuição de pesos da Calculadora não é arbitrária nem meramente convencional: operacionaliza a estrutura dual do injusto (desvalor da ação e do resultado), a distinção dogmática entre elementos e circunstâncias, o princípio constitucional da culpabilidade pelo fato e a arquitetura consolidada do sistema trifásico brasileiro. O modelo de pesos uniformes, ao equiparar o histórico do autor à lesão ao bem jurídico, incorre em opção axiológica que nenhum desses fundamentos sustenta. A ponderação assimétrica — 75% para o núcleo do fato, 25% para os moduladores agravantes, mitigação sem teto — é, das duas leituras possíveis do silêncio do art. 128, a única que se deixa reconstruir racionalmente a partir da teoria do ilícito e do regime constitucional do poder punitivo.</w:t>
      </w:r>
    </w:p>
    <w:p w14:paraId="763935E8" w14:textId="77777777" w:rsidR="00AA0001" w:rsidRDefault="00AA0001"/>
    <w:p w14:paraId="7BDB0533" w14:textId="77777777" w:rsidR="00560F38" w:rsidRDefault="00000000">
      <w:r>
        <w:br w:type="page"/>
      </w:r>
    </w:p>
    <w:p w14:paraId="1C636001" w14:textId="77777777" w:rsidR="00560F38" w:rsidRDefault="00000000">
      <w:pPr>
        <w:shd w:val="clear" w:color="auto" w:fill="1F3864"/>
        <w:spacing w:before="200" w:after="200"/>
        <w:jc w:val="center"/>
      </w:pPr>
      <w:r>
        <w:rPr>
          <w:b/>
          <w:bCs/>
          <w:color w:val="FFFFFF"/>
          <w:sz w:val="28"/>
          <w:szCs w:val="28"/>
        </w:rPr>
        <w:lastRenderedPageBreak/>
        <w:t>PARTE II — ARQUITETURA DA FERRAMENTA</w:t>
      </w:r>
    </w:p>
    <w:p w14:paraId="2B66BE30" w14:textId="77777777" w:rsidR="00560F38" w:rsidRDefault="00000000">
      <w:pPr>
        <w:pStyle w:val="Ttulo1"/>
      </w:pPr>
      <w:bookmarkStart w:id="9" w:name="_Toc232175854"/>
      <w:r>
        <w:t>3. Estrutura Metodológica</w:t>
      </w:r>
      <w:bookmarkEnd w:id="9"/>
    </w:p>
    <w:p w14:paraId="1F9AF747" w14:textId="77777777" w:rsidR="00560F38" w:rsidRDefault="00000000">
      <w:pPr>
        <w:spacing w:before="80" w:after="80" w:line="276" w:lineRule="auto"/>
        <w:jc w:val="both"/>
      </w:pPr>
      <w:r>
        <w:t>A metodologia organiza-se em módulos sequenciais em duas fases, acessíveis por doze telas. A primeira fase estabelece a pontuação base a partir dos cinco elementos do art. 128; a segunda aplica a reincidência. A partir do mesmo conjunto de respostas, a ferramenta apura a viabilidade do TAC.</w:t>
      </w:r>
    </w:p>
    <w:p w14:paraId="170D2F58" w14:textId="77777777" w:rsidR="00560F38" w:rsidRDefault="00560F38"/>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1400"/>
        <w:gridCol w:w="1200"/>
        <w:gridCol w:w="6160"/>
      </w:tblGrid>
      <w:tr w:rsidR="00560F38" w14:paraId="670A5C79"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FDE008F" w14:textId="77777777" w:rsidR="00560F38" w:rsidRDefault="00000000">
            <w:pPr>
              <w:jc w:val="both"/>
            </w:pPr>
            <w:r>
              <w:rPr>
                <w:b/>
                <w:bCs/>
                <w:color w:val="FFFFFF"/>
                <w:sz w:val="17"/>
                <w:szCs w:val="17"/>
              </w:rPr>
              <w:t>Tela</w:t>
            </w:r>
          </w:p>
        </w:tc>
        <w:tc>
          <w:tcPr>
            <w:tcW w:w="1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2C853A1" w14:textId="77777777" w:rsidR="00560F38" w:rsidRDefault="00000000">
            <w:pPr>
              <w:jc w:val="both"/>
            </w:pPr>
            <w:r>
              <w:rPr>
                <w:b/>
                <w:bCs/>
                <w:color w:val="FFFFFF"/>
                <w:sz w:val="17"/>
                <w:szCs w:val="17"/>
              </w:rPr>
              <w:t>Nome</w:t>
            </w:r>
          </w:p>
        </w:tc>
        <w:tc>
          <w:tcPr>
            <w:tcW w:w="1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A3D0DB2" w14:textId="77777777" w:rsidR="00560F38" w:rsidRDefault="00000000">
            <w:pPr>
              <w:jc w:val="both"/>
            </w:pPr>
            <w:r>
              <w:rPr>
                <w:b/>
                <w:bCs/>
                <w:color w:val="FFFFFF"/>
                <w:sz w:val="17"/>
                <w:szCs w:val="17"/>
              </w:rPr>
              <w:t>Fase</w:t>
            </w:r>
          </w:p>
        </w:tc>
        <w:tc>
          <w:tcPr>
            <w:tcW w:w="61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3434713" w14:textId="77777777" w:rsidR="00560F38" w:rsidRDefault="00000000">
            <w:pPr>
              <w:jc w:val="both"/>
            </w:pPr>
            <w:r>
              <w:rPr>
                <w:b/>
                <w:bCs/>
                <w:color w:val="FFFFFF"/>
                <w:sz w:val="17"/>
                <w:szCs w:val="17"/>
              </w:rPr>
              <w:t>Conteúdo principal</w:t>
            </w:r>
          </w:p>
        </w:tc>
      </w:tr>
      <w:tr w:rsidR="00560F38" w14:paraId="1A31DB72"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8A6D1E" w14:textId="77777777" w:rsidR="00560F38" w:rsidRDefault="00000000">
            <w:pPr>
              <w:jc w:val="both"/>
            </w:pPr>
            <w:r>
              <w:rPr>
                <w:color w:val="000000"/>
                <w:sz w:val="17"/>
                <w:szCs w:val="17"/>
              </w:rPr>
              <w:t>0</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88E599" w14:textId="77777777" w:rsidR="00560F38" w:rsidRDefault="00000000">
            <w:pPr>
              <w:jc w:val="both"/>
            </w:pPr>
            <w:r>
              <w:rPr>
                <w:color w:val="000000"/>
                <w:sz w:val="17"/>
                <w:szCs w:val="17"/>
              </w:rPr>
              <w:t>Identificação</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DD0648" w14:textId="77777777" w:rsidR="00560F38" w:rsidRDefault="00000000">
            <w:pPr>
              <w:jc w:val="both"/>
            </w:pPr>
            <w:r>
              <w:rPr>
                <w:color w:val="000000"/>
                <w:sz w:val="17"/>
                <w:szCs w:val="17"/>
              </w:rPr>
              <w:t>Pré-cálculo</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46E0FB" w14:textId="77777777" w:rsidR="00560F38" w:rsidRDefault="00000000">
            <w:pPr>
              <w:jc w:val="both"/>
            </w:pPr>
            <w:r>
              <w:rPr>
                <w:color w:val="000000"/>
                <w:sz w:val="17"/>
                <w:szCs w:val="17"/>
              </w:rPr>
              <w:t>Dados do processo e do servidor. Confirmação expressa da ausência de enquadramento no art. 132.</w:t>
            </w:r>
          </w:p>
        </w:tc>
      </w:tr>
      <w:tr w:rsidR="00560F38" w14:paraId="130DD90B"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5F7FB"/>
            <w:tcMar>
              <w:top w:w="80" w:type="dxa"/>
              <w:left w:w="120" w:type="dxa"/>
              <w:bottom w:w="80" w:type="dxa"/>
              <w:right w:w="120" w:type="dxa"/>
            </w:tcMar>
          </w:tcPr>
          <w:p w14:paraId="05BC6B3A" w14:textId="77777777" w:rsidR="00560F38" w:rsidRDefault="00000000">
            <w:pPr>
              <w:jc w:val="both"/>
            </w:pPr>
            <w:r>
              <w:rPr>
                <w:color w:val="000000"/>
                <w:sz w:val="17"/>
                <w:szCs w:val="17"/>
              </w:rPr>
              <w:t>1</w:t>
            </w:r>
          </w:p>
        </w:tc>
        <w:tc>
          <w:tcPr>
            <w:tcW w:w="1400" w:type="dxa"/>
            <w:tcBorders>
              <w:top w:val="single" w:sz="1" w:space="0" w:color="CCCCCC"/>
              <w:left w:val="single" w:sz="1" w:space="0" w:color="CCCCCC"/>
              <w:bottom w:val="single" w:sz="1" w:space="0" w:color="CCCCCC"/>
              <w:right w:val="single" w:sz="1" w:space="0" w:color="CCCCCC"/>
            </w:tcBorders>
            <w:shd w:val="clear" w:color="auto" w:fill="F5F7FB"/>
            <w:tcMar>
              <w:top w:w="80" w:type="dxa"/>
              <w:left w:w="120" w:type="dxa"/>
              <w:bottom w:w="80" w:type="dxa"/>
              <w:right w:w="120" w:type="dxa"/>
            </w:tcMar>
          </w:tcPr>
          <w:p w14:paraId="286A3623" w14:textId="77777777" w:rsidR="00560F38" w:rsidRDefault="00000000">
            <w:pPr>
              <w:jc w:val="both"/>
            </w:pPr>
            <w:r>
              <w:rPr>
                <w:color w:val="000000"/>
                <w:sz w:val="17"/>
                <w:szCs w:val="17"/>
              </w:rPr>
              <w:t>Classificação</w:t>
            </w:r>
          </w:p>
        </w:tc>
        <w:tc>
          <w:tcPr>
            <w:tcW w:w="1200" w:type="dxa"/>
            <w:tcBorders>
              <w:top w:val="single" w:sz="1" w:space="0" w:color="CCCCCC"/>
              <w:left w:val="single" w:sz="1" w:space="0" w:color="CCCCCC"/>
              <w:bottom w:val="single" w:sz="1" w:space="0" w:color="CCCCCC"/>
              <w:right w:val="single" w:sz="1" w:space="0" w:color="CCCCCC"/>
            </w:tcBorders>
            <w:shd w:val="clear" w:color="auto" w:fill="F5F7FB"/>
            <w:tcMar>
              <w:top w:w="80" w:type="dxa"/>
              <w:left w:w="120" w:type="dxa"/>
              <w:bottom w:w="80" w:type="dxa"/>
              <w:right w:w="120" w:type="dxa"/>
            </w:tcMar>
          </w:tcPr>
          <w:p w14:paraId="0DAB9AAF" w14:textId="77777777" w:rsidR="00560F38" w:rsidRDefault="00000000">
            <w:pPr>
              <w:jc w:val="both"/>
            </w:pPr>
            <w:r>
              <w:rPr>
                <w:color w:val="000000"/>
                <w:sz w:val="17"/>
                <w:szCs w:val="17"/>
              </w:rPr>
              <w:t>Pré-cálculo</w:t>
            </w:r>
          </w:p>
        </w:tc>
        <w:tc>
          <w:tcPr>
            <w:tcW w:w="6160" w:type="dxa"/>
            <w:tcBorders>
              <w:top w:val="single" w:sz="1" w:space="0" w:color="CCCCCC"/>
              <w:left w:val="single" w:sz="1" w:space="0" w:color="CCCCCC"/>
              <w:bottom w:val="single" w:sz="1" w:space="0" w:color="CCCCCC"/>
              <w:right w:val="single" w:sz="1" w:space="0" w:color="CCCCCC"/>
            </w:tcBorders>
            <w:shd w:val="clear" w:color="auto" w:fill="F5F7FB"/>
            <w:tcMar>
              <w:top w:w="80" w:type="dxa"/>
              <w:left w:w="120" w:type="dxa"/>
              <w:bottom w:w="80" w:type="dxa"/>
              <w:right w:w="120" w:type="dxa"/>
            </w:tcMar>
          </w:tcPr>
          <w:p w14:paraId="0B59E75F" w14:textId="77777777" w:rsidR="00560F38" w:rsidRDefault="00000000">
            <w:pPr>
              <w:jc w:val="both"/>
            </w:pPr>
            <w:r>
              <w:rPr>
                <w:color w:val="000000"/>
                <w:sz w:val="17"/>
                <w:szCs w:val="17"/>
              </w:rPr>
              <w:t>Seleção do regime (Geral, RE1, RE2, RE3 ou Concurso) e enquadramento legal por artigo e inciso.</w:t>
            </w:r>
          </w:p>
        </w:tc>
      </w:tr>
      <w:tr w:rsidR="00560F38" w14:paraId="6894B1A8"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4C30F3" w14:textId="77777777" w:rsidR="00560F38" w:rsidRDefault="00000000">
            <w:pPr>
              <w:jc w:val="both"/>
            </w:pPr>
            <w:r>
              <w:rPr>
                <w:color w:val="000000"/>
                <w:sz w:val="17"/>
                <w:szCs w:val="17"/>
              </w:rPr>
              <w:t>2</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FE855D" w14:textId="77777777" w:rsidR="00560F38" w:rsidRDefault="00000000">
            <w:pPr>
              <w:jc w:val="both"/>
            </w:pPr>
            <w:r>
              <w:rPr>
                <w:color w:val="000000"/>
                <w:sz w:val="17"/>
                <w:szCs w:val="17"/>
              </w:rPr>
              <w:t>Natureza</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4F0546" w14:textId="77777777" w:rsidR="00560F38" w:rsidRDefault="00000000">
            <w:pPr>
              <w:jc w:val="both"/>
            </w:pPr>
            <w:r>
              <w:rPr>
                <w:color w:val="000000"/>
                <w:sz w:val="17"/>
                <w:szCs w:val="17"/>
              </w:rPr>
              <w:t>1ª Fase</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8A02A8" w14:textId="77777777" w:rsidR="00560F38" w:rsidRDefault="00000000">
            <w:pPr>
              <w:jc w:val="both"/>
            </w:pPr>
            <w:r>
              <w:rPr>
                <w:color w:val="000000"/>
                <w:sz w:val="17"/>
                <w:szCs w:val="17"/>
              </w:rPr>
              <w:t>SF1.1 — Elemento Subjetivo (1–22 pts); SF1.2 — Falha no Dever de Cuidado / Consciência da Ilicitude (0–8 pts). Teto: 30 pts.</w:t>
            </w:r>
          </w:p>
        </w:tc>
      </w:tr>
      <w:tr w:rsidR="00560F38" w14:paraId="3A313972"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5F7FB"/>
            <w:tcMar>
              <w:top w:w="80" w:type="dxa"/>
              <w:left w:w="120" w:type="dxa"/>
              <w:bottom w:w="80" w:type="dxa"/>
              <w:right w:w="120" w:type="dxa"/>
            </w:tcMar>
          </w:tcPr>
          <w:p w14:paraId="2B7076F0" w14:textId="77777777" w:rsidR="00560F38" w:rsidRDefault="00000000">
            <w:pPr>
              <w:jc w:val="both"/>
            </w:pPr>
            <w:r>
              <w:rPr>
                <w:color w:val="000000"/>
                <w:sz w:val="17"/>
                <w:szCs w:val="17"/>
              </w:rPr>
              <w:t>3</w:t>
            </w:r>
          </w:p>
        </w:tc>
        <w:tc>
          <w:tcPr>
            <w:tcW w:w="1400" w:type="dxa"/>
            <w:tcBorders>
              <w:top w:val="single" w:sz="1" w:space="0" w:color="CCCCCC"/>
              <w:left w:val="single" w:sz="1" w:space="0" w:color="CCCCCC"/>
              <w:bottom w:val="single" w:sz="1" w:space="0" w:color="CCCCCC"/>
              <w:right w:val="single" w:sz="1" w:space="0" w:color="CCCCCC"/>
            </w:tcBorders>
            <w:shd w:val="clear" w:color="auto" w:fill="F5F7FB"/>
            <w:tcMar>
              <w:top w:w="80" w:type="dxa"/>
              <w:left w:w="120" w:type="dxa"/>
              <w:bottom w:w="80" w:type="dxa"/>
              <w:right w:w="120" w:type="dxa"/>
            </w:tcMar>
          </w:tcPr>
          <w:p w14:paraId="148FA729" w14:textId="77777777" w:rsidR="00560F38" w:rsidRDefault="00000000">
            <w:pPr>
              <w:jc w:val="both"/>
            </w:pPr>
            <w:r>
              <w:rPr>
                <w:color w:val="000000"/>
                <w:sz w:val="17"/>
                <w:szCs w:val="17"/>
              </w:rPr>
              <w:t>Gravidade</w:t>
            </w:r>
          </w:p>
        </w:tc>
        <w:tc>
          <w:tcPr>
            <w:tcW w:w="1200" w:type="dxa"/>
            <w:tcBorders>
              <w:top w:val="single" w:sz="1" w:space="0" w:color="CCCCCC"/>
              <w:left w:val="single" w:sz="1" w:space="0" w:color="CCCCCC"/>
              <w:bottom w:val="single" w:sz="1" w:space="0" w:color="CCCCCC"/>
              <w:right w:val="single" w:sz="1" w:space="0" w:color="CCCCCC"/>
            </w:tcBorders>
            <w:shd w:val="clear" w:color="auto" w:fill="F5F7FB"/>
            <w:tcMar>
              <w:top w:w="80" w:type="dxa"/>
              <w:left w:w="120" w:type="dxa"/>
              <w:bottom w:w="80" w:type="dxa"/>
              <w:right w:w="120" w:type="dxa"/>
            </w:tcMar>
          </w:tcPr>
          <w:p w14:paraId="660C9ECB" w14:textId="77777777" w:rsidR="00560F38" w:rsidRDefault="00000000">
            <w:pPr>
              <w:jc w:val="both"/>
            </w:pPr>
            <w:r>
              <w:rPr>
                <w:color w:val="000000"/>
                <w:sz w:val="17"/>
                <w:szCs w:val="17"/>
              </w:rPr>
              <w:t>1ª Fase</w:t>
            </w:r>
          </w:p>
        </w:tc>
        <w:tc>
          <w:tcPr>
            <w:tcW w:w="6160" w:type="dxa"/>
            <w:tcBorders>
              <w:top w:val="single" w:sz="1" w:space="0" w:color="CCCCCC"/>
              <w:left w:val="single" w:sz="1" w:space="0" w:color="CCCCCC"/>
              <w:bottom w:val="single" w:sz="1" w:space="0" w:color="CCCCCC"/>
              <w:right w:val="single" w:sz="1" w:space="0" w:color="CCCCCC"/>
            </w:tcBorders>
            <w:shd w:val="clear" w:color="auto" w:fill="F5F7FB"/>
            <w:tcMar>
              <w:top w:w="80" w:type="dxa"/>
              <w:left w:w="120" w:type="dxa"/>
              <w:bottom w:w="80" w:type="dxa"/>
              <w:right w:w="120" w:type="dxa"/>
            </w:tcMar>
          </w:tcPr>
          <w:p w14:paraId="0D34B5DB" w14:textId="77777777" w:rsidR="00560F38" w:rsidRDefault="00000000">
            <w:pPr>
              <w:jc w:val="both"/>
            </w:pPr>
            <w:r>
              <w:rPr>
                <w:color w:val="000000"/>
                <w:sz w:val="17"/>
                <w:szCs w:val="17"/>
              </w:rPr>
              <w:t>SF2.1 — Hierarquia do Bem Jurídico (1–15 pts); SF2.2 — Caráter Temporal (1–15 pts); SF2.3 — Concurso Formal (0–15 pts). Teto: 40 pts.</w:t>
            </w:r>
          </w:p>
        </w:tc>
      </w:tr>
      <w:tr w:rsidR="00560F38" w14:paraId="4C6A7F21"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75AEAC" w14:textId="77777777" w:rsidR="00560F38" w:rsidRDefault="00000000">
            <w:pPr>
              <w:jc w:val="both"/>
            </w:pPr>
            <w:r>
              <w:rPr>
                <w:color w:val="000000"/>
                <w:sz w:val="17"/>
                <w:szCs w:val="17"/>
              </w:rPr>
              <w:t>4</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BAB14E" w14:textId="77777777" w:rsidR="00560F38" w:rsidRDefault="00000000">
            <w:pPr>
              <w:jc w:val="both"/>
            </w:pPr>
            <w:r>
              <w:rPr>
                <w:color w:val="000000"/>
                <w:sz w:val="17"/>
                <w:szCs w:val="17"/>
              </w:rPr>
              <w:t>Dano Material</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30FFB5" w14:textId="77777777" w:rsidR="00560F38" w:rsidRDefault="00000000">
            <w:pPr>
              <w:jc w:val="both"/>
            </w:pPr>
            <w:r>
              <w:rPr>
                <w:color w:val="000000"/>
                <w:sz w:val="17"/>
                <w:szCs w:val="17"/>
              </w:rPr>
              <w:t>1ª Fase</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CEC50E" w14:textId="77777777" w:rsidR="00560F38" w:rsidRDefault="00000000">
            <w:pPr>
              <w:jc w:val="both"/>
            </w:pPr>
            <w:r>
              <w:rPr>
                <w:color w:val="000000"/>
                <w:sz w:val="17"/>
                <w:szCs w:val="17"/>
              </w:rPr>
              <w:t>SF3A.1 — árvore: existência → extensão → reversibilidade. Teto: 20 pts.</w:t>
            </w:r>
          </w:p>
        </w:tc>
      </w:tr>
      <w:tr w:rsidR="00560F38" w14:paraId="135F6968"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5F7FB"/>
            <w:tcMar>
              <w:top w:w="80" w:type="dxa"/>
              <w:left w:w="120" w:type="dxa"/>
              <w:bottom w:w="80" w:type="dxa"/>
              <w:right w:w="120" w:type="dxa"/>
            </w:tcMar>
          </w:tcPr>
          <w:p w14:paraId="2C9BF50C" w14:textId="77777777" w:rsidR="00560F38" w:rsidRDefault="00000000">
            <w:pPr>
              <w:jc w:val="both"/>
            </w:pPr>
            <w:r>
              <w:rPr>
                <w:color w:val="000000"/>
                <w:sz w:val="17"/>
                <w:szCs w:val="17"/>
              </w:rPr>
              <w:t>5</w:t>
            </w:r>
          </w:p>
        </w:tc>
        <w:tc>
          <w:tcPr>
            <w:tcW w:w="1400" w:type="dxa"/>
            <w:tcBorders>
              <w:top w:val="single" w:sz="1" w:space="0" w:color="CCCCCC"/>
              <w:left w:val="single" w:sz="1" w:space="0" w:color="CCCCCC"/>
              <w:bottom w:val="single" w:sz="1" w:space="0" w:color="CCCCCC"/>
              <w:right w:val="single" w:sz="1" w:space="0" w:color="CCCCCC"/>
            </w:tcBorders>
            <w:shd w:val="clear" w:color="auto" w:fill="F5F7FB"/>
            <w:tcMar>
              <w:top w:w="80" w:type="dxa"/>
              <w:left w:w="120" w:type="dxa"/>
              <w:bottom w:w="80" w:type="dxa"/>
              <w:right w:w="120" w:type="dxa"/>
            </w:tcMar>
          </w:tcPr>
          <w:p w14:paraId="7614A1F3" w14:textId="77777777" w:rsidR="00560F38" w:rsidRDefault="00000000">
            <w:pPr>
              <w:jc w:val="both"/>
            </w:pPr>
            <w:r>
              <w:rPr>
                <w:color w:val="000000"/>
                <w:sz w:val="17"/>
                <w:szCs w:val="17"/>
              </w:rPr>
              <w:t>Dano Imaterial</w:t>
            </w:r>
          </w:p>
        </w:tc>
        <w:tc>
          <w:tcPr>
            <w:tcW w:w="1200" w:type="dxa"/>
            <w:tcBorders>
              <w:top w:val="single" w:sz="1" w:space="0" w:color="CCCCCC"/>
              <w:left w:val="single" w:sz="1" w:space="0" w:color="CCCCCC"/>
              <w:bottom w:val="single" w:sz="1" w:space="0" w:color="CCCCCC"/>
              <w:right w:val="single" w:sz="1" w:space="0" w:color="CCCCCC"/>
            </w:tcBorders>
            <w:shd w:val="clear" w:color="auto" w:fill="F5F7FB"/>
            <w:tcMar>
              <w:top w:w="80" w:type="dxa"/>
              <w:left w:w="120" w:type="dxa"/>
              <w:bottom w:w="80" w:type="dxa"/>
              <w:right w:w="120" w:type="dxa"/>
            </w:tcMar>
          </w:tcPr>
          <w:p w14:paraId="1095EA41" w14:textId="77777777" w:rsidR="00560F38" w:rsidRDefault="00000000">
            <w:pPr>
              <w:jc w:val="both"/>
            </w:pPr>
            <w:r>
              <w:rPr>
                <w:color w:val="000000"/>
                <w:sz w:val="17"/>
                <w:szCs w:val="17"/>
              </w:rPr>
              <w:t>1ª Fase</w:t>
            </w:r>
          </w:p>
        </w:tc>
        <w:tc>
          <w:tcPr>
            <w:tcW w:w="6160" w:type="dxa"/>
            <w:tcBorders>
              <w:top w:val="single" w:sz="1" w:space="0" w:color="CCCCCC"/>
              <w:left w:val="single" w:sz="1" w:space="0" w:color="CCCCCC"/>
              <w:bottom w:val="single" w:sz="1" w:space="0" w:color="CCCCCC"/>
              <w:right w:val="single" w:sz="1" w:space="0" w:color="CCCCCC"/>
            </w:tcBorders>
            <w:shd w:val="clear" w:color="auto" w:fill="F5F7FB"/>
            <w:tcMar>
              <w:top w:w="80" w:type="dxa"/>
              <w:left w:w="120" w:type="dxa"/>
              <w:bottom w:w="80" w:type="dxa"/>
              <w:right w:w="120" w:type="dxa"/>
            </w:tcMar>
          </w:tcPr>
          <w:p w14:paraId="62488692" w14:textId="77777777" w:rsidR="00560F38" w:rsidRDefault="00000000">
            <w:pPr>
              <w:jc w:val="both"/>
            </w:pPr>
            <w:r>
              <w:rPr>
                <w:color w:val="000000"/>
                <w:sz w:val="17"/>
                <w:szCs w:val="17"/>
              </w:rPr>
              <w:t>SF3B.1 a SF3B.4b — cinco dimensões. Teto: 30 pts. Teto conjunto Dano: 30 pts.</w:t>
            </w:r>
          </w:p>
        </w:tc>
      </w:tr>
      <w:tr w:rsidR="00560F38" w14:paraId="426F1DA7"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5B7081" w14:textId="77777777" w:rsidR="00560F38" w:rsidRDefault="00000000">
            <w:pPr>
              <w:jc w:val="both"/>
            </w:pPr>
            <w:r>
              <w:rPr>
                <w:color w:val="000000"/>
                <w:sz w:val="17"/>
                <w:szCs w:val="17"/>
              </w:rPr>
              <w:t>6</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F7E7C5" w14:textId="77777777" w:rsidR="00560F38" w:rsidRDefault="00000000">
            <w:pPr>
              <w:jc w:val="both"/>
            </w:pPr>
            <w:r>
              <w:rPr>
                <w:color w:val="000000"/>
                <w:sz w:val="17"/>
                <w:szCs w:val="17"/>
              </w:rPr>
              <w:t>Circunstâncias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83416A" w14:textId="77777777" w:rsidR="00560F38" w:rsidRDefault="00000000">
            <w:pPr>
              <w:jc w:val="both"/>
            </w:pPr>
            <w:r>
              <w:rPr>
                <w:color w:val="000000"/>
                <w:sz w:val="17"/>
                <w:szCs w:val="17"/>
              </w:rPr>
              <w:t>1ª Fase</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7158F9" w14:textId="77777777" w:rsidR="00560F38" w:rsidRDefault="00000000">
            <w:pPr>
              <w:jc w:val="both"/>
            </w:pPr>
            <w:r>
              <w:rPr>
                <w:color w:val="000000"/>
                <w:sz w:val="17"/>
                <w:szCs w:val="17"/>
              </w:rPr>
              <w:t>7 agravantes e 13 atenuantes com sliders de intensidade (min/padrão/máx).</w:t>
            </w:r>
          </w:p>
        </w:tc>
      </w:tr>
      <w:tr w:rsidR="00560F38" w14:paraId="0E52513E"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5F7FB"/>
            <w:tcMar>
              <w:top w:w="80" w:type="dxa"/>
              <w:left w:w="120" w:type="dxa"/>
              <w:bottom w:w="80" w:type="dxa"/>
              <w:right w:w="120" w:type="dxa"/>
            </w:tcMar>
          </w:tcPr>
          <w:p w14:paraId="3BD1574D" w14:textId="77777777" w:rsidR="00560F38" w:rsidRDefault="00000000">
            <w:pPr>
              <w:jc w:val="both"/>
            </w:pPr>
            <w:r>
              <w:rPr>
                <w:color w:val="000000"/>
                <w:sz w:val="17"/>
                <w:szCs w:val="17"/>
              </w:rPr>
              <w:t>7</w:t>
            </w:r>
          </w:p>
        </w:tc>
        <w:tc>
          <w:tcPr>
            <w:tcW w:w="1400" w:type="dxa"/>
            <w:tcBorders>
              <w:top w:val="single" w:sz="1" w:space="0" w:color="CCCCCC"/>
              <w:left w:val="single" w:sz="1" w:space="0" w:color="CCCCCC"/>
              <w:bottom w:val="single" w:sz="1" w:space="0" w:color="CCCCCC"/>
              <w:right w:val="single" w:sz="1" w:space="0" w:color="CCCCCC"/>
            </w:tcBorders>
            <w:shd w:val="clear" w:color="auto" w:fill="F5F7FB"/>
            <w:tcMar>
              <w:top w:w="80" w:type="dxa"/>
              <w:left w:w="120" w:type="dxa"/>
              <w:bottom w:w="80" w:type="dxa"/>
              <w:right w:w="120" w:type="dxa"/>
            </w:tcMar>
          </w:tcPr>
          <w:p w14:paraId="690EF153" w14:textId="77777777" w:rsidR="00560F38" w:rsidRDefault="00000000">
            <w:pPr>
              <w:jc w:val="both"/>
            </w:pPr>
            <w:r>
              <w:rPr>
                <w:color w:val="000000"/>
                <w:sz w:val="17"/>
                <w:szCs w:val="17"/>
              </w:rPr>
              <w:t>Antecedentes</w:t>
            </w:r>
          </w:p>
        </w:tc>
        <w:tc>
          <w:tcPr>
            <w:tcW w:w="1200" w:type="dxa"/>
            <w:tcBorders>
              <w:top w:val="single" w:sz="1" w:space="0" w:color="CCCCCC"/>
              <w:left w:val="single" w:sz="1" w:space="0" w:color="CCCCCC"/>
              <w:bottom w:val="single" w:sz="1" w:space="0" w:color="CCCCCC"/>
              <w:right w:val="single" w:sz="1" w:space="0" w:color="CCCCCC"/>
            </w:tcBorders>
            <w:shd w:val="clear" w:color="auto" w:fill="F5F7FB"/>
            <w:tcMar>
              <w:top w:w="80" w:type="dxa"/>
              <w:left w:w="120" w:type="dxa"/>
              <w:bottom w:w="80" w:type="dxa"/>
              <w:right w:w="120" w:type="dxa"/>
            </w:tcMar>
          </w:tcPr>
          <w:p w14:paraId="7D4CDA82" w14:textId="77777777" w:rsidR="00560F38" w:rsidRDefault="00000000">
            <w:pPr>
              <w:jc w:val="both"/>
            </w:pPr>
            <w:r>
              <w:rPr>
                <w:color w:val="000000"/>
                <w:sz w:val="17"/>
                <w:szCs w:val="17"/>
              </w:rPr>
              <w:t>1ª Fase</w:t>
            </w:r>
          </w:p>
        </w:tc>
        <w:tc>
          <w:tcPr>
            <w:tcW w:w="6160" w:type="dxa"/>
            <w:tcBorders>
              <w:top w:val="single" w:sz="1" w:space="0" w:color="CCCCCC"/>
              <w:left w:val="single" w:sz="1" w:space="0" w:color="CCCCCC"/>
              <w:bottom w:val="single" w:sz="1" w:space="0" w:color="CCCCCC"/>
              <w:right w:val="single" w:sz="1" w:space="0" w:color="CCCCCC"/>
            </w:tcBorders>
            <w:shd w:val="clear" w:color="auto" w:fill="F5F7FB"/>
            <w:tcMar>
              <w:top w:w="80" w:type="dxa"/>
              <w:left w:w="120" w:type="dxa"/>
              <w:bottom w:w="80" w:type="dxa"/>
              <w:right w:w="120" w:type="dxa"/>
            </w:tcMar>
          </w:tcPr>
          <w:p w14:paraId="0867B9DF" w14:textId="77777777" w:rsidR="00560F38" w:rsidRDefault="00000000">
            <w:pPr>
              <w:jc w:val="both"/>
            </w:pPr>
            <w:r>
              <w:rPr>
                <w:color w:val="000000"/>
                <w:sz w:val="17"/>
                <w:szCs w:val="17"/>
              </w:rPr>
              <w:t>4 bons antecedentes e 4 maus antecedentes com sliders.</w:t>
            </w:r>
          </w:p>
        </w:tc>
      </w:tr>
      <w:tr w:rsidR="00560F38" w14:paraId="14DD3489"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0377F7" w14:textId="77777777" w:rsidR="00560F38" w:rsidRDefault="00000000">
            <w:pPr>
              <w:jc w:val="both"/>
            </w:pPr>
            <w:r>
              <w:rPr>
                <w:color w:val="000000"/>
                <w:sz w:val="17"/>
                <w:szCs w:val="17"/>
              </w:rPr>
              <w:t>8</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1DFA4D" w14:textId="77777777" w:rsidR="00560F38" w:rsidRDefault="00000000">
            <w:pPr>
              <w:jc w:val="both"/>
            </w:pPr>
            <w:r>
              <w:rPr>
                <w:color w:val="000000"/>
                <w:sz w:val="17"/>
                <w:szCs w:val="17"/>
              </w:rPr>
              <w:t>Dados TAC</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181EF6" w14:textId="77777777" w:rsidR="00560F38" w:rsidRDefault="00000000">
            <w:pPr>
              <w:jc w:val="both"/>
            </w:pPr>
            <w:r>
              <w:rPr>
                <w:color w:val="000000"/>
                <w:sz w:val="17"/>
                <w:szCs w:val="17"/>
              </w:rPr>
              <w:t>Pré-TAC</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6885AF" w14:textId="77777777" w:rsidR="00560F38" w:rsidRDefault="00000000">
            <w:pPr>
              <w:jc w:val="both"/>
            </w:pPr>
            <w:r>
              <w:rPr>
                <w:color w:val="000000"/>
                <w:sz w:val="17"/>
                <w:szCs w:val="17"/>
              </w:rPr>
              <w:t>Vínculo, registros vigentes, TAC anterior e ressarcimento.</w:t>
            </w:r>
          </w:p>
        </w:tc>
      </w:tr>
      <w:tr w:rsidR="00560F38" w14:paraId="36DAC1EC"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5F7FB"/>
            <w:tcMar>
              <w:top w:w="80" w:type="dxa"/>
              <w:left w:w="120" w:type="dxa"/>
              <w:bottom w:w="80" w:type="dxa"/>
              <w:right w:w="120" w:type="dxa"/>
            </w:tcMar>
          </w:tcPr>
          <w:p w14:paraId="05353AD3" w14:textId="77777777" w:rsidR="00560F38" w:rsidRDefault="00000000">
            <w:pPr>
              <w:jc w:val="both"/>
            </w:pPr>
            <w:r>
              <w:rPr>
                <w:color w:val="000000"/>
                <w:sz w:val="17"/>
                <w:szCs w:val="17"/>
              </w:rPr>
              <w:t>9</w:t>
            </w:r>
          </w:p>
        </w:tc>
        <w:tc>
          <w:tcPr>
            <w:tcW w:w="1400" w:type="dxa"/>
            <w:tcBorders>
              <w:top w:val="single" w:sz="1" w:space="0" w:color="CCCCCC"/>
              <w:left w:val="single" w:sz="1" w:space="0" w:color="CCCCCC"/>
              <w:bottom w:val="single" w:sz="1" w:space="0" w:color="CCCCCC"/>
              <w:right w:val="single" w:sz="1" w:space="0" w:color="CCCCCC"/>
            </w:tcBorders>
            <w:shd w:val="clear" w:color="auto" w:fill="F5F7FB"/>
            <w:tcMar>
              <w:top w:w="80" w:type="dxa"/>
              <w:left w:w="120" w:type="dxa"/>
              <w:bottom w:w="80" w:type="dxa"/>
              <w:right w:w="120" w:type="dxa"/>
            </w:tcMar>
          </w:tcPr>
          <w:p w14:paraId="661E55F7" w14:textId="77777777" w:rsidR="00560F38" w:rsidRDefault="00000000">
            <w:pPr>
              <w:jc w:val="both"/>
            </w:pPr>
            <w:r>
              <w:rPr>
                <w:color w:val="000000"/>
                <w:sz w:val="17"/>
                <w:szCs w:val="17"/>
              </w:rPr>
              <w:t>Resultado</w:t>
            </w:r>
          </w:p>
        </w:tc>
        <w:tc>
          <w:tcPr>
            <w:tcW w:w="1200" w:type="dxa"/>
            <w:tcBorders>
              <w:top w:val="single" w:sz="1" w:space="0" w:color="CCCCCC"/>
              <w:left w:val="single" w:sz="1" w:space="0" w:color="CCCCCC"/>
              <w:bottom w:val="single" w:sz="1" w:space="0" w:color="CCCCCC"/>
              <w:right w:val="single" w:sz="1" w:space="0" w:color="CCCCCC"/>
            </w:tcBorders>
            <w:shd w:val="clear" w:color="auto" w:fill="F5F7FB"/>
            <w:tcMar>
              <w:top w:w="80" w:type="dxa"/>
              <w:left w:w="120" w:type="dxa"/>
              <w:bottom w:w="80" w:type="dxa"/>
              <w:right w:w="120" w:type="dxa"/>
            </w:tcMar>
          </w:tcPr>
          <w:p w14:paraId="34D4D01B" w14:textId="77777777" w:rsidR="00560F38" w:rsidRDefault="00000000">
            <w:pPr>
              <w:jc w:val="both"/>
            </w:pPr>
            <w:r>
              <w:rPr>
                <w:color w:val="000000"/>
                <w:sz w:val="17"/>
                <w:szCs w:val="17"/>
              </w:rPr>
              <w:t>2ª Fase</w:t>
            </w:r>
          </w:p>
        </w:tc>
        <w:tc>
          <w:tcPr>
            <w:tcW w:w="6160" w:type="dxa"/>
            <w:tcBorders>
              <w:top w:val="single" w:sz="1" w:space="0" w:color="CCCCCC"/>
              <w:left w:val="single" w:sz="1" w:space="0" w:color="CCCCCC"/>
              <w:bottom w:val="single" w:sz="1" w:space="0" w:color="CCCCCC"/>
              <w:right w:val="single" w:sz="1" w:space="0" w:color="CCCCCC"/>
            </w:tcBorders>
            <w:shd w:val="clear" w:color="auto" w:fill="F5F7FB"/>
            <w:tcMar>
              <w:top w:w="80" w:type="dxa"/>
              <w:left w:w="120" w:type="dxa"/>
              <w:bottom w:w="80" w:type="dxa"/>
              <w:right w:w="120" w:type="dxa"/>
            </w:tcMar>
          </w:tcPr>
          <w:p w14:paraId="63405A72" w14:textId="77777777" w:rsidR="00560F38" w:rsidRDefault="00000000">
            <w:pPr>
              <w:jc w:val="both"/>
            </w:pPr>
            <w:r>
              <w:rPr>
                <w:color w:val="000000"/>
                <w:sz w:val="17"/>
                <w:szCs w:val="17"/>
              </w:rPr>
              <w:t>Soma Total, conversão, reincidência, zona limítrofe, pré-viabilidade TAC.</w:t>
            </w:r>
          </w:p>
        </w:tc>
      </w:tr>
      <w:tr w:rsidR="00560F38" w14:paraId="1F402994"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4E53E7" w14:textId="77777777" w:rsidR="00560F38" w:rsidRDefault="00000000">
            <w:pPr>
              <w:jc w:val="both"/>
            </w:pPr>
            <w:r>
              <w:rPr>
                <w:color w:val="000000"/>
                <w:sz w:val="17"/>
                <w:szCs w:val="17"/>
              </w:rPr>
              <w:t>10</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F57E3D" w14:textId="77777777" w:rsidR="00560F38" w:rsidRDefault="00000000">
            <w:pPr>
              <w:jc w:val="both"/>
            </w:pPr>
            <w:r>
              <w:rPr>
                <w:color w:val="000000"/>
                <w:sz w:val="17"/>
                <w:szCs w:val="17"/>
              </w:rPr>
              <w:t>Revisão TAC</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F8C247" w14:textId="77777777" w:rsidR="00560F38" w:rsidRDefault="00000000">
            <w:pPr>
              <w:jc w:val="both"/>
            </w:pPr>
            <w:r>
              <w:rPr>
                <w:color w:val="000000"/>
                <w:sz w:val="17"/>
                <w:szCs w:val="17"/>
              </w:rPr>
              <w:t>TAC</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41F427" w14:textId="77777777" w:rsidR="00560F38" w:rsidRDefault="00000000">
            <w:pPr>
              <w:jc w:val="both"/>
            </w:pPr>
            <w:r>
              <w:rPr>
                <w:color w:val="000000"/>
                <w:sz w:val="17"/>
                <w:szCs w:val="17"/>
              </w:rPr>
              <w:t>Obrigações TAC, obrigação efetiva, comprovação, prazos (máx. 24 meses).</w:t>
            </w:r>
          </w:p>
        </w:tc>
      </w:tr>
      <w:tr w:rsidR="00560F38" w14:paraId="4D901156"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5F7FB"/>
            <w:tcMar>
              <w:top w:w="80" w:type="dxa"/>
              <w:left w:w="120" w:type="dxa"/>
              <w:bottom w:w="80" w:type="dxa"/>
              <w:right w:w="120" w:type="dxa"/>
            </w:tcMar>
          </w:tcPr>
          <w:p w14:paraId="7B87C916" w14:textId="77777777" w:rsidR="00560F38" w:rsidRDefault="00000000">
            <w:pPr>
              <w:jc w:val="both"/>
            </w:pPr>
            <w:r>
              <w:rPr>
                <w:color w:val="000000"/>
                <w:sz w:val="17"/>
                <w:szCs w:val="17"/>
              </w:rPr>
              <w:t>11</w:t>
            </w:r>
          </w:p>
        </w:tc>
        <w:tc>
          <w:tcPr>
            <w:tcW w:w="1400" w:type="dxa"/>
            <w:tcBorders>
              <w:top w:val="single" w:sz="1" w:space="0" w:color="CCCCCC"/>
              <w:left w:val="single" w:sz="1" w:space="0" w:color="CCCCCC"/>
              <w:bottom w:val="single" w:sz="1" w:space="0" w:color="CCCCCC"/>
              <w:right w:val="single" w:sz="1" w:space="0" w:color="CCCCCC"/>
            </w:tcBorders>
            <w:shd w:val="clear" w:color="auto" w:fill="F5F7FB"/>
            <w:tcMar>
              <w:top w:w="80" w:type="dxa"/>
              <w:left w:w="120" w:type="dxa"/>
              <w:bottom w:w="80" w:type="dxa"/>
              <w:right w:w="120" w:type="dxa"/>
            </w:tcMar>
          </w:tcPr>
          <w:p w14:paraId="233A4548" w14:textId="77777777" w:rsidR="00560F38" w:rsidRDefault="00000000">
            <w:pPr>
              <w:jc w:val="both"/>
            </w:pPr>
            <w:r>
              <w:rPr>
                <w:color w:val="000000"/>
                <w:sz w:val="17"/>
                <w:szCs w:val="17"/>
              </w:rPr>
              <w:t>Relatório</w:t>
            </w:r>
          </w:p>
        </w:tc>
        <w:tc>
          <w:tcPr>
            <w:tcW w:w="1200" w:type="dxa"/>
            <w:tcBorders>
              <w:top w:val="single" w:sz="1" w:space="0" w:color="CCCCCC"/>
              <w:left w:val="single" w:sz="1" w:space="0" w:color="CCCCCC"/>
              <w:bottom w:val="single" w:sz="1" w:space="0" w:color="CCCCCC"/>
              <w:right w:val="single" w:sz="1" w:space="0" w:color="CCCCCC"/>
            </w:tcBorders>
            <w:shd w:val="clear" w:color="auto" w:fill="F5F7FB"/>
            <w:tcMar>
              <w:top w:w="80" w:type="dxa"/>
              <w:left w:w="120" w:type="dxa"/>
              <w:bottom w:w="80" w:type="dxa"/>
              <w:right w:w="120" w:type="dxa"/>
            </w:tcMar>
          </w:tcPr>
          <w:p w14:paraId="0D80B167" w14:textId="77777777" w:rsidR="00560F38" w:rsidRDefault="00000000">
            <w:pPr>
              <w:jc w:val="both"/>
            </w:pPr>
            <w:r>
              <w:rPr>
                <w:color w:val="000000"/>
                <w:sz w:val="17"/>
                <w:szCs w:val="17"/>
              </w:rPr>
              <w:t>Saída</w:t>
            </w:r>
          </w:p>
        </w:tc>
        <w:tc>
          <w:tcPr>
            <w:tcW w:w="6160" w:type="dxa"/>
            <w:tcBorders>
              <w:top w:val="single" w:sz="1" w:space="0" w:color="CCCCCC"/>
              <w:left w:val="single" w:sz="1" w:space="0" w:color="CCCCCC"/>
              <w:bottom w:val="single" w:sz="1" w:space="0" w:color="CCCCCC"/>
              <w:right w:val="single" w:sz="1" w:space="0" w:color="CCCCCC"/>
            </w:tcBorders>
            <w:shd w:val="clear" w:color="auto" w:fill="F5F7FB"/>
            <w:tcMar>
              <w:top w:w="80" w:type="dxa"/>
              <w:left w:w="120" w:type="dxa"/>
              <w:bottom w:w="80" w:type="dxa"/>
              <w:right w:w="120" w:type="dxa"/>
            </w:tcMar>
          </w:tcPr>
          <w:p w14:paraId="1D227285" w14:textId="77777777" w:rsidR="00560F38" w:rsidRDefault="00000000">
            <w:pPr>
              <w:jc w:val="both"/>
            </w:pPr>
            <w:r>
              <w:rPr>
                <w:color w:val="000000"/>
                <w:sz w:val="17"/>
                <w:szCs w:val="17"/>
              </w:rPr>
              <w:t>Relatório PDF, exportação JSON, documento TAC em HTML.</w:t>
            </w:r>
          </w:p>
        </w:tc>
      </w:tr>
    </w:tbl>
    <w:p w14:paraId="2AF5F2D9" w14:textId="77777777" w:rsidR="00560F38" w:rsidRDefault="00560F38"/>
    <w:p w14:paraId="38724A2C" w14:textId="77777777" w:rsidR="00560F38" w:rsidRDefault="00000000">
      <w:pPr>
        <w:pStyle w:val="Ttulo2"/>
      </w:pPr>
      <w:bookmarkStart w:id="10" w:name="_Toc232175855"/>
      <w:r>
        <w:t>3.1 O sistema de pontos e os tetos por elemento</w:t>
      </w:r>
      <w:bookmarkEnd w:id="10"/>
    </w:p>
    <w:p w14:paraId="13943D93" w14:textId="77777777" w:rsidR="00560F38" w:rsidRDefault="00000000">
      <w:r>
        <w:t>A pontuação máxima teórica do sistema é de 120 pontos, valor que traduz o patamar de maior reprovabilidade possível compatível com advertência ou suspensão (art. 129 e art. 130 da Lei nº 8.112/1990). Esse limite decorre diretamente do princípio da proporcionalidade: a ferramenta não fabrica reprovabilidade inexistente — limita-se a organizar, medir e comparar os elementos que o próprio ordenamento elenca no art. 128.</w:t>
      </w:r>
    </w:p>
    <w:p w14:paraId="390ADDBC" w14:textId="77777777" w:rsidR="00560F38" w:rsidRDefault="00000000">
      <w:r>
        <w:t>A composição do máximo de 120 pontos é a seguinte: Natureza (teto 30) + Gravidade (teto 30, operacionalmente capado mesmo que a soma dos subfatores exceda esse valor) + Dano Material + Imaterial (teto conjunto 30, sendo 20 pts o teto individual de cada dimensão) = 90 pontos fixos; acrescidos dos moduladores variáveis: Circunstâncias agravantes (teto +15) + Maus antecedentes (teto +15) = 30 pontos variáveis positivos. Total máximo: 90 + 30 = 120 pontos. Atenuantes e bons antecedentes reduzem a soma abaixo desse valor — não há teto negativo para moduladores, mas a Calculadora não permite resultado negativo.</w:t>
      </w:r>
    </w:p>
    <w:p w14:paraId="70E94B03" w14:textId="77777777" w:rsidR="00560F38" w:rsidRDefault="00000000">
      <w:r>
        <w:t>A tabela a seguir apresenta os elementos, suas naturezas e seus tetos:</w:t>
      </w:r>
    </w:p>
    <w:p w14:paraId="311E7ADC" w14:textId="77777777" w:rsidR="001528BF" w:rsidRDefault="001528B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460"/>
        <w:gridCol w:w="1600"/>
        <w:gridCol w:w="1900"/>
      </w:tblGrid>
      <w:tr w:rsidR="00560F38" w14:paraId="5D95DCD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0EFAA80" w14:textId="77777777" w:rsidR="00560F38" w:rsidRDefault="00000000">
            <w:pPr>
              <w:jc w:val="both"/>
            </w:pPr>
            <w:r>
              <w:rPr>
                <w:b/>
                <w:bCs/>
                <w:color w:val="FFFFFF"/>
                <w:sz w:val="18"/>
                <w:szCs w:val="18"/>
              </w:rPr>
              <w:t>Elemento</w:t>
            </w:r>
          </w:p>
        </w:tc>
        <w:tc>
          <w:tcPr>
            <w:tcW w:w="34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56CC671" w14:textId="77777777" w:rsidR="00560F38" w:rsidRDefault="00000000">
            <w:pPr>
              <w:jc w:val="both"/>
            </w:pPr>
            <w:r>
              <w:rPr>
                <w:b/>
                <w:bCs/>
                <w:color w:val="FFFFFF"/>
                <w:sz w:val="18"/>
                <w:szCs w:val="18"/>
              </w:rPr>
              <w:t>Natureza do juízo</w:t>
            </w:r>
          </w:p>
        </w:tc>
        <w:tc>
          <w:tcPr>
            <w:tcW w:w="1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905C400" w14:textId="77777777" w:rsidR="00560F38" w:rsidRDefault="00000000">
            <w:pPr>
              <w:jc w:val="both"/>
            </w:pPr>
            <w:r>
              <w:rPr>
                <w:b/>
                <w:bCs/>
                <w:color w:val="FFFFFF"/>
                <w:sz w:val="18"/>
                <w:szCs w:val="18"/>
              </w:rPr>
              <w:t>Faixa</w:t>
            </w:r>
          </w:p>
        </w:tc>
        <w:tc>
          <w:tcPr>
            <w:tcW w:w="19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D3D23DE" w14:textId="77777777" w:rsidR="00560F38" w:rsidRDefault="00000000">
            <w:pPr>
              <w:jc w:val="both"/>
            </w:pPr>
            <w:r>
              <w:rPr>
                <w:b/>
                <w:bCs/>
                <w:color w:val="FFFFFF"/>
                <w:sz w:val="18"/>
                <w:szCs w:val="18"/>
              </w:rPr>
              <w:t>Teto</w:t>
            </w:r>
          </w:p>
        </w:tc>
      </w:tr>
      <w:tr w:rsidR="00560F38" w14:paraId="1F96D9E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45A17B" w14:textId="77777777" w:rsidR="00560F38" w:rsidRDefault="00000000">
            <w:pPr>
              <w:jc w:val="both"/>
            </w:pPr>
            <w:r>
              <w:rPr>
                <w:color w:val="000000"/>
                <w:sz w:val="18"/>
                <w:szCs w:val="18"/>
              </w:rPr>
              <w:t>Natureza (Elem. 1)</w:t>
            </w:r>
          </w:p>
        </w:tc>
        <w:tc>
          <w:tcPr>
            <w:tcW w:w="3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50DE2C" w14:textId="77777777" w:rsidR="00560F38" w:rsidRDefault="00000000">
            <w:pPr>
              <w:jc w:val="both"/>
            </w:pPr>
            <w:r>
              <w:rPr>
                <w:color w:val="000000"/>
                <w:sz w:val="18"/>
                <w:szCs w:val="18"/>
              </w:rPr>
              <w:t>Elemento subjetivo (desvalor da ação)</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682CCE" w14:textId="77777777" w:rsidR="00560F38" w:rsidRDefault="00000000">
            <w:pPr>
              <w:jc w:val="both"/>
            </w:pPr>
            <w:r>
              <w:rPr>
                <w:color w:val="000000"/>
                <w:sz w:val="18"/>
                <w:szCs w:val="18"/>
              </w:rPr>
              <w:t>1 a 30</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8BA71E" w14:textId="77777777" w:rsidR="00560F38" w:rsidRDefault="00000000">
            <w:pPr>
              <w:jc w:val="both"/>
            </w:pPr>
            <w:r>
              <w:rPr>
                <w:color w:val="000000"/>
                <w:sz w:val="18"/>
                <w:szCs w:val="18"/>
              </w:rPr>
              <w:t>30</w:t>
            </w:r>
          </w:p>
        </w:tc>
      </w:tr>
      <w:tr w:rsidR="00560F38" w14:paraId="29BFCB1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7FB"/>
            <w:tcMar>
              <w:top w:w="80" w:type="dxa"/>
              <w:left w:w="120" w:type="dxa"/>
              <w:bottom w:w="80" w:type="dxa"/>
              <w:right w:w="120" w:type="dxa"/>
            </w:tcMar>
          </w:tcPr>
          <w:p w14:paraId="7933437E" w14:textId="77777777" w:rsidR="00560F38" w:rsidRDefault="00000000">
            <w:pPr>
              <w:jc w:val="both"/>
            </w:pPr>
            <w:r>
              <w:rPr>
                <w:color w:val="000000"/>
                <w:sz w:val="18"/>
                <w:szCs w:val="18"/>
              </w:rPr>
              <w:t>Gravidade (Elem. 2)</w:t>
            </w:r>
          </w:p>
        </w:tc>
        <w:tc>
          <w:tcPr>
            <w:tcW w:w="3460" w:type="dxa"/>
            <w:tcBorders>
              <w:top w:val="single" w:sz="1" w:space="0" w:color="CCCCCC"/>
              <w:left w:val="single" w:sz="1" w:space="0" w:color="CCCCCC"/>
              <w:bottom w:val="single" w:sz="1" w:space="0" w:color="CCCCCC"/>
              <w:right w:val="single" w:sz="1" w:space="0" w:color="CCCCCC"/>
            </w:tcBorders>
            <w:shd w:val="clear" w:color="auto" w:fill="F5F7FB"/>
            <w:tcMar>
              <w:top w:w="80" w:type="dxa"/>
              <w:left w:w="120" w:type="dxa"/>
              <w:bottom w:w="80" w:type="dxa"/>
              <w:right w:w="120" w:type="dxa"/>
            </w:tcMar>
          </w:tcPr>
          <w:p w14:paraId="3EB13647" w14:textId="77777777" w:rsidR="00560F38" w:rsidRDefault="00000000">
            <w:pPr>
              <w:jc w:val="both"/>
            </w:pPr>
            <w:r>
              <w:rPr>
                <w:color w:val="000000"/>
                <w:sz w:val="18"/>
                <w:szCs w:val="18"/>
              </w:rPr>
              <w:t>Ofensa ao bem jurídico (desvalor da ação)</w:t>
            </w:r>
          </w:p>
        </w:tc>
        <w:tc>
          <w:tcPr>
            <w:tcW w:w="1600" w:type="dxa"/>
            <w:tcBorders>
              <w:top w:val="single" w:sz="1" w:space="0" w:color="CCCCCC"/>
              <w:left w:val="single" w:sz="1" w:space="0" w:color="CCCCCC"/>
              <w:bottom w:val="single" w:sz="1" w:space="0" w:color="CCCCCC"/>
              <w:right w:val="single" w:sz="1" w:space="0" w:color="CCCCCC"/>
            </w:tcBorders>
            <w:shd w:val="clear" w:color="auto" w:fill="F5F7FB"/>
            <w:tcMar>
              <w:top w:w="80" w:type="dxa"/>
              <w:left w:w="120" w:type="dxa"/>
              <w:bottom w:w="80" w:type="dxa"/>
              <w:right w:w="120" w:type="dxa"/>
            </w:tcMar>
          </w:tcPr>
          <w:p w14:paraId="2F7C2539" w14:textId="604AE443" w:rsidR="00560F38" w:rsidRDefault="00000000">
            <w:pPr>
              <w:jc w:val="both"/>
            </w:pPr>
            <w:r>
              <w:rPr>
                <w:color w:val="000000"/>
                <w:sz w:val="18"/>
                <w:szCs w:val="18"/>
              </w:rPr>
              <w:t>1 a 40</w:t>
            </w:r>
          </w:p>
        </w:tc>
        <w:tc>
          <w:tcPr>
            <w:tcW w:w="1900" w:type="dxa"/>
            <w:tcBorders>
              <w:top w:val="single" w:sz="1" w:space="0" w:color="CCCCCC"/>
              <w:left w:val="single" w:sz="1" w:space="0" w:color="CCCCCC"/>
              <w:bottom w:val="single" w:sz="1" w:space="0" w:color="CCCCCC"/>
              <w:right w:val="single" w:sz="1" w:space="0" w:color="CCCCCC"/>
            </w:tcBorders>
            <w:shd w:val="clear" w:color="auto" w:fill="F5F7FB"/>
            <w:tcMar>
              <w:top w:w="80" w:type="dxa"/>
              <w:left w:w="120" w:type="dxa"/>
              <w:bottom w:w="80" w:type="dxa"/>
              <w:right w:w="120" w:type="dxa"/>
            </w:tcMar>
          </w:tcPr>
          <w:p w14:paraId="48ACD6F8" w14:textId="77777777" w:rsidR="00560F38" w:rsidRDefault="00000000">
            <w:pPr>
              <w:jc w:val="both"/>
            </w:pPr>
            <w:r>
              <w:rPr>
                <w:color w:val="000000"/>
                <w:sz w:val="18"/>
                <w:szCs w:val="18"/>
              </w:rPr>
              <w:t>30</w:t>
            </w:r>
          </w:p>
        </w:tc>
      </w:tr>
      <w:tr w:rsidR="00560F38" w14:paraId="567BE5D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DE6FB8" w14:textId="77777777" w:rsidR="00560F38" w:rsidRDefault="00000000">
            <w:pPr>
              <w:jc w:val="both"/>
            </w:pPr>
            <w:r>
              <w:rPr>
                <w:color w:val="000000"/>
                <w:sz w:val="18"/>
                <w:szCs w:val="18"/>
              </w:rPr>
              <w:t>Dano (Elem. 3)</w:t>
            </w:r>
          </w:p>
        </w:tc>
        <w:tc>
          <w:tcPr>
            <w:tcW w:w="3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70BB31" w14:textId="77777777" w:rsidR="00560F38" w:rsidRDefault="00000000">
            <w:pPr>
              <w:jc w:val="both"/>
            </w:pPr>
            <w:r>
              <w:rPr>
                <w:color w:val="000000"/>
                <w:sz w:val="18"/>
                <w:szCs w:val="18"/>
              </w:rPr>
              <w:t>Resultado lesivo — Material + Imaterial</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C9F602" w14:textId="5D430181" w:rsidR="00560F38" w:rsidRDefault="00000000">
            <w:pPr>
              <w:jc w:val="both"/>
            </w:pPr>
            <w:r>
              <w:rPr>
                <w:color w:val="000000"/>
                <w:sz w:val="18"/>
                <w:szCs w:val="18"/>
              </w:rPr>
              <w:t>0 a 40</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EF6ED7" w14:textId="77777777" w:rsidR="00560F38" w:rsidRDefault="00000000">
            <w:pPr>
              <w:jc w:val="both"/>
            </w:pPr>
            <w:r>
              <w:rPr>
                <w:color w:val="000000"/>
                <w:sz w:val="18"/>
                <w:szCs w:val="18"/>
              </w:rPr>
              <w:t>30</w:t>
            </w:r>
          </w:p>
        </w:tc>
      </w:tr>
      <w:tr w:rsidR="00560F38" w14:paraId="2EC2FD8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7FB"/>
            <w:tcMar>
              <w:top w:w="80" w:type="dxa"/>
              <w:left w:w="120" w:type="dxa"/>
              <w:bottom w:w="80" w:type="dxa"/>
              <w:right w:w="120" w:type="dxa"/>
            </w:tcMar>
          </w:tcPr>
          <w:p w14:paraId="6A2DBB6D" w14:textId="77777777" w:rsidR="00560F38" w:rsidRDefault="00000000">
            <w:pPr>
              <w:jc w:val="both"/>
            </w:pPr>
            <w:r>
              <w:rPr>
                <w:color w:val="000000"/>
                <w:sz w:val="18"/>
                <w:szCs w:val="18"/>
              </w:rPr>
              <w:lastRenderedPageBreak/>
              <w:t>Circunstâncias (Elem. 4)</w:t>
            </w:r>
          </w:p>
        </w:tc>
        <w:tc>
          <w:tcPr>
            <w:tcW w:w="3460" w:type="dxa"/>
            <w:tcBorders>
              <w:top w:val="single" w:sz="1" w:space="0" w:color="CCCCCC"/>
              <w:left w:val="single" w:sz="1" w:space="0" w:color="CCCCCC"/>
              <w:bottom w:val="single" w:sz="1" w:space="0" w:color="CCCCCC"/>
              <w:right w:val="single" w:sz="1" w:space="0" w:color="CCCCCC"/>
            </w:tcBorders>
            <w:shd w:val="clear" w:color="auto" w:fill="F5F7FB"/>
            <w:tcMar>
              <w:top w:w="80" w:type="dxa"/>
              <w:left w:w="120" w:type="dxa"/>
              <w:bottom w:w="80" w:type="dxa"/>
              <w:right w:w="120" w:type="dxa"/>
            </w:tcMar>
          </w:tcPr>
          <w:p w14:paraId="777C3FA0" w14:textId="77777777" w:rsidR="00560F38" w:rsidRDefault="00000000">
            <w:pPr>
              <w:jc w:val="both"/>
            </w:pPr>
            <w:r>
              <w:rPr>
                <w:color w:val="000000"/>
                <w:sz w:val="18"/>
                <w:szCs w:val="18"/>
              </w:rPr>
              <w:t>Modulador contextual — soma dos sliders</w:t>
            </w:r>
          </w:p>
        </w:tc>
        <w:tc>
          <w:tcPr>
            <w:tcW w:w="1600" w:type="dxa"/>
            <w:tcBorders>
              <w:top w:val="single" w:sz="1" w:space="0" w:color="CCCCCC"/>
              <w:left w:val="single" w:sz="1" w:space="0" w:color="CCCCCC"/>
              <w:bottom w:val="single" w:sz="1" w:space="0" w:color="CCCCCC"/>
              <w:right w:val="single" w:sz="1" w:space="0" w:color="CCCCCC"/>
            </w:tcBorders>
            <w:shd w:val="clear" w:color="auto" w:fill="F5F7FB"/>
            <w:tcMar>
              <w:top w:w="80" w:type="dxa"/>
              <w:left w:w="120" w:type="dxa"/>
              <w:bottom w:w="80" w:type="dxa"/>
              <w:right w:w="120" w:type="dxa"/>
            </w:tcMar>
          </w:tcPr>
          <w:p w14:paraId="74A1E711" w14:textId="77777777" w:rsidR="00560F38" w:rsidRDefault="00000000">
            <w:pPr>
              <w:jc w:val="both"/>
            </w:pPr>
            <w:r>
              <w:rPr>
                <w:color w:val="000000"/>
                <w:sz w:val="18"/>
                <w:szCs w:val="18"/>
              </w:rPr>
              <w:t>variável</w:t>
            </w:r>
          </w:p>
        </w:tc>
        <w:tc>
          <w:tcPr>
            <w:tcW w:w="1900" w:type="dxa"/>
            <w:tcBorders>
              <w:top w:val="single" w:sz="1" w:space="0" w:color="CCCCCC"/>
              <w:left w:val="single" w:sz="1" w:space="0" w:color="CCCCCC"/>
              <w:bottom w:val="single" w:sz="1" w:space="0" w:color="CCCCCC"/>
              <w:right w:val="single" w:sz="1" w:space="0" w:color="CCCCCC"/>
            </w:tcBorders>
            <w:shd w:val="clear" w:color="auto" w:fill="F5F7FB"/>
            <w:tcMar>
              <w:top w:w="80" w:type="dxa"/>
              <w:left w:w="120" w:type="dxa"/>
              <w:bottom w:w="80" w:type="dxa"/>
              <w:right w:w="120" w:type="dxa"/>
            </w:tcMar>
          </w:tcPr>
          <w:p w14:paraId="022A6074" w14:textId="77777777" w:rsidR="00560F38" w:rsidRDefault="00000000">
            <w:pPr>
              <w:jc w:val="both"/>
            </w:pPr>
            <w:r>
              <w:rPr>
                <w:color w:val="000000"/>
                <w:sz w:val="18"/>
                <w:szCs w:val="18"/>
              </w:rPr>
              <w:t>variável</w:t>
            </w:r>
          </w:p>
        </w:tc>
      </w:tr>
      <w:tr w:rsidR="00560F38" w14:paraId="527C227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86325E" w14:textId="77777777" w:rsidR="00560F38" w:rsidRDefault="00000000">
            <w:pPr>
              <w:jc w:val="both"/>
            </w:pPr>
            <w:r>
              <w:rPr>
                <w:color w:val="000000"/>
                <w:sz w:val="18"/>
                <w:szCs w:val="18"/>
              </w:rPr>
              <w:t>Antecedentes (Elem. 5)</w:t>
            </w:r>
          </w:p>
        </w:tc>
        <w:tc>
          <w:tcPr>
            <w:tcW w:w="3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46FB57" w14:textId="77777777" w:rsidR="00560F38" w:rsidRDefault="00000000">
            <w:pPr>
              <w:jc w:val="both"/>
            </w:pPr>
            <w:r>
              <w:rPr>
                <w:color w:val="000000"/>
                <w:sz w:val="18"/>
                <w:szCs w:val="18"/>
              </w:rPr>
              <w:t>Modulador histórico — soma dos sliders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25257A" w14:textId="77777777" w:rsidR="00560F38" w:rsidRDefault="00000000">
            <w:pPr>
              <w:jc w:val="both"/>
            </w:pPr>
            <w:r>
              <w:rPr>
                <w:color w:val="000000"/>
                <w:sz w:val="18"/>
                <w:szCs w:val="18"/>
              </w:rPr>
              <w:t>variável</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1B9051" w14:textId="77777777" w:rsidR="00560F38" w:rsidRDefault="00000000">
            <w:pPr>
              <w:jc w:val="both"/>
            </w:pPr>
            <w:r>
              <w:rPr>
                <w:color w:val="000000"/>
                <w:sz w:val="18"/>
                <w:szCs w:val="18"/>
              </w:rPr>
              <w:t>variável</w:t>
            </w:r>
          </w:p>
        </w:tc>
      </w:tr>
      <w:tr w:rsidR="00560F38" w14:paraId="2BDB052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7FB"/>
            <w:tcMar>
              <w:top w:w="80" w:type="dxa"/>
              <w:left w:w="120" w:type="dxa"/>
              <w:bottom w:w="80" w:type="dxa"/>
              <w:right w:w="120" w:type="dxa"/>
            </w:tcMar>
          </w:tcPr>
          <w:p w14:paraId="7F43A537" w14:textId="77777777" w:rsidR="00560F38" w:rsidRDefault="00000000">
            <w:pPr>
              <w:jc w:val="both"/>
            </w:pPr>
            <w:r>
              <w:rPr>
                <w:color w:val="000000"/>
                <w:sz w:val="18"/>
                <w:szCs w:val="18"/>
              </w:rPr>
              <w:t>Soma Total</w:t>
            </w:r>
          </w:p>
        </w:tc>
        <w:tc>
          <w:tcPr>
            <w:tcW w:w="3460" w:type="dxa"/>
            <w:tcBorders>
              <w:top w:val="single" w:sz="1" w:space="0" w:color="CCCCCC"/>
              <w:left w:val="single" w:sz="1" w:space="0" w:color="CCCCCC"/>
              <w:bottom w:val="single" w:sz="1" w:space="0" w:color="CCCCCC"/>
              <w:right w:val="single" w:sz="1" w:space="0" w:color="CCCCCC"/>
            </w:tcBorders>
            <w:shd w:val="clear" w:color="auto" w:fill="F5F7FB"/>
            <w:tcMar>
              <w:top w:w="80" w:type="dxa"/>
              <w:left w:w="120" w:type="dxa"/>
              <w:bottom w:w="80" w:type="dxa"/>
              <w:right w:w="120" w:type="dxa"/>
            </w:tcMar>
          </w:tcPr>
          <w:p w14:paraId="61263BB2" w14:textId="77777777" w:rsidR="00560F38" w:rsidRDefault="00000000">
            <w:pPr>
              <w:jc w:val="both"/>
            </w:pPr>
            <w:r>
              <w:rPr>
                <w:color w:val="000000"/>
                <w:sz w:val="18"/>
                <w:szCs w:val="18"/>
              </w:rPr>
              <w:t>Base da conversão em penalidade</w:t>
            </w:r>
          </w:p>
        </w:tc>
        <w:tc>
          <w:tcPr>
            <w:tcW w:w="1600" w:type="dxa"/>
            <w:tcBorders>
              <w:top w:val="single" w:sz="1" w:space="0" w:color="CCCCCC"/>
              <w:left w:val="single" w:sz="1" w:space="0" w:color="CCCCCC"/>
              <w:bottom w:val="single" w:sz="1" w:space="0" w:color="CCCCCC"/>
              <w:right w:val="single" w:sz="1" w:space="0" w:color="CCCCCC"/>
            </w:tcBorders>
            <w:shd w:val="clear" w:color="auto" w:fill="F5F7FB"/>
            <w:tcMar>
              <w:top w:w="80" w:type="dxa"/>
              <w:left w:w="120" w:type="dxa"/>
              <w:bottom w:w="80" w:type="dxa"/>
              <w:right w:w="120" w:type="dxa"/>
            </w:tcMar>
          </w:tcPr>
          <w:p w14:paraId="12CCFA4D" w14:textId="77777777" w:rsidR="00560F38" w:rsidRDefault="00000000">
            <w:pPr>
              <w:jc w:val="both"/>
            </w:pPr>
            <w:r>
              <w:rPr>
                <w:color w:val="000000"/>
                <w:sz w:val="18"/>
                <w:szCs w:val="18"/>
              </w:rPr>
              <w:t>variável</w:t>
            </w:r>
          </w:p>
        </w:tc>
        <w:tc>
          <w:tcPr>
            <w:tcW w:w="1900" w:type="dxa"/>
            <w:tcBorders>
              <w:top w:val="single" w:sz="1" w:space="0" w:color="CCCCCC"/>
              <w:left w:val="single" w:sz="1" w:space="0" w:color="CCCCCC"/>
              <w:bottom w:val="single" w:sz="1" w:space="0" w:color="CCCCCC"/>
              <w:right w:val="single" w:sz="1" w:space="0" w:color="CCCCCC"/>
            </w:tcBorders>
            <w:shd w:val="clear" w:color="auto" w:fill="F5F7FB"/>
            <w:tcMar>
              <w:top w:w="80" w:type="dxa"/>
              <w:left w:w="120" w:type="dxa"/>
              <w:bottom w:w="80" w:type="dxa"/>
              <w:right w:w="120" w:type="dxa"/>
            </w:tcMar>
          </w:tcPr>
          <w:p w14:paraId="5CAB1F42" w14:textId="77777777" w:rsidR="00560F38" w:rsidRDefault="00000000">
            <w:pPr>
              <w:jc w:val="both"/>
            </w:pPr>
            <w:r>
              <w:rPr>
                <w:color w:val="000000"/>
                <w:sz w:val="18"/>
                <w:szCs w:val="18"/>
              </w:rPr>
              <w:t>120 (teórico)</w:t>
            </w:r>
          </w:p>
        </w:tc>
      </w:tr>
    </w:tbl>
    <w:p w14:paraId="0C61DC1A" w14:textId="77777777" w:rsidR="00560F38" w:rsidRDefault="00560F38"/>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60F38" w14:paraId="2684DBBB" w14:textId="77777777">
        <w:tblPrEx>
          <w:tblCellMar>
            <w:top w:w="0" w:type="dxa"/>
            <w:bottom w:w="0" w:type="dxa"/>
          </w:tblCellMar>
        </w:tblPrEx>
        <w:tc>
          <w:tcPr>
            <w:tcW w:w="9360" w:type="dxa"/>
            <w:tcBorders>
              <w:top w:val="single" w:sz="4" w:space="0" w:color="1F3864"/>
              <w:left w:val="single" w:sz="4" w:space="0" w:color="1F3864"/>
              <w:bottom w:val="single" w:sz="4" w:space="0" w:color="1F3864"/>
              <w:right w:val="single" w:sz="4" w:space="0" w:color="1F3864"/>
            </w:tcBorders>
            <w:shd w:val="clear" w:color="auto" w:fill="EEF2F7"/>
            <w:tcMar>
              <w:top w:w="100" w:type="dxa"/>
              <w:left w:w="180" w:type="dxa"/>
              <w:bottom w:w="100" w:type="dxa"/>
              <w:right w:w="180" w:type="dxa"/>
            </w:tcMar>
          </w:tcPr>
          <w:p w14:paraId="21457BA2" w14:textId="77777777" w:rsidR="00560F38" w:rsidRDefault="00000000">
            <w:pPr>
              <w:spacing w:before="60" w:after="40"/>
            </w:pPr>
            <w:r>
              <w:rPr>
                <w:b/>
                <w:bCs/>
                <w:color w:val="1F3864"/>
                <w:sz w:val="18"/>
                <w:szCs w:val="18"/>
              </w:rPr>
              <w:t>NOTA</w:t>
            </w:r>
          </w:p>
          <w:p w14:paraId="01A4B372" w14:textId="77777777" w:rsidR="00560F38" w:rsidRDefault="00000000">
            <w:pPr>
              <w:spacing w:before="40" w:after="60" w:line="260" w:lineRule="auto"/>
              <w:jc w:val="both"/>
            </w:pPr>
            <w:r>
              <w:rPr>
                <w:i/>
                <w:iCs/>
                <w:sz w:val="18"/>
                <w:szCs w:val="18"/>
              </w:rPr>
              <w:t>As faixas refletem escolhas metodológicas da Coger/RFB, não determinações legais explícitas. São auditáveis e podem ser revistas. O que a Lei impõe são os critérios do art. 128 e a obrigação de motivá-los.</w:t>
            </w:r>
          </w:p>
        </w:tc>
      </w:tr>
    </w:tbl>
    <w:p w14:paraId="51EE5B11" w14:textId="77777777" w:rsidR="00560F38" w:rsidRDefault="00000000">
      <w:pPr>
        <w:pStyle w:val="Ttulo1"/>
      </w:pPr>
      <w:bookmarkStart w:id="11" w:name="_Toc232175856"/>
      <w:r>
        <w:t>4. Regimes de Conversão</w:t>
      </w:r>
      <w:bookmarkEnd w:id="11"/>
    </w:p>
    <w:p w14:paraId="4028811E" w14:textId="77777777" w:rsidR="00560F38" w:rsidRDefault="00000000">
      <w:pPr>
        <w:spacing w:before="80" w:after="80" w:line="276" w:lineRule="auto"/>
        <w:jc w:val="both"/>
      </w:pPr>
      <w:r>
        <w:t>A Soma Total da primeira fase é convertida em advertência ou em dias de suspensão conforme o regime identificado na tela de Classificação.</w:t>
      </w:r>
    </w:p>
    <w:p w14:paraId="6CEE2746" w14:textId="77777777" w:rsidR="00560F38" w:rsidRDefault="00560F38"/>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32"/>
        <w:gridCol w:w="1818"/>
        <w:gridCol w:w="3524"/>
        <w:gridCol w:w="2786"/>
      </w:tblGrid>
      <w:tr w:rsidR="00560F38" w14:paraId="1704603D"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7659E4C" w14:textId="77777777" w:rsidR="00560F38" w:rsidRDefault="00000000">
            <w:pPr>
              <w:jc w:val="both"/>
            </w:pPr>
            <w:r>
              <w:rPr>
                <w:b/>
                <w:bCs/>
                <w:color w:val="FFFFFF"/>
                <w:sz w:val="17"/>
                <w:szCs w:val="17"/>
              </w:rPr>
              <w:t>Regime</w:t>
            </w:r>
          </w:p>
        </w:tc>
        <w:tc>
          <w:tcPr>
            <w:tcW w:w="19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0767272" w14:textId="77777777" w:rsidR="00560F38" w:rsidRDefault="00000000">
            <w:pPr>
              <w:jc w:val="both"/>
            </w:pPr>
            <w:r>
              <w:rPr>
                <w:b/>
                <w:bCs/>
                <w:color w:val="FFFFFF"/>
                <w:sz w:val="17"/>
                <w:szCs w:val="17"/>
              </w:rPr>
              <w:t>Base legal</w:t>
            </w:r>
          </w:p>
        </w:tc>
        <w:tc>
          <w:tcPr>
            <w:tcW w:w="36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B115907" w14:textId="77777777" w:rsidR="00560F38" w:rsidRDefault="00000000">
            <w:pPr>
              <w:jc w:val="both"/>
            </w:pPr>
            <w:r>
              <w:rPr>
                <w:b/>
                <w:bCs/>
                <w:color w:val="FFFFFF"/>
                <w:sz w:val="17"/>
                <w:szCs w:val="17"/>
              </w:rPr>
              <w:t>Fórmula de conversão</w:t>
            </w:r>
          </w:p>
        </w:tc>
        <w:tc>
          <w:tcPr>
            <w:tcW w:w="29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39144AD" w14:textId="77777777" w:rsidR="00560F38" w:rsidRDefault="00000000">
            <w:pPr>
              <w:jc w:val="both"/>
            </w:pPr>
            <w:r>
              <w:rPr>
                <w:b/>
                <w:bCs/>
                <w:color w:val="FFFFFF"/>
                <w:sz w:val="17"/>
                <w:szCs w:val="17"/>
              </w:rPr>
              <w:t>Penalidade</w:t>
            </w:r>
          </w:p>
        </w:tc>
      </w:tr>
      <w:tr w:rsidR="00560F38" w14:paraId="54C50CE9"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ECD144" w14:textId="77777777" w:rsidR="00560F38" w:rsidRDefault="00000000">
            <w:pPr>
              <w:jc w:val="both"/>
            </w:pPr>
            <w:r>
              <w:rPr>
                <w:color w:val="000000"/>
                <w:sz w:val="17"/>
                <w:szCs w:val="17"/>
              </w:rPr>
              <w:t>GERAL</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24CDA9" w14:textId="77777777" w:rsidR="00560F38" w:rsidRDefault="00000000">
            <w:pPr>
              <w:jc w:val="both"/>
            </w:pPr>
            <w:r>
              <w:rPr>
                <w:color w:val="000000"/>
                <w:sz w:val="17"/>
                <w:szCs w:val="17"/>
              </w:rPr>
              <w:t>Arts. 116; 117, I–VIII e XIX</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F28977" w14:textId="77777777" w:rsidR="00560F38" w:rsidRDefault="00000000">
            <w:pPr>
              <w:jc w:val="both"/>
            </w:pPr>
            <w:r>
              <w:rPr>
                <w:color w:val="000000"/>
                <w:sz w:val="17"/>
                <w:szCs w:val="17"/>
              </w:rPr>
              <w:t>Soma ≤ 30 → advertência.</w:t>
            </w:r>
          </w:p>
          <w:p w14:paraId="42904F21" w14:textId="77777777" w:rsidR="00560F38" w:rsidRDefault="00000000">
            <w:pPr>
              <w:jc w:val="both"/>
            </w:pPr>
            <w:r>
              <w:rPr>
                <w:color w:val="000000"/>
                <w:sz w:val="17"/>
                <w:szCs w:val="17"/>
              </w:rPr>
              <w:t>Soma &gt; 30 → min(Soma − 30, 90) dias.</w:t>
            </w:r>
          </w:p>
        </w:tc>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3887F8" w14:textId="77777777" w:rsidR="00560F38" w:rsidRDefault="00000000">
            <w:pPr>
              <w:jc w:val="both"/>
            </w:pPr>
            <w:r>
              <w:rPr>
                <w:color w:val="000000"/>
                <w:sz w:val="17"/>
                <w:szCs w:val="17"/>
              </w:rPr>
              <w:t>Advertência ou suspensão de 1 a 90 dias</w:t>
            </w:r>
          </w:p>
        </w:tc>
      </w:tr>
      <w:tr w:rsidR="00560F38" w14:paraId="416B3DCB"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5F7FB"/>
            <w:tcMar>
              <w:top w:w="80" w:type="dxa"/>
              <w:left w:w="120" w:type="dxa"/>
              <w:bottom w:w="80" w:type="dxa"/>
              <w:right w:w="120" w:type="dxa"/>
            </w:tcMar>
          </w:tcPr>
          <w:p w14:paraId="268D1BFD" w14:textId="77777777" w:rsidR="00560F38" w:rsidRDefault="00000000">
            <w:pPr>
              <w:jc w:val="both"/>
            </w:pPr>
            <w:r>
              <w:rPr>
                <w:color w:val="000000"/>
                <w:sz w:val="17"/>
                <w:szCs w:val="17"/>
              </w:rPr>
              <w:t>RE1</w:t>
            </w:r>
          </w:p>
        </w:tc>
        <w:tc>
          <w:tcPr>
            <w:tcW w:w="1900" w:type="dxa"/>
            <w:tcBorders>
              <w:top w:val="single" w:sz="1" w:space="0" w:color="CCCCCC"/>
              <w:left w:val="single" w:sz="1" w:space="0" w:color="CCCCCC"/>
              <w:bottom w:val="single" w:sz="1" w:space="0" w:color="CCCCCC"/>
              <w:right w:val="single" w:sz="1" w:space="0" w:color="CCCCCC"/>
            </w:tcBorders>
            <w:shd w:val="clear" w:color="auto" w:fill="F5F7FB"/>
            <w:tcMar>
              <w:top w:w="80" w:type="dxa"/>
              <w:left w:w="120" w:type="dxa"/>
              <w:bottom w:w="80" w:type="dxa"/>
              <w:right w:w="120" w:type="dxa"/>
            </w:tcMar>
          </w:tcPr>
          <w:p w14:paraId="0E778E7B" w14:textId="77777777" w:rsidR="00560F38" w:rsidRDefault="00000000">
            <w:pPr>
              <w:jc w:val="both"/>
            </w:pPr>
            <w:r>
              <w:rPr>
                <w:color w:val="000000"/>
                <w:sz w:val="17"/>
                <w:szCs w:val="17"/>
              </w:rPr>
              <w:t>Art. 117, XVII e XVIII</w:t>
            </w:r>
          </w:p>
        </w:tc>
        <w:tc>
          <w:tcPr>
            <w:tcW w:w="3660" w:type="dxa"/>
            <w:tcBorders>
              <w:top w:val="single" w:sz="1" w:space="0" w:color="CCCCCC"/>
              <w:left w:val="single" w:sz="1" w:space="0" w:color="CCCCCC"/>
              <w:bottom w:val="single" w:sz="1" w:space="0" w:color="CCCCCC"/>
              <w:right w:val="single" w:sz="1" w:space="0" w:color="CCCCCC"/>
            </w:tcBorders>
            <w:shd w:val="clear" w:color="auto" w:fill="F5F7FB"/>
            <w:tcMar>
              <w:top w:w="80" w:type="dxa"/>
              <w:left w:w="120" w:type="dxa"/>
              <w:bottom w:w="80" w:type="dxa"/>
              <w:right w:w="120" w:type="dxa"/>
            </w:tcMar>
          </w:tcPr>
          <w:p w14:paraId="1BA1C8CC" w14:textId="77777777" w:rsidR="00560F38" w:rsidRDefault="00000000">
            <w:pPr>
              <w:jc w:val="both"/>
            </w:pPr>
            <w:r>
              <w:rPr>
                <w:color w:val="000000"/>
                <w:sz w:val="17"/>
                <w:szCs w:val="17"/>
              </w:rPr>
              <w:t>max(1, min(⌊3×Soma÷4⌋, 90)) dias</w:t>
            </w:r>
          </w:p>
        </w:tc>
        <w:tc>
          <w:tcPr>
            <w:tcW w:w="2900" w:type="dxa"/>
            <w:tcBorders>
              <w:top w:val="single" w:sz="1" w:space="0" w:color="CCCCCC"/>
              <w:left w:val="single" w:sz="1" w:space="0" w:color="CCCCCC"/>
              <w:bottom w:val="single" w:sz="1" w:space="0" w:color="CCCCCC"/>
              <w:right w:val="single" w:sz="1" w:space="0" w:color="CCCCCC"/>
            </w:tcBorders>
            <w:shd w:val="clear" w:color="auto" w:fill="F5F7FB"/>
            <w:tcMar>
              <w:top w:w="80" w:type="dxa"/>
              <w:left w:w="120" w:type="dxa"/>
              <w:bottom w:w="80" w:type="dxa"/>
              <w:right w:w="120" w:type="dxa"/>
            </w:tcMar>
          </w:tcPr>
          <w:p w14:paraId="28A0F1DC" w14:textId="77777777" w:rsidR="00560F38" w:rsidRDefault="00000000">
            <w:pPr>
              <w:jc w:val="both"/>
            </w:pPr>
            <w:r>
              <w:rPr>
                <w:color w:val="000000"/>
                <w:sz w:val="17"/>
                <w:szCs w:val="17"/>
              </w:rPr>
              <w:t>Suspensão obrigatória de 1 a 90 dias</w:t>
            </w:r>
          </w:p>
        </w:tc>
      </w:tr>
      <w:tr w:rsidR="00560F38" w14:paraId="5FF27553"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2E696A" w14:textId="77777777" w:rsidR="00560F38" w:rsidRDefault="00000000">
            <w:pPr>
              <w:jc w:val="both"/>
            </w:pPr>
            <w:r>
              <w:rPr>
                <w:color w:val="000000"/>
                <w:sz w:val="17"/>
                <w:szCs w:val="17"/>
              </w:rPr>
              <w:t>RE2</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8EEB16" w14:textId="77777777" w:rsidR="00560F38" w:rsidRDefault="00000000">
            <w:pPr>
              <w:jc w:val="both"/>
            </w:pPr>
            <w:r>
              <w:rPr>
                <w:color w:val="000000"/>
                <w:sz w:val="17"/>
                <w:szCs w:val="17"/>
              </w:rPr>
              <w:t>Art. 130, § 1º</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DD9432" w14:textId="77777777" w:rsidR="00560F38" w:rsidRDefault="00000000">
            <w:pPr>
              <w:jc w:val="both"/>
            </w:pPr>
            <w:r>
              <w:rPr>
                <w:color w:val="000000"/>
                <w:sz w:val="17"/>
                <w:szCs w:val="17"/>
              </w:rPr>
              <w:t>max(1, min(⌊Soma÷8⌋, 15)) dias</w:t>
            </w:r>
          </w:p>
        </w:tc>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8AF68A" w14:textId="77777777" w:rsidR="00560F38" w:rsidRDefault="00000000">
            <w:pPr>
              <w:jc w:val="both"/>
            </w:pPr>
            <w:r>
              <w:rPr>
                <w:color w:val="000000"/>
                <w:sz w:val="17"/>
                <w:szCs w:val="17"/>
              </w:rPr>
              <w:t>Suspensão obrigatória de 1 a 15 dias.</w:t>
            </w:r>
          </w:p>
          <w:p w14:paraId="4320E4B3" w14:textId="77777777" w:rsidR="00560F38" w:rsidRDefault="00000000">
            <w:pPr>
              <w:jc w:val="both"/>
            </w:pPr>
            <w:r>
              <w:rPr>
                <w:color w:val="000000"/>
                <w:sz w:val="17"/>
                <w:szCs w:val="17"/>
              </w:rPr>
              <w:t>Apenas dolo admissível em SF1.1.</w:t>
            </w:r>
          </w:p>
        </w:tc>
      </w:tr>
      <w:tr w:rsidR="00560F38" w14:paraId="1D2674D4"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5F7FB"/>
            <w:tcMar>
              <w:top w:w="80" w:type="dxa"/>
              <w:left w:w="120" w:type="dxa"/>
              <w:bottom w:w="80" w:type="dxa"/>
              <w:right w:w="120" w:type="dxa"/>
            </w:tcMar>
          </w:tcPr>
          <w:p w14:paraId="738BEA3C" w14:textId="77777777" w:rsidR="00560F38" w:rsidRDefault="00000000">
            <w:pPr>
              <w:jc w:val="both"/>
            </w:pPr>
            <w:r>
              <w:rPr>
                <w:color w:val="000000"/>
                <w:sz w:val="17"/>
                <w:szCs w:val="17"/>
              </w:rPr>
              <w:t>RE3</w:t>
            </w:r>
          </w:p>
        </w:tc>
        <w:tc>
          <w:tcPr>
            <w:tcW w:w="1900" w:type="dxa"/>
            <w:tcBorders>
              <w:top w:val="single" w:sz="1" w:space="0" w:color="CCCCCC"/>
              <w:left w:val="single" w:sz="1" w:space="0" w:color="CCCCCC"/>
              <w:bottom w:val="single" w:sz="1" w:space="0" w:color="CCCCCC"/>
              <w:right w:val="single" w:sz="1" w:space="0" w:color="CCCCCC"/>
            </w:tcBorders>
            <w:shd w:val="clear" w:color="auto" w:fill="F5F7FB"/>
            <w:tcMar>
              <w:top w:w="80" w:type="dxa"/>
              <w:left w:w="120" w:type="dxa"/>
              <w:bottom w:w="80" w:type="dxa"/>
              <w:right w:w="120" w:type="dxa"/>
            </w:tcMar>
          </w:tcPr>
          <w:p w14:paraId="59A5EE04" w14:textId="77777777" w:rsidR="00560F38" w:rsidRDefault="00000000">
            <w:pPr>
              <w:jc w:val="both"/>
            </w:pPr>
            <w:r>
              <w:rPr>
                <w:color w:val="000000"/>
                <w:sz w:val="17"/>
                <w:szCs w:val="17"/>
              </w:rPr>
              <w:t>Art. 32 da LAI</w:t>
            </w:r>
          </w:p>
        </w:tc>
        <w:tc>
          <w:tcPr>
            <w:tcW w:w="3660" w:type="dxa"/>
            <w:tcBorders>
              <w:top w:val="single" w:sz="1" w:space="0" w:color="CCCCCC"/>
              <w:left w:val="single" w:sz="1" w:space="0" w:color="CCCCCC"/>
              <w:bottom w:val="single" w:sz="1" w:space="0" w:color="CCCCCC"/>
              <w:right w:val="single" w:sz="1" w:space="0" w:color="CCCCCC"/>
            </w:tcBorders>
            <w:shd w:val="clear" w:color="auto" w:fill="F5F7FB"/>
            <w:tcMar>
              <w:top w:w="80" w:type="dxa"/>
              <w:left w:w="120" w:type="dxa"/>
              <w:bottom w:w="80" w:type="dxa"/>
              <w:right w:w="120" w:type="dxa"/>
            </w:tcMar>
          </w:tcPr>
          <w:p w14:paraId="4DA8F0C9" w14:textId="77777777" w:rsidR="00560F38" w:rsidRDefault="00000000">
            <w:pPr>
              <w:jc w:val="both"/>
            </w:pPr>
            <w:r>
              <w:rPr>
                <w:color w:val="000000"/>
                <w:sz w:val="17"/>
                <w:szCs w:val="17"/>
              </w:rPr>
              <w:t>Idêntico ao RE1</w:t>
            </w:r>
          </w:p>
        </w:tc>
        <w:tc>
          <w:tcPr>
            <w:tcW w:w="2900" w:type="dxa"/>
            <w:tcBorders>
              <w:top w:val="single" w:sz="1" w:space="0" w:color="CCCCCC"/>
              <w:left w:val="single" w:sz="1" w:space="0" w:color="CCCCCC"/>
              <w:bottom w:val="single" w:sz="1" w:space="0" w:color="CCCCCC"/>
              <w:right w:val="single" w:sz="1" w:space="0" w:color="CCCCCC"/>
            </w:tcBorders>
            <w:shd w:val="clear" w:color="auto" w:fill="F5F7FB"/>
            <w:tcMar>
              <w:top w:w="80" w:type="dxa"/>
              <w:left w:w="120" w:type="dxa"/>
              <w:bottom w:w="80" w:type="dxa"/>
              <w:right w:w="120" w:type="dxa"/>
            </w:tcMar>
          </w:tcPr>
          <w:p w14:paraId="652A26FC" w14:textId="77777777" w:rsidR="00560F38" w:rsidRDefault="00000000">
            <w:pPr>
              <w:jc w:val="both"/>
            </w:pPr>
            <w:r>
              <w:rPr>
                <w:color w:val="000000"/>
                <w:sz w:val="17"/>
                <w:szCs w:val="17"/>
              </w:rPr>
              <w:t>Suspensão obrigatória de 1 a 90 dias</w:t>
            </w:r>
          </w:p>
        </w:tc>
      </w:tr>
      <w:tr w:rsidR="00560F38" w14:paraId="5B065C28"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5CB657" w14:textId="77777777" w:rsidR="00560F38" w:rsidRDefault="00000000">
            <w:pPr>
              <w:jc w:val="both"/>
            </w:pPr>
            <w:r>
              <w:rPr>
                <w:color w:val="000000"/>
                <w:sz w:val="17"/>
                <w:szCs w:val="17"/>
              </w:rPr>
              <w:t>CONCURSO</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CC12D3" w14:textId="77777777" w:rsidR="00560F38" w:rsidRDefault="00000000">
            <w:pPr>
              <w:jc w:val="both"/>
            </w:pPr>
            <w:r>
              <w:rPr>
                <w:color w:val="000000"/>
                <w:sz w:val="17"/>
                <w:szCs w:val="17"/>
              </w:rPr>
              <w:t>Art. 128 c/c art. 130</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FB2615" w14:textId="77777777" w:rsidR="00560F38" w:rsidRDefault="00000000">
            <w:pPr>
              <w:jc w:val="both"/>
            </w:pPr>
            <w:r>
              <w:rPr>
                <w:color w:val="000000"/>
                <w:sz w:val="17"/>
                <w:szCs w:val="17"/>
              </w:rPr>
              <w:t>Soma das suspensões; teto de 90 dias.</w:t>
            </w:r>
          </w:p>
          <w:p w14:paraId="0AF0D02B" w14:textId="77777777" w:rsidR="00560F38" w:rsidRDefault="00000000">
            <w:pPr>
              <w:jc w:val="both"/>
            </w:pPr>
            <w:r>
              <w:rPr>
                <w:color w:val="000000"/>
                <w:sz w:val="17"/>
                <w:szCs w:val="17"/>
              </w:rPr>
              <w:t>Se resultado = 0 e houver advertência → advertência.</w:t>
            </w:r>
          </w:p>
        </w:tc>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6EC19C" w14:textId="77777777" w:rsidR="00560F38" w:rsidRDefault="00000000">
            <w:pPr>
              <w:jc w:val="both"/>
            </w:pPr>
            <w:r>
              <w:rPr>
                <w:color w:val="000000"/>
                <w:sz w:val="17"/>
                <w:szCs w:val="17"/>
              </w:rPr>
              <w:t>Suspensão prevalece; teto de 90 dias</w:t>
            </w:r>
          </w:p>
        </w:tc>
      </w:tr>
    </w:tbl>
    <w:p w14:paraId="1E0A463F" w14:textId="77777777" w:rsidR="00560F38" w:rsidRDefault="00560F38"/>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60F38" w14:paraId="128B9E87" w14:textId="77777777">
        <w:tblPrEx>
          <w:tblCellMar>
            <w:top w:w="0" w:type="dxa"/>
            <w:bottom w:w="0" w:type="dxa"/>
          </w:tblCellMar>
        </w:tblPrEx>
        <w:tc>
          <w:tcPr>
            <w:tcW w:w="9360" w:type="dxa"/>
            <w:tcBorders>
              <w:top w:val="single" w:sz="4" w:space="0" w:color="1F3864"/>
              <w:left w:val="single" w:sz="4" w:space="0" w:color="1F3864"/>
              <w:bottom w:val="single" w:sz="4" w:space="0" w:color="1F3864"/>
              <w:right w:val="single" w:sz="4" w:space="0" w:color="1F3864"/>
            </w:tcBorders>
            <w:shd w:val="clear" w:color="auto" w:fill="EEF2F7"/>
            <w:tcMar>
              <w:top w:w="100" w:type="dxa"/>
              <w:left w:w="180" w:type="dxa"/>
              <w:bottom w:w="100" w:type="dxa"/>
              <w:right w:w="180" w:type="dxa"/>
            </w:tcMar>
          </w:tcPr>
          <w:p w14:paraId="0B359EF4" w14:textId="77777777" w:rsidR="00560F38" w:rsidRDefault="00000000">
            <w:pPr>
              <w:spacing w:before="60" w:after="40"/>
            </w:pPr>
            <w:r>
              <w:rPr>
                <w:b/>
                <w:bCs/>
                <w:color w:val="1F3864"/>
                <w:sz w:val="18"/>
                <w:szCs w:val="18"/>
              </w:rPr>
              <w:t>NOTA</w:t>
            </w:r>
          </w:p>
          <w:p w14:paraId="231FB5BB" w14:textId="77777777" w:rsidR="00560F38" w:rsidRDefault="00000000">
            <w:pPr>
              <w:spacing w:before="40" w:after="60" w:line="260" w:lineRule="auto"/>
              <w:jc w:val="both"/>
            </w:pPr>
            <w:r>
              <w:rPr>
                <w:i/>
                <w:iCs/>
                <w:sz w:val="18"/>
                <w:szCs w:val="18"/>
              </w:rPr>
              <w:t>No Regime RE2, somente o dolo é admissível em SF1.1, pois a recusa à perícia pressupõe ação intencional. No Regime de Concurso, cada infração é dosada de forma independente antes de consolidar o resultado.</w:t>
            </w:r>
          </w:p>
        </w:tc>
      </w:tr>
    </w:tbl>
    <w:p w14:paraId="114D617C" w14:textId="77777777" w:rsidR="00560F38" w:rsidRDefault="00000000">
      <w:r>
        <w:br w:type="page"/>
      </w:r>
    </w:p>
    <w:p w14:paraId="60A18D9D" w14:textId="77777777" w:rsidR="00560F38" w:rsidRDefault="00000000">
      <w:pPr>
        <w:shd w:val="clear" w:color="auto" w:fill="1F3864"/>
        <w:spacing w:before="200" w:after="200"/>
        <w:jc w:val="center"/>
      </w:pPr>
      <w:r>
        <w:rPr>
          <w:b/>
          <w:bCs/>
          <w:color w:val="FFFFFF"/>
          <w:sz w:val="28"/>
          <w:szCs w:val="28"/>
        </w:rPr>
        <w:lastRenderedPageBreak/>
        <w:t>PARTE III — ANÁLISE JURÍDICA DOS ELEMENTOS</w:t>
      </w:r>
    </w:p>
    <w:p w14:paraId="30C2A963" w14:textId="77777777" w:rsidR="00560F38" w:rsidRDefault="00000000">
      <w:pPr>
        <w:pStyle w:val="Ttulo1"/>
      </w:pPr>
      <w:bookmarkStart w:id="12" w:name="_Toc232175857"/>
      <w:r>
        <w:t>5. Elemento 1 — Natureza da Infração</w:t>
      </w:r>
      <w:bookmarkEnd w:id="12"/>
    </w:p>
    <w:p w14:paraId="36E8FD47" w14:textId="77777777" w:rsidR="00560F38" w:rsidRDefault="00000000">
      <w:pPr>
        <w:spacing w:before="80" w:after="80" w:line="276" w:lineRule="auto"/>
        <w:jc w:val="both"/>
      </w:pPr>
      <w:r>
        <w:t xml:space="preserve">Base legal: </w:t>
      </w:r>
      <w:r>
        <w:rPr>
          <w:b/>
          <w:bCs/>
        </w:rPr>
        <w:t>art. 128; arts. 12 e 17 do Decreto nº 9.830/2019; e art. 28 da LINDB.</w:t>
      </w:r>
      <w:r>
        <w:t xml:space="preserve"> Teto: 30 pontos.</w:t>
      </w:r>
    </w:p>
    <w:p w14:paraId="23495D1E" w14:textId="77777777" w:rsidR="00560F38" w:rsidRDefault="00560F38"/>
    <w:p w14:paraId="508616F2" w14:textId="77777777" w:rsidR="00560F38" w:rsidRDefault="00000000">
      <w:pPr>
        <w:spacing w:before="80" w:after="80" w:line="276" w:lineRule="auto"/>
        <w:jc w:val="both"/>
      </w:pPr>
      <w:r>
        <w:t>A natureza avalia o aspecto subjetivo da conduta — o elemento volitivo predominante e o grau de consciência da ilicitude do agente. É o critério que melhor expressa o desvalor da ação: aquilo que torna censurável não apenas o que se fez, mas o estado anímico com que se fez.</w:t>
      </w:r>
    </w:p>
    <w:p w14:paraId="432B33F4" w14:textId="77777777" w:rsidR="00560F38" w:rsidRDefault="00000000">
      <w:pPr>
        <w:spacing w:before="80" w:after="80" w:line="276" w:lineRule="auto"/>
        <w:jc w:val="both"/>
      </w:pPr>
      <w:r>
        <w:t>Sendo impossível penetrar diretamente na consciência do agente, o elemento subjetivo é individualizado a partir das circunstâncias periféricas ao caso: o conhecimento que o agente tinha dos fatos e de suas consequências, o grau de discernimento exigido para a função exercida e a presença de eventuais escusas. O Direito brasileiro adotou a teoria finalista da ação, de Hans Welzel. A reprovabilidade gradua-se conforme o agente tenha querido o resultado, assumido o risco de produzi-lo ou simplesmente faltado com o dever de cuidado.</w:t>
      </w:r>
    </w:p>
    <w:p w14:paraId="6B750303" w14:textId="77777777" w:rsidR="00560F38" w:rsidRDefault="00560F38"/>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60F38" w14:paraId="1C405A74" w14:textId="77777777">
        <w:tblPrEx>
          <w:tblCellMar>
            <w:top w:w="0" w:type="dxa"/>
            <w:bottom w:w="0" w:type="dxa"/>
          </w:tblCellMar>
        </w:tblPrEx>
        <w:tc>
          <w:tcPr>
            <w:tcW w:w="9360" w:type="dxa"/>
            <w:tcBorders>
              <w:top w:val="single" w:sz="4" w:space="0" w:color="1F3864"/>
              <w:left w:val="single" w:sz="4" w:space="0" w:color="1F3864"/>
              <w:bottom w:val="single" w:sz="4" w:space="0" w:color="1F3864"/>
              <w:right w:val="single" w:sz="4" w:space="0" w:color="1F3864"/>
            </w:tcBorders>
            <w:shd w:val="clear" w:color="auto" w:fill="EEF2F7"/>
            <w:tcMar>
              <w:top w:w="100" w:type="dxa"/>
              <w:left w:w="180" w:type="dxa"/>
              <w:bottom w:w="100" w:type="dxa"/>
              <w:right w:w="180" w:type="dxa"/>
            </w:tcMar>
          </w:tcPr>
          <w:p w14:paraId="03016F19" w14:textId="77777777" w:rsidR="00560F38" w:rsidRDefault="00000000">
            <w:pPr>
              <w:spacing w:before="60" w:after="40"/>
            </w:pPr>
            <w:r>
              <w:rPr>
                <w:b/>
                <w:bCs/>
                <w:color w:val="1F3864"/>
                <w:sz w:val="18"/>
                <w:szCs w:val="18"/>
              </w:rPr>
              <w:t>NOTA</w:t>
            </w:r>
          </w:p>
          <w:p w14:paraId="690FBFDC" w14:textId="77777777" w:rsidR="00560F38" w:rsidRDefault="00000000">
            <w:pPr>
              <w:spacing w:before="40" w:after="60" w:line="260" w:lineRule="auto"/>
              <w:jc w:val="both"/>
            </w:pPr>
            <w:r>
              <w:rPr>
                <w:i/>
                <w:iCs/>
                <w:sz w:val="18"/>
                <w:szCs w:val="18"/>
              </w:rPr>
              <w:t>Embora o art. 28 da LINDB restrinja a responsabilização do agente público às hipóteses de dolo ou erro grosseiro, essa disposição não afasta a aplicação de sanções disciplinares também na culpa leve, por força expressa do art. 17 do Decreto nº 9.830/2019.</w:t>
            </w:r>
          </w:p>
        </w:tc>
      </w:tr>
    </w:tbl>
    <w:p w14:paraId="6BDAE476" w14:textId="77777777" w:rsidR="00560F38" w:rsidRDefault="00560F38"/>
    <w:p w14:paraId="477B7848" w14:textId="77777777" w:rsidR="00560F38" w:rsidRDefault="00000000">
      <w:pPr>
        <w:pStyle w:val="Ttulo2"/>
      </w:pPr>
      <w:bookmarkStart w:id="13" w:name="_Toc232175858"/>
      <w:r>
        <w:t>5.1 O dolo</w:t>
      </w:r>
      <w:bookmarkEnd w:id="13"/>
    </w:p>
    <w:p w14:paraId="66C22DE8" w14:textId="77777777" w:rsidR="00560F38" w:rsidRDefault="00000000">
      <w:pPr>
        <w:spacing w:before="80" w:after="80" w:line="276" w:lineRule="auto"/>
        <w:jc w:val="both"/>
      </w:pPr>
      <w:r>
        <w:t>O dolo é a vontade dirigida à realização da conduta e, conforme a espécie, ao resultado. Compõe-se de dois elementos: o cognitivo (conhecimento da situação de fato) e o volitivo (vontade de agir, ou aceitação do risco de agir). Um ponto estruturante é que o dolo não exige a consciência atual da ilicitude — o ato doloso caracteriza-se por querer ou conhecer o resultado, não necessariamente pelo conhecimento do desvalor jurídico da ação. Daí a consciência da ilicitude ser tratada como subfator autônomo (SF1.2).</w:t>
      </w:r>
    </w:p>
    <w:p w14:paraId="42680F9F" w14:textId="77777777" w:rsidR="00560F38" w:rsidRDefault="00000000">
      <w:pPr>
        <w:pStyle w:val="Ttulo3"/>
      </w:pPr>
      <w:bookmarkStart w:id="14" w:name="_Toc232175859"/>
      <w:r>
        <w:t>5.1.1 Dolo direto</w:t>
      </w:r>
      <w:bookmarkEnd w:id="14"/>
    </w:p>
    <w:p w14:paraId="2D2C27A5" w14:textId="77777777" w:rsidR="00560F38" w:rsidRDefault="00000000">
      <w:pPr>
        <w:spacing w:before="80" w:after="80" w:line="276" w:lineRule="auto"/>
        <w:jc w:val="both"/>
      </w:pPr>
      <w:r>
        <w:t>Há dolo direto quando o agente quer o resultado e a ele dirige a sua conduta (teoria da vontade). É a forma mais grave do elemento subjetivo. A Calculadora v3 distingue ainda, dentro do dolo direto, a conduta com especial fim de agir — em que o servidor orienta sua vontade por uma finalidade específica para além do resultado imediato. Esse grau ocupa o teto da escala (22 pontos em SF1.1).</w:t>
      </w:r>
    </w:p>
    <w:p w14:paraId="11F9B977" w14:textId="77777777" w:rsidR="00560F38" w:rsidRDefault="00000000">
      <w:pPr>
        <w:pStyle w:val="Ttulo3"/>
      </w:pPr>
      <w:bookmarkStart w:id="15" w:name="_Toc232175860"/>
      <w:r>
        <w:t>5.1.2 Dolo eventual</w:t>
      </w:r>
      <w:bookmarkEnd w:id="15"/>
    </w:p>
    <w:p w14:paraId="344CB983" w14:textId="77777777" w:rsidR="00560F38" w:rsidRDefault="00000000">
      <w:pPr>
        <w:spacing w:before="80" w:after="80" w:line="276" w:lineRule="auto"/>
        <w:jc w:val="both"/>
      </w:pPr>
      <w:r>
        <w:t>No dolo eventual, o agente não quer diretamente o resultado, mas, prevendo-o como possível ou provável, assume o risco de produzi-lo — teoria do assentimento.</w:t>
      </w:r>
    </w:p>
    <w:p w14:paraId="7E75A1AA" w14:textId="77777777" w:rsidR="00560F38" w:rsidRDefault="00000000">
      <w:pPr>
        <w:spacing w:before="80" w:after="80" w:line="260" w:lineRule="auto"/>
        <w:ind w:left="720"/>
        <w:jc w:val="both"/>
      </w:pPr>
      <w:r>
        <w:rPr>
          <w:i/>
          <w:iCs/>
        </w:rPr>
        <w:t>No elemento volitivo, o agente quer a produção do resultado de forma direta — dolo direto — ou admite a possibilidade de que o resultado sobrevenha — dolo eventual.</w:t>
      </w:r>
    </w:p>
    <w:p w14:paraId="01C7F71D" w14:textId="77777777" w:rsidR="00560F38" w:rsidRDefault="00000000">
      <w:pPr>
        <w:spacing w:after="80"/>
        <w:jc w:val="right"/>
      </w:pPr>
      <w:r>
        <w:rPr>
          <w:i/>
          <w:iCs/>
          <w:color w:val="555555"/>
          <w:sz w:val="18"/>
          <w:szCs w:val="18"/>
        </w:rPr>
        <w:t>— STJ, AgRg no REsp 1.043.279/PR, 6ª Turma, j. 14.10.2008</w:t>
      </w:r>
    </w:p>
    <w:p w14:paraId="6F5FCCDA" w14:textId="77777777" w:rsidR="00560F38" w:rsidRDefault="00000000">
      <w:pPr>
        <w:spacing w:before="80" w:after="80" w:line="276" w:lineRule="auto"/>
        <w:jc w:val="both"/>
      </w:pPr>
      <w:r>
        <w:t>O STF assentou que o dolo eventual extrai-se das circunstâncias do evento, dispensando declaração expressa de vontade (HC 91.159/MG). A aferição considera o contexto, o cenário prévio, a experiência funcional, a qualificação técnica, o cargo ocupado e o grau de discernimento.</w:t>
      </w:r>
    </w:p>
    <w:p w14:paraId="4942C5AD" w14:textId="77777777" w:rsidR="00560F38" w:rsidRDefault="00000000">
      <w:pPr>
        <w:pStyle w:val="Ttulo3"/>
      </w:pPr>
      <w:bookmarkStart w:id="16" w:name="_Toc232175861"/>
      <w:r>
        <w:t>5.1.3 A fronteira entre dolo eventual e culpa consciente</w:t>
      </w:r>
      <w:bookmarkEnd w:id="16"/>
    </w:p>
    <w:p w14:paraId="21A65FC8" w14:textId="77777777" w:rsidR="00560F38" w:rsidRDefault="00000000">
      <w:pPr>
        <w:spacing w:before="80" w:after="80" w:line="276" w:lineRule="auto"/>
        <w:jc w:val="both"/>
      </w:pPr>
      <w:r>
        <w:t xml:space="preserve">Em ambas as hipóteses o agente previu o resultado como possível. O traço diferenciador está na atitude interna: no dolo eventual, o agente aceita o risco; na culpa consciente, acredita sinceramente que o resultado não vai ocorrer. A mera possibilidade de conhecimento não basta </w:t>
        <w:lastRenderedPageBreak/>
        <w:t>para configurar o elemento cognitivo do dolo. Cabe ao operador verificar com método e fundamentação se o caso revela aceitação do risco (dolo eventual) ou mera falta de cautela com convicção de não ocorrência (culpa consciente).</w:t>
      </w:r>
    </w:p>
    <w:p w14:paraId="06B53EA5" w14:textId="77777777" w:rsidR="00560F38" w:rsidRDefault="00000000">
      <w:pPr>
        <w:pStyle w:val="Ttulo2"/>
      </w:pPr>
      <w:bookmarkStart w:id="17" w:name="_Toc232175862"/>
      <w:r>
        <w:t>5.2 A prova do dolo: o catálogo de indicadores</w:t>
      </w:r>
      <w:bookmarkEnd w:id="17"/>
    </w:p>
    <w:p w14:paraId="72310240" w14:textId="77777777" w:rsidR="00560F38" w:rsidRDefault="00000000">
      <w:pPr>
        <w:spacing w:before="80" w:after="80" w:line="276" w:lineRule="auto"/>
        <w:jc w:val="both"/>
      </w:pPr>
      <w:r>
        <w:t>A comprovação do dolo é operação racional, baseada na análise conjuntural das circunstâncias mediatas e imediatas, tendo como referência as regras da experiência comum. Indicadores relevantes:</w:t>
      </w:r>
    </w:p>
    <w:p w14:paraId="5D3047EF" w14:textId="77777777" w:rsidR="00560F38" w:rsidRDefault="00000000">
      <w:pPr>
        <w:pStyle w:val="PargrafodaLista"/>
        <w:numPr>
          <w:ilvl w:val="0"/>
          <w:numId w:val="2"/>
        </w:numPr>
        <w:spacing w:before="60" w:after="60" w:line="260" w:lineRule="auto"/>
      </w:pPr>
      <w:r>
        <w:t>O contexto e a realidade concreta dos fatos; o cenário prévio.</w:t>
      </w:r>
    </w:p>
    <w:p w14:paraId="2044913D" w14:textId="77777777" w:rsidR="00560F38" w:rsidRDefault="00000000">
      <w:pPr>
        <w:pStyle w:val="PargrafodaLista"/>
        <w:numPr>
          <w:ilvl w:val="0"/>
          <w:numId w:val="2"/>
        </w:numPr>
        <w:spacing w:before="60" w:after="60" w:line="260" w:lineRule="auto"/>
      </w:pPr>
      <w:r>
        <w:t>A ausência de causas justificáveis para a realização do ato ilícito.</w:t>
      </w:r>
    </w:p>
    <w:p w14:paraId="01849CD8" w14:textId="77777777" w:rsidR="00560F38" w:rsidRDefault="00000000">
      <w:pPr>
        <w:pStyle w:val="PargrafodaLista"/>
        <w:numPr>
          <w:ilvl w:val="0"/>
          <w:numId w:val="2"/>
        </w:numPr>
        <w:spacing w:before="60" w:after="60" w:line="260" w:lineRule="auto"/>
      </w:pPr>
      <w:r>
        <w:t>A incoerência entre as premissas lógicas ou jurídicas firmadas na justificativa apresentada pelo agente.</w:t>
      </w:r>
    </w:p>
    <w:p w14:paraId="5781A91D" w14:textId="77777777" w:rsidR="00560F38" w:rsidRDefault="00000000">
      <w:pPr>
        <w:pStyle w:val="PargrafodaLista"/>
        <w:numPr>
          <w:ilvl w:val="0"/>
          <w:numId w:val="2"/>
        </w:numPr>
        <w:spacing w:before="60" w:after="60" w:line="260" w:lineRule="auto"/>
      </w:pPr>
      <w:r>
        <w:t>Os meios objetivos adotados — a escolha de determinados meios pode revelar a orientação da vontade.</w:t>
      </w:r>
    </w:p>
    <w:p w14:paraId="2441A28B" w14:textId="77777777" w:rsidR="00560F38" w:rsidRDefault="00000000">
      <w:pPr>
        <w:pStyle w:val="PargrafodaLista"/>
        <w:numPr>
          <w:ilvl w:val="0"/>
          <w:numId w:val="2"/>
        </w:numPr>
        <w:spacing w:before="60" w:after="60" w:line="260" w:lineRule="auto"/>
      </w:pPr>
      <w:r>
        <w:t>A escolha deliberada de ignorar informações relevantes disponíveis (cegueira deliberada).</w:t>
      </w:r>
    </w:p>
    <w:p w14:paraId="050567BF" w14:textId="77777777" w:rsidR="00560F38" w:rsidRDefault="00000000">
      <w:pPr>
        <w:pStyle w:val="PargrafodaLista"/>
        <w:numPr>
          <w:ilvl w:val="0"/>
          <w:numId w:val="2"/>
        </w:numPr>
        <w:spacing w:before="60" w:after="60" w:line="260" w:lineRule="auto"/>
      </w:pPr>
      <w:r>
        <w:t>A existência de modus operandi, padrão de conduta ou estratégia voltada ao resultado ou à produção do risco.</w:t>
      </w:r>
    </w:p>
    <w:p w14:paraId="3B69B52C" w14:textId="77777777" w:rsidR="00560F38" w:rsidRDefault="00000000">
      <w:pPr>
        <w:pStyle w:val="PargrafodaLista"/>
        <w:numPr>
          <w:ilvl w:val="0"/>
          <w:numId w:val="2"/>
        </w:numPr>
        <w:spacing w:before="60" w:after="60" w:line="260" w:lineRule="auto"/>
      </w:pPr>
      <w:r>
        <w:t>A postura do agente ao longo do processo.</w:t>
      </w:r>
    </w:p>
    <w:p w14:paraId="615827F5" w14:textId="77777777" w:rsidR="00560F38" w:rsidRDefault="00560F38"/>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60F38" w14:paraId="0E4AA453" w14:textId="77777777">
        <w:tblPrEx>
          <w:tblCellMar>
            <w:top w:w="0" w:type="dxa"/>
            <w:bottom w:w="0" w:type="dxa"/>
          </w:tblCellMar>
        </w:tblPrEx>
        <w:tc>
          <w:tcPr>
            <w:tcW w:w="9360" w:type="dxa"/>
            <w:tcBorders>
              <w:top w:val="single" w:sz="4" w:space="0" w:color="C00000"/>
              <w:left w:val="single" w:sz="4" w:space="0" w:color="C00000"/>
              <w:bottom w:val="single" w:sz="4" w:space="0" w:color="C00000"/>
              <w:right w:val="single" w:sz="4" w:space="0" w:color="C00000"/>
            </w:tcBorders>
            <w:shd w:val="clear" w:color="auto" w:fill="FFF2F2"/>
            <w:tcMar>
              <w:top w:w="100" w:type="dxa"/>
              <w:left w:w="180" w:type="dxa"/>
              <w:bottom w:w="100" w:type="dxa"/>
              <w:right w:w="180" w:type="dxa"/>
            </w:tcMar>
          </w:tcPr>
          <w:p w14:paraId="0E01CD14" w14:textId="77777777" w:rsidR="00560F38" w:rsidRDefault="00000000">
            <w:pPr>
              <w:spacing w:before="60" w:after="40"/>
            </w:pPr>
            <w:r>
              <w:rPr>
                <w:b/>
                <w:bCs/>
                <w:color w:val="C00000"/>
                <w:sz w:val="18"/>
                <w:szCs w:val="18"/>
              </w:rPr>
              <w:t>VEDAÇÃO À PRESUNÇÃO DO DOLO</w:t>
            </w:r>
          </w:p>
          <w:p w14:paraId="76254165" w14:textId="77777777" w:rsidR="00560F38" w:rsidRDefault="00000000">
            <w:pPr>
              <w:spacing w:before="40" w:after="60" w:line="260" w:lineRule="auto"/>
              <w:jc w:val="both"/>
            </w:pPr>
            <w:r>
              <w:rPr>
                <w:i/>
                <w:iCs/>
                <w:sz w:val="18"/>
                <w:szCs w:val="18"/>
              </w:rPr>
              <w:t>O art. 28 da LINDB estabelece que o agente público responde por suas decisões em caso de dolo ou erro grosseiro. Não se admite responsabilização objetiva no âmbito disciplinar — o dolo não pode ser presumido (STJ, REsp 1.943.262/SC). É inaplicável a teoria do domínio do fato como fundamento autônomo da autoria no âmbito disciplinar: não se pode presumir a participação de um servidor na irregularidade apenas em razão da posição de gestor, diretor ou chefe (STJ, REsp 1.854.893/SP; AgRg no RHC 76.581/PE).</w:t>
            </w:r>
          </w:p>
        </w:tc>
      </w:tr>
    </w:tbl>
    <w:p w14:paraId="608EB587" w14:textId="77777777" w:rsidR="00560F38" w:rsidRDefault="00560F38"/>
    <w:p w14:paraId="5DD6F0C8" w14:textId="77777777" w:rsidR="00560F38" w:rsidRDefault="00000000">
      <w:pPr>
        <w:pStyle w:val="Ttulo2"/>
      </w:pPr>
      <w:bookmarkStart w:id="18" w:name="_Toc232175863"/>
      <w:r>
        <w:t>5.3 A culpa</w:t>
      </w:r>
      <w:bookmarkEnd w:id="18"/>
    </w:p>
    <w:p w14:paraId="19E00259" w14:textId="77777777" w:rsidR="00560F38" w:rsidRDefault="00000000">
      <w:pPr>
        <w:spacing w:before="80" w:after="80" w:line="276" w:lineRule="auto"/>
        <w:jc w:val="both"/>
      </w:pPr>
      <w:r>
        <w:t>A culpa é a violação do dever objetivo de cuidado, exteriorizada por negligência, imprudência ou imperícia. O agente que atua com culpa não assume o risco, não quer e não tolera o resultado. Distingue-se em culpa inconsciente (o agente não prevê o resultado, embora previsível) e culpa consciente (prevê o resultado como possível, mas confia que não ocorrerá).</w:t>
      </w:r>
    </w:p>
    <w:p w14:paraId="41C6D411" w14:textId="77777777" w:rsidR="00560F38" w:rsidRDefault="00000000">
      <w:pPr>
        <w:pStyle w:val="Ttulo3"/>
      </w:pPr>
      <w:bookmarkStart w:id="19" w:name="_Toc232175864"/>
      <w:r>
        <w:t>5.3.1 Modalidades: negligência, imprudência e imperícia</w:t>
      </w:r>
      <w:bookmarkEnd w:id="1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3800"/>
        <w:gridCol w:w="4060"/>
      </w:tblGrid>
      <w:tr w:rsidR="00560F38" w14:paraId="341902C4"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3C271D0" w14:textId="77777777" w:rsidR="00560F38" w:rsidRDefault="00000000">
            <w:pPr>
              <w:jc w:val="both"/>
            </w:pPr>
            <w:r>
              <w:rPr>
                <w:b/>
                <w:bCs/>
                <w:color w:val="FFFFFF"/>
                <w:sz w:val="18"/>
                <w:szCs w:val="18"/>
              </w:rPr>
              <w:t>Modalidade</w:t>
            </w:r>
          </w:p>
        </w:tc>
        <w:tc>
          <w:tcPr>
            <w:tcW w:w="3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594DFAD" w14:textId="77777777" w:rsidR="00560F38" w:rsidRDefault="00000000">
            <w:pPr>
              <w:jc w:val="both"/>
            </w:pPr>
            <w:r>
              <w:rPr>
                <w:b/>
                <w:bCs/>
                <w:color w:val="FFFFFF"/>
                <w:sz w:val="18"/>
                <w:szCs w:val="18"/>
              </w:rPr>
              <w:t>Caracterização</w:t>
            </w:r>
          </w:p>
        </w:tc>
        <w:tc>
          <w:tcPr>
            <w:tcW w:w="40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B55C2A5" w14:textId="77777777" w:rsidR="00560F38" w:rsidRDefault="00000000">
            <w:pPr>
              <w:jc w:val="both"/>
            </w:pPr>
            <w:r>
              <w:rPr>
                <w:b/>
                <w:bCs/>
                <w:color w:val="FFFFFF"/>
                <w:sz w:val="18"/>
                <w:szCs w:val="18"/>
              </w:rPr>
              <w:t>Exemplo funcional típico</w:t>
            </w:r>
          </w:p>
        </w:tc>
      </w:tr>
      <w:tr w:rsidR="00560F38" w14:paraId="4BF85BBC"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8BF657" w14:textId="77777777" w:rsidR="00560F38" w:rsidRDefault="00000000">
            <w:pPr>
              <w:jc w:val="both"/>
            </w:pPr>
            <w:r>
              <w:rPr>
                <w:color w:val="000000"/>
                <w:sz w:val="18"/>
                <w:szCs w:val="18"/>
              </w:rPr>
              <w:t>Negligência</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7638FB" w14:textId="77777777" w:rsidR="00560F38" w:rsidRDefault="00000000">
            <w:pPr>
              <w:jc w:val="both"/>
            </w:pPr>
            <w:r>
              <w:rPr>
                <w:color w:val="000000"/>
                <w:sz w:val="18"/>
                <w:szCs w:val="18"/>
              </w:rPr>
              <w:t>Inobservância das precauções exigidas, por conduta omissiva — o não fazer o que era devido.</w:t>
            </w:r>
          </w:p>
        </w:tc>
        <w:tc>
          <w:tcPr>
            <w:tcW w:w="4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74B2B3" w14:textId="77777777" w:rsidR="00560F38" w:rsidRDefault="00000000">
            <w:pPr>
              <w:jc w:val="both"/>
            </w:pPr>
            <w:r>
              <w:rPr>
                <w:color w:val="000000"/>
                <w:sz w:val="18"/>
                <w:szCs w:val="18"/>
              </w:rPr>
              <w:t>Servidor que deixa de verificar a autenticidade de documento essencial antes de deferir pedido fiscal.</w:t>
            </w:r>
          </w:p>
        </w:tc>
      </w:tr>
      <w:tr w:rsidR="00560F38" w14:paraId="5A9D3B00"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5F7FB"/>
            <w:tcMar>
              <w:top w:w="80" w:type="dxa"/>
              <w:left w:w="120" w:type="dxa"/>
              <w:bottom w:w="80" w:type="dxa"/>
              <w:right w:w="120" w:type="dxa"/>
            </w:tcMar>
          </w:tcPr>
          <w:p w14:paraId="11E42BEB" w14:textId="77777777" w:rsidR="00560F38" w:rsidRDefault="00000000">
            <w:pPr>
              <w:jc w:val="both"/>
            </w:pPr>
            <w:r>
              <w:rPr>
                <w:color w:val="000000"/>
                <w:sz w:val="18"/>
                <w:szCs w:val="18"/>
              </w:rPr>
              <w:t>Imprudência</w:t>
            </w:r>
          </w:p>
        </w:tc>
        <w:tc>
          <w:tcPr>
            <w:tcW w:w="3800" w:type="dxa"/>
            <w:tcBorders>
              <w:top w:val="single" w:sz="1" w:space="0" w:color="CCCCCC"/>
              <w:left w:val="single" w:sz="1" w:space="0" w:color="CCCCCC"/>
              <w:bottom w:val="single" w:sz="1" w:space="0" w:color="CCCCCC"/>
              <w:right w:val="single" w:sz="1" w:space="0" w:color="CCCCCC"/>
            </w:tcBorders>
            <w:shd w:val="clear" w:color="auto" w:fill="F5F7FB"/>
            <w:tcMar>
              <w:top w:w="80" w:type="dxa"/>
              <w:left w:w="120" w:type="dxa"/>
              <w:bottom w:w="80" w:type="dxa"/>
              <w:right w:w="120" w:type="dxa"/>
            </w:tcMar>
          </w:tcPr>
          <w:p w14:paraId="79758A12" w14:textId="77777777" w:rsidR="00560F38" w:rsidRDefault="00000000">
            <w:pPr>
              <w:jc w:val="both"/>
            </w:pPr>
            <w:r>
              <w:rPr>
                <w:color w:val="000000"/>
                <w:sz w:val="18"/>
                <w:szCs w:val="18"/>
              </w:rPr>
              <w:t>Conduta comissiva precipitada, realizada sem o cuidado e a cautela devidos.</w:t>
            </w:r>
          </w:p>
        </w:tc>
        <w:tc>
          <w:tcPr>
            <w:tcW w:w="4060" w:type="dxa"/>
            <w:tcBorders>
              <w:top w:val="single" w:sz="1" w:space="0" w:color="CCCCCC"/>
              <w:left w:val="single" w:sz="1" w:space="0" w:color="CCCCCC"/>
              <w:bottom w:val="single" w:sz="1" w:space="0" w:color="CCCCCC"/>
              <w:right w:val="single" w:sz="1" w:space="0" w:color="CCCCCC"/>
            </w:tcBorders>
            <w:shd w:val="clear" w:color="auto" w:fill="F5F7FB"/>
            <w:tcMar>
              <w:top w:w="80" w:type="dxa"/>
              <w:left w:w="120" w:type="dxa"/>
              <w:bottom w:w="80" w:type="dxa"/>
              <w:right w:w="120" w:type="dxa"/>
            </w:tcMar>
          </w:tcPr>
          <w:p w14:paraId="2D3EBB1E" w14:textId="77777777" w:rsidR="00560F38" w:rsidRDefault="00000000">
            <w:pPr>
              <w:jc w:val="both"/>
            </w:pPr>
            <w:r>
              <w:rPr>
                <w:color w:val="000000"/>
                <w:sz w:val="18"/>
                <w:szCs w:val="18"/>
              </w:rPr>
              <w:t>Servidor que assina lançamento tributário sem conferir os dados por pressão de prazo.</w:t>
            </w:r>
          </w:p>
        </w:tc>
      </w:tr>
      <w:tr w:rsidR="00560F38" w14:paraId="09E9E646"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ED4551" w14:textId="77777777" w:rsidR="00560F38" w:rsidRDefault="00000000">
            <w:pPr>
              <w:jc w:val="both"/>
            </w:pPr>
            <w:r>
              <w:rPr>
                <w:color w:val="000000"/>
                <w:sz w:val="18"/>
                <w:szCs w:val="18"/>
              </w:rPr>
              <w:t>Imperícia</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8917DC" w14:textId="77777777" w:rsidR="00560F38" w:rsidRDefault="00000000">
            <w:pPr>
              <w:jc w:val="both"/>
            </w:pPr>
            <w:r>
              <w:rPr>
                <w:color w:val="000000"/>
                <w:sz w:val="18"/>
                <w:szCs w:val="18"/>
              </w:rPr>
              <w:t>Realização de atividade sem a qualificação técnica ou a habilidade exigidas.</w:t>
            </w:r>
          </w:p>
        </w:tc>
        <w:tc>
          <w:tcPr>
            <w:tcW w:w="4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6507D2" w14:textId="77777777" w:rsidR="00560F38" w:rsidRDefault="00000000">
            <w:pPr>
              <w:jc w:val="both"/>
            </w:pPr>
            <w:r>
              <w:rPr>
                <w:color w:val="000000"/>
                <w:sz w:val="18"/>
                <w:szCs w:val="18"/>
              </w:rPr>
              <w:t>Servidor que realiza procedimento aduaneiro especializado sem treinamento necessário.</w:t>
            </w:r>
          </w:p>
        </w:tc>
      </w:tr>
    </w:tbl>
    <w:p w14:paraId="6D33BCE1" w14:textId="77777777" w:rsidR="00560F38" w:rsidRDefault="00000000">
      <w:pPr>
        <w:pStyle w:val="Ttulo3"/>
      </w:pPr>
      <w:bookmarkStart w:id="20" w:name="_Toc232175865"/>
      <w:r>
        <w:t>5.3.2 Culpa grave (erro grosseiro)</w:t>
      </w:r>
      <w:bookmarkEnd w:id="20"/>
    </w:p>
    <w:p w14:paraId="74E1FF71" w14:textId="77777777" w:rsidR="00560F38" w:rsidRDefault="00000000">
      <w:pPr>
        <w:spacing w:before="80" w:after="80" w:line="276" w:lineRule="auto"/>
        <w:jc w:val="both"/>
      </w:pPr>
      <w:r>
        <w:t>O § 1º do art. 12 do Decreto nº 9.830/2019 considera erro grosseiro o erro manifesto, evidente e inescusável praticado com culpa grave. Identificam-no três notas cumulativas: (a) o agente não previu, não aceitou nem tolerou o risco; (b) não realizou a cautela indispensável, embora pudesse e devesse fazê-lo; (c) a conduta revela descuido manifesto e inescusável de magnitude que o agente — à luz de suas funções, formação e responsabilidades concretas — poderia e deveria ter evitado.</w:t>
      </w:r>
    </w:p>
    <w:p w14:paraId="1D118E0F" w14:textId="77777777" w:rsidR="00560F38" w:rsidRDefault="00000000">
      <w:pPr>
        <w:spacing w:before="80" w:after="80" w:line="276" w:lineRule="auto"/>
        <w:jc w:val="both"/>
      </w:pPr>
      <w:r>
        <w:lastRenderedPageBreak/>
        <w:t>O § 5º do art. 12: o montante do dano ao erário, ainda que expressivo, não pode, por si só, caracterizar o erro grosseiro ou o dolo. Cada plano é avaliado em seu próprio elemento.</w:t>
      </w:r>
    </w:p>
    <w:p w14:paraId="4583A09A" w14:textId="77777777" w:rsidR="00560F38" w:rsidRDefault="00000000">
      <w:pPr>
        <w:pStyle w:val="Ttulo3"/>
      </w:pPr>
      <w:bookmarkStart w:id="21" w:name="_Toc232175866"/>
      <w:r>
        <w:t>5.3.3 Culpa leve</w:t>
      </w:r>
      <w:bookmarkEnd w:id="21"/>
    </w:p>
    <w:p w14:paraId="65B514E7" w14:textId="77777777" w:rsidR="00560F38" w:rsidRDefault="00000000">
      <w:pPr>
        <w:spacing w:before="80" w:after="80" w:line="276" w:lineRule="auto"/>
        <w:jc w:val="both"/>
      </w:pPr>
      <w:r>
        <w:t>A culpa leve verifica-se quando a irregularidade poderia ter sido evitada com a atenção e o cuidado básicos esperados de um servidor em função similar. Caracteriza-se por exclusão: quando não foi possível identificar dolo direto, dolo eventual ou erro grosseiro. O art. 17 do Decreto nº 9.830/2019 confirma que a sanção disciplinar é aplicável também nesses casos.</w:t>
      </w:r>
    </w:p>
    <w:p w14:paraId="6EEFBD67" w14:textId="77777777" w:rsidR="00560F38" w:rsidRDefault="00000000">
      <w:pPr>
        <w:pStyle w:val="Ttulo2"/>
      </w:pPr>
      <w:bookmarkStart w:id="22" w:name="_Toc232175867"/>
      <w:r>
        <w:t>5.4 O erro escusável: fundamento, definição, pressupostos e detecção</w:t>
      </w:r>
      <w:bookmarkEnd w:id="22"/>
    </w:p>
    <w:p w14:paraId="7E42104D" w14:textId="77777777" w:rsidR="00560F38" w:rsidRDefault="00560F38"/>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60F38" w14:paraId="41AD0812" w14:textId="77777777">
        <w:tblPrEx>
          <w:tblCellMar>
            <w:top w:w="0" w:type="dxa"/>
            <w:bottom w:w="0" w:type="dxa"/>
          </w:tblCellMar>
        </w:tblPrEx>
        <w:tc>
          <w:tcPr>
            <w:tcW w:w="9360" w:type="dxa"/>
            <w:tcBorders>
              <w:top w:val="single" w:sz="4" w:space="0" w:color="2E5090"/>
              <w:left w:val="single" w:sz="4" w:space="0" w:color="2E5090"/>
              <w:bottom w:val="single" w:sz="4" w:space="0" w:color="2E5090"/>
              <w:right w:val="single" w:sz="4" w:space="0" w:color="2E5090"/>
            </w:tcBorders>
            <w:shd w:val="clear" w:color="auto" w:fill="EEF2F7"/>
            <w:tcMar>
              <w:top w:w="100" w:type="dxa"/>
              <w:left w:w="180" w:type="dxa"/>
              <w:bottom w:w="100" w:type="dxa"/>
              <w:right w:w="180" w:type="dxa"/>
            </w:tcMar>
          </w:tcPr>
          <w:p w14:paraId="47784BCA" w14:textId="77777777" w:rsidR="00560F38" w:rsidRDefault="00000000">
            <w:pPr>
              <w:spacing w:before="60" w:after="40"/>
            </w:pPr>
            <w:r>
              <w:rPr>
                <w:b/>
                <w:bCs/>
                <w:color w:val="2E5090"/>
                <w:sz w:val="18"/>
                <w:szCs w:val="18"/>
              </w:rPr>
              <w:t>NT COGER Nº 2006/1</w:t>
            </w:r>
          </w:p>
          <w:p w14:paraId="6D005AEC" w14:textId="77777777" w:rsidR="00560F38" w:rsidRDefault="00000000">
            <w:pPr>
              <w:spacing w:before="40" w:after="60" w:line="260" w:lineRule="auto"/>
              <w:jc w:val="both"/>
            </w:pPr>
            <w:r>
              <w:rPr>
                <w:i/>
                <w:iCs/>
                <w:sz w:val="18"/>
                <w:szCs w:val="18"/>
              </w:rPr>
              <w:t>Descabe a aplicação de penalidade disciplinar a servidor público que tenha cometido equívoco, no desempenho de suas atribuições, caracterizado como erro escusável, bem como a instauração de processo disciplinar voltado à apuração do fato. Considera-se escusável a conduta funcional consubstanciadora de equívoco caracterizado pela ausência de dolo, eventualidade do erro e ofensa ínfima aos bens jurídicos tutelados.</w:t>
            </w:r>
          </w:p>
        </w:tc>
      </w:tr>
    </w:tbl>
    <w:p w14:paraId="261B6997" w14:textId="77777777" w:rsidR="00560F38" w:rsidRDefault="00560F38"/>
    <w:p w14:paraId="04AE9189" w14:textId="77777777" w:rsidR="00560F38" w:rsidRDefault="00000000">
      <w:pPr>
        <w:pStyle w:val="Ttulo3"/>
      </w:pPr>
      <w:bookmarkStart w:id="23" w:name="_Toc232175868"/>
      <w:r>
        <w:t>5.4.1 Por que o erro escusável?</w:t>
      </w:r>
      <w:bookmarkEnd w:id="23"/>
    </w:p>
    <w:p w14:paraId="3811F9C8" w14:textId="77777777" w:rsidR="00560F38" w:rsidRDefault="00000000">
      <w:pPr>
        <w:spacing w:before="80" w:after="80" w:line="276" w:lineRule="auto"/>
        <w:jc w:val="both"/>
      </w:pPr>
      <w:r>
        <w:t>A noção de erro escusável parte de uma percepção elementar: nem toda falha ou erro do servidor no desempenho de suas atribuições deve ser passível de punição disciplinar. Se assim não fosse, poucos seriam os servidores que não teriam ao menos uma advertência inscrita na ficha funcional — paradoxalmente, esse privilégio seria dos que pouco trabalham.</w:t>
      </w:r>
    </w:p>
    <w:p w14:paraId="24A82C4C" w14:textId="77777777" w:rsidR="00560F38" w:rsidRDefault="00000000">
      <w:pPr>
        <w:spacing w:before="80" w:after="80" w:line="276" w:lineRule="auto"/>
        <w:jc w:val="both"/>
      </w:pPr>
      <w:r>
        <w:t>Três fundamentos fáticos sustentam essa percepção: a diuturnidade no exercício das funções; a falibilidade natural da condição humana (desvio de atenção, cansaço, viciamento por tarefas monótonas); e a natureza própria das funções, em que o servidor aplica o direito — campo fértil a falhas. O fundamento jurídico central é o postulado normativo da razoabilidade como equidade (Humberto Ávila), decorrente da CF e do art. 2º, caput, da Lei nº 9.784/1999.</w:t>
      </w:r>
    </w:p>
    <w:p w14:paraId="62B833C1" w14:textId="77777777" w:rsidR="00560F38" w:rsidRDefault="00000000">
      <w:pPr>
        <w:pStyle w:val="Ttulo3"/>
      </w:pPr>
      <w:bookmarkStart w:id="24" w:name="_Toc232175869"/>
      <w:r>
        <w:t>5.4.2 Definição e natureza jurídica</w:t>
      </w:r>
      <w:bookmarkEnd w:id="24"/>
    </w:p>
    <w:p w14:paraId="4FA64C47" w14:textId="77777777" w:rsidR="00560F38" w:rsidRDefault="00000000">
      <w:pPr>
        <w:spacing w:before="80" w:after="80" w:line="276" w:lineRule="auto"/>
        <w:jc w:val="both"/>
      </w:pPr>
      <w:r>
        <w:t>Considera-se escusável a conduta equivocada de servidor público cuja apenação evidencie ser irrazoável diante das circunstâncias defrontadas no caso concreto. O erro escusável não exclui a irregularidade formal — a conduta permanece desconforme com a norma —, mas afasta a reprovabilidade e, portanto, a sancionabilidade da conduta.</w:t>
      </w:r>
    </w:p>
    <w:p w14:paraId="39C91F7A" w14:textId="77777777" w:rsidR="00560F38" w:rsidRDefault="00560F38"/>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60F38" w14:paraId="4CE7BBA8" w14:textId="77777777">
        <w:tblPrEx>
          <w:tblCellMar>
            <w:top w:w="0" w:type="dxa"/>
            <w:bottom w:w="0" w:type="dxa"/>
          </w:tblCellMar>
        </w:tblPrEx>
        <w:tc>
          <w:tcPr>
            <w:tcW w:w="9360" w:type="dxa"/>
            <w:tcBorders>
              <w:top w:val="single" w:sz="4" w:space="0" w:color="1F3864"/>
              <w:left w:val="single" w:sz="4" w:space="0" w:color="1F3864"/>
              <w:bottom w:val="single" w:sz="4" w:space="0" w:color="1F3864"/>
              <w:right w:val="single" w:sz="4" w:space="0" w:color="1F3864"/>
            </w:tcBorders>
            <w:shd w:val="clear" w:color="auto" w:fill="EEF2F7"/>
            <w:tcMar>
              <w:top w:w="100" w:type="dxa"/>
              <w:left w:w="180" w:type="dxa"/>
              <w:bottom w:w="100" w:type="dxa"/>
              <w:right w:w="180" w:type="dxa"/>
            </w:tcMar>
          </w:tcPr>
          <w:p w14:paraId="73C9636F" w14:textId="77777777" w:rsidR="00560F38" w:rsidRDefault="00000000">
            <w:pPr>
              <w:spacing w:before="60" w:after="40"/>
            </w:pPr>
            <w:r>
              <w:rPr>
                <w:b/>
                <w:bCs/>
                <w:color w:val="1F3864"/>
                <w:sz w:val="18"/>
                <w:szCs w:val="18"/>
              </w:rPr>
              <w:t>NOTA</w:t>
            </w:r>
          </w:p>
          <w:p w14:paraId="0FF88A8B" w14:textId="77777777" w:rsidR="00560F38" w:rsidRDefault="00000000">
            <w:pPr>
              <w:spacing w:before="40" w:after="60" w:line="260" w:lineRule="auto"/>
              <w:jc w:val="both"/>
            </w:pPr>
            <w:r>
              <w:rPr>
                <w:i/>
                <w:iCs/>
                <w:sz w:val="18"/>
                <w:szCs w:val="18"/>
              </w:rPr>
              <w:t>A ementa originalmente publicada em 2006 arrolava um quarto elemento — o prejuízo material irrelevante. Esse requisito foi suprimido pela Informação Coger/Codis/Diaco nº 129/2011. Em consequência, a existência de prejuízo material de alguma relevância não afasta, por si só, a caracterização do erro escusável, desde que a ofensa aos bens jurídicos tutelados permaneça ínfima.</w:t>
            </w:r>
          </w:p>
        </w:tc>
      </w:tr>
    </w:tbl>
    <w:p w14:paraId="7116E89B" w14:textId="77777777" w:rsidR="00560F38" w:rsidRDefault="00560F38"/>
    <w:p w14:paraId="16E67494" w14:textId="77777777" w:rsidR="00560F38" w:rsidRDefault="00000000">
      <w:pPr>
        <w:pStyle w:val="Ttulo3"/>
      </w:pPr>
      <w:bookmarkStart w:id="25" w:name="_Toc232175870"/>
      <w:r>
        <w:t>5.4.3 Pressupostos cumulativos</w:t>
      </w:r>
      <w:bookmarkEnd w:id="2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5060"/>
        <w:gridCol w:w="2600"/>
      </w:tblGrid>
      <w:tr w:rsidR="00560F38" w14:paraId="1D576638"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2130565" w14:textId="77777777" w:rsidR="00560F38" w:rsidRDefault="00000000">
            <w:pPr>
              <w:jc w:val="both"/>
            </w:pPr>
            <w:r>
              <w:rPr>
                <w:b/>
                <w:bCs/>
                <w:color w:val="FFFFFF"/>
                <w:sz w:val="18"/>
                <w:szCs w:val="18"/>
              </w:rPr>
              <w:t>Pressuposto</w:t>
            </w:r>
          </w:p>
        </w:tc>
        <w:tc>
          <w:tcPr>
            <w:tcW w:w="50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EC2ACF0" w14:textId="77777777" w:rsidR="00560F38" w:rsidRDefault="00000000">
            <w:pPr>
              <w:jc w:val="both"/>
            </w:pPr>
            <w:r>
              <w:rPr>
                <w:b/>
                <w:bCs/>
                <w:color w:val="FFFFFF"/>
                <w:sz w:val="18"/>
                <w:szCs w:val="18"/>
              </w:rPr>
              <w:t>Conteúdo</w:t>
            </w:r>
          </w:p>
        </w:tc>
        <w:tc>
          <w:tcPr>
            <w:tcW w:w="2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D714456" w14:textId="77777777" w:rsidR="00560F38" w:rsidRDefault="00000000">
            <w:pPr>
              <w:jc w:val="both"/>
            </w:pPr>
            <w:r>
              <w:rPr>
                <w:b/>
                <w:bCs/>
                <w:color w:val="FFFFFF"/>
                <w:sz w:val="18"/>
                <w:szCs w:val="18"/>
              </w:rPr>
              <w:t>Observação</w:t>
            </w:r>
          </w:p>
        </w:tc>
      </w:tr>
      <w:tr w:rsidR="00560F38" w14:paraId="273D1757"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F9370E" w14:textId="77777777" w:rsidR="00560F38" w:rsidRDefault="00000000">
            <w:pPr>
              <w:jc w:val="both"/>
            </w:pPr>
            <w:r>
              <w:rPr>
                <w:color w:val="000000"/>
                <w:sz w:val="18"/>
                <w:szCs w:val="18"/>
              </w:rPr>
              <w:t>a) Ausência de dolo</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C1DD37" w14:textId="77777777" w:rsidR="00560F38" w:rsidRDefault="00000000">
            <w:pPr>
              <w:jc w:val="both"/>
            </w:pPr>
            <w:r>
              <w:rPr>
                <w:color w:val="000000"/>
                <w:sz w:val="18"/>
                <w:szCs w:val="18"/>
              </w:rPr>
              <w:t>A conduta não pode ter sido intencional. O erro escusável é, por definição, conduta culposa — o dolo a exclui de plano. Se o servidor, após perceber o erro, não adotar providência para repará-lo, esse comportamento omissivo subsequente invalida a ausência de dolo.</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506B9D" w14:textId="77777777" w:rsidR="00560F38" w:rsidRDefault="00000000">
            <w:pPr>
              <w:jc w:val="both"/>
            </w:pPr>
            <w:r>
              <w:rPr>
                <w:color w:val="000000"/>
                <w:sz w:val="18"/>
                <w:szCs w:val="18"/>
              </w:rPr>
              <w:t>Atende ao Princípio da Moralidade Administrativa.</w:t>
            </w:r>
          </w:p>
        </w:tc>
      </w:tr>
      <w:tr w:rsidR="00560F38" w14:paraId="382171F2"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5F7FB"/>
            <w:tcMar>
              <w:top w:w="80" w:type="dxa"/>
              <w:left w:w="120" w:type="dxa"/>
              <w:bottom w:w="80" w:type="dxa"/>
              <w:right w:w="120" w:type="dxa"/>
            </w:tcMar>
          </w:tcPr>
          <w:p w14:paraId="6DB52C02" w14:textId="77777777" w:rsidR="00560F38" w:rsidRDefault="00000000">
            <w:pPr>
              <w:jc w:val="both"/>
            </w:pPr>
            <w:r>
              <w:rPr>
                <w:color w:val="000000"/>
                <w:sz w:val="18"/>
                <w:szCs w:val="18"/>
              </w:rPr>
              <w:t>b) Eventualidade do erro</w:t>
            </w:r>
          </w:p>
        </w:tc>
        <w:tc>
          <w:tcPr>
            <w:tcW w:w="5060" w:type="dxa"/>
            <w:tcBorders>
              <w:top w:val="single" w:sz="1" w:space="0" w:color="CCCCCC"/>
              <w:left w:val="single" w:sz="1" w:space="0" w:color="CCCCCC"/>
              <w:bottom w:val="single" w:sz="1" w:space="0" w:color="CCCCCC"/>
              <w:right w:val="single" w:sz="1" w:space="0" w:color="CCCCCC"/>
            </w:tcBorders>
            <w:shd w:val="clear" w:color="auto" w:fill="F5F7FB"/>
            <w:tcMar>
              <w:top w:w="80" w:type="dxa"/>
              <w:left w:w="120" w:type="dxa"/>
              <w:bottom w:w="80" w:type="dxa"/>
              <w:right w:w="120" w:type="dxa"/>
            </w:tcMar>
          </w:tcPr>
          <w:p w14:paraId="5A664CE6" w14:textId="77777777" w:rsidR="00560F38" w:rsidRDefault="00000000">
            <w:pPr>
              <w:jc w:val="both"/>
            </w:pPr>
            <w:r>
              <w:rPr>
                <w:color w:val="000000"/>
                <w:sz w:val="18"/>
                <w:szCs w:val="18"/>
              </w:rPr>
              <w:t xml:space="preserve">O erro deve ser esporádico ou fortuito, pouco representativo no universo de atuação funcional do servidor, e deve ter </w:t>
              <w:lastRenderedPageBreak/>
              <w:t>ocorrido em situação que não despertasse atenção especial. Se o caso exigia cautelas especiais, o erro não é escusável.</w:t>
            </w:r>
          </w:p>
        </w:tc>
        <w:tc>
          <w:tcPr>
            <w:tcW w:w="2600" w:type="dxa"/>
            <w:tcBorders>
              <w:top w:val="single" w:sz="1" w:space="0" w:color="CCCCCC"/>
              <w:left w:val="single" w:sz="1" w:space="0" w:color="CCCCCC"/>
              <w:bottom w:val="single" w:sz="1" w:space="0" w:color="CCCCCC"/>
              <w:right w:val="single" w:sz="1" w:space="0" w:color="CCCCCC"/>
            </w:tcBorders>
            <w:shd w:val="clear" w:color="auto" w:fill="F5F7FB"/>
            <w:tcMar>
              <w:top w:w="80" w:type="dxa"/>
              <w:left w:w="120" w:type="dxa"/>
              <w:bottom w:w="80" w:type="dxa"/>
              <w:right w:w="120" w:type="dxa"/>
            </w:tcMar>
          </w:tcPr>
          <w:p w14:paraId="21A0FD48" w14:textId="77777777" w:rsidR="00560F38" w:rsidRDefault="00000000">
            <w:pPr>
              <w:jc w:val="both"/>
            </w:pPr>
            <w:r>
              <w:rPr>
                <w:color w:val="000000"/>
                <w:sz w:val="18"/>
                <w:szCs w:val="18"/>
              </w:rPr>
              <w:lastRenderedPageBreak/>
              <w:t>Distingue o equívoco pontual do padrão de desatenção crônica.</w:t>
            </w:r>
          </w:p>
        </w:tc>
      </w:tr>
      <w:tr w:rsidR="00560F38" w14:paraId="22034FAD"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1D32FE" w14:textId="77777777" w:rsidR="00560F38" w:rsidRDefault="00000000">
            <w:pPr>
              <w:jc w:val="both"/>
            </w:pPr>
            <w:r>
              <w:rPr>
                <w:color w:val="000000"/>
                <w:sz w:val="18"/>
                <w:szCs w:val="18"/>
              </w:rPr>
              <w:t>c) Ínfimo poder ofensivo</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3A318F" w14:textId="77777777" w:rsidR="00560F38" w:rsidRDefault="00000000">
            <w:pPr>
              <w:jc w:val="both"/>
            </w:pPr>
            <w:r>
              <w:rPr>
                <w:color w:val="000000"/>
                <w:sz w:val="18"/>
                <w:szCs w:val="18"/>
              </w:rPr>
              <w:t>A ofensa às normas de regência ou aos bens jurídicos tutelados deve ser mitigada por condicionantes atenuadoras. A conduta não deve demonstrar insubordinação, quebra de hierarquia, deslealdade ou outras máculas de conduta.</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8C1B62" w14:textId="77777777" w:rsidR="00560F38" w:rsidRDefault="00000000">
            <w:pPr>
              <w:jc w:val="both"/>
            </w:pPr>
            <w:r>
              <w:rPr>
                <w:color w:val="000000"/>
                <w:sz w:val="18"/>
                <w:szCs w:val="18"/>
              </w:rPr>
              <w:t>Avalia-se a dimensão objetiva da lesão ao bem jurídico.</w:t>
            </w:r>
          </w:p>
        </w:tc>
      </w:tr>
    </w:tbl>
    <w:p w14:paraId="741467DA" w14:textId="77777777" w:rsidR="00560F38" w:rsidRDefault="00560F38"/>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60F38" w14:paraId="14C28BC8" w14:textId="77777777">
        <w:tblPrEx>
          <w:tblCellMar>
            <w:top w:w="0" w:type="dxa"/>
            <w:bottom w:w="0" w:type="dxa"/>
          </w:tblCellMar>
        </w:tblPrEx>
        <w:tc>
          <w:tcPr>
            <w:tcW w:w="9360" w:type="dxa"/>
            <w:tcBorders>
              <w:top w:val="single" w:sz="4" w:space="0" w:color="1F3864"/>
              <w:left w:val="single" w:sz="4" w:space="0" w:color="1F3864"/>
              <w:bottom w:val="single" w:sz="4" w:space="0" w:color="1F3864"/>
              <w:right w:val="single" w:sz="4" w:space="0" w:color="1F3864"/>
            </w:tcBorders>
            <w:shd w:val="clear" w:color="auto" w:fill="EEF2F7"/>
            <w:tcMar>
              <w:top w:w="100" w:type="dxa"/>
              <w:left w:w="180" w:type="dxa"/>
              <w:bottom w:w="100" w:type="dxa"/>
              <w:right w:w="180" w:type="dxa"/>
            </w:tcMar>
          </w:tcPr>
          <w:p w14:paraId="4DE10563" w14:textId="77777777" w:rsidR="00560F38" w:rsidRDefault="00000000">
            <w:pPr>
              <w:spacing w:before="60" w:after="40"/>
            </w:pPr>
            <w:r>
              <w:rPr>
                <w:b/>
                <w:bCs/>
                <w:color w:val="1F3864"/>
                <w:sz w:val="18"/>
                <w:szCs w:val="18"/>
              </w:rPr>
              <w:t>NOTA</w:t>
            </w:r>
          </w:p>
          <w:p w14:paraId="4C989615" w14:textId="77777777" w:rsidR="00560F38" w:rsidRDefault="00000000">
            <w:pPr>
              <w:spacing w:before="40" w:after="60" w:line="260" w:lineRule="auto"/>
              <w:jc w:val="both"/>
            </w:pPr>
            <w:r>
              <w:rPr>
                <w:i/>
                <w:iCs/>
                <w:sz w:val="18"/>
                <w:szCs w:val="18"/>
              </w:rPr>
              <w:t>O erro escusável não retira a irregularidade formal, mas retira todo e qualquer grau de reprovação da conduta. Presentes os três pressupostos cumulativamente, descabe infligir ao servidor qualquer reprimenda disciplinar e, por consequência, celebrar TAC ou instaurar processo disciplinar.</w:t>
            </w:r>
          </w:p>
        </w:tc>
      </w:tr>
    </w:tbl>
    <w:p w14:paraId="06793D91" w14:textId="77777777" w:rsidR="00560F38" w:rsidRDefault="00560F38"/>
    <w:p w14:paraId="743BA935" w14:textId="77777777" w:rsidR="00560F38" w:rsidRDefault="00000000">
      <w:pPr>
        <w:pStyle w:val="Ttulo3"/>
      </w:pPr>
      <w:bookmarkStart w:id="26" w:name="_Toc232175871"/>
      <w:r>
        <w:t>5.4.4 Relação com a escala do elemento subjetivo</w:t>
      </w:r>
      <w:bookmarkEnd w:id="26"/>
    </w:p>
    <w:p w14:paraId="2FD745AC" w14:textId="77777777" w:rsidR="00560F38" w:rsidRDefault="00000000">
      <w:pPr>
        <w:spacing w:before="80" w:after="80" w:line="276" w:lineRule="auto"/>
        <w:jc w:val="both"/>
      </w:pPr>
      <w:r>
        <w:t>O erro escusável ocupa a posição imediatamente anterior à culpa leve na escala de reprovabilidade. A linha divisória entre os dois é traçada pelos pressupostos: o poder ofensivo da conduta, a eventualidade do erro e a ausência de dolo.</w:t>
      </w:r>
    </w:p>
    <w:p w14:paraId="7098B538" w14:textId="77777777" w:rsidR="00560F38" w:rsidRDefault="00000000">
      <w:pPr>
        <w:pStyle w:val="Ttulo3"/>
      </w:pPr>
      <w:bookmarkStart w:id="27" w:name="_Toc232175872"/>
      <w:r>
        <w:t>5.4.5 Como a Calculadora sinaliza a hipótese de erro escusável</w:t>
      </w:r>
      <w:bookmarkEnd w:id="27"/>
    </w:p>
    <w:p w14:paraId="2D6D081A" w14:textId="77777777" w:rsidR="00560F38" w:rsidRDefault="00000000">
      <w:pPr>
        <w:spacing w:before="80" w:after="80" w:line="276" w:lineRule="auto"/>
        <w:jc w:val="both"/>
      </w:pPr>
      <w:r>
        <w:t>Na versão 3.0, o erro escusável é avaliado indiretamente por meio dos subfatores SF1.1 e SF1.2. Não há tela ou campo exclusivo para o instituto. A combinação de pontuação mínima em SF1.1 (culpa leve, qualquer dos três graus) com ausência total de norma ou orientação em SF1.2 (valor 0) resulta na Soma Total mais baixa possível. Quando essa Soma Total se combina com dano nulo ou ínfimo e conduta isolada, o resultado global sinaliza, para a autoridade, que a conduta pode comportar arquivamento em vez de penalidade.</w:t>
      </w:r>
    </w:p>
    <w:p w14:paraId="4ADC9081" w14:textId="77777777" w:rsidR="00560F38" w:rsidRDefault="00000000">
      <w:pPr>
        <w:spacing w:before="80" w:after="80" w:line="276" w:lineRule="auto"/>
        <w:jc w:val="both"/>
      </w:pPr>
      <w:r>
        <w:t>A decisão final sobre arquivar ou apenar é sempre da autoridade competente. A ferramenta fornece uma Soma Total muito baixa que, associada ao contexto fático descrito nos campos de complementação, orienta o raciocínio em direção à hipótese de arquivamento fundamentada na tese da Coger/RFB (NT nº 12/2021).</w:t>
      </w:r>
    </w:p>
    <w:p w14:paraId="0AA09483" w14:textId="77777777" w:rsidR="00560F38" w:rsidRDefault="00000000">
      <w:pPr>
        <w:pStyle w:val="Ttulo2"/>
      </w:pPr>
      <w:bookmarkStart w:id="28" w:name="_Toc232175873"/>
      <w:r>
        <w:t>5.5 Consciência da ilicitude e erro de proibição</w:t>
      </w:r>
      <w:bookmarkEnd w:id="28"/>
    </w:p>
    <w:p w14:paraId="4D6E0B6E" w14:textId="77777777" w:rsidR="00560F38" w:rsidRDefault="00000000">
      <w:pPr>
        <w:spacing w:before="80" w:after="80" w:line="276" w:lineRule="auto"/>
        <w:jc w:val="both"/>
      </w:pPr>
      <w:r>
        <w:t>O conhecimento da norma escrita presume-se de todos (art. 3º da LINDB). O conteúdo da norma proibitiva — o seu real âmbito de incidência — pode legitimamente ser objeto de questionamento. O erro de proibição evitável não exclui o dolo nem a culpa, mas pode reduzir o grau da gravidade. A Calculadora trata o acesso à norma e à capacitação como subfator autônomo (SF1.2).</w:t>
      </w:r>
    </w:p>
    <w:p w14:paraId="11B94A63" w14:textId="77777777" w:rsidR="00560F38" w:rsidRDefault="00000000">
      <w:pPr>
        <w:pStyle w:val="Ttulo2"/>
      </w:pPr>
      <w:bookmarkStart w:id="29" w:name="_Toc232175874"/>
      <w:r>
        <w:t>5.6 Operacionalização na Calculadora</w:t>
      </w:r>
      <w:bookmarkEnd w:id="29"/>
    </w:p>
    <w:p w14:paraId="0C678020" w14:textId="77777777" w:rsidR="00560F38" w:rsidRDefault="00000000">
      <w:pPr>
        <w:spacing w:before="80" w:after="80" w:line="276" w:lineRule="auto"/>
        <w:jc w:val="both"/>
      </w:pPr>
      <w:r>
        <w:t>O elemento Natureza decompõe-se em dois subfatores encadeados. SF1.1 opera como árvore de decisão em três ramos — culpa leve, culpa grave e dolo —, cada um com refinamento interno em três graus. No ramo do dolo, a distinção entre dolo eventual, dolo direto e dolo com especial fim de agir está integrada no próprio SF1.1. SF1.2 avalia o grau de falha no dever de cuidado ou de consciência da ilicitude.</w:t>
      </w:r>
    </w:p>
    <w:p w14:paraId="79AAFC07" w14:textId="77777777" w:rsidR="00560F38" w:rsidRDefault="00560F38"/>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200"/>
        <w:gridCol w:w="3360"/>
        <w:gridCol w:w="800"/>
      </w:tblGrid>
      <w:tr w:rsidR="00560F38" w14:paraId="7C98D11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F937F6C" w14:textId="77777777" w:rsidR="00560F38" w:rsidRDefault="00000000">
            <w:pPr>
              <w:jc w:val="both"/>
            </w:pPr>
            <w:r>
              <w:rPr>
                <w:b/>
                <w:bCs/>
                <w:color w:val="FFFFFF"/>
                <w:sz w:val="17"/>
                <w:szCs w:val="17"/>
              </w:rPr>
              <w:t>Subfator</w:t>
            </w:r>
          </w:p>
        </w:tc>
        <w:tc>
          <w:tcPr>
            <w:tcW w:w="3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88C14D8" w14:textId="77777777" w:rsidR="00560F38" w:rsidRDefault="00000000">
            <w:pPr>
              <w:jc w:val="both"/>
            </w:pPr>
            <w:r>
              <w:rPr>
                <w:b/>
                <w:bCs/>
                <w:color w:val="FFFFFF"/>
                <w:sz w:val="17"/>
                <w:szCs w:val="17"/>
              </w:rPr>
              <w:t>Alternativas principais</w:t>
            </w:r>
          </w:p>
        </w:tc>
        <w:tc>
          <w:tcPr>
            <w:tcW w:w="33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1088EAA" w14:textId="77777777" w:rsidR="00560F38" w:rsidRDefault="00000000">
            <w:pPr>
              <w:jc w:val="both"/>
            </w:pPr>
            <w:r>
              <w:rPr>
                <w:b/>
                <w:bCs/>
                <w:color w:val="FFFFFF"/>
                <w:sz w:val="17"/>
                <w:szCs w:val="17"/>
              </w:rPr>
              <w:t>Refinamento</w:t>
            </w:r>
          </w:p>
        </w:tc>
        <w:tc>
          <w:tcPr>
            <w:tcW w:w="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055F4B1" w14:textId="77777777" w:rsidR="00560F38" w:rsidRDefault="00000000">
            <w:pPr>
              <w:jc w:val="both"/>
            </w:pPr>
            <w:r>
              <w:rPr>
                <w:b/>
                <w:bCs/>
                <w:color w:val="FFFFFF"/>
                <w:sz w:val="17"/>
                <w:szCs w:val="17"/>
              </w:rPr>
              <w:t>Faixa</w:t>
            </w:r>
          </w:p>
        </w:tc>
      </w:tr>
      <w:tr w:rsidR="00560F38" w14:paraId="6F07B62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9B22D3" w14:textId="77777777" w:rsidR="00560F38" w:rsidRDefault="00000000">
            <w:pPr>
              <w:jc w:val="both"/>
            </w:pPr>
            <w:r>
              <w:rPr>
                <w:color w:val="000000"/>
                <w:sz w:val="17"/>
                <w:szCs w:val="17"/>
              </w:rPr>
              <w:t>SF1.1 — Elemento Subjetivo</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93C010" w14:textId="77777777" w:rsidR="00560F38" w:rsidRDefault="00000000">
            <w:pPr>
              <w:jc w:val="both"/>
            </w:pPr>
            <w:r>
              <w:rPr>
                <w:color w:val="000000"/>
                <w:sz w:val="17"/>
                <w:szCs w:val="17"/>
              </w:rPr>
              <w:t>Culpa Leve · Culpa Grave / Erro Grosseiro · Dolo</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3BDD43" w14:textId="77777777" w:rsidR="00560F38" w:rsidRDefault="00000000">
            <w:pPr>
              <w:jc w:val="both"/>
            </w:pPr>
            <w:r>
              <w:rPr>
                <w:color w:val="000000"/>
                <w:sz w:val="17"/>
                <w:szCs w:val="17"/>
              </w:rPr>
              <w:t>Culpa leve: descuido pontual (2), descuido perceptível (5), descuido acentuado (8). Culpa grave: evidente com alguma complexidade (10), claramente evidente (13), extrema relevância (16). Dolo: eventual (17), direto (20), especial fim de agir (22).</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A416B3" w14:textId="77777777" w:rsidR="00560F38" w:rsidRDefault="00000000">
            <w:pPr>
              <w:jc w:val="both"/>
            </w:pPr>
            <w:r>
              <w:rPr>
                <w:color w:val="000000"/>
                <w:sz w:val="17"/>
                <w:szCs w:val="17"/>
              </w:rPr>
              <w:t>1–22</w:t>
            </w:r>
          </w:p>
        </w:tc>
      </w:tr>
      <w:tr w:rsidR="00560F38" w14:paraId="0171F39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7FB"/>
            <w:tcMar>
              <w:top w:w="80" w:type="dxa"/>
              <w:left w:w="120" w:type="dxa"/>
              <w:bottom w:w="80" w:type="dxa"/>
              <w:right w:w="120" w:type="dxa"/>
            </w:tcMar>
          </w:tcPr>
          <w:p w14:paraId="15E4E4CC" w14:textId="77777777" w:rsidR="00560F38" w:rsidRDefault="00000000">
            <w:pPr>
              <w:jc w:val="both"/>
            </w:pPr>
            <w:r>
              <w:rPr>
                <w:color w:val="000000"/>
                <w:sz w:val="17"/>
                <w:szCs w:val="17"/>
              </w:rPr>
              <w:lastRenderedPageBreak/>
              <w:t>SF1.2 — Falha no Dever de Cuidado / Consciência da Ilicitude</w:t>
            </w:r>
          </w:p>
        </w:tc>
        <w:tc>
          <w:tcPr>
            <w:tcW w:w="3200" w:type="dxa"/>
            <w:tcBorders>
              <w:top w:val="single" w:sz="1" w:space="0" w:color="CCCCCC"/>
              <w:left w:val="single" w:sz="1" w:space="0" w:color="CCCCCC"/>
              <w:bottom w:val="single" w:sz="1" w:space="0" w:color="CCCCCC"/>
              <w:right w:val="single" w:sz="1" w:space="0" w:color="CCCCCC"/>
            </w:tcBorders>
            <w:shd w:val="clear" w:color="auto" w:fill="F5F7FB"/>
            <w:tcMar>
              <w:top w:w="80" w:type="dxa"/>
              <w:left w:w="120" w:type="dxa"/>
              <w:bottom w:w="80" w:type="dxa"/>
              <w:right w:w="120" w:type="dxa"/>
            </w:tcMar>
          </w:tcPr>
          <w:p w14:paraId="092A10BF" w14:textId="77777777" w:rsidR="00560F38" w:rsidRDefault="00000000">
            <w:pPr>
              <w:jc w:val="both"/>
            </w:pPr>
            <w:r>
              <w:rPr>
                <w:color w:val="000000"/>
                <w:sz w:val="17"/>
                <w:szCs w:val="17"/>
              </w:rPr>
              <w:t>Não havia norma, orientação nem capacitação, nem informação informal (0) · Havia informação informal ou prática comum na unidade, sem norma/orientação/capacitação (1) · Norma técnica ou de difícil compreensão, sem orientação e sem capacitação (2) · Norma clara e de fácil acesso, sem orientação e sem capacitação (3) · Norma e orientação institucional formal sobre o tema em geral, sem capacitação (4) · Norma e orientação institucional formal específica sobre a conduta, sem capacitação (5) · Norma, orientação e capacitação geral na área, não específica sobre a conduta (6) · Norma, orientação e capacitação específica e documentada sobre exatamente esta conduta (8)</w:t>
            </w:r>
          </w:p>
        </w:tc>
        <w:tc>
          <w:tcPr>
            <w:tcW w:w="3360" w:type="dxa"/>
            <w:tcBorders>
              <w:top w:val="single" w:sz="1" w:space="0" w:color="CCCCCC"/>
              <w:left w:val="single" w:sz="1" w:space="0" w:color="CCCCCC"/>
              <w:bottom w:val="single" w:sz="1" w:space="0" w:color="CCCCCC"/>
              <w:right w:val="single" w:sz="1" w:space="0" w:color="CCCCCC"/>
            </w:tcBorders>
            <w:shd w:val="clear" w:color="auto" w:fill="F5F7FB"/>
            <w:tcMar>
              <w:top w:w="80" w:type="dxa"/>
              <w:left w:w="120" w:type="dxa"/>
              <w:bottom w:w="80" w:type="dxa"/>
              <w:right w:w="120" w:type="dxa"/>
            </w:tcMar>
          </w:tcPr>
          <w:p w14:paraId="2DD1306D" w14:textId="77777777" w:rsidR="00560F38" w:rsidRDefault="00000000">
            <w:pPr>
              <w:jc w:val="both"/>
            </w:pPr>
            <w:r>
              <w:rPr>
                <w:color w:val="000000"/>
                <w:sz w:val="17"/>
                <w:szCs w:val="17"/>
              </w:rPr>
              <w:t>Dois refinamentos: (i) grau de acesso à norma; (ii) alcance da capacitação.</w:t>
            </w:r>
          </w:p>
        </w:tc>
        <w:tc>
          <w:tcPr>
            <w:tcW w:w="800" w:type="dxa"/>
            <w:tcBorders>
              <w:top w:val="single" w:sz="1" w:space="0" w:color="CCCCCC"/>
              <w:left w:val="single" w:sz="1" w:space="0" w:color="CCCCCC"/>
              <w:bottom w:val="single" w:sz="1" w:space="0" w:color="CCCCCC"/>
              <w:right w:val="single" w:sz="1" w:space="0" w:color="CCCCCC"/>
            </w:tcBorders>
            <w:shd w:val="clear" w:color="auto" w:fill="F5F7FB"/>
            <w:tcMar>
              <w:top w:w="80" w:type="dxa"/>
              <w:left w:w="120" w:type="dxa"/>
              <w:bottom w:w="80" w:type="dxa"/>
              <w:right w:w="120" w:type="dxa"/>
            </w:tcMar>
          </w:tcPr>
          <w:p w14:paraId="4D3B928C" w14:textId="77777777" w:rsidR="00560F38" w:rsidRDefault="00000000">
            <w:pPr>
              <w:jc w:val="both"/>
            </w:pPr>
            <w:r>
              <w:rPr>
                <w:color w:val="000000"/>
                <w:sz w:val="17"/>
                <w:szCs w:val="17"/>
              </w:rPr>
              <w:t>0–8</w:t>
            </w:r>
          </w:p>
        </w:tc>
      </w:tr>
    </w:tbl>
    <w:p w14:paraId="0B9B469F" w14:textId="77777777" w:rsidR="00560F38" w:rsidRDefault="00560F38"/>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2000"/>
        <w:gridCol w:w="1860"/>
        <w:gridCol w:w="4100"/>
      </w:tblGrid>
      <w:tr w:rsidR="00560F38" w14:paraId="40E4EEE4"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EF0F5E9" w14:textId="77777777" w:rsidR="00560F38" w:rsidRDefault="00000000">
            <w:pPr>
              <w:jc w:val="both"/>
            </w:pPr>
            <w:r>
              <w:rPr>
                <w:b/>
                <w:bCs/>
                <w:color w:val="FFFFFF"/>
                <w:sz w:val="17"/>
                <w:szCs w:val="17"/>
              </w:rPr>
              <w:t>Posição</w:t>
            </w:r>
          </w:p>
        </w:tc>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D16E12B" w14:textId="77777777" w:rsidR="00560F38" w:rsidRDefault="00000000">
            <w:pPr>
              <w:jc w:val="both"/>
            </w:pPr>
            <w:r>
              <w:rPr>
                <w:b/>
                <w:bCs/>
                <w:color w:val="FFFFFF"/>
                <w:sz w:val="17"/>
                <w:szCs w:val="17"/>
              </w:rPr>
              <w:t>Instituto</w:t>
            </w:r>
          </w:p>
        </w:tc>
        <w:tc>
          <w:tcPr>
            <w:tcW w:w="18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1C917F8" w14:textId="77777777" w:rsidR="00560F38" w:rsidRDefault="00000000">
            <w:pPr>
              <w:jc w:val="both"/>
            </w:pPr>
            <w:r>
              <w:rPr>
                <w:b/>
                <w:bCs/>
                <w:color w:val="FFFFFF"/>
                <w:sz w:val="17"/>
                <w:szCs w:val="17"/>
              </w:rPr>
              <w:t>Reprovabilidade</w:t>
            </w:r>
          </w:p>
        </w:tc>
        <w:tc>
          <w:tcPr>
            <w:tcW w:w="41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AA96DC5" w14:textId="77777777" w:rsidR="00560F38" w:rsidRDefault="00000000">
            <w:pPr>
              <w:jc w:val="both"/>
            </w:pPr>
            <w:r>
              <w:rPr>
                <w:b/>
                <w:bCs/>
                <w:color w:val="FFFFFF"/>
                <w:sz w:val="17"/>
                <w:szCs w:val="17"/>
              </w:rPr>
              <w:t>Consequência disciplinar</w:t>
            </w:r>
          </w:p>
        </w:tc>
      </w:tr>
      <w:tr w:rsidR="00560F38" w14:paraId="6BB9FC1C"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AD6FE1" w14:textId="77777777" w:rsidR="00560F38" w:rsidRDefault="00000000">
            <w:pPr>
              <w:jc w:val="both"/>
            </w:pPr>
            <w:r>
              <w:rPr>
                <w:color w:val="000000"/>
                <w:sz w:val="17"/>
                <w:szCs w:val="17"/>
              </w:rPr>
              <w:t>Pré-limiar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A9D66A" w14:textId="77777777" w:rsidR="00560F38" w:rsidRDefault="00000000">
            <w:pPr>
              <w:jc w:val="both"/>
            </w:pPr>
            <w:r>
              <w:rPr>
                <w:color w:val="000000"/>
                <w:sz w:val="17"/>
                <w:szCs w:val="17"/>
              </w:rPr>
              <w:t>Erro escusável</w:t>
            </w:r>
          </w:p>
        </w:tc>
        <w:tc>
          <w:tcPr>
            <w:tcW w:w="1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938BE1" w14:textId="77777777" w:rsidR="00560F38" w:rsidRDefault="00000000">
            <w:pPr>
              <w:jc w:val="both"/>
            </w:pPr>
            <w:r>
              <w:rPr>
                <w:color w:val="000000"/>
                <w:sz w:val="17"/>
                <w:szCs w:val="17"/>
              </w:rPr>
              <w:t>Nenhuma</w:t>
            </w:r>
          </w:p>
        </w:tc>
        <w:tc>
          <w:tcPr>
            <w:tcW w:w="4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6A1BD0" w14:textId="77777777" w:rsidR="00560F38" w:rsidRDefault="00000000">
            <w:pPr>
              <w:jc w:val="both"/>
            </w:pPr>
            <w:r>
              <w:rPr>
                <w:color w:val="000000"/>
                <w:sz w:val="17"/>
                <w:szCs w:val="17"/>
              </w:rPr>
              <w:t>Arquivamento possível (tese Coger/RFB). Decisão da autoridade.</w:t>
            </w:r>
          </w:p>
        </w:tc>
      </w:tr>
      <w:tr w:rsidR="00560F38" w14:paraId="0306E859"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5F7FB"/>
            <w:tcMar>
              <w:top w:w="80" w:type="dxa"/>
              <w:left w:w="120" w:type="dxa"/>
              <w:bottom w:w="80" w:type="dxa"/>
              <w:right w:w="120" w:type="dxa"/>
            </w:tcMar>
          </w:tcPr>
          <w:p w14:paraId="5909C09F" w14:textId="77777777" w:rsidR="00560F38" w:rsidRDefault="00000000">
            <w:pPr>
              <w:jc w:val="both"/>
            </w:pPr>
            <w:r>
              <w:rPr>
                <w:color w:val="000000"/>
                <w:sz w:val="17"/>
                <w:szCs w:val="17"/>
              </w:rPr>
              <w:t>Base</w:t>
            </w:r>
          </w:p>
        </w:tc>
        <w:tc>
          <w:tcPr>
            <w:tcW w:w="2000" w:type="dxa"/>
            <w:tcBorders>
              <w:top w:val="single" w:sz="1" w:space="0" w:color="CCCCCC"/>
              <w:left w:val="single" w:sz="1" w:space="0" w:color="CCCCCC"/>
              <w:bottom w:val="single" w:sz="1" w:space="0" w:color="CCCCCC"/>
              <w:right w:val="single" w:sz="1" w:space="0" w:color="CCCCCC"/>
            </w:tcBorders>
            <w:shd w:val="clear" w:color="auto" w:fill="F5F7FB"/>
            <w:tcMar>
              <w:top w:w="80" w:type="dxa"/>
              <w:left w:w="120" w:type="dxa"/>
              <w:bottom w:w="80" w:type="dxa"/>
              <w:right w:w="120" w:type="dxa"/>
            </w:tcMar>
          </w:tcPr>
          <w:p w14:paraId="662F76BD" w14:textId="77777777" w:rsidR="00560F38" w:rsidRDefault="00000000">
            <w:pPr>
              <w:jc w:val="both"/>
            </w:pPr>
            <w:r>
              <w:rPr>
                <w:color w:val="000000"/>
                <w:sz w:val="17"/>
                <w:szCs w:val="17"/>
              </w:rPr>
              <w:t>Culpa leve</w:t>
            </w:r>
          </w:p>
        </w:tc>
        <w:tc>
          <w:tcPr>
            <w:tcW w:w="1860" w:type="dxa"/>
            <w:tcBorders>
              <w:top w:val="single" w:sz="1" w:space="0" w:color="CCCCCC"/>
              <w:left w:val="single" w:sz="1" w:space="0" w:color="CCCCCC"/>
              <w:bottom w:val="single" w:sz="1" w:space="0" w:color="CCCCCC"/>
              <w:right w:val="single" w:sz="1" w:space="0" w:color="CCCCCC"/>
            </w:tcBorders>
            <w:shd w:val="clear" w:color="auto" w:fill="F5F7FB"/>
            <w:tcMar>
              <w:top w:w="80" w:type="dxa"/>
              <w:left w:w="120" w:type="dxa"/>
              <w:bottom w:w="80" w:type="dxa"/>
              <w:right w:w="120" w:type="dxa"/>
            </w:tcMar>
          </w:tcPr>
          <w:p w14:paraId="45EB2ED7" w14:textId="77777777" w:rsidR="00560F38" w:rsidRDefault="00000000">
            <w:pPr>
              <w:jc w:val="both"/>
            </w:pPr>
            <w:r>
              <w:rPr>
                <w:color w:val="000000"/>
                <w:sz w:val="17"/>
                <w:szCs w:val="17"/>
              </w:rPr>
              <w:t>Mínima</w:t>
            </w:r>
          </w:p>
        </w:tc>
        <w:tc>
          <w:tcPr>
            <w:tcW w:w="4100" w:type="dxa"/>
            <w:tcBorders>
              <w:top w:val="single" w:sz="1" w:space="0" w:color="CCCCCC"/>
              <w:left w:val="single" w:sz="1" w:space="0" w:color="CCCCCC"/>
              <w:bottom w:val="single" w:sz="1" w:space="0" w:color="CCCCCC"/>
              <w:right w:val="single" w:sz="1" w:space="0" w:color="CCCCCC"/>
            </w:tcBorders>
            <w:shd w:val="clear" w:color="auto" w:fill="F5F7FB"/>
            <w:tcMar>
              <w:top w:w="80" w:type="dxa"/>
              <w:left w:w="120" w:type="dxa"/>
              <w:bottom w:w="80" w:type="dxa"/>
              <w:right w:w="120" w:type="dxa"/>
            </w:tcMar>
          </w:tcPr>
          <w:p w14:paraId="6A70C372" w14:textId="77777777" w:rsidR="00560F38" w:rsidRDefault="00000000">
            <w:pPr>
              <w:jc w:val="both"/>
            </w:pPr>
            <w:r>
              <w:rPr>
                <w:color w:val="000000"/>
                <w:sz w:val="17"/>
                <w:szCs w:val="17"/>
              </w:rPr>
              <w:t>Advertência (Regime Geral) — SF1.1: 2–8 pts.</w:t>
            </w:r>
          </w:p>
        </w:tc>
      </w:tr>
      <w:tr w:rsidR="00560F38" w14:paraId="5199220C"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0C6271" w14:textId="77777777" w:rsidR="00560F38" w:rsidRDefault="00000000">
            <w:pPr>
              <w:jc w:val="both"/>
            </w:pPr>
            <w:r>
              <w:rPr>
                <w:color w:val="000000"/>
                <w:sz w:val="17"/>
                <w:szCs w:val="17"/>
              </w:rPr>
              <w:t>Intermediário</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296729" w14:textId="77777777" w:rsidR="00560F38" w:rsidRDefault="00000000">
            <w:pPr>
              <w:jc w:val="both"/>
            </w:pPr>
            <w:r>
              <w:rPr>
                <w:color w:val="000000"/>
                <w:sz w:val="17"/>
                <w:szCs w:val="17"/>
              </w:rPr>
              <w:t>Culpa grave</w:t>
            </w:r>
          </w:p>
        </w:tc>
        <w:tc>
          <w:tcPr>
            <w:tcW w:w="1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678623" w14:textId="77777777" w:rsidR="00560F38" w:rsidRDefault="00000000">
            <w:pPr>
              <w:jc w:val="both"/>
            </w:pPr>
            <w:r>
              <w:rPr>
                <w:color w:val="000000"/>
                <w:sz w:val="17"/>
                <w:szCs w:val="17"/>
              </w:rPr>
              <w:t>Considerável</w:t>
            </w:r>
          </w:p>
        </w:tc>
        <w:tc>
          <w:tcPr>
            <w:tcW w:w="4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9191F5" w14:textId="77777777" w:rsidR="00560F38" w:rsidRDefault="00000000">
            <w:pPr>
              <w:jc w:val="both"/>
            </w:pPr>
            <w:r>
              <w:rPr>
                <w:color w:val="000000"/>
                <w:sz w:val="17"/>
                <w:szCs w:val="17"/>
              </w:rPr>
              <w:t>Advertência ou suspensão — SF1.1: 10–16 pts.</w:t>
            </w:r>
          </w:p>
        </w:tc>
      </w:tr>
      <w:tr w:rsidR="00560F38" w14:paraId="3B703A50"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5F7FB"/>
            <w:tcMar>
              <w:top w:w="80" w:type="dxa"/>
              <w:left w:w="120" w:type="dxa"/>
              <w:bottom w:w="80" w:type="dxa"/>
              <w:right w:w="120" w:type="dxa"/>
            </w:tcMar>
          </w:tcPr>
          <w:p w14:paraId="7ABBF781" w14:textId="77777777" w:rsidR="00560F38" w:rsidRDefault="00000000">
            <w:pPr>
              <w:jc w:val="both"/>
            </w:pPr>
            <w:r>
              <w:rPr>
                <w:color w:val="000000"/>
                <w:sz w:val="17"/>
                <w:szCs w:val="17"/>
              </w:rPr>
              <w:t>Elevado</w:t>
            </w:r>
          </w:p>
        </w:tc>
        <w:tc>
          <w:tcPr>
            <w:tcW w:w="2000" w:type="dxa"/>
            <w:tcBorders>
              <w:top w:val="single" w:sz="1" w:space="0" w:color="CCCCCC"/>
              <w:left w:val="single" w:sz="1" w:space="0" w:color="CCCCCC"/>
              <w:bottom w:val="single" w:sz="1" w:space="0" w:color="CCCCCC"/>
              <w:right w:val="single" w:sz="1" w:space="0" w:color="CCCCCC"/>
            </w:tcBorders>
            <w:shd w:val="clear" w:color="auto" w:fill="F5F7FB"/>
            <w:tcMar>
              <w:top w:w="80" w:type="dxa"/>
              <w:left w:w="120" w:type="dxa"/>
              <w:bottom w:w="80" w:type="dxa"/>
              <w:right w:w="120" w:type="dxa"/>
            </w:tcMar>
          </w:tcPr>
          <w:p w14:paraId="18130534" w14:textId="77777777" w:rsidR="00560F38" w:rsidRDefault="00000000">
            <w:pPr>
              <w:jc w:val="both"/>
            </w:pPr>
            <w:r>
              <w:rPr>
                <w:color w:val="000000"/>
                <w:sz w:val="17"/>
                <w:szCs w:val="17"/>
              </w:rPr>
              <w:t>Dolo eventual</w:t>
            </w:r>
          </w:p>
        </w:tc>
        <w:tc>
          <w:tcPr>
            <w:tcW w:w="1860" w:type="dxa"/>
            <w:tcBorders>
              <w:top w:val="single" w:sz="1" w:space="0" w:color="CCCCCC"/>
              <w:left w:val="single" w:sz="1" w:space="0" w:color="CCCCCC"/>
              <w:bottom w:val="single" w:sz="1" w:space="0" w:color="CCCCCC"/>
              <w:right w:val="single" w:sz="1" w:space="0" w:color="CCCCCC"/>
            </w:tcBorders>
            <w:shd w:val="clear" w:color="auto" w:fill="F5F7FB"/>
            <w:tcMar>
              <w:top w:w="80" w:type="dxa"/>
              <w:left w:w="120" w:type="dxa"/>
              <w:bottom w:w="80" w:type="dxa"/>
              <w:right w:w="120" w:type="dxa"/>
            </w:tcMar>
          </w:tcPr>
          <w:p w14:paraId="2CBB60C0" w14:textId="77777777" w:rsidR="00560F38" w:rsidRDefault="00000000">
            <w:pPr>
              <w:jc w:val="both"/>
            </w:pPr>
            <w:r>
              <w:rPr>
                <w:color w:val="000000"/>
                <w:sz w:val="17"/>
                <w:szCs w:val="17"/>
              </w:rPr>
              <w:t>Alta</w:t>
            </w:r>
          </w:p>
        </w:tc>
        <w:tc>
          <w:tcPr>
            <w:tcW w:w="4100" w:type="dxa"/>
            <w:tcBorders>
              <w:top w:val="single" w:sz="1" w:space="0" w:color="CCCCCC"/>
              <w:left w:val="single" w:sz="1" w:space="0" w:color="CCCCCC"/>
              <w:bottom w:val="single" w:sz="1" w:space="0" w:color="CCCCCC"/>
              <w:right w:val="single" w:sz="1" w:space="0" w:color="CCCCCC"/>
            </w:tcBorders>
            <w:shd w:val="clear" w:color="auto" w:fill="F5F7FB"/>
            <w:tcMar>
              <w:top w:w="80" w:type="dxa"/>
              <w:left w:w="120" w:type="dxa"/>
              <w:bottom w:w="80" w:type="dxa"/>
              <w:right w:w="120" w:type="dxa"/>
            </w:tcMar>
          </w:tcPr>
          <w:p w14:paraId="2B7B7CD1" w14:textId="77777777" w:rsidR="00560F38" w:rsidRDefault="00000000">
            <w:pPr>
              <w:jc w:val="both"/>
            </w:pPr>
            <w:r>
              <w:rPr>
                <w:color w:val="000000"/>
                <w:sz w:val="17"/>
                <w:szCs w:val="17"/>
              </w:rPr>
              <w:t>Suspensão na maioria dos casos — SF1.1: 17 pts.</w:t>
            </w:r>
          </w:p>
        </w:tc>
      </w:tr>
      <w:tr w:rsidR="00560F38" w14:paraId="16062805"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79E77A" w14:textId="77777777" w:rsidR="00560F38" w:rsidRDefault="00000000">
            <w:pPr>
              <w:jc w:val="both"/>
            </w:pPr>
            <w:r>
              <w:rPr>
                <w:color w:val="000000"/>
                <w:sz w:val="17"/>
                <w:szCs w:val="17"/>
              </w:rPr>
              <w:t>Topo</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B21A0B" w14:textId="77777777" w:rsidR="00560F38" w:rsidRDefault="00000000">
            <w:pPr>
              <w:jc w:val="both"/>
            </w:pPr>
            <w:r>
              <w:rPr>
                <w:color w:val="000000"/>
                <w:sz w:val="17"/>
                <w:szCs w:val="17"/>
              </w:rPr>
              <w:t>Dolo direto / Especial fim de agir</w:t>
            </w:r>
          </w:p>
        </w:tc>
        <w:tc>
          <w:tcPr>
            <w:tcW w:w="1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9E1953" w14:textId="77777777" w:rsidR="00560F38" w:rsidRDefault="00000000">
            <w:pPr>
              <w:jc w:val="both"/>
            </w:pPr>
            <w:r>
              <w:rPr>
                <w:color w:val="000000"/>
                <w:sz w:val="17"/>
                <w:szCs w:val="17"/>
              </w:rPr>
              <w:t>Máxima</w:t>
            </w:r>
          </w:p>
        </w:tc>
        <w:tc>
          <w:tcPr>
            <w:tcW w:w="4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3E4C68" w14:textId="77777777" w:rsidR="00560F38" w:rsidRDefault="00000000">
            <w:pPr>
              <w:jc w:val="both"/>
            </w:pPr>
            <w:r>
              <w:rPr>
                <w:color w:val="000000"/>
                <w:sz w:val="17"/>
                <w:szCs w:val="17"/>
              </w:rPr>
              <w:t>Suspensão com maior duração — SF1.1: 20–22 pts.</w:t>
            </w:r>
          </w:p>
        </w:tc>
      </w:tr>
    </w:tbl>
    <w:p w14:paraId="053A136C" w14:textId="77777777" w:rsidR="00560F38" w:rsidRDefault="00000000">
      <w:pPr>
        <w:pStyle w:val="Ttulo1"/>
      </w:pPr>
      <w:bookmarkStart w:id="30" w:name="_Toc232175875"/>
      <w:r>
        <w:t>6. Elemento 2 — Gravidade da Infração</w:t>
      </w:r>
      <w:bookmarkEnd w:id="30"/>
    </w:p>
    <w:p w14:paraId="2007D447" w14:textId="77777777" w:rsidR="00560F38" w:rsidRDefault="00000000">
      <w:pPr>
        <w:spacing w:before="80" w:after="80" w:line="276" w:lineRule="auto"/>
        <w:jc w:val="both"/>
      </w:pPr>
      <w:r>
        <w:t xml:space="preserve">Base legal: </w:t>
      </w:r>
      <w:r>
        <w:rPr>
          <w:b/>
          <w:bCs/>
        </w:rPr>
        <w:t>art. 128; e art. 16, I, do Decreto nº 9.830/2019.</w:t>
      </w:r>
      <w:r>
        <w:t xml:space="preserve"> Teto: 30 pontos.</w:t>
      </w:r>
    </w:p>
    <w:p w14:paraId="67676A8D" w14:textId="77777777" w:rsidR="00560F38" w:rsidRDefault="00560F38"/>
    <w:p w14:paraId="056F9D5C" w14:textId="77777777" w:rsidR="00560F38" w:rsidRDefault="00000000">
      <w:pPr>
        <w:spacing w:before="80" w:after="80" w:line="276" w:lineRule="auto"/>
        <w:jc w:val="both"/>
      </w:pPr>
      <w:r>
        <w:t>A gravidade afere a intensidade da violação ao ordenamento — o grau do ataque à ordem jurídica e a qualidade da ofensa ao bem jurídico protegido. É um juízo de desvalor da ação que se soma — sem com ele se confundir — ao desvalor do resultado, valorado no Elemento 3.</w:t>
      </w:r>
    </w:p>
    <w:p w14:paraId="25F488BF" w14:textId="77777777" w:rsidR="00560F38" w:rsidRDefault="00000000">
      <w:pPr>
        <w:pStyle w:val="Ttulo2"/>
      </w:pPr>
      <w:bookmarkStart w:id="31" w:name="_Toc232175876"/>
      <w:r>
        <w:t>6.1 O peso da norma violada</w:t>
      </w:r>
      <w:bookmarkEnd w:id="31"/>
    </w:p>
    <w:p w14:paraId="312ED550" w14:textId="77777777" w:rsidR="00560F38" w:rsidRDefault="00000000">
      <w:pPr>
        <w:spacing w:before="80" w:after="80" w:line="276" w:lineRule="auto"/>
        <w:jc w:val="both"/>
      </w:pPr>
      <w:r>
        <w:t>Para aferir a gravidade é legítimo comparar o peso das normas violadas e os interesses públicos por elas tutelados. Uma violação meramente procedimental tende a pesar menos do que a violação substancial de norma que protege a higidez de uma licitação ou o sigilo fiscal.</w:t>
      </w:r>
    </w:p>
    <w:p w14:paraId="38ECE08C" w14:textId="77777777" w:rsidR="00AA0001" w:rsidRDefault="00AA0001"/>
    <w:p w14:paraId="7B8CC5B2" w14:textId="77777777" w:rsidR="00AA0001" w:rsidRDefault="00000000">
      <w:pPr>
        <w:pStyle w:val="Ttulo2"/>
      </w:pPr>
      <w:r>
        <w:t>6.2 A fronteira entre gravidade (SF2.1) e dano imaterial: vedação à dupla valoração</w:t>
      </w:r>
    </w:p>
    <w:p w14:paraId="45751899" w14:textId="77777777" w:rsidR="00AA0001" w:rsidRDefault="00000000">
      <w:pPr>
        <w:pStyle w:val="Ttulo3"/>
      </w:pPr>
      <w:r>
        <w:t>6.2.1 O risco de sobreposição</w:t>
      </w:r>
    </w:p>
    <w:p w14:paraId="3F1CDEBB" w14:textId="77777777" w:rsidR="00AA0001" w:rsidRDefault="00000000">
      <w:pPr>
        <w:spacing w:before="80" w:after="80" w:line="276" w:lineRule="auto"/>
        <w:jc w:val="both"/>
      </w:pPr>
      <w:r>
        <w:t xml:space="preserve">Dos cinco elementos do art. 128, gravidade e dano são os que mais facilmente se confundem na prática — e a confusão não é trivial: ela configura ne bis in idem, vício que compromete a validade da dosimetria por valorar o mesmo substrato fático duas vezes. O risco concentra-se especificamente na relação entre o subfator SF2.1 (hierarquia do bem jurídico) e os subfatores de dano imaterial (SF3B.1 a SF3B.4b), porque ambos parecem dizer respeito a "bens jurídicos imateriais" — credibilidade institucional, sigilo fiscal, regularidade do serviço. A semelhança é, contudo, apenas aparente. Os dois planos avaliam objetos categoricamente distintos.</w:t>
      </w:r>
    </w:p>
    <w:p w14:paraId="7D2A2FA8" w14:textId="77777777" w:rsidR="00AA0001" w:rsidRDefault="00AA0001"/>
    <w:p w14:paraId="190E6CCF" w14:textId="77777777" w:rsidR="00AA0001" w:rsidRDefault="00000000">
      <w:pPr>
        <w:pStyle w:val="Ttulo3"/>
      </w:pPr>
      <w:r>
        <w:t>6.2.2 Os dois planos: norma em abstrato versus resultado em concreto</w:t>
      </w:r>
    </w:p>
    <w:p w14:paraId="7593CAAA" w14:textId="77777777" w:rsidR="00AA0001" w:rsidRDefault="00000000">
      <w:pPr>
        <w:spacing w:before="80" w:after="80" w:line="276" w:lineRule="auto"/>
        <w:jc w:val="both"/>
      </w:pPr>
      <w:r>
        <w:t xml:space="preserve">SF2.1 avalia a norma violada em abstrato. Pergunta-se: qual a hierarquia do bem jurídico que a norma protege, considerada em tese, independentemente do que ocorreu neste caso? É um juízo sobre o dispositivo — sobre o que o legislador quis tutelar ao editá-lo. Uma norma que protege o sigilo fiscal ocupa posição elevada na hierarquia protetiva ainda que, no caso concreto, nenhum dado tenha sido efetivamente exposto. SF2.1 mede o desvalor objetivo da ação: a magnitude do ataque à ordem jurídica enquanto tal.</w:t>
      </w:r>
    </w:p>
    <w:p w14:paraId="0690743F" w14:textId="77777777" w:rsidR="00AA0001" w:rsidRDefault="00AA0001"/>
    <w:p w14:paraId="41E9D6A4" w14:textId="77777777" w:rsidR="00AA0001" w:rsidRDefault="00000000">
      <w:pPr>
        <w:spacing w:before="80" w:after="80" w:line="276" w:lineRule="auto"/>
        <w:jc w:val="both"/>
      </w:pPr>
      <w:r>
        <w:t xml:space="preserve">Os subfatores de dano imaterial avaliam o resultado em concreto. Pergunta-se: que lesão efetiva a conduta produziu sobre aquele bem jurídico, neste caso? É um juízo sobre o fato e suas consequências reais. Os subfatores de dano medem o desvalor do resultado. O que a vedação ao ne bis in idem proíbe é valorar o mesmo fato duas vezes; valorar dimensões distintas do mesmo fato é exatamente o que o art. 128 determina ao listar gravidade e dano como critérios autônomos.</w:t>
      </w:r>
    </w:p>
    <w:p w14:paraId="30D3BAE8" w14:textId="77777777" w:rsidR="00AA0001" w:rsidRDefault="00AA0001"/>
    <w:p w14:paraId="077DA62D" w14:textId="77777777" w:rsidR="00AA0001" w:rsidRDefault="00000000">
      <w:pPr>
        <w:pStyle w:val="Ttulo3"/>
      </w:pPr>
      <w:r>
        <w:t>6.2.3 As quatro combinações possíveis</w:t>
      </w:r>
    </w:p>
    <w:p w14:paraId="6E0B4CBC" w14:textId="77777777" w:rsidR="00AA0001" w:rsidRDefault="00000000">
      <w:pPr>
        <w:spacing w:before="80" w:after="80" w:line="276" w:lineRule="auto"/>
        <w:jc w:val="both"/>
      </w:pPr>
      <w:r>
        <w:t xml:space="preserve">A independência entre os dois planos fica evidente quando se percebe que todas as quatro combinações são logicamente possíveis e ocorrem na prática: (a) SF2.1 baixo + dano concreto baixo: violação de norma de baixa hierarquia sem repercussão concreta; (b) SF2.1 baixo + dano concreto alto: falha procedimental interna que, exposta à imprensa, gerou repercussão relevante; (c) SF2.1 alto + dano concreto baixo: acesso indevido a sistema de sigilo fiscal sem que nenhum dado tenha sido extraído ou divulgado — o quadrante mais crítico; (d) SF2.1 alto + dano concreto alto: acesso indevido seguido de efetiva divulgação de dados protegidos.</w:t>
      </w:r>
    </w:p>
    <w:p w14:paraId="21CFB422" w14:textId="77777777" w:rsidR="00AA0001" w:rsidRDefault="00AA0001"/>
    <w:p w14:paraId="7794984E" w14:textId="77777777" w:rsidR="00AA0001" w:rsidRDefault="00000000">
      <w:pPr>
        <w:spacing w:before="80" w:after="80" w:line="276" w:lineRule="auto"/>
        <w:jc w:val="both"/>
      </w:pPr>
      <w:r>
        <w:t xml:space="preserve">O quadrante (c) é o de maior risco: é a hipótese em que o operador, percebendo a gravidade abstrata da norma, sente-se tentado a pontuar também o dano — quando, no caso, dano concreto não houve. Pontuar dano nessa situação é presumi-lo, violando o item 7.2 deste Manual e, simultaneamente, duplicando a valoração da hierarquia da norma já captada em SF2.1.</w:t>
      </w:r>
    </w:p>
    <w:p w14:paraId="257FBB6D" w14:textId="77777777" w:rsidR="00AA0001" w:rsidRDefault="00AA0001"/>
    <w:p w14:paraId="17464B02" w14:textId="77777777" w:rsidR="00AA0001" w:rsidRDefault="00000000">
      <w:pPr>
        <w:pStyle w:val="Ttulo3"/>
      </w:pPr>
      <w:r>
        <w:t>6.2.4 Teste prático para o operador</w:t>
      </w:r>
    </w:p>
    <w:p w14:paraId="1CD3819A" w14:textId="77777777" w:rsidR="00AA0001" w:rsidRDefault="00000000">
      <w:pPr>
        <w:spacing w:before="80" w:after="80" w:line="276" w:lineRule="auto"/>
        <w:jc w:val="both"/>
      </w:pPr>
      <w:r>
        <w:t xml:space="preserve">Para evitar a sobreposição, o operador deve submeter cada pontuação a um teste de pergunta: ao pontuar SF2.1, a pergunta é "que bem jurídico a norma protege — em tese?"; ao pontuar dano imaterial, a pergunta é "que lesão real a conduta causou — neste caso?". Se a mesma frase for usada para justificar ambas as pontuações, há dupla valoração. A fundamentação registrada nos campos de complementação deve empregar vocabulário distinto em cada plano — abstrato e normativo em SF2.1, concreto e probatório no dano.</w:t>
      </w:r>
    </w:p>
    <w:p w14:paraId="26B4ABE8" w14:textId="77777777" w:rsidR="00AA0001" w:rsidRDefault="00AA0001"/>
    <w:p w14:paraId="3ADB6480" w14:textId="77777777" w:rsidR="00AA0001" w:rsidRDefault="00000000">
      <w:pPr>
        <w:pStyle w:val="Ttulo3"/>
      </w:pPr>
      <w:r>
        <w:t>6.2.5 Coerência com a arquitetura da ferramenta</w:t>
      </w:r>
    </w:p>
    <w:p w14:paraId="6316327D" w14:textId="77777777" w:rsidR="00AA0001" w:rsidRDefault="00000000">
      <w:pPr>
        <w:spacing w:before="80" w:after="80" w:line="276" w:lineRule="auto"/>
        <w:jc w:val="both"/>
      </w:pPr>
      <w:r>
        <w:t xml:space="preserve">Essa separação está inscrita na própria estrutura da Calculadora. SF2.1 traz, em sua nota de orientação, advertência expressa de que avalia o bem jurídico "em abstrato, independentemente do dano concreto verificado". Os subfatores SF3B.4a e SF3B.4b são redigidos para medir o "comprometimento concreto" do sigilo fiscal e da atividade de fiscalização — e não sua hierarquia normativa. O painel "Pontos de Atenção Identificados" sinaliza ao operador as combinações que sugerem possível sobreposição, recomendando revisão da fundamentação.</w:t>
      </w:r>
    </w:p>
    <w:p w14:paraId="160822C8" w14:textId="77777777" w:rsidR="00AA0001" w:rsidRDefault="00AA0001"/>
    <w:p w14:paraId="6CBA344D" w14:textId="77777777" w:rsidR="00560F38" w:rsidRDefault="00560F38"/>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60F38" w14:paraId="3A98811F" w14:textId="77777777">
        <w:tblPrEx>
          <w:tblCellMar>
            <w:top w:w="0" w:type="dxa"/>
            <w:bottom w:w="0" w:type="dxa"/>
          </w:tblCellMar>
        </w:tblPrEx>
        <w:tc>
          <w:tcPr>
            <w:tcW w:w="9360" w:type="dxa"/>
            <w:tcBorders>
              <w:top w:val="single" w:sz="4" w:space="0" w:color="2E5090"/>
              <w:left w:val="single" w:sz="4" w:space="0" w:color="2E5090"/>
              <w:bottom w:val="single" w:sz="4" w:space="0" w:color="2E5090"/>
              <w:right w:val="single" w:sz="4" w:space="0" w:color="2E5090"/>
            </w:tcBorders>
            <w:shd w:val="clear" w:color="auto" w:fill="EEF2F7"/>
            <w:tcMar>
              <w:top w:w="100" w:type="dxa"/>
              <w:left w:w="180" w:type="dxa"/>
              <w:bottom w:w="100" w:type="dxa"/>
              <w:right w:w="180" w:type="dxa"/>
            </w:tcMar>
          </w:tcPr>
          <w:p w14:paraId="3E7570CC" w14:textId="77777777" w:rsidR="00560F38" w:rsidRDefault="00000000">
            <w:pPr>
              <w:spacing w:before="60" w:after="40"/>
            </w:pPr>
            <w:r>
              <w:rPr>
                <w:b/>
                <w:bCs/>
                <w:color w:val="2E5090"/>
                <w:sz w:val="18"/>
                <w:szCs w:val="18"/>
              </w:rPr>
              <w:t>DISTINÇÃO FUNDAMENTAL</w:t>
            </w:r>
          </w:p>
          <w:p w14:paraId="3A7521A5" w14:textId="77777777" w:rsidR="00560F38" w:rsidRDefault="00000000">
            <w:pPr>
              <w:spacing w:before="40" w:after="60" w:line="260" w:lineRule="auto"/>
              <w:jc w:val="both"/>
            </w:pPr>
            <w:r>
              <w:rPr>
                <w:i/>
                <w:iCs/>
                <w:sz w:val="18"/>
                <w:szCs w:val="18"/>
              </w:rPr>
              <w:t>A hierarquia do bem jurídico (SF2.1) avalia o nível de proteção que a norma confere em tese, independentemente do dano efetivamente causado no caso concreto. O impacto concreto verificado é valorado no Elemento 3 (Dano). A separação entre o plano normativo abstrato e o impacto concreto é a principal medida para evitar dupla contagem entre Elementos 2 e 3.</w:t>
            </w:r>
          </w:p>
        </w:tc>
      </w:tr>
    </w:tbl>
    <w:p w14:paraId="079E555C" w14:textId="77777777" w:rsidR="00560F38" w:rsidRDefault="00560F38"/>
    <w:p w14:paraId="603D6EC1" w14:textId="77777777" w:rsidR="00560F38" w:rsidRDefault="00000000">
      <w:pPr>
        <w:pStyle w:val="Ttulo2"/>
      </w:pPr>
      <w:bookmarkStart w:id="32" w:name="_Toc232175877"/>
      <w:r>
        <w:t>6.3 Concurso formal, concurso material e infração continuada</w:t>
      </w:r>
      <w:bookmarkEnd w:id="32"/>
    </w:p>
    <w:p w14:paraId="2FCED521" w14:textId="77777777" w:rsidR="00560F38" w:rsidRDefault="00000000">
      <w:pPr>
        <w:pStyle w:val="PargrafodaLista"/>
        <w:numPr>
          <w:ilvl w:val="0"/>
          <w:numId w:val="2"/>
        </w:numPr>
        <w:spacing w:before="60" w:after="60" w:line="260" w:lineRule="auto"/>
      </w:pPr>
      <w:r>
        <w:t>Concurso formal — uma única conduta viola mais de uma norma. Aumenta a gravidade (SF2.3).</w:t>
      </w:r>
    </w:p>
    <w:p w14:paraId="2CD325DC" w14:textId="77777777" w:rsidR="00560F38" w:rsidRDefault="00000000">
      <w:pPr>
        <w:pStyle w:val="PargrafodaLista"/>
        <w:numPr>
          <w:ilvl w:val="0"/>
          <w:numId w:val="2"/>
        </w:numPr>
        <w:spacing w:before="60" w:after="60" w:line="260" w:lineRule="auto"/>
      </w:pPr>
      <w:r>
        <w:lastRenderedPageBreak/>
        <w:t>Concurso material — várias condutas autônomas. Cada infração é avaliada individualmente no Regime de Concurso (item 11).</w:t>
      </w:r>
    </w:p>
    <w:p w14:paraId="3B603EB7" w14:textId="77777777" w:rsidR="00560F38" w:rsidRDefault="00000000">
      <w:pPr>
        <w:pStyle w:val="PargrafodaLista"/>
        <w:numPr>
          <w:ilvl w:val="0"/>
          <w:numId w:val="2"/>
        </w:numPr>
        <w:spacing w:before="60" w:after="60" w:line="260" w:lineRule="auto"/>
      </w:pPr>
      <w:r>
        <w:t>Infração continuada — pluralidade de atos da mesma espécie, em condições similares (analogia ao art. 71 do CP). Reflete-se no caráter temporal da conduta (SF2.2).</w:t>
      </w:r>
    </w:p>
    <w:p w14:paraId="7652CB7E" w14:textId="77777777" w:rsidR="00560F38" w:rsidRDefault="00000000">
      <w:pPr>
        <w:spacing w:before="80" w:after="80" w:line="276" w:lineRule="auto"/>
        <w:jc w:val="both"/>
      </w:pPr>
      <w:r>
        <w:t>A prática de várias infrações não torna o servidor reincidente. A reincidência pressupõe penalidade anterior já aplicada em processo diverso (item 10).</w:t>
      </w:r>
    </w:p>
    <w:p w14:paraId="615598E2" w14:textId="77777777" w:rsidR="00560F38" w:rsidRDefault="00000000">
      <w:pPr>
        <w:pStyle w:val="Ttulo2"/>
      </w:pPr>
      <w:bookmarkStart w:id="33" w:name="_Toc232175878"/>
      <w:r>
        <w:t>6.4 A vedação ao ne bis in idem</w:t>
      </w:r>
      <w:bookmarkEnd w:id="33"/>
    </w:p>
    <w:p w14:paraId="2BD6F689" w14:textId="77777777" w:rsidR="00560F38" w:rsidRDefault="00000000">
      <w:pPr>
        <w:spacing w:before="80" w:after="80" w:line="276" w:lineRule="auto"/>
        <w:jc w:val="both"/>
      </w:pPr>
      <w:r>
        <w:t>O fato de ter ocorrido alto prejuízo financeiro ou grave dano imaterial não autoriza o aumento da gravidade, pois o dano é critério autônomo do art. 128. Utilizá-lo duas vezes prejudicaria o agente pela mesma razão, em desrespeito ao ne bis in idem (STJ, REsp 1.440.893/MT; AgRg no AREsp 455.209/SP).</w:t>
      </w:r>
    </w:p>
    <w:p w14:paraId="70BCB6D7" w14:textId="77777777" w:rsidR="00560F38" w:rsidRDefault="00000000">
      <w:pPr>
        <w:pStyle w:val="Ttulo2"/>
      </w:pPr>
      <w:bookmarkStart w:id="34" w:name="_Toc232175879"/>
      <w:r>
        <w:t>6.5 Operacionalização na Calculadora</w:t>
      </w:r>
      <w:bookmarkEnd w:id="34"/>
    </w:p>
    <w:p w14:paraId="12BF447A" w14:textId="77777777" w:rsidR="00560F38" w:rsidRDefault="00000000">
      <w:pPr>
        <w:spacing w:before="80" w:after="80" w:line="276" w:lineRule="auto"/>
        <w:jc w:val="both"/>
      </w:pPr>
      <w:r>
        <w:t>A versão 3.0 organiza a Gravidade em três subfatores. O subfator relativo ao alcance geográfico da conduta foi removido por sobreposição com subfatores do Dano Imaterial (SF3B.1 e SF3B.3), evitando dupla contagem. Com essa arquitetura, o teto do elemento foi fixado em 30 pontos — ou seja, mesmo que a soma dos três subfatores (SF2.1 + SF2.2 + SF2.3) exceda 30, o valor máximo adotado para o elemento Gravidade na composição da Soma Total é sempre 30 pontos.</w:t>
      </w:r>
    </w:p>
    <w:p w14:paraId="4EB2C53A" w14:textId="77777777" w:rsidR="00560F38" w:rsidRDefault="00560F38"/>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600"/>
        <w:gridCol w:w="3560"/>
        <w:gridCol w:w="1200"/>
      </w:tblGrid>
      <w:tr w:rsidR="00560F38" w14:paraId="1CC9441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B4511CB" w14:textId="77777777" w:rsidR="00560F38" w:rsidRDefault="00000000">
            <w:pPr>
              <w:jc w:val="both"/>
            </w:pPr>
            <w:r>
              <w:rPr>
                <w:b/>
                <w:bCs/>
                <w:color w:val="FFFFFF"/>
                <w:sz w:val="17"/>
                <w:szCs w:val="17"/>
              </w:rPr>
              <w:t>Subfator</w:t>
            </w:r>
          </w:p>
        </w:tc>
        <w:tc>
          <w:tcPr>
            <w:tcW w:w="2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3C87CC6" w14:textId="77777777" w:rsidR="00560F38" w:rsidRDefault="00000000">
            <w:pPr>
              <w:jc w:val="both"/>
            </w:pPr>
            <w:r>
              <w:rPr>
                <w:b/>
                <w:bCs/>
                <w:color w:val="FFFFFF"/>
                <w:sz w:val="17"/>
                <w:szCs w:val="17"/>
              </w:rPr>
              <w:t>Conteúdo</w:t>
            </w:r>
          </w:p>
        </w:tc>
        <w:tc>
          <w:tcPr>
            <w:tcW w:w="35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D67A494" w14:textId="77777777" w:rsidR="00560F38" w:rsidRDefault="00000000">
            <w:pPr>
              <w:jc w:val="both"/>
            </w:pPr>
            <w:r>
              <w:rPr>
                <w:b/>
                <w:bCs/>
                <w:color w:val="FFFFFF"/>
                <w:sz w:val="17"/>
                <w:szCs w:val="17"/>
              </w:rPr>
              <w:t>Alternativas na Calculadora v3</w:t>
            </w:r>
          </w:p>
        </w:tc>
        <w:tc>
          <w:tcPr>
            <w:tcW w:w="1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C2183C7" w14:textId="77777777" w:rsidR="00560F38" w:rsidRDefault="00000000">
            <w:pPr>
              <w:jc w:val="both"/>
            </w:pPr>
            <w:r>
              <w:rPr>
                <w:b/>
                <w:bCs/>
                <w:color w:val="FFFFFF"/>
                <w:sz w:val="17"/>
                <w:szCs w:val="17"/>
              </w:rPr>
              <w:t>Faixa</w:t>
            </w:r>
          </w:p>
        </w:tc>
      </w:tr>
      <w:tr w:rsidR="00560F38" w14:paraId="3237A3E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469F57" w14:textId="77777777" w:rsidR="00560F38" w:rsidRDefault="00000000">
            <w:pPr>
              <w:jc w:val="both"/>
            </w:pPr>
            <w:r>
              <w:rPr>
                <w:color w:val="000000"/>
                <w:sz w:val="17"/>
                <w:szCs w:val="17"/>
              </w:rPr>
              <w:t>SF2.1 — Hierarquia do Bem Jurídico</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5BBD25" w14:textId="77777777" w:rsidR="00560F38" w:rsidRDefault="00000000">
            <w:pPr>
              <w:jc w:val="both"/>
            </w:pPr>
            <w:r>
              <w:rPr>
                <w:color w:val="000000"/>
                <w:sz w:val="17"/>
                <w:szCs w:val="17"/>
              </w:rPr>
              <w:t>Nível de proteção em tese. Não avalia o dano concreto.</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742E0D" w14:textId="77777777" w:rsidR="00560F38" w:rsidRDefault="00000000">
            <w:pPr>
              <w:jc w:val="both"/>
            </w:pPr>
            <w:r>
              <w:rPr>
                <w:color w:val="000000"/>
                <w:sz w:val="17"/>
                <w:szCs w:val="17"/>
              </w:rPr>
              <w:t>Baixa (1–5): efeito restrito ao funcionamento interno da repartição (1 pt) ou com reflexo na imagem/regularidade da unidade (5 pts).</w:t>
            </w:r>
          </w:p>
          <w:p w14:paraId="16177AFF" w14:textId="77777777" w:rsidR="00560F38" w:rsidRDefault="00000000">
            <w:pPr>
              <w:jc w:val="both"/>
            </w:pPr>
            <w:r>
              <w:rPr>
                <w:color w:val="000000"/>
                <w:sz w:val="17"/>
                <w:szCs w:val="17"/>
              </w:rPr>
              <w:t>Média (6–10): norma procedimental sem impacto em sistema de controle (6 pts); norma que integra sistema de controle interno (8 pts); norma que integra cadeia de responsabilização institucional (10 pts).</w:t>
            </w:r>
          </w:p>
          <w:p w14:paraId="1DD64D0C" w14:textId="77777777" w:rsidR="00560F38" w:rsidRDefault="00000000">
            <w:pPr>
              <w:jc w:val="both"/>
            </w:pPr>
            <w:r>
              <w:rPr>
                <w:color w:val="000000"/>
                <w:sz w:val="17"/>
                <w:szCs w:val="17"/>
              </w:rPr>
              <w:t>Alta (11–15): regularidade formal de procedimentos fiscais/aduaneiros (11 pts); integridade competitiva de licitações ou isonomia tributária (13 pts); sigilo fiscal, segurança de sistemas ou regularidade do lançamento (15 pts).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5698FB" w14:textId="77777777" w:rsidR="00560F38" w:rsidRDefault="00000000">
            <w:pPr>
              <w:jc w:val="both"/>
            </w:pPr>
            <w:r>
              <w:rPr>
                <w:color w:val="000000"/>
                <w:sz w:val="17"/>
                <w:szCs w:val="17"/>
              </w:rPr>
              <w:t>1–15</w:t>
            </w:r>
          </w:p>
        </w:tc>
      </w:tr>
      <w:tr w:rsidR="00560F38" w14:paraId="29BAD42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7FB"/>
            <w:tcMar>
              <w:top w:w="80" w:type="dxa"/>
              <w:left w:w="120" w:type="dxa"/>
              <w:bottom w:w="80" w:type="dxa"/>
              <w:right w:w="120" w:type="dxa"/>
            </w:tcMar>
          </w:tcPr>
          <w:p w14:paraId="1B98DDFF" w14:textId="77777777" w:rsidR="00560F38" w:rsidRDefault="00000000">
            <w:pPr>
              <w:jc w:val="both"/>
            </w:pPr>
            <w:r>
              <w:rPr>
                <w:color w:val="000000"/>
                <w:sz w:val="17"/>
                <w:szCs w:val="17"/>
              </w:rPr>
              <w:t>SF2.2 — Caráter Temporal</w:t>
            </w:r>
          </w:p>
        </w:tc>
        <w:tc>
          <w:tcPr>
            <w:tcW w:w="2600" w:type="dxa"/>
            <w:tcBorders>
              <w:top w:val="single" w:sz="1" w:space="0" w:color="CCCCCC"/>
              <w:left w:val="single" w:sz="1" w:space="0" w:color="CCCCCC"/>
              <w:bottom w:val="single" w:sz="1" w:space="0" w:color="CCCCCC"/>
              <w:right w:val="single" w:sz="1" w:space="0" w:color="CCCCCC"/>
            </w:tcBorders>
            <w:shd w:val="clear" w:color="auto" w:fill="F5F7FB"/>
            <w:tcMar>
              <w:top w:w="80" w:type="dxa"/>
              <w:left w:w="120" w:type="dxa"/>
              <w:bottom w:w="80" w:type="dxa"/>
              <w:right w:w="120" w:type="dxa"/>
            </w:tcMar>
          </w:tcPr>
          <w:p w14:paraId="52892EC4" w14:textId="77777777" w:rsidR="00560F38" w:rsidRDefault="00000000">
            <w:pPr>
              <w:jc w:val="both"/>
            </w:pPr>
            <w:r>
              <w:rPr>
                <w:color w:val="000000"/>
                <w:sz w:val="17"/>
                <w:szCs w:val="17"/>
              </w:rPr>
              <w:t>Distingue conduta isolada, reiterada (mesma infração cometida mais de uma vez) e continuada (pluralidade de atos da mesma espécie).</w:t>
            </w:r>
          </w:p>
        </w:tc>
        <w:tc>
          <w:tcPr>
            <w:tcW w:w="3560" w:type="dxa"/>
            <w:tcBorders>
              <w:top w:val="single" w:sz="1" w:space="0" w:color="CCCCCC"/>
              <w:left w:val="single" w:sz="1" w:space="0" w:color="CCCCCC"/>
              <w:bottom w:val="single" w:sz="1" w:space="0" w:color="CCCCCC"/>
              <w:right w:val="single" w:sz="1" w:space="0" w:color="CCCCCC"/>
            </w:tcBorders>
            <w:shd w:val="clear" w:color="auto" w:fill="F5F7FB"/>
            <w:tcMar>
              <w:top w:w="80" w:type="dxa"/>
              <w:left w:w="120" w:type="dxa"/>
              <w:bottom w:w="80" w:type="dxa"/>
              <w:right w:w="120" w:type="dxa"/>
            </w:tcMar>
          </w:tcPr>
          <w:p w14:paraId="73D3F8B4" w14:textId="77777777" w:rsidR="00560F38" w:rsidRDefault="00000000">
            <w:pPr>
              <w:jc w:val="both"/>
            </w:pPr>
            <w:r>
              <w:rPr>
                <w:color w:val="000000"/>
                <w:sz w:val="17"/>
                <w:szCs w:val="17"/>
              </w:rPr>
              <w:t>Isolada (1–5): voluntária / único / com indícios de repetição.</w:t>
            </w:r>
          </w:p>
          <w:p w14:paraId="25F919FD" w14:textId="77777777" w:rsidR="00560F38" w:rsidRDefault="00000000">
            <w:pPr>
              <w:jc w:val="both"/>
            </w:pPr>
            <w:r>
              <w:rPr>
                <w:color w:val="000000"/>
                <w:sz w:val="17"/>
                <w:szCs w:val="17"/>
              </w:rPr>
              <w:t>Reiterada (6–10): 2–3 episódios em até 3 meses / 4+ ou período maior.</w:t>
            </w:r>
          </w:p>
          <w:p w14:paraId="6066B77B" w14:textId="77777777" w:rsidR="00560F38" w:rsidRDefault="00000000">
            <w:pPr>
              <w:jc w:val="both"/>
            </w:pPr>
            <w:r>
              <w:rPr>
                <w:color w:val="000000"/>
                <w:sz w:val="17"/>
                <w:szCs w:val="17"/>
              </w:rPr>
              <w:t>Continuada (11–15): até 6 meses / superior a 6 meses.</w:t>
            </w:r>
          </w:p>
        </w:tc>
        <w:tc>
          <w:tcPr>
            <w:tcW w:w="1200" w:type="dxa"/>
            <w:tcBorders>
              <w:top w:val="single" w:sz="1" w:space="0" w:color="CCCCCC"/>
              <w:left w:val="single" w:sz="1" w:space="0" w:color="CCCCCC"/>
              <w:bottom w:val="single" w:sz="1" w:space="0" w:color="CCCCCC"/>
              <w:right w:val="single" w:sz="1" w:space="0" w:color="CCCCCC"/>
            </w:tcBorders>
            <w:shd w:val="clear" w:color="auto" w:fill="F5F7FB"/>
            <w:tcMar>
              <w:top w:w="80" w:type="dxa"/>
              <w:left w:w="120" w:type="dxa"/>
              <w:bottom w:w="80" w:type="dxa"/>
              <w:right w:w="120" w:type="dxa"/>
            </w:tcMar>
          </w:tcPr>
          <w:p w14:paraId="5F99C8D7" w14:textId="77777777" w:rsidR="00560F38" w:rsidRDefault="00000000">
            <w:pPr>
              <w:jc w:val="both"/>
            </w:pPr>
            <w:r>
              <w:rPr>
                <w:color w:val="000000"/>
                <w:sz w:val="17"/>
                <w:szCs w:val="17"/>
              </w:rPr>
              <w:t>1–15</w:t>
            </w:r>
          </w:p>
        </w:tc>
      </w:tr>
      <w:tr w:rsidR="00560F38" w14:paraId="3288D72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6A5D51" w14:textId="77777777" w:rsidR="00560F38" w:rsidRDefault="00000000">
            <w:pPr>
              <w:jc w:val="both"/>
            </w:pPr>
            <w:r>
              <w:rPr>
                <w:color w:val="000000"/>
                <w:sz w:val="17"/>
                <w:szCs w:val="17"/>
              </w:rPr>
              <w:t>SF2.3 — Concurso Formal de Dispositivos</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8AFB9D" w14:textId="77777777" w:rsidR="00560F38" w:rsidRDefault="00000000">
            <w:pPr>
              <w:jc w:val="both"/>
            </w:pPr>
            <w:r>
              <w:rPr>
                <w:color w:val="000000"/>
                <w:sz w:val="17"/>
                <w:szCs w:val="17"/>
              </w:rPr>
              <w:t>Número de dispositivos distintos violados por uma mesma conduta.</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E3945F" w14:textId="77777777" w:rsidR="00560F38" w:rsidRDefault="00000000">
            <w:pPr>
              <w:jc w:val="both"/>
            </w:pPr>
            <w:r>
              <w:rPr>
                <w:color w:val="000000"/>
                <w:sz w:val="17"/>
                <w:szCs w:val="17"/>
              </w:rPr>
              <w:t>Sem concurso formal: 0 pts.</w:t>
            </w:r>
          </w:p>
          <w:p w14:paraId="49BFCE49" w14:textId="77777777" w:rsidR="00560F38" w:rsidRDefault="00000000">
            <w:pPr>
              <w:jc w:val="both"/>
            </w:pPr>
            <w:r>
              <w:rPr>
                <w:color w:val="000000"/>
                <w:sz w:val="17"/>
                <w:szCs w:val="17"/>
              </w:rPr>
              <w:t>Concurso formal (2+ dispositivos): 15 pts.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59B530" w14:textId="77777777" w:rsidR="00560F38" w:rsidRDefault="00000000">
            <w:pPr>
              <w:jc w:val="both"/>
            </w:pPr>
            <w:r>
              <w:rPr>
                <w:color w:val="000000"/>
                <w:sz w:val="17"/>
                <w:szCs w:val="17"/>
              </w:rPr>
              <w:t>0–15</w:t>
            </w:r>
          </w:p>
        </w:tc>
      </w:tr>
    </w:tbl>
    <w:p w14:paraId="46B25EB6" w14:textId="77777777" w:rsidR="00560F38" w:rsidRDefault="00560F38"/>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60F38" w14:paraId="01ADA22C" w14:textId="77777777">
        <w:tblPrEx>
          <w:tblCellMar>
            <w:top w:w="0" w:type="dxa"/>
            <w:bottom w:w="0" w:type="dxa"/>
          </w:tblCellMar>
        </w:tblPrEx>
        <w:tc>
          <w:tcPr>
            <w:tcW w:w="9360" w:type="dxa"/>
            <w:tcBorders>
              <w:top w:val="single" w:sz="4" w:space="0" w:color="1F3864"/>
              <w:left w:val="single" w:sz="4" w:space="0" w:color="1F3864"/>
              <w:bottom w:val="single" w:sz="4" w:space="0" w:color="1F3864"/>
              <w:right w:val="single" w:sz="4" w:space="0" w:color="1F3864"/>
            </w:tcBorders>
            <w:shd w:val="clear" w:color="auto" w:fill="EEF2F7"/>
            <w:tcMar>
              <w:top w:w="100" w:type="dxa"/>
              <w:left w:w="180" w:type="dxa"/>
              <w:bottom w:w="100" w:type="dxa"/>
              <w:right w:w="180" w:type="dxa"/>
            </w:tcMar>
          </w:tcPr>
          <w:p w14:paraId="43E855C4" w14:textId="77777777" w:rsidR="00560F38" w:rsidRDefault="00000000">
            <w:pPr>
              <w:spacing w:before="60" w:after="40"/>
            </w:pPr>
            <w:r>
              <w:rPr>
                <w:b/>
                <w:bCs/>
                <w:color w:val="1F3864"/>
                <w:sz w:val="18"/>
                <w:szCs w:val="18"/>
              </w:rPr>
              <w:t>NOTA</w:t>
            </w:r>
          </w:p>
          <w:p w14:paraId="432F1E63" w14:textId="77777777" w:rsidR="00560F38" w:rsidRDefault="00000000">
            <w:pPr>
              <w:spacing w:before="40" w:after="60" w:line="260" w:lineRule="auto"/>
              <w:jc w:val="both"/>
            </w:pPr>
            <w:r>
              <w:rPr>
                <w:i/>
                <w:iCs/>
                <w:sz w:val="18"/>
                <w:szCs w:val="18"/>
              </w:rPr>
              <w:t>A pontuação máxima de 30 pontos pressupõe a cumulação de alta proteção normativa, conduta continuada por período extenso e concurso formal de dispositivos. Esse conjunto é incomum — recomenda-se fundamentação detalhada quando a pontuação se aproximar do teto.</w:t>
            </w:r>
          </w:p>
        </w:tc>
      </w:tr>
    </w:tbl>
    <w:p w14:paraId="7D331C2A" w14:textId="77777777" w:rsidR="00560F38" w:rsidRDefault="00000000">
      <w:pPr>
        <w:pStyle w:val="Ttulo1"/>
      </w:pPr>
      <w:bookmarkStart w:id="35" w:name="_Toc232175880"/>
      <w:r>
        <w:t>7. Elemento 3 — Dano</w:t>
      </w:r>
      <w:bookmarkEnd w:id="35"/>
    </w:p>
    <w:p w14:paraId="2CCC8194" w14:textId="77777777" w:rsidR="00560F38" w:rsidRDefault="00000000">
      <w:pPr>
        <w:spacing w:before="80" w:after="80" w:line="276" w:lineRule="auto"/>
        <w:jc w:val="both"/>
      </w:pPr>
      <w:r>
        <w:t xml:space="preserve">Base legal: </w:t>
      </w:r>
      <w:r>
        <w:rPr>
          <w:b/>
          <w:bCs/>
        </w:rPr>
        <w:t>art. 128; e art. 12, § 5º do Decreto nº 9.830/2019.</w:t>
      </w:r>
      <w:r>
        <w:t xml:space="preserve"> Teto conjunto: 30 pontos (Material: teto 20 pts; Imaterial: teto 30 pts).</w:t>
      </w:r>
    </w:p>
    <w:p w14:paraId="3C93E129" w14:textId="77777777" w:rsidR="00560F38" w:rsidRDefault="00560F38"/>
    <w:p w14:paraId="1031A5EF" w14:textId="77777777" w:rsidR="00560F38" w:rsidRDefault="00000000">
      <w:pPr>
        <w:spacing w:before="80" w:after="80" w:line="276" w:lineRule="auto"/>
        <w:jc w:val="both"/>
      </w:pPr>
      <w:r>
        <w:lastRenderedPageBreak/>
        <w:t>O dano é o desvalor do resultado: a lesão ao bem jurídico protegido que decorre da conduta antijurídica. Enquanto a natureza e a gravidade exprimem o desvalor da ação, o dano exprime aquilo que a conduta efetivamente produziu no mundo.</w:t>
      </w:r>
    </w:p>
    <w:p w14:paraId="5BB7729A" w14:textId="77777777" w:rsidR="00560F38" w:rsidRDefault="00000000">
      <w:pPr>
        <w:pStyle w:val="Ttulo2"/>
      </w:pPr>
      <w:bookmarkStart w:id="36" w:name="_Toc232175881"/>
      <w:r>
        <w:t>7.1 Dano material e dano imaterial</w:t>
      </w:r>
      <w:bookmarkEnd w:id="36"/>
    </w:p>
    <w:p w14:paraId="27B4614D" w14:textId="77777777" w:rsidR="00560F38" w:rsidRDefault="00000000">
      <w:pPr>
        <w:spacing w:before="80" w:after="80" w:line="276" w:lineRule="auto"/>
        <w:jc w:val="both"/>
      </w:pPr>
      <w:r>
        <w:t>O prejuízo pode ser material ou imaterial, com possibilidade de ocorrerem cumulativamente. São danos materiais os prejuízos financeiros ao erário. São danos imateriais: o abalo à imagem do órgão; a lesão à moralidade administrativa; o prejuízo à segurança dos sistemas e do sigilo de dados; a perturbação da regularidade do serviço público; a quebra do caráter competitivo de procedimentos; e ofensas a contribuintes e terceiros.</w:t>
      </w:r>
    </w:p>
    <w:p w14:paraId="4E059B44" w14:textId="77777777" w:rsidR="00560F38" w:rsidRDefault="00000000">
      <w:pPr>
        <w:spacing w:before="80" w:after="80" w:line="260" w:lineRule="auto"/>
        <w:ind w:left="720"/>
        <w:jc w:val="both"/>
      </w:pPr>
      <w:r>
        <w:rPr>
          <w:i/>
          <w:iCs/>
        </w:rPr>
        <w:t>A ilegalidade do ato administrativo por ofensa a normas específicas dispensa a demonstração de prejuízo material.</w:t>
      </w:r>
    </w:p>
    <w:p w14:paraId="482266CE" w14:textId="77777777" w:rsidR="00560F38" w:rsidRPr="001528BF" w:rsidRDefault="00000000">
      <w:pPr>
        <w:spacing w:after="80"/>
        <w:jc w:val="right"/>
        <w:rPr>
          <w:lang w:val="en-US"/>
        </w:rPr>
      </w:pPr>
      <w:r>
        <w:rPr>
          <w:i/>
          <w:iCs/>
          <w:color w:val="555555"/>
          <w:sz w:val="18"/>
          <w:szCs w:val="18"/>
          <w:lang w:val="en-US"/>
        </w:rPr>
        <w:t>— STJ, AgInt no AREsp 949.377/MG, 2ª Turma, j. 09.03.2017</w:t>
      </w:r>
    </w:p>
    <w:p w14:paraId="6ACEC446" w14:textId="77777777" w:rsidR="00560F38" w:rsidRDefault="00000000">
      <w:pPr>
        <w:pStyle w:val="Ttulo2"/>
      </w:pPr>
      <w:bookmarkStart w:id="37" w:name="_Toc232175882"/>
      <w:r>
        <w:t>7.2 Vedação à presunção do dano</w:t>
      </w:r>
      <w:bookmarkEnd w:id="37"/>
    </w:p>
    <w:p w14:paraId="194CB0A9" w14:textId="77777777" w:rsidR="00560F38" w:rsidRDefault="00000000">
      <w:pPr>
        <w:spacing w:before="80" w:after="80" w:line="276" w:lineRule="auto"/>
        <w:jc w:val="both"/>
      </w:pPr>
      <w:r>
        <w:t>O dano não pode ser presumido. A Calculadora v3 permite a pontuação de dano potencial — risco de dano não concretizado —, mas o operador deve fundamentar com precisão por que o risco era real e significativo, sob pena de presumir dano onde ele não existiu.</w:t>
      </w:r>
    </w:p>
    <w:p w14:paraId="2E22075B" w14:textId="77777777" w:rsidR="00560F38" w:rsidRDefault="00000000">
      <w:pPr>
        <w:spacing w:before="80" w:after="80" w:line="260" w:lineRule="auto"/>
        <w:ind w:left="720"/>
        <w:jc w:val="both"/>
      </w:pPr>
      <w:r>
        <w:rPr>
          <w:i/>
          <w:iCs/>
        </w:rPr>
        <w:t>Não se admite a presunção de dano; é necessária a sua efetiva demonstração.</w:t>
      </w:r>
    </w:p>
    <w:p w14:paraId="6A80FE3B" w14:textId="77777777" w:rsidR="00560F38" w:rsidRDefault="00000000">
      <w:pPr>
        <w:spacing w:after="80"/>
        <w:jc w:val="right"/>
      </w:pPr>
      <w:r>
        <w:rPr>
          <w:i/>
          <w:iCs/>
          <w:color w:val="555555"/>
          <w:sz w:val="18"/>
          <w:szCs w:val="18"/>
        </w:rPr>
        <w:t>— STJ, REsp 1.585.939/PB; REsp 621.415/MG</w:t>
      </w:r>
    </w:p>
    <w:p w14:paraId="71A604E8" w14:textId="77777777" w:rsidR="00560F38" w:rsidRDefault="00560F38"/>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60F38" w14:paraId="268CC4DF" w14:textId="77777777">
        <w:tblPrEx>
          <w:tblCellMar>
            <w:top w:w="0" w:type="dxa"/>
            <w:bottom w:w="0" w:type="dxa"/>
          </w:tblCellMar>
        </w:tblPrEx>
        <w:tc>
          <w:tcPr>
            <w:tcW w:w="9360" w:type="dxa"/>
            <w:tcBorders>
              <w:top w:val="single" w:sz="4" w:space="0" w:color="1F3864"/>
              <w:left w:val="single" w:sz="4" w:space="0" w:color="1F3864"/>
              <w:bottom w:val="single" w:sz="4" w:space="0" w:color="1F3864"/>
              <w:right w:val="single" w:sz="4" w:space="0" w:color="1F3864"/>
            </w:tcBorders>
            <w:shd w:val="clear" w:color="auto" w:fill="EEF2F7"/>
            <w:tcMar>
              <w:top w:w="100" w:type="dxa"/>
              <w:left w:w="180" w:type="dxa"/>
              <w:bottom w:w="100" w:type="dxa"/>
              <w:right w:w="180" w:type="dxa"/>
            </w:tcMar>
          </w:tcPr>
          <w:p w14:paraId="09173291" w14:textId="77777777" w:rsidR="00560F38" w:rsidRDefault="00000000">
            <w:pPr>
              <w:spacing w:before="60" w:after="40"/>
            </w:pPr>
            <w:r>
              <w:rPr>
                <w:b/>
                <w:bCs/>
                <w:color w:val="1F3864"/>
                <w:sz w:val="18"/>
                <w:szCs w:val="18"/>
              </w:rPr>
              <w:t>NOTA</w:t>
            </w:r>
          </w:p>
          <w:p w14:paraId="59FBA8EF" w14:textId="77777777" w:rsidR="00560F38" w:rsidRDefault="00000000">
            <w:pPr>
              <w:spacing w:before="40" w:after="60" w:line="260" w:lineRule="auto"/>
              <w:jc w:val="both"/>
            </w:pPr>
            <w:r>
              <w:rPr>
                <w:i/>
                <w:iCs/>
                <w:sz w:val="18"/>
                <w:szCs w:val="18"/>
              </w:rPr>
              <w:t>O art. 12, §5º, do Decreto nº 9.830/2019: o dano expressivo é valorado neste elemento, mas não converte, por si só, a natureza da conduta em dolo ou erro grosseiro. Cada plano — ação e resultado — é avaliado em seu próprio elemento.</w:t>
            </w:r>
          </w:p>
        </w:tc>
      </w:tr>
    </w:tbl>
    <w:p w14:paraId="01697602" w14:textId="77777777" w:rsidR="00560F38" w:rsidRDefault="00560F38"/>
    <w:p w14:paraId="45E0D9C8" w14:textId="77777777" w:rsidR="00560F38" w:rsidRDefault="00000000">
      <w:pPr>
        <w:pStyle w:val="Ttulo2"/>
      </w:pPr>
      <w:bookmarkStart w:id="38" w:name="_Toc232175883"/>
      <w:r>
        <w:t>7.3 Especificidades da atividade da RFB</w:t>
      </w:r>
      <w:bookmarkEnd w:id="38"/>
    </w:p>
    <w:p w14:paraId="5E0FAA31" w14:textId="77777777" w:rsidR="00560F38" w:rsidRDefault="00000000">
      <w:pPr>
        <w:spacing w:before="80" w:after="80" w:line="276" w:lineRule="auto"/>
        <w:jc w:val="both"/>
      </w:pPr>
      <w:r>
        <w:t>A atuação tributária e aduaneira agrega bens jurídicos próprios: a credibilidade institucional da RFB; a regularidade do serviço tributário e aduaneiro; o impacto sobre contribuintes, usuários e terceiros; o comprometimento concreto do sigilo fiscal (art. 198 do CTN); e o comprometimento concreto de processo de fiscalização ou lançamento tributário.</w:t>
      </w:r>
    </w:p>
    <w:p w14:paraId="1A010B9F" w14:textId="77777777" w:rsidR="00560F38" w:rsidRDefault="00560F38"/>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60F38" w14:paraId="361A5EB0" w14:textId="77777777">
        <w:tblPrEx>
          <w:tblCellMar>
            <w:top w:w="0" w:type="dxa"/>
            <w:bottom w:w="0" w:type="dxa"/>
          </w:tblCellMar>
        </w:tblPrEx>
        <w:tc>
          <w:tcPr>
            <w:tcW w:w="9360" w:type="dxa"/>
            <w:tcBorders>
              <w:top w:val="single" w:sz="4" w:space="0" w:color="2E5090"/>
              <w:left w:val="single" w:sz="4" w:space="0" w:color="2E5090"/>
              <w:bottom w:val="single" w:sz="4" w:space="0" w:color="2E5090"/>
              <w:right w:val="single" w:sz="4" w:space="0" w:color="2E5090"/>
            </w:tcBorders>
            <w:shd w:val="clear" w:color="auto" w:fill="EEF2F7"/>
            <w:tcMar>
              <w:top w:w="100" w:type="dxa"/>
              <w:left w:w="180" w:type="dxa"/>
              <w:bottom w:w="100" w:type="dxa"/>
              <w:right w:w="180" w:type="dxa"/>
            </w:tcMar>
          </w:tcPr>
          <w:p w14:paraId="352782DE" w14:textId="77777777" w:rsidR="00560F38" w:rsidRDefault="00000000">
            <w:pPr>
              <w:spacing w:before="60" w:after="40"/>
            </w:pPr>
            <w:r>
              <w:rPr>
                <w:b/>
                <w:bCs/>
                <w:color w:val="2E5090"/>
                <w:sz w:val="18"/>
                <w:szCs w:val="18"/>
              </w:rPr>
              <w:t>ART. 198 DO CTN</w:t>
            </w:r>
          </w:p>
          <w:p w14:paraId="47D449A7" w14:textId="77777777" w:rsidR="00560F38" w:rsidRDefault="00000000">
            <w:pPr>
              <w:spacing w:before="40" w:after="60" w:line="260" w:lineRule="auto"/>
              <w:jc w:val="both"/>
            </w:pPr>
            <w:r>
              <w:rPr>
                <w:i/>
                <w:iCs/>
                <w:sz w:val="18"/>
                <w:szCs w:val="18"/>
              </w:rPr>
              <w:t>É vedada a divulgação, por parte da Fazenda Pública ou de seus servidores, de informação obtida em razão do ofício sobre a situação econômica ou financeira do sujeito passivo. O sigilo fiscal é bem jurídico nuclear da atividade da RFB e fundamenta o subfator SF3B.4a.</w:t>
            </w:r>
          </w:p>
        </w:tc>
      </w:tr>
    </w:tbl>
    <w:p w14:paraId="2CAF69AB" w14:textId="77777777" w:rsidR="00560F38" w:rsidRDefault="00560F38"/>
    <w:p w14:paraId="607595E4" w14:textId="77777777" w:rsidR="00560F38" w:rsidRDefault="00000000">
      <w:pPr>
        <w:pStyle w:val="Ttulo2"/>
      </w:pPr>
      <w:bookmarkStart w:id="39" w:name="_Toc232175884"/>
      <w:r>
        <w:t>7.4 Cumulatividade e operacionalização</w:t>
      </w:r>
      <w:bookmarkEnd w:id="39"/>
    </w:p>
    <w:p w14:paraId="1A0444B1" w14:textId="77777777" w:rsidR="00560F38" w:rsidRDefault="00000000">
      <w:pPr>
        <w:spacing w:before="80" w:after="80" w:line="276" w:lineRule="auto"/>
        <w:jc w:val="both"/>
      </w:pPr>
      <w:r>
        <w:t>O elemento compõe-se de duas dimensões avaliadas independentemente. O Dano Material (SF3A) tem teto de 20 pontos. O Dano Imaterial (SF3B) tem teto de 20 pontos. A pontuação final do elemento corresponde à soma das duas dimensões, limitada ao teto conjunto de 30 pontos.</w:t>
      </w:r>
    </w:p>
    <w:p w14:paraId="30CBED41" w14:textId="77777777" w:rsidR="00560F38" w:rsidRDefault="00560F38"/>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6360"/>
        <w:gridCol w:w="1200"/>
      </w:tblGrid>
      <w:tr w:rsidR="00560F38" w14:paraId="19769BA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A599DDF" w14:textId="77777777" w:rsidR="00560F38" w:rsidRDefault="00000000">
            <w:pPr>
              <w:jc w:val="both"/>
            </w:pPr>
            <w:r>
              <w:rPr>
                <w:b/>
                <w:bCs/>
                <w:color w:val="FFFFFF"/>
                <w:sz w:val="17"/>
                <w:szCs w:val="17"/>
              </w:rPr>
              <w:t>Dimensão</w:t>
            </w:r>
          </w:p>
        </w:tc>
        <w:tc>
          <w:tcPr>
            <w:tcW w:w="63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B0A43E2" w14:textId="77777777" w:rsidR="00560F38" w:rsidRDefault="00000000">
            <w:pPr>
              <w:jc w:val="both"/>
            </w:pPr>
            <w:r>
              <w:rPr>
                <w:b/>
                <w:bCs/>
                <w:color w:val="FFFFFF"/>
                <w:sz w:val="17"/>
                <w:szCs w:val="17"/>
              </w:rPr>
              <w:t>Subfatores na Calculadora v3</w:t>
            </w:r>
          </w:p>
        </w:tc>
        <w:tc>
          <w:tcPr>
            <w:tcW w:w="1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3DB2711" w14:textId="77777777" w:rsidR="00560F38" w:rsidRDefault="00000000">
            <w:pPr>
              <w:jc w:val="both"/>
            </w:pPr>
            <w:r>
              <w:rPr>
                <w:b/>
                <w:bCs/>
                <w:color w:val="FFFFFF"/>
                <w:sz w:val="17"/>
                <w:szCs w:val="17"/>
              </w:rPr>
              <w:t>Teto individual</w:t>
            </w:r>
          </w:p>
        </w:tc>
      </w:tr>
      <w:tr w:rsidR="00560F38" w14:paraId="4E33A53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3E45C2" w14:textId="77777777" w:rsidR="00560F38" w:rsidRDefault="00000000">
            <w:pPr>
              <w:jc w:val="both"/>
            </w:pPr>
            <w:r>
              <w:rPr>
                <w:color w:val="000000"/>
                <w:sz w:val="17"/>
                <w:szCs w:val="17"/>
              </w:rPr>
              <w:t>SF3A — Dano material</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07197D" w14:textId="77777777" w:rsidR="00560F38" w:rsidRDefault="00000000">
            <w:pPr>
              <w:jc w:val="both"/>
            </w:pPr>
            <w:r>
              <w:rPr>
                <w:color w:val="000000"/>
                <w:sz w:val="17"/>
                <w:szCs w:val="17"/>
              </w:rPr>
              <w:t xml:space="preserve">Árvore de três níveis: (1) existência — dano efetivo concretizado; (2) extensão relativa — baixa (&lt;5%), média (5–25%) ou alta (&gt;25%) em relação ao referencial orçamentário/contratual; (3) reversibilidade — ressarcimento integral (3–16 pts), </w:t>
              <w:lastRenderedPageBreak/>
              <w:t>parcial/compromisso formal (5–18 pts) ou ausente/irreversível (7–20 pts). O nível de ressarcimento alimenta automaticamente a Camada 2 do TAC.</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69AD8D" w14:textId="77777777" w:rsidR="00560F38" w:rsidRDefault="00000000">
            <w:pPr>
              <w:jc w:val="both"/>
            </w:pPr>
            <w:r>
              <w:rPr>
                <w:color w:val="000000"/>
                <w:sz w:val="17"/>
                <w:szCs w:val="17"/>
              </w:rPr>
              <w:lastRenderedPageBreak/>
              <w:t>20</w:t>
            </w:r>
          </w:p>
        </w:tc>
      </w:tr>
      <w:tr w:rsidR="00560F38" w14:paraId="15BA727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7FB"/>
            <w:tcMar>
              <w:top w:w="80" w:type="dxa"/>
              <w:left w:w="120" w:type="dxa"/>
              <w:bottom w:w="80" w:type="dxa"/>
              <w:right w:w="120" w:type="dxa"/>
            </w:tcMar>
          </w:tcPr>
          <w:p w14:paraId="2E56AC51" w14:textId="77777777" w:rsidR="00560F38" w:rsidRDefault="00000000">
            <w:pPr>
              <w:jc w:val="both"/>
            </w:pPr>
            <w:r>
              <w:rPr>
                <w:color w:val="000000"/>
                <w:sz w:val="17"/>
                <w:szCs w:val="17"/>
              </w:rPr>
              <w:t>SF3B — Dano imaterial</w:t>
            </w:r>
          </w:p>
        </w:tc>
        <w:tc>
          <w:tcPr>
            <w:tcW w:w="6360" w:type="dxa"/>
            <w:tcBorders>
              <w:top w:val="single" w:sz="1" w:space="0" w:color="CCCCCC"/>
              <w:left w:val="single" w:sz="1" w:space="0" w:color="CCCCCC"/>
              <w:bottom w:val="single" w:sz="1" w:space="0" w:color="CCCCCC"/>
              <w:right w:val="single" w:sz="1" w:space="0" w:color="CCCCCC"/>
            </w:tcBorders>
            <w:shd w:val="clear" w:color="auto" w:fill="F5F7FB"/>
            <w:tcMar>
              <w:top w:w="80" w:type="dxa"/>
              <w:left w:w="120" w:type="dxa"/>
              <w:bottom w:w="80" w:type="dxa"/>
              <w:right w:w="120" w:type="dxa"/>
            </w:tcMar>
          </w:tcPr>
          <w:p w14:paraId="4E1D633C" w14:textId="77777777" w:rsidR="00560F38" w:rsidRDefault="00000000">
            <w:pPr>
              <w:jc w:val="both"/>
            </w:pPr>
            <w:r>
              <w:rPr>
                <w:color w:val="000000"/>
                <w:sz w:val="17"/>
                <w:szCs w:val="17"/>
              </w:rPr>
              <w:t>SF3B.1 — Imagem e credibilidade da RFB (0–10 pts): sem repercussão perceptível (0), interna (2), regional/toda a RFB (4–6), ampla em imprensa/redes (10).</w:t>
            </w:r>
          </w:p>
          <w:p w14:paraId="5874DD65" w14:textId="77777777" w:rsidR="00560F38" w:rsidRDefault="00000000">
            <w:pPr>
              <w:jc w:val="both"/>
            </w:pPr>
            <w:r>
              <w:rPr>
                <w:color w:val="000000"/>
                <w:sz w:val="17"/>
                <w:szCs w:val="17"/>
              </w:rPr>
              <w:t>SF3B.2 — Regularidade do serviço tributário/aduaneiro (0–6 pts).</w:t>
            </w:r>
          </w:p>
          <w:p w14:paraId="165E5B6A" w14:textId="77777777" w:rsidR="00560F38" w:rsidRDefault="00000000">
            <w:pPr>
              <w:jc w:val="both"/>
            </w:pPr>
            <w:r>
              <w:rPr>
                <w:color w:val="000000"/>
                <w:sz w:val="17"/>
                <w:szCs w:val="17"/>
              </w:rPr>
              <w:t>SF3B.3 — Impacto sobre contribuintes e terceiros (0–6 pts).</w:t>
            </w:r>
          </w:p>
          <w:p w14:paraId="3CE59E51" w14:textId="77777777" w:rsidR="00560F38" w:rsidRDefault="00000000">
            <w:pPr>
              <w:jc w:val="both"/>
            </w:pPr>
            <w:r>
              <w:rPr>
                <w:color w:val="000000"/>
                <w:sz w:val="17"/>
                <w:szCs w:val="17"/>
              </w:rPr>
              <w:t>SF3B.4a — Comprometimento concreto do sigilo fiscal (0–12 pts): individual (4), grupo (8), divulgação ampla (12).</w:t>
            </w:r>
          </w:p>
          <w:p w14:paraId="4FF754BA" w14:textId="77777777" w:rsidR="00560F38" w:rsidRDefault="00000000">
            <w:pPr>
              <w:jc w:val="both"/>
            </w:pPr>
            <w:r>
              <w:rPr>
                <w:color w:val="000000"/>
                <w:sz w:val="17"/>
                <w:szCs w:val="17"/>
              </w:rPr>
              <w:t>SF3B.4b — Comprometimento concreto de fiscalização/lançamento (0–12 pts).</w:t>
            </w:r>
          </w:p>
        </w:tc>
        <w:tc>
          <w:tcPr>
            <w:tcW w:w="1200" w:type="dxa"/>
            <w:tcBorders>
              <w:top w:val="single" w:sz="1" w:space="0" w:color="CCCCCC"/>
              <w:left w:val="single" w:sz="1" w:space="0" w:color="CCCCCC"/>
              <w:bottom w:val="single" w:sz="1" w:space="0" w:color="CCCCCC"/>
              <w:right w:val="single" w:sz="1" w:space="0" w:color="CCCCCC"/>
            </w:tcBorders>
            <w:shd w:val="clear" w:color="auto" w:fill="F5F7FB"/>
            <w:tcMar>
              <w:top w:w="80" w:type="dxa"/>
              <w:left w:w="120" w:type="dxa"/>
              <w:bottom w:w="80" w:type="dxa"/>
              <w:right w:w="120" w:type="dxa"/>
            </w:tcMar>
          </w:tcPr>
          <w:p w14:paraId="5E7A5276" w14:textId="77777777" w:rsidR="00560F38" w:rsidRDefault="00000000">
            <w:pPr>
              <w:jc w:val="both"/>
            </w:pPr>
            <w:r>
              <w:rPr>
                <w:color w:val="000000"/>
                <w:sz w:val="17"/>
                <w:szCs w:val="17"/>
              </w:rPr>
              <w:t>20</w:t>
            </w:r>
          </w:p>
        </w:tc>
      </w:tr>
    </w:tbl>
    <w:p w14:paraId="2CC68498" w14:textId="77777777" w:rsidR="00560F38" w:rsidRDefault="00560F38"/>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60F38" w14:paraId="783D5BEB" w14:textId="77777777">
        <w:tblPrEx>
          <w:tblCellMar>
            <w:top w:w="0" w:type="dxa"/>
            <w:bottom w:w="0" w:type="dxa"/>
          </w:tblCellMar>
        </w:tblPrEx>
        <w:tc>
          <w:tcPr>
            <w:tcW w:w="9360" w:type="dxa"/>
            <w:tcBorders>
              <w:top w:val="single" w:sz="4" w:space="0" w:color="1F3864"/>
              <w:left w:val="single" w:sz="4" w:space="0" w:color="1F3864"/>
              <w:bottom w:val="single" w:sz="4" w:space="0" w:color="1F3864"/>
              <w:right w:val="single" w:sz="4" w:space="0" w:color="1F3864"/>
            </w:tcBorders>
            <w:shd w:val="clear" w:color="auto" w:fill="EEF2F7"/>
            <w:tcMar>
              <w:top w:w="100" w:type="dxa"/>
              <w:left w:w="180" w:type="dxa"/>
              <w:bottom w:w="100" w:type="dxa"/>
              <w:right w:w="180" w:type="dxa"/>
            </w:tcMar>
          </w:tcPr>
          <w:p w14:paraId="56D97FA1" w14:textId="77777777" w:rsidR="00560F38" w:rsidRDefault="00000000">
            <w:pPr>
              <w:spacing w:before="60" w:after="40"/>
            </w:pPr>
            <w:r>
              <w:rPr>
                <w:b/>
                <w:bCs/>
                <w:color w:val="1F3864"/>
                <w:sz w:val="18"/>
                <w:szCs w:val="18"/>
              </w:rPr>
              <w:t>NOTA</w:t>
            </w:r>
          </w:p>
          <w:p w14:paraId="7102171B" w14:textId="77777777" w:rsidR="00560F38" w:rsidRDefault="00000000">
            <w:pPr>
              <w:spacing w:before="40" w:after="60" w:line="260" w:lineRule="auto"/>
              <w:jc w:val="both"/>
            </w:pPr>
            <w:r>
              <w:rPr>
                <w:i/>
                <w:iCs/>
                <w:sz w:val="18"/>
                <w:szCs w:val="18"/>
              </w:rPr>
              <w:t>Os subfatores SF3B.4a e SF3B.4b avaliam exclusivamente o impacto concreto verificado neste caso — se dados foram efetivamente expostos, se um processo foi diretamente afetado. Isso os distingue do SF2.1, que mede a proteção normativa em abstrato.</w:t>
            </w:r>
          </w:p>
        </w:tc>
      </w:tr>
    </w:tbl>
    <w:p w14:paraId="64FC42FA" w14:textId="77777777" w:rsidR="00560F38" w:rsidRDefault="00000000">
      <w:pPr>
        <w:pStyle w:val="Ttulo1"/>
      </w:pPr>
      <w:bookmarkStart w:id="40" w:name="_Toc232175885"/>
      <w:r>
        <w:t>8. Elemento 4 — Circunstâncias Agravantes e Atenuantes</w:t>
      </w:r>
      <w:bookmarkEnd w:id="40"/>
    </w:p>
    <w:p w14:paraId="3CA24D5B" w14:textId="77777777" w:rsidR="00560F38" w:rsidRDefault="00000000">
      <w:pPr>
        <w:spacing w:before="80" w:after="80" w:line="276" w:lineRule="auto"/>
        <w:jc w:val="both"/>
      </w:pPr>
      <w:r>
        <w:t xml:space="preserve">Base legal: </w:t>
      </w:r>
      <w:r>
        <w:rPr>
          <w:b/>
          <w:bCs/>
        </w:rPr>
        <w:t>arts. 128 e 131, parágrafo único; art. 22 da LINDB; Súmula 231/STJ.</w:t>
      </w:r>
      <w:r>
        <w:t xml:space="preserve"> Cada item tem slider de intensidade (mín/padrão/máx). Pontuação = soma dos sliders ajustados.</w:t>
      </w:r>
    </w:p>
    <w:p w14:paraId="397E8269" w14:textId="77777777" w:rsidR="00560F38" w:rsidRDefault="00560F38"/>
    <w:p w14:paraId="455DD4A1" w14:textId="77777777" w:rsidR="00560F38" w:rsidRDefault="00000000">
      <w:pPr>
        <w:spacing w:before="80" w:after="80" w:line="276" w:lineRule="auto"/>
        <w:jc w:val="both"/>
      </w:pPr>
      <w:r>
        <w:t>As circunstâncias referem-se ao contexto em que a irregularidade ocorreu, constituindo situações que agravam ou atenuam o grau de reprovabilidade da conduta, sem alterar o enquadramento jurídico da infração. Devem ser efetivamente comprovadas nos autos.</w:t>
      </w:r>
    </w:p>
    <w:p w14:paraId="3BB30033" w14:textId="77777777" w:rsidR="00560F38" w:rsidRDefault="00000000">
      <w:pPr>
        <w:pStyle w:val="Ttulo2"/>
      </w:pPr>
      <w:bookmarkStart w:id="41" w:name="_Toc232175886"/>
      <w:r>
        <w:t>8.1 Limites das circunstâncias</w:t>
      </w:r>
      <w:bookmarkEnd w:id="41"/>
    </w:p>
    <w:p w14:paraId="5D1B8AF4" w14:textId="77777777" w:rsidR="00560F38" w:rsidRDefault="00000000">
      <w:pPr>
        <w:pStyle w:val="PargrafodaLista"/>
        <w:numPr>
          <w:ilvl w:val="0"/>
          <w:numId w:val="2"/>
        </w:numPr>
        <w:spacing w:before="60" w:after="60" w:line="260" w:lineRule="auto"/>
      </w:pPr>
      <w:r>
        <w:t>Não desconfiguram o fato: por mais numerosas que sejam as agravantes, jamais convertem em capital uma infração punível com advertência ou suspensão.</w:t>
      </w:r>
    </w:p>
    <w:p w14:paraId="04AE9819" w14:textId="77777777" w:rsidR="00560F38" w:rsidRDefault="00000000">
      <w:pPr>
        <w:pStyle w:val="PargrafodaLista"/>
        <w:numPr>
          <w:ilvl w:val="0"/>
          <w:numId w:val="2"/>
        </w:numPr>
        <w:spacing w:before="60" w:after="60" w:line="260" w:lineRule="auto"/>
      </w:pPr>
      <w:r>
        <w:t>Não reduzem abaixo do mínimo: por analogia à Súmula 231/STJ, a incidência de atenuante não pode conduzir à pena abaixo do mínimo legal.</w:t>
      </w:r>
    </w:p>
    <w:p w14:paraId="390DA850" w14:textId="77777777" w:rsidR="00560F38" w:rsidRDefault="00000000">
      <w:pPr>
        <w:pStyle w:val="PargrafodaLista"/>
        <w:numPr>
          <w:ilvl w:val="0"/>
          <w:numId w:val="2"/>
        </w:numPr>
        <w:spacing w:before="60" w:after="60" w:line="260" w:lineRule="auto"/>
      </w:pPr>
      <w:r>
        <w:t>Não se confundem com os antecedentes: as circunstâncias dizem respeito ao contexto da conduta apurada; os antecedentes olham para a trajetória anterior.</w:t>
      </w:r>
    </w:p>
    <w:p w14:paraId="5BFEC580" w14:textId="77777777" w:rsidR="00560F38" w:rsidRDefault="00000000">
      <w:pPr>
        <w:pStyle w:val="PargrafodaLista"/>
        <w:numPr>
          <w:ilvl w:val="0"/>
          <w:numId w:val="2"/>
        </w:numPr>
        <w:spacing w:before="60" w:after="60" w:line="260" w:lineRule="auto"/>
      </w:pPr>
      <w:r>
        <w:t xml:space="preserve">Vedação ao </w:t>
      </w:r>
      <w:r>
        <w:rPr>
          <w:i/>
          <w:iCs/>
        </w:rPr>
        <w:t>ne bis in idem</w:t>
      </w:r>
      <w:r>
        <w:t>: o alto dano já valorado no Elemento 3 não pode ser reaproveitado como agravante.</w:t>
      </w:r>
    </w:p>
    <w:p w14:paraId="57EBA16E" w14:textId="77777777" w:rsidR="00560F38" w:rsidRDefault="00000000">
      <w:pPr>
        <w:pStyle w:val="PargrafodaLista"/>
        <w:numPr>
          <w:ilvl w:val="0"/>
          <w:numId w:val="2"/>
        </w:numPr>
        <w:spacing w:before="60" w:after="60" w:line="260" w:lineRule="auto"/>
      </w:pPr>
      <w:r>
        <w:t>Processo sem punição ou registro cancelado: não pode ser utilizado como agravante ou mau antecedente (art. 131, parágrafo único).</w:t>
      </w:r>
    </w:p>
    <w:p w14:paraId="059CE250" w14:textId="77777777" w:rsidR="00560F38" w:rsidRDefault="00000000">
      <w:pPr>
        <w:pStyle w:val="Ttulo2"/>
      </w:pPr>
      <w:bookmarkStart w:id="42" w:name="_Toc232175887"/>
      <w:r>
        <w:t>8.2.1 Agravantes (7 itens)</w:t>
      </w:r>
      <w:bookmarkEnd w:id="4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95"/>
        <w:gridCol w:w="4377"/>
        <w:gridCol w:w="2632"/>
        <w:gridCol w:w="533"/>
        <w:gridCol w:w="552"/>
        <w:gridCol w:w="571"/>
      </w:tblGrid>
      <w:tr w:rsidR="00560F38" w14:paraId="139A4867"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EA2D95F" w14:textId="77777777" w:rsidR="00560F38" w:rsidRDefault="00000000">
            <w:pPr>
              <w:jc w:val="both"/>
            </w:pPr>
            <w:r>
              <w:rPr>
                <w:b/>
                <w:bCs/>
                <w:color w:val="FFFFFF"/>
                <w:sz w:val="17"/>
                <w:szCs w:val="17"/>
              </w:rPr>
              <w:t>Cód.</w:t>
            </w:r>
          </w:p>
        </w:tc>
        <w:tc>
          <w:tcPr>
            <w:tcW w:w="45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87A0832" w14:textId="77777777" w:rsidR="00560F38" w:rsidRDefault="00000000">
            <w:pPr>
              <w:jc w:val="both"/>
            </w:pPr>
            <w:r>
              <w:rPr>
                <w:b/>
                <w:bCs/>
                <w:color w:val="FFFFFF"/>
                <w:sz w:val="17"/>
                <w:szCs w:val="17"/>
              </w:rPr>
              <w:t>Descrição</w:t>
            </w:r>
          </w:p>
        </w:tc>
        <w:tc>
          <w:tcPr>
            <w:tcW w:w="27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C995B93" w14:textId="77777777" w:rsidR="00560F38" w:rsidRDefault="00000000">
            <w:pPr>
              <w:jc w:val="both"/>
            </w:pPr>
            <w:r>
              <w:rPr>
                <w:b/>
                <w:bCs/>
                <w:color w:val="FFFFFF"/>
                <w:sz w:val="17"/>
                <w:szCs w:val="17"/>
              </w:rPr>
              <w:t>Fundamento</w:t>
            </w:r>
          </w:p>
        </w:tc>
        <w:tc>
          <w:tcPr>
            <w:tcW w:w="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25B0885" w14:textId="77777777" w:rsidR="00560F38" w:rsidRDefault="00000000">
            <w:pPr>
              <w:jc w:val="both"/>
            </w:pPr>
            <w:r>
              <w:rPr>
                <w:b/>
                <w:bCs/>
                <w:color w:val="FFFFFF"/>
                <w:sz w:val="17"/>
                <w:szCs w:val="17"/>
              </w:rPr>
              <w:t>Mín</w:t>
            </w:r>
          </w:p>
        </w:tc>
        <w:tc>
          <w:tcPr>
            <w:tcW w:w="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962A25F" w14:textId="77777777" w:rsidR="00560F38" w:rsidRDefault="00000000">
            <w:pPr>
              <w:jc w:val="both"/>
            </w:pPr>
            <w:r>
              <w:rPr>
                <w:b/>
                <w:bCs/>
                <w:color w:val="FFFFFF"/>
                <w:sz w:val="17"/>
                <w:szCs w:val="17"/>
              </w:rPr>
              <w:t>Pad</w:t>
            </w:r>
          </w:p>
        </w:tc>
        <w:tc>
          <w:tcPr>
            <w:tcW w:w="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7FBD7FF" w14:textId="77777777" w:rsidR="00560F38" w:rsidRDefault="00000000">
            <w:pPr>
              <w:jc w:val="both"/>
            </w:pPr>
            <w:r>
              <w:rPr>
                <w:b/>
                <w:bCs/>
                <w:color w:val="FFFFFF"/>
                <w:sz w:val="17"/>
                <w:szCs w:val="17"/>
              </w:rPr>
              <w:t>Máx</w:t>
            </w:r>
          </w:p>
        </w:tc>
      </w:tr>
      <w:tr w:rsidR="00560F38" w14:paraId="78B7E0E2"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D84726" w14:textId="77777777" w:rsidR="00560F38" w:rsidRDefault="00000000">
            <w:pPr>
              <w:jc w:val="both"/>
            </w:pPr>
            <w:r>
              <w:rPr>
                <w:color w:val="000000"/>
                <w:sz w:val="17"/>
                <w:szCs w:val="17"/>
              </w:rPr>
              <w:t>ag1</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2E4B55" w14:textId="77777777" w:rsidR="00560F38" w:rsidRDefault="00000000">
            <w:pPr>
              <w:jc w:val="both"/>
            </w:pPr>
            <w:r>
              <w:rPr>
                <w:color w:val="000000"/>
                <w:sz w:val="17"/>
                <w:szCs w:val="17"/>
              </w:rPr>
              <w:t>Servidor com capacitação ou treinamento específico documentado na área da infração</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0CBD25" w14:textId="77777777" w:rsidR="00560F38" w:rsidRDefault="00000000">
            <w:pPr>
              <w:jc w:val="both"/>
            </w:pPr>
            <w:r>
              <w:rPr>
                <w:color w:val="000000"/>
                <w:sz w:val="17"/>
                <w:szCs w:val="17"/>
              </w:rPr>
              <w:t>Conhecia os riscos</w:t>
            </w:r>
          </w:p>
        </w:tc>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C0EFEF" w14:textId="77777777" w:rsidR="00560F38" w:rsidRDefault="00000000">
            <w:pPr>
              <w:jc w:val="both"/>
            </w:pPr>
            <w:r>
              <w:rPr>
                <w:color w:val="000000"/>
                <w:sz w:val="17"/>
                <w:szCs w:val="17"/>
              </w:rPr>
              <w:t>3</w:t>
            </w:r>
          </w:p>
        </w:tc>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C18634" w14:textId="77777777" w:rsidR="00560F38" w:rsidRDefault="00000000">
            <w:pPr>
              <w:jc w:val="both"/>
            </w:pPr>
            <w:r>
              <w:rPr>
                <w:color w:val="000000"/>
                <w:sz w:val="17"/>
                <w:szCs w:val="17"/>
              </w:rPr>
              <w:t>4</w:t>
            </w:r>
          </w:p>
        </w:tc>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4665B1" w14:textId="77777777" w:rsidR="00560F38" w:rsidRDefault="00000000">
            <w:pPr>
              <w:jc w:val="both"/>
            </w:pPr>
            <w:r>
              <w:rPr>
                <w:color w:val="000000"/>
                <w:sz w:val="17"/>
                <w:szCs w:val="17"/>
              </w:rPr>
              <w:t>5</w:t>
            </w:r>
          </w:p>
        </w:tc>
      </w:tr>
      <w:tr w:rsidR="00560F38" w14:paraId="21B134C5"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5F7FB"/>
            <w:tcMar>
              <w:top w:w="80" w:type="dxa"/>
              <w:left w:w="120" w:type="dxa"/>
              <w:bottom w:w="80" w:type="dxa"/>
              <w:right w:w="120" w:type="dxa"/>
            </w:tcMar>
          </w:tcPr>
          <w:p w14:paraId="413B3709" w14:textId="77777777" w:rsidR="00560F38" w:rsidRDefault="00000000">
            <w:pPr>
              <w:jc w:val="both"/>
            </w:pPr>
            <w:r>
              <w:rPr>
                <w:color w:val="000000"/>
                <w:sz w:val="17"/>
                <w:szCs w:val="17"/>
              </w:rPr>
              <w:t>ag2</w:t>
            </w:r>
          </w:p>
        </w:tc>
        <w:tc>
          <w:tcPr>
            <w:tcW w:w="4560" w:type="dxa"/>
            <w:tcBorders>
              <w:top w:val="single" w:sz="1" w:space="0" w:color="CCCCCC"/>
              <w:left w:val="single" w:sz="1" w:space="0" w:color="CCCCCC"/>
              <w:bottom w:val="single" w:sz="1" w:space="0" w:color="CCCCCC"/>
              <w:right w:val="single" w:sz="1" w:space="0" w:color="CCCCCC"/>
            </w:tcBorders>
            <w:shd w:val="clear" w:color="auto" w:fill="F5F7FB"/>
            <w:tcMar>
              <w:top w:w="80" w:type="dxa"/>
              <w:left w:w="120" w:type="dxa"/>
              <w:bottom w:w="80" w:type="dxa"/>
              <w:right w:w="120" w:type="dxa"/>
            </w:tcMar>
          </w:tcPr>
          <w:p w14:paraId="17BB34B4" w14:textId="77777777" w:rsidR="00560F38" w:rsidRDefault="00000000">
            <w:pPr>
              <w:jc w:val="both"/>
            </w:pPr>
            <w:r>
              <w:rPr>
                <w:color w:val="000000"/>
                <w:sz w:val="17"/>
                <w:szCs w:val="17"/>
              </w:rPr>
              <w:t>Longa experiência na atividade em que ocorreu a infração (acima de 3 anos na função)</w:t>
            </w:r>
          </w:p>
        </w:tc>
        <w:tc>
          <w:tcPr>
            <w:tcW w:w="2700" w:type="dxa"/>
            <w:tcBorders>
              <w:top w:val="single" w:sz="1" w:space="0" w:color="CCCCCC"/>
              <w:left w:val="single" w:sz="1" w:space="0" w:color="CCCCCC"/>
              <w:bottom w:val="single" w:sz="1" w:space="0" w:color="CCCCCC"/>
              <w:right w:val="single" w:sz="1" w:space="0" w:color="CCCCCC"/>
            </w:tcBorders>
            <w:shd w:val="clear" w:color="auto" w:fill="F5F7FB"/>
            <w:tcMar>
              <w:top w:w="80" w:type="dxa"/>
              <w:left w:w="120" w:type="dxa"/>
              <w:bottom w:w="80" w:type="dxa"/>
              <w:right w:w="120" w:type="dxa"/>
            </w:tcMar>
          </w:tcPr>
          <w:p w14:paraId="03E1AE78" w14:textId="77777777" w:rsidR="00560F38" w:rsidRDefault="00000000">
            <w:pPr>
              <w:jc w:val="both"/>
            </w:pPr>
            <w:r>
              <w:rPr>
                <w:color w:val="000000"/>
                <w:sz w:val="17"/>
                <w:szCs w:val="17"/>
              </w:rPr>
              <w:t>Experiência amplia o dever de cuidado</w:t>
            </w:r>
          </w:p>
        </w:tc>
        <w:tc>
          <w:tcPr>
            <w:tcW w:w="500" w:type="dxa"/>
            <w:tcBorders>
              <w:top w:val="single" w:sz="1" w:space="0" w:color="CCCCCC"/>
              <w:left w:val="single" w:sz="1" w:space="0" w:color="CCCCCC"/>
              <w:bottom w:val="single" w:sz="1" w:space="0" w:color="CCCCCC"/>
              <w:right w:val="single" w:sz="1" w:space="0" w:color="CCCCCC"/>
            </w:tcBorders>
            <w:shd w:val="clear" w:color="auto" w:fill="F5F7FB"/>
            <w:tcMar>
              <w:top w:w="80" w:type="dxa"/>
              <w:left w:w="120" w:type="dxa"/>
              <w:bottom w:w="80" w:type="dxa"/>
              <w:right w:w="120" w:type="dxa"/>
            </w:tcMar>
          </w:tcPr>
          <w:p w14:paraId="03EED33E" w14:textId="77777777" w:rsidR="00560F38" w:rsidRDefault="00000000">
            <w:pPr>
              <w:jc w:val="both"/>
            </w:pPr>
            <w:r>
              <w:rPr>
                <w:color w:val="000000"/>
                <w:sz w:val="17"/>
                <w:szCs w:val="17"/>
              </w:rPr>
              <w:t>3</w:t>
            </w:r>
          </w:p>
        </w:tc>
        <w:tc>
          <w:tcPr>
            <w:tcW w:w="500" w:type="dxa"/>
            <w:tcBorders>
              <w:top w:val="single" w:sz="1" w:space="0" w:color="CCCCCC"/>
              <w:left w:val="single" w:sz="1" w:space="0" w:color="CCCCCC"/>
              <w:bottom w:val="single" w:sz="1" w:space="0" w:color="CCCCCC"/>
              <w:right w:val="single" w:sz="1" w:space="0" w:color="CCCCCC"/>
            </w:tcBorders>
            <w:shd w:val="clear" w:color="auto" w:fill="F5F7FB"/>
            <w:tcMar>
              <w:top w:w="80" w:type="dxa"/>
              <w:left w:w="120" w:type="dxa"/>
              <w:bottom w:w="80" w:type="dxa"/>
              <w:right w:w="120" w:type="dxa"/>
            </w:tcMar>
          </w:tcPr>
          <w:p w14:paraId="7C2A93FD" w14:textId="77777777" w:rsidR="00560F38" w:rsidRDefault="00000000">
            <w:pPr>
              <w:jc w:val="both"/>
            </w:pPr>
            <w:r>
              <w:rPr>
                <w:color w:val="000000"/>
                <w:sz w:val="17"/>
                <w:szCs w:val="17"/>
              </w:rPr>
              <w:t>3</w:t>
            </w:r>
          </w:p>
        </w:tc>
        <w:tc>
          <w:tcPr>
            <w:tcW w:w="400" w:type="dxa"/>
            <w:tcBorders>
              <w:top w:val="single" w:sz="1" w:space="0" w:color="CCCCCC"/>
              <w:left w:val="single" w:sz="1" w:space="0" w:color="CCCCCC"/>
              <w:bottom w:val="single" w:sz="1" w:space="0" w:color="CCCCCC"/>
              <w:right w:val="single" w:sz="1" w:space="0" w:color="CCCCCC"/>
            </w:tcBorders>
            <w:shd w:val="clear" w:color="auto" w:fill="F5F7FB"/>
            <w:tcMar>
              <w:top w:w="80" w:type="dxa"/>
              <w:left w:w="120" w:type="dxa"/>
              <w:bottom w:w="80" w:type="dxa"/>
              <w:right w:w="120" w:type="dxa"/>
            </w:tcMar>
          </w:tcPr>
          <w:p w14:paraId="087C4008" w14:textId="77777777" w:rsidR="00560F38" w:rsidRDefault="00000000">
            <w:pPr>
              <w:jc w:val="both"/>
            </w:pPr>
            <w:r>
              <w:rPr>
                <w:color w:val="000000"/>
                <w:sz w:val="17"/>
                <w:szCs w:val="17"/>
              </w:rPr>
              <w:t>4</w:t>
            </w:r>
          </w:p>
        </w:tc>
      </w:tr>
      <w:tr w:rsidR="00560F38" w14:paraId="771242C1"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423672" w14:textId="77777777" w:rsidR="00560F38" w:rsidRDefault="00000000">
            <w:pPr>
              <w:jc w:val="both"/>
            </w:pPr>
            <w:r>
              <w:rPr>
                <w:color w:val="000000"/>
                <w:sz w:val="17"/>
                <w:szCs w:val="17"/>
              </w:rPr>
              <w:t>ag3</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2F74D3" w14:textId="77777777" w:rsidR="00560F38" w:rsidRDefault="00000000">
            <w:pPr>
              <w:jc w:val="both"/>
            </w:pPr>
            <w:r>
              <w:rPr>
                <w:color w:val="000000"/>
                <w:sz w:val="17"/>
                <w:szCs w:val="17"/>
              </w:rPr>
              <w:t>Cargo de confiança, função gratificada ou de chefia na área relacionada</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A1B273" w14:textId="77777777" w:rsidR="00560F38" w:rsidRDefault="00000000">
            <w:pPr>
              <w:jc w:val="both"/>
            </w:pPr>
            <w:r>
              <w:rPr>
                <w:color w:val="000000"/>
                <w:sz w:val="17"/>
                <w:szCs w:val="17"/>
              </w:rPr>
              <w:t>Posição hierárquica amplia o dever de exemplo</w:t>
            </w:r>
          </w:p>
        </w:tc>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47998E" w14:textId="77777777" w:rsidR="00560F38" w:rsidRDefault="00000000">
            <w:pPr>
              <w:jc w:val="both"/>
            </w:pPr>
            <w:r>
              <w:rPr>
                <w:color w:val="000000"/>
                <w:sz w:val="17"/>
                <w:szCs w:val="17"/>
              </w:rPr>
              <w:t>3</w:t>
            </w:r>
          </w:p>
        </w:tc>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DAA3C4" w14:textId="77777777" w:rsidR="00560F38" w:rsidRDefault="00000000">
            <w:pPr>
              <w:jc w:val="both"/>
            </w:pPr>
            <w:r>
              <w:rPr>
                <w:color w:val="000000"/>
                <w:sz w:val="17"/>
                <w:szCs w:val="17"/>
              </w:rPr>
              <w:t>4</w:t>
            </w:r>
          </w:p>
        </w:tc>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C98579" w14:textId="77777777" w:rsidR="00560F38" w:rsidRDefault="00000000">
            <w:pPr>
              <w:jc w:val="both"/>
            </w:pPr>
            <w:r>
              <w:rPr>
                <w:color w:val="000000"/>
                <w:sz w:val="17"/>
                <w:szCs w:val="17"/>
              </w:rPr>
              <w:t>5</w:t>
            </w:r>
          </w:p>
        </w:tc>
      </w:tr>
      <w:tr w:rsidR="00560F38" w14:paraId="0BEEEA73"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5F7FB"/>
            <w:tcMar>
              <w:top w:w="80" w:type="dxa"/>
              <w:left w:w="120" w:type="dxa"/>
              <w:bottom w:w="80" w:type="dxa"/>
              <w:right w:w="120" w:type="dxa"/>
            </w:tcMar>
          </w:tcPr>
          <w:p w14:paraId="1297D11D" w14:textId="77777777" w:rsidR="00560F38" w:rsidRDefault="00000000">
            <w:pPr>
              <w:jc w:val="both"/>
            </w:pPr>
            <w:r>
              <w:rPr>
                <w:color w:val="000000"/>
                <w:sz w:val="17"/>
                <w:szCs w:val="17"/>
              </w:rPr>
              <w:t>ag4</w:t>
            </w:r>
          </w:p>
        </w:tc>
        <w:tc>
          <w:tcPr>
            <w:tcW w:w="4560" w:type="dxa"/>
            <w:tcBorders>
              <w:top w:val="single" w:sz="1" w:space="0" w:color="CCCCCC"/>
              <w:left w:val="single" w:sz="1" w:space="0" w:color="CCCCCC"/>
              <w:bottom w:val="single" w:sz="1" w:space="0" w:color="CCCCCC"/>
              <w:right w:val="single" w:sz="1" w:space="0" w:color="CCCCCC"/>
            </w:tcBorders>
            <w:shd w:val="clear" w:color="auto" w:fill="F5F7FB"/>
            <w:tcMar>
              <w:top w:w="80" w:type="dxa"/>
              <w:left w:w="120" w:type="dxa"/>
              <w:bottom w:w="80" w:type="dxa"/>
              <w:right w:w="120" w:type="dxa"/>
            </w:tcMar>
          </w:tcPr>
          <w:p w14:paraId="653E07B2" w14:textId="77777777" w:rsidR="00560F38" w:rsidRDefault="00000000">
            <w:pPr>
              <w:jc w:val="both"/>
            </w:pPr>
            <w:r>
              <w:rPr>
                <w:color w:val="000000"/>
                <w:sz w:val="17"/>
                <w:szCs w:val="17"/>
              </w:rPr>
              <w:t>Conduta motivada por interesse fútil, irrelevante ou inescusável</w:t>
            </w:r>
          </w:p>
        </w:tc>
        <w:tc>
          <w:tcPr>
            <w:tcW w:w="2700" w:type="dxa"/>
            <w:tcBorders>
              <w:top w:val="single" w:sz="1" w:space="0" w:color="CCCCCC"/>
              <w:left w:val="single" w:sz="1" w:space="0" w:color="CCCCCC"/>
              <w:bottom w:val="single" w:sz="1" w:space="0" w:color="CCCCCC"/>
              <w:right w:val="single" w:sz="1" w:space="0" w:color="CCCCCC"/>
            </w:tcBorders>
            <w:shd w:val="clear" w:color="auto" w:fill="F5F7FB"/>
            <w:tcMar>
              <w:top w:w="80" w:type="dxa"/>
              <w:left w:w="120" w:type="dxa"/>
              <w:bottom w:w="80" w:type="dxa"/>
              <w:right w:w="120" w:type="dxa"/>
            </w:tcMar>
          </w:tcPr>
          <w:p w14:paraId="17BA206B" w14:textId="77777777" w:rsidR="00560F38" w:rsidRDefault="00000000">
            <w:pPr>
              <w:jc w:val="both"/>
            </w:pPr>
            <w:r>
              <w:rPr>
                <w:color w:val="000000"/>
                <w:sz w:val="17"/>
                <w:szCs w:val="17"/>
              </w:rPr>
              <w:t>Maior grau de reprovabilidade moral</w:t>
            </w:r>
          </w:p>
        </w:tc>
        <w:tc>
          <w:tcPr>
            <w:tcW w:w="500" w:type="dxa"/>
            <w:tcBorders>
              <w:top w:val="single" w:sz="1" w:space="0" w:color="CCCCCC"/>
              <w:left w:val="single" w:sz="1" w:space="0" w:color="CCCCCC"/>
              <w:bottom w:val="single" w:sz="1" w:space="0" w:color="CCCCCC"/>
              <w:right w:val="single" w:sz="1" w:space="0" w:color="CCCCCC"/>
            </w:tcBorders>
            <w:shd w:val="clear" w:color="auto" w:fill="F5F7FB"/>
            <w:tcMar>
              <w:top w:w="80" w:type="dxa"/>
              <w:left w:w="120" w:type="dxa"/>
              <w:bottom w:w="80" w:type="dxa"/>
              <w:right w:w="120" w:type="dxa"/>
            </w:tcMar>
          </w:tcPr>
          <w:p w14:paraId="5A7A59CC" w14:textId="77777777" w:rsidR="00560F38" w:rsidRDefault="00000000">
            <w:pPr>
              <w:jc w:val="both"/>
            </w:pPr>
            <w:r>
              <w:rPr>
                <w:color w:val="000000"/>
                <w:sz w:val="17"/>
                <w:szCs w:val="17"/>
              </w:rPr>
              <w:t>2</w:t>
            </w:r>
          </w:p>
        </w:tc>
        <w:tc>
          <w:tcPr>
            <w:tcW w:w="500" w:type="dxa"/>
            <w:tcBorders>
              <w:top w:val="single" w:sz="1" w:space="0" w:color="CCCCCC"/>
              <w:left w:val="single" w:sz="1" w:space="0" w:color="CCCCCC"/>
              <w:bottom w:val="single" w:sz="1" w:space="0" w:color="CCCCCC"/>
              <w:right w:val="single" w:sz="1" w:space="0" w:color="CCCCCC"/>
            </w:tcBorders>
            <w:shd w:val="clear" w:color="auto" w:fill="F5F7FB"/>
            <w:tcMar>
              <w:top w:w="80" w:type="dxa"/>
              <w:left w:w="120" w:type="dxa"/>
              <w:bottom w:w="80" w:type="dxa"/>
              <w:right w:w="120" w:type="dxa"/>
            </w:tcMar>
          </w:tcPr>
          <w:p w14:paraId="22D3D867" w14:textId="77777777" w:rsidR="00560F38" w:rsidRDefault="00000000">
            <w:pPr>
              <w:jc w:val="both"/>
            </w:pPr>
            <w:r>
              <w:rPr>
                <w:color w:val="000000"/>
                <w:sz w:val="17"/>
                <w:szCs w:val="17"/>
              </w:rPr>
              <w:t>3</w:t>
            </w:r>
          </w:p>
        </w:tc>
        <w:tc>
          <w:tcPr>
            <w:tcW w:w="400" w:type="dxa"/>
            <w:tcBorders>
              <w:top w:val="single" w:sz="1" w:space="0" w:color="CCCCCC"/>
              <w:left w:val="single" w:sz="1" w:space="0" w:color="CCCCCC"/>
              <w:bottom w:val="single" w:sz="1" w:space="0" w:color="CCCCCC"/>
              <w:right w:val="single" w:sz="1" w:space="0" w:color="CCCCCC"/>
            </w:tcBorders>
            <w:shd w:val="clear" w:color="auto" w:fill="F5F7FB"/>
            <w:tcMar>
              <w:top w:w="80" w:type="dxa"/>
              <w:left w:w="120" w:type="dxa"/>
              <w:bottom w:w="80" w:type="dxa"/>
              <w:right w:w="120" w:type="dxa"/>
            </w:tcMar>
          </w:tcPr>
          <w:p w14:paraId="3421B379" w14:textId="77777777" w:rsidR="00560F38" w:rsidRDefault="00000000">
            <w:pPr>
              <w:jc w:val="both"/>
            </w:pPr>
            <w:r>
              <w:rPr>
                <w:color w:val="000000"/>
                <w:sz w:val="17"/>
                <w:szCs w:val="17"/>
              </w:rPr>
              <w:t>4</w:t>
            </w:r>
          </w:p>
        </w:tc>
      </w:tr>
      <w:tr w:rsidR="00560F38" w14:paraId="3A1187C9"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A4E7CF" w14:textId="77777777" w:rsidR="00560F38" w:rsidRDefault="00000000">
            <w:pPr>
              <w:jc w:val="both"/>
            </w:pPr>
            <w:r>
              <w:rPr>
                <w:color w:val="000000"/>
                <w:sz w:val="17"/>
                <w:szCs w:val="17"/>
              </w:rPr>
              <w:t>ag5</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5DEC95" w14:textId="77777777" w:rsidR="00560F38" w:rsidRDefault="00000000">
            <w:pPr>
              <w:jc w:val="both"/>
            </w:pPr>
            <w:r>
              <w:rPr>
                <w:color w:val="000000"/>
                <w:sz w:val="17"/>
                <w:szCs w:val="17"/>
              </w:rPr>
              <w:t>Infraestrutura favorável que facilitava o cumprimento do dever violado</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49D7AF" w14:textId="77777777" w:rsidR="00560F38" w:rsidRDefault="00000000">
            <w:pPr>
              <w:jc w:val="both"/>
            </w:pPr>
            <w:r>
              <w:rPr>
                <w:color w:val="000000"/>
                <w:sz w:val="17"/>
                <w:szCs w:val="17"/>
              </w:rPr>
              <w:t>Ausência de obstáculos externos justificadores</w:t>
            </w:r>
          </w:p>
        </w:tc>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E44051" w14:textId="77777777" w:rsidR="00560F38" w:rsidRDefault="00000000">
            <w:pPr>
              <w:jc w:val="both"/>
            </w:pPr>
            <w:r>
              <w:rPr>
                <w:color w:val="000000"/>
                <w:sz w:val="17"/>
                <w:szCs w:val="17"/>
              </w:rPr>
              <w:t>2</w:t>
            </w:r>
          </w:p>
        </w:tc>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846B6C" w14:textId="77777777" w:rsidR="00560F38" w:rsidRDefault="00000000">
            <w:pPr>
              <w:jc w:val="both"/>
            </w:pPr>
            <w:r>
              <w:rPr>
                <w:color w:val="000000"/>
                <w:sz w:val="17"/>
                <w:szCs w:val="17"/>
              </w:rPr>
              <w:t>2</w:t>
            </w:r>
          </w:p>
        </w:tc>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19DBC9" w14:textId="77777777" w:rsidR="00560F38" w:rsidRDefault="00000000">
            <w:pPr>
              <w:jc w:val="both"/>
            </w:pPr>
            <w:r>
              <w:rPr>
                <w:color w:val="000000"/>
                <w:sz w:val="17"/>
                <w:szCs w:val="17"/>
              </w:rPr>
              <w:t>3</w:t>
            </w:r>
          </w:p>
        </w:tc>
      </w:tr>
      <w:tr w:rsidR="00560F38" w14:paraId="41CA5D50"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5F7FB"/>
            <w:tcMar>
              <w:top w:w="80" w:type="dxa"/>
              <w:left w:w="120" w:type="dxa"/>
              <w:bottom w:w="80" w:type="dxa"/>
              <w:right w:w="120" w:type="dxa"/>
            </w:tcMar>
          </w:tcPr>
          <w:p w14:paraId="4D92F4B9" w14:textId="77777777" w:rsidR="00560F38" w:rsidRDefault="00000000">
            <w:pPr>
              <w:jc w:val="both"/>
            </w:pPr>
            <w:r>
              <w:rPr>
                <w:color w:val="000000"/>
                <w:sz w:val="17"/>
                <w:szCs w:val="17"/>
              </w:rPr>
              <w:t>ag6</w:t>
            </w:r>
          </w:p>
        </w:tc>
        <w:tc>
          <w:tcPr>
            <w:tcW w:w="4560" w:type="dxa"/>
            <w:tcBorders>
              <w:top w:val="single" w:sz="1" w:space="0" w:color="CCCCCC"/>
              <w:left w:val="single" w:sz="1" w:space="0" w:color="CCCCCC"/>
              <w:bottom w:val="single" w:sz="1" w:space="0" w:color="CCCCCC"/>
              <w:right w:val="single" w:sz="1" w:space="0" w:color="CCCCCC"/>
            </w:tcBorders>
            <w:shd w:val="clear" w:color="auto" w:fill="F5F7FB"/>
            <w:tcMar>
              <w:top w:w="80" w:type="dxa"/>
              <w:left w:w="120" w:type="dxa"/>
              <w:bottom w:w="80" w:type="dxa"/>
              <w:right w:w="120" w:type="dxa"/>
            </w:tcMar>
          </w:tcPr>
          <w:p w14:paraId="19C33AB8" w14:textId="77777777" w:rsidR="00560F38" w:rsidRDefault="00000000">
            <w:pPr>
              <w:jc w:val="both"/>
            </w:pPr>
            <w:r>
              <w:rPr>
                <w:color w:val="000000"/>
                <w:sz w:val="17"/>
                <w:szCs w:val="17"/>
              </w:rPr>
              <w:t>Conduta praticada em detrimento de contribuinte ou usuário em situação de vulnerabilidade</w:t>
            </w:r>
          </w:p>
        </w:tc>
        <w:tc>
          <w:tcPr>
            <w:tcW w:w="2700" w:type="dxa"/>
            <w:tcBorders>
              <w:top w:val="single" w:sz="1" w:space="0" w:color="CCCCCC"/>
              <w:left w:val="single" w:sz="1" w:space="0" w:color="CCCCCC"/>
              <w:bottom w:val="single" w:sz="1" w:space="0" w:color="CCCCCC"/>
              <w:right w:val="single" w:sz="1" w:space="0" w:color="CCCCCC"/>
            </w:tcBorders>
            <w:shd w:val="clear" w:color="auto" w:fill="F5F7FB"/>
            <w:tcMar>
              <w:top w:w="80" w:type="dxa"/>
              <w:left w:w="120" w:type="dxa"/>
              <w:bottom w:w="80" w:type="dxa"/>
              <w:right w:w="120" w:type="dxa"/>
            </w:tcMar>
          </w:tcPr>
          <w:p w14:paraId="71B072B1" w14:textId="77777777" w:rsidR="00560F38" w:rsidRDefault="00000000">
            <w:pPr>
              <w:jc w:val="both"/>
            </w:pPr>
            <w:r>
              <w:rPr>
                <w:color w:val="000000"/>
                <w:sz w:val="17"/>
                <w:szCs w:val="17"/>
              </w:rPr>
              <w:t>Assimetria de poder agrava o impacto</w:t>
            </w:r>
          </w:p>
        </w:tc>
        <w:tc>
          <w:tcPr>
            <w:tcW w:w="500" w:type="dxa"/>
            <w:tcBorders>
              <w:top w:val="single" w:sz="1" w:space="0" w:color="CCCCCC"/>
              <w:left w:val="single" w:sz="1" w:space="0" w:color="CCCCCC"/>
              <w:bottom w:val="single" w:sz="1" w:space="0" w:color="CCCCCC"/>
              <w:right w:val="single" w:sz="1" w:space="0" w:color="CCCCCC"/>
            </w:tcBorders>
            <w:shd w:val="clear" w:color="auto" w:fill="F5F7FB"/>
            <w:tcMar>
              <w:top w:w="80" w:type="dxa"/>
              <w:left w:w="120" w:type="dxa"/>
              <w:bottom w:w="80" w:type="dxa"/>
              <w:right w:w="120" w:type="dxa"/>
            </w:tcMar>
          </w:tcPr>
          <w:p w14:paraId="192CE5F1" w14:textId="77777777" w:rsidR="00560F38" w:rsidRDefault="00000000">
            <w:pPr>
              <w:jc w:val="both"/>
            </w:pPr>
            <w:r>
              <w:rPr>
                <w:color w:val="000000"/>
                <w:sz w:val="17"/>
                <w:szCs w:val="17"/>
              </w:rPr>
              <w:t>2</w:t>
            </w:r>
          </w:p>
        </w:tc>
        <w:tc>
          <w:tcPr>
            <w:tcW w:w="500" w:type="dxa"/>
            <w:tcBorders>
              <w:top w:val="single" w:sz="1" w:space="0" w:color="CCCCCC"/>
              <w:left w:val="single" w:sz="1" w:space="0" w:color="CCCCCC"/>
              <w:bottom w:val="single" w:sz="1" w:space="0" w:color="CCCCCC"/>
              <w:right w:val="single" w:sz="1" w:space="0" w:color="CCCCCC"/>
            </w:tcBorders>
            <w:shd w:val="clear" w:color="auto" w:fill="F5F7FB"/>
            <w:tcMar>
              <w:top w:w="80" w:type="dxa"/>
              <w:left w:w="120" w:type="dxa"/>
              <w:bottom w:w="80" w:type="dxa"/>
              <w:right w:w="120" w:type="dxa"/>
            </w:tcMar>
          </w:tcPr>
          <w:p w14:paraId="6A7E08EB" w14:textId="77777777" w:rsidR="00560F38" w:rsidRDefault="00000000">
            <w:pPr>
              <w:jc w:val="both"/>
            </w:pPr>
            <w:r>
              <w:rPr>
                <w:color w:val="000000"/>
                <w:sz w:val="17"/>
                <w:szCs w:val="17"/>
              </w:rPr>
              <w:t>3</w:t>
            </w:r>
          </w:p>
        </w:tc>
        <w:tc>
          <w:tcPr>
            <w:tcW w:w="400" w:type="dxa"/>
            <w:tcBorders>
              <w:top w:val="single" w:sz="1" w:space="0" w:color="CCCCCC"/>
              <w:left w:val="single" w:sz="1" w:space="0" w:color="CCCCCC"/>
              <w:bottom w:val="single" w:sz="1" w:space="0" w:color="CCCCCC"/>
              <w:right w:val="single" w:sz="1" w:space="0" w:color="CCCCCC"/>
            </w:tcBorders>
            <w:shd w:val="clear" w:color="auto" w:fill="F5F7FB"/>
            <w:tcMar>
              <w:top w:w="80" w:type="dxa"/>
              <w:left w:w="120" w:type="dxa"/>
              <w:bottom w:w="80" w:type="dxa"/>
              <w:right w:w="120" w:type="dxa"/>
            </w:tcMar>
          </w:tcPr>
          <w:p w14:paraId="00290C52" w14:textId="77777777" w:rsidR="00560F38" w:rsidRDefault="00000000">
            <w:pPr>
              <w:jc w:val="both"/>
            </w:pPr>
            <w:r>
              <w:rPr>
                <w:color w:val="000000"/>
                <w:sz w:val="17"/>
                <w:szCs w:val="17"/>
              </w:rPr>
              <w:t>4</w:t>
            </w:r>
          </w:p>
        </w:tc>
      </w:tr>
      <w:tr w:rsidR="00560F38" w14:paraId="591623DE"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6A9065" w14:textId="77777777" w:rsidR="00560F38" w:rsidRDefault="00000000">
            <w:pPr>
              <w:jc w:val="both"/>
            </w:pPr>
            <w:r>
              <w:rPr>
                <w:color w:val="000000"/>
                <w:sz w:val="17"/>
                <w:szCs w:val="17"/>
              </w:rPr>
              <w:lastRenderedPageBreak/>
              <w:t>ag7</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323BC0" w14:textId="77777777" w:rsidR="00560F38" w:rsidRDefault="00000000">
            <w:pPr>
              <w:jc w:val="both"/>
            </w:pPr>
            <w:r>
              <w:rPr>
                <w:color w:val="000000"/>
                <w:sz w:val="17"/>
                <w:szCs w:val="17"/>
              </w:rPr>
              <w:t>Experiência pretérita documentada em cargo de chefia, direção ou supervisão em área correlata</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2AEC0C" w14:textId="77777777" w:rsidR="00560F38" w:rsidRDefault="00000000">
            <w:pPr>
              <w:jc w:val="both"/>
            </w:pPr>
            <w:r>
              <w:rPr>
                <w:color w:val="000000"/>
                <w:sz w:val="17"/>
                <w:szCs w:val="17"/>
              </w:rPr>
              <w:t>Trajetória em posições de responsabilidade amplia o padrão de cuidado exigível além da função atual</w:t>
            </w:r>
          </w:p>
        </w:tc>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AE6427" w14:textId="77777777" w:rsidR="00560F38" w:rsidRDefault="00000000">
            <w:pPr>
              <w:jc w:val="both"/>
            </w:pPr>
            <w:r>
              <w:rPr>
                <w:color w:val="000000"/>
                <w:sz w:val="17"/>
                <w:szCs w:val="17"/>
              </w:rPr>
              <w:t>2</w:t>
            </w:r>
          </w:p>
        </w:tc>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44CCD7" w14:textId="77777777" w:rsidR="00560F38" w:rsidRDefault="00000000">
            <w:pPr>
              <w:jc w:val="both"/>
            </w:pPr>
            <w:r>
              <w:rPr>
                <w:color w:val="000000"/>
                <w:sz w:val="17"/>
                <w:szCs w:val="17"/>
              </w:rPr>
              <w:t>3</w:t>
            </w:r>
          </w:p>
        </w:tc>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730F14" w14:textId="77777777" w:rsidR="00560F38" w:rsidRDefault="00000000">
            <w:pPr>
              <w:jc w:val="both"/>
            </w:pPr>
            <w:r>
              <w:rPr>
                <w:color w:val="000000"/>
                <w:sz w:val="17"/>
                <w:szCs w:val="17"/>
              </w:rPr>
              <w:t>4</w:t>
            </w:r>
          </w:p>
        </w:tc>
      </w:tr>
    </w:tbl>
    <w:p w14:paraId="416ADEEE" w14:textId="77777777" w:rsidR="00560F38" w:rsidRDefault="00000000">
      <w:pPr>
        <w:pStyle w:val="Ttulo2"/>
      </w:pPr>
      <w:bookmarkStart w:id="43" w:name="_Toc232175888"/>
      <w:r>
        <w:t>8.2.2 Atenuantes (13 itens)</w:t>
      </w:r>
      <w:bookmarkEnd w:id="4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95"/>
        <w:gridCol w:w="4375"/>
        <w:gridCol w:w="2634"/>
        <w:gridCol w:w="533"/>
        <w:gridCol w:w="552"/>
        <w:gridCol w:w="571"/>
      </w:tblGrid>
      <w:tr w:rsidR="00560F38" w14:paraId="50C00B62"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BF72940" w14:textId="77777777" w:rsidR="00560F38" w:rsidRDefault="00000000">
            <w:pPr>
              <w:jc w:val="both"/>
            </w:pPr>
            <w:r>
              <w:rPr>
                <w:b/>
                <w:bCs/>
                <w:color w:val="FFFFFF"/>
                <w:sz w:val="17"/>
                <w:szCs w:val="17"/>
              </w:rPr>
              <w:t>Cód.</w:t>
            </w:r>
          </w:p>
        </w:tc>
        <w:tc>
          <w:tcPr>
            <w:tcW w:w="45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3F65F75" w14:textId="77777777" w:rsidR="00560F38" w:rsidRDefault="00000000">
            <w:pPr>
              <w:jc w:val="both"/>
            </w:pPr>
            <w:r>
              <w:rPr>
                <w:b/>
                <w:bCs/>
                <w:color w:val="FFFFFF"/>
                <w:sz w:val="17"/>
                <w:szCs w:val="17"/>
              </w:rPr>
              <w:t>Descrição</w:t>
            </w:r>
          </w:p>
        </w:tc>
        <w:tc>
          <w:tcPr>
            <w:tcW w:w="27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DB8D1DC" w14:textId="77777777" w:rsidR="00560F38" w:rsidRDefault="00000000">
            <w:pPr>
              <w:jc w:val="both"/>
            </w:pPr>
            <w:r>
              <w:rPr>
                <w:b/>
                <w:bCs/>
                <w:color w:val="FFFFFF"/>
                <w:sz w:val="17"/>
                <w:szCs w:val="17"/>
              </w:rPr>
              <w:t>Fundamento</w:t>
            </w:r>
          </w:p>
        </w:tc>
        <w:tc>
          <w:tcPr>
            <w:tcW w:w="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657D443" w14:textId="77777777" w:rsidR="00560F38" w:rsidRDefault="00000000">
            <w:pPr>
              <w:jc w:val="both"/>
            </w:pPr>
            <w:r>
              <w:rPr>
                <w:b/>
                <w:bCs/>
                <w:color w:val="FFFFFF"/>
                <w:sz w:val="17"/>
                <w:szCs w:val="17"/>
              </w:rPr>
              <w:t>Mín</w:t>
            </w:r>
          </w:p>
        </w:tc>
        <w:tc>
          <w:tcPr>
            <w:tcW w:w="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2770B8B" w14:textId="77777777" w:rsidR="00560F38" w:rsidRDefault="00000000">
            <w:pPr>
              <w:jc w:val="both"/>
            </w:pPr>
            <w:r>
              <w:rPr>
                <w:b/>
                <w:bCs/>
                <w:color w:val="FFFFFF"/>
                <w:sz w:val="17"/>
                <w:szCs w:val="17"/>
              </w:rPr>
              <w:t>Pad</w:t>
            </w:r>
          </w:p>
        </w:tc>
        <w:tc>
          <w:tcPr>
            <w:tcW w:w="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C02C157" w14:textId="77777777" w:rsidR="00560F38" w:rsidRDefault="00000000">
            <w:pPr>
              <w:jc w:val="both"/>
            </w:pPr>
            <w:r>
              <w:rPr>
                <w:b/>
                <w:bCs/>
                <w:color w:val="FFFFFF"/>
                <w:sz w:val="17"/>
                <w:szCs w:val="17"/>
              </w:rPr>
              <w:t>Máx</w:t>
            </w:r>
          </w:p>
        </w:tc>
      </w:tr>
      <w:tr w:rsidR="00560F38" w14:paraId="1123476E"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819434" w14:textId="77777777" w:rsidR="00560F38" w:rsidRDefault="00000000">
            <w:pPr>
              <w:jc w:val="both"/>
            </w:pPr>
            <w:r>
              <w:rPr>
                <w:color w:val="000000"/>
                <w:sz w:val="17"/>
                <w:szCs w:val="17"/>
              </w:rPr>
              <w:t>at1</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1F746A" w14:textId="77777777" w:rsidR="00560F38" w:rsidRDefault="00000000">
            <w:pPr>
              <w:jc w:val="both"/>
            </w:pPr>
            <w:r>
              <w:rPr>
                <w:color w:val="000000"/>
                <w:sz w:val="17"/>
                <w:szCs w:val="17"/>
              </w:rPr>
              <w:t>Ausência de capacitação ou treinamento específico na área relacionada ao ilícito</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C20B82" w14:textId="77777777" w:rsidR="00560F38" w:rsidRDefault="00000000">
            <w:pPr>
              <w:jc w:val="both"/>
            </w:pPr>
            <w:r>
              <w:rPr>
                <w:color w:val="000000"/>
                <w:sz w:val="17"/>
                <w:szCs w:val="17"/>
              </w:rPr>
              <w:t>Reduz a exigibilidade de conduta diversa</w:t>
            </w:r>
          </w:p>
        </w:tc>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403D97" w14:textId="77777777" w:rsidR="00560F38" w:rsidRDefault="00000000">
            <w:pPr>
              <w:jc w:val="both"/>
            </w:pPr>
            <w:r>
              <w:rPr>
                <w:color w:val="000000"/>
                <w:sz w:val="17"/>
                <w:szCs w:val="17"/>
              </w:rPr>
              <w:t>3</w:t>
            </w:r>
          </w:p>
        </w:tc>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8788A7" w14:textId="77777777" w:rsidR="00560F38" w:rsidRDefault="00000000">
            <w:pPr>
              <w:jc w:val="both"/>
            </w:pPr>
            <w:r>
              <w:rPr>
                <w:color w:val="000000"/>
                <w:sz w:val="17"/>
                <w:szCs w:val="17"/>
              </w:rPr>
              <w:t>4</w:t>
            </w:r>
          </w:p>
        </w:tc>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921B04" w14:textId="77777777" w:rsidR="00560F38" w:rsidRDefault="00000000">
            <w:pPr>
              <w:jc w:val="both"/>
            </w:pPr>
            <w:r>
              <w:rPr>
                <w:color w:val="000000"/>
                <w:sz w:val="17"/>
                <w:szCs w:val="17"/>
              </w:rPr>
              <w:t>5</w:t>
            </w:r>
          </w:p>
        </w:tc>
      </w:tr>
      <w:tr w:rsidR="00560F38" w14:paraId="63F127B6"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5F7FB"/>
            <w:tcMar>
              <w:top w:w="80" w:type="dxa"/>
              <w:left w:w="120" w:type="dxa"/>
              <w:bottom w:w="80" w:type="dxa"/>
              <w:right w:w="120" w:type="dxa"/>
            </w:tcMar>
          </w:tcPr>
          <w:p w14:paraId="1177F006" w14:textId="77777777" w:rsidR="00560F38" w:rsidRDefault="00000000">
            <w:pPr>
              <w:jc w:val="both"/>
            </w:pPr>
            <w:r>
              <w:rPr>
                <w:color w:val="000000"/>
                <w:sz w:val="17"/>
                <w:szCs w:val="17"/>
              </w:rPr>
              <w:t>at2</w:t>
            </w:r>
          </w:p>
        </w:tc>
        <w:tc>
          <w:tcPr>
            <w:tcW w:w="4560" w:type="dxa"/>
            <w:tcBorders>
              <w:top w:val="single" w:sz="1" w:space="0" w:color="CCCCCC"/>
              <w:left w:val="single" w:sz="1" w:space="0" w:color="CCCCCC"/>
              <w:bottom w:val="single" w:sz="1" w:space="0" w:color="CCCCCC"/>
              <w:right w:val="single" w:sz="1" w:space="0" w:color="CCCCCC"/>
            </w:tcBorders>
            <w:shd w:val="clear" w:color="auto" w:fill="F5F7FB"/>
            <w:tcMar>
              <w:top w:w="80" w:type="dxa"/>
              <w:left w:w="120" w:type="dxa"/>
              <w:bottom w:w="80" w:type="dxa"/>
              <w:right w:w="120" w:type="dxa"/>
            </w:tcMar>
          </w:tcPr>
          <w:p w14:paraId="413FDE56" w14:textId="77777777" w:rsidR="00560F38" w:rsidRDefault="00000000">
            <w:pPr>
              <w:jc w:val="both"/>
            </w:pPr>
            <w:r>
              <w:rPr>
                <w:color w:val="000000"/>
                <w:sz w:val="17"/>
                <w:szCs w:val="17"/>
              </w:rPr>
              <w:t>Pouco tempo de serviço público ou na atividade específica (até 2 anos na função)</w:t>
            </w:r>
          </w:p>
        </w:tc>
        <w:tc>
          <w:tcPr>
            <w:tcW w:w="2700" w:type="dxa"/>
            <w:tcBorders>
              <w:top w:val="single" w:sz="1" w:space="0" w:color="CCCCCC"/>
              <w:left w:val="single" w:sz="1" w:space="0" w:color="CCCCCC"/>
              <w:bottom w:val="single" w:sz="1" w:space="0" w:color="CCCCCC"/>
              <w:right w:val="single" w:sz="1" w:space="0" w:color="CCCCCC"/>
            </w:tcBorders>
            <w:shd w:val="clear" w:color="auto" w:fill="F5F7FB"/>
            <w:tcMar>
              <w:top w:w="80" w:type="dxa"/>
              <w:left w:w="120" w:type="dxa"/>
              <w:bottom w:w="80" w:type="dxa"/>
              <w:right w:w="120" w:type="dxa"/>
            </w:tcMar>
          </w:tcPr>
          <w:p w14:paraId="4A416002" w14:textId="77777777" w:rsidR="00560F38" w:rsidRDefault="00000000">
            <w:pPr>
              <w:jc w:val="both"/>
            </w:pPr>
            <w:r>
              <w:rPr>
                <w:color w:val="000000"/>
                <w:sz w:val="17"/>
                <w:szCs w:val="17"/>
              </w:rPr>
              <w:t>Inexperiência reduz a reprovabilidade</w:t>
            </w:r>
          </w:p>
        </w:tc>
        <w:tc>
          <w:tcPr>
            <w:tcW w:w="500" w:type="dxa"/>
            <w:tcBorders>
              <w:top w:val="single" w:sz="1" w:space="0" w:color="CCCCCC"/>
              <w:left w:val="single" w:sz="1" w:space="0" w:color="CCCCCC"/>
              <w:bottom w:val="single" w:sz="1" w:space="0" w:color="CCCCCC"/>
              <w:right w:val="single" w:sz="1" w:space="0" w:color="CCCCCC"/>
            </w:tcBorders>
            <w:shd w:val="clear" w:color="auto" w:fill="F5F7FB"/>
            <w:tcMar>
              <w:top w:w="80" w:type="dxa"/>
              <w:left w:w="120" w:type="dxa"/>
              <w:bottom w:w="80" w:type="dxa"/>
              <w:right w:w="120" w:type="dxa"/>
            </w:tcMar>
          </w:tcPr>
          <w:p w14:paraId="490D139A" w14:textId="77777777" w:rsidR="00560F38" w:rsidRDefault="00000000">
            <w:pPr>
              <w:jc w:val="both"/>
            </w:pPr>
            <w:r>
              <w:rPr>
                <w:color w:val="000000"/>
                <w:sz w:val="17"/>
                <w:szCs w:val="17"/>
              </w:rPr>
              <w:t>3</w:t>
            </w:r>
          </w:p>
        </w:tc>
        <w:tc>
          <w:tcPr>
            <w:tcW w:w="500" w:type="dxa"/>
            <w:tcBorders>
              <w:top w:val="single" w:sz="1" w:space="0" w:color="CCCCCC"/>
              <w:left w:val="single" w:sz="1" w:space="0" w:color="CCCCCC"/>
              <w:bottom w:val="single" w:sz="1" w:space="0" w:color="CCCCCC"/>
              <w:right w:val="single" w:sz="1" w:space="0" w:color="CCCCCC"/>
            </w:tcBorders>
            <w:shd w:val="clear" w:color="auto" w:fill="F5F7FB"/>
            <w:tcMar>
              <w:top w:w="80" w:type="dxa"/>
              <w:left w:w="120" w:type="dxa"/>
              <w:bottom w:w="80" w:type="dxa"/>
              <w:right w:w="120" w:type="dxa"/>
            </w:tcMar>
          </w:tcPr>
          <w:p w14:paraId="15B5E3D9" w14:textId="77777777" w:rsidR="00560F38" w:rsidRDefault="00000000">
            <w:pPr>
              <w:jc w:val="both"/>
            </w:pPr>
            <w:r>
              <w:rPr>
                <w:color w:val="000000"/>
                <w:sz w:val="17"/>
                <w:szCs w:val="17"/>
              </w:rPr>
              <w:t>3</w:t>
            </w:r>
          </w:p>
        </w:tc>
        <w:tc>
          <w:tcPr>
            <w:tcW w:w="400" w:type="dxa"/>
            <w:tcBorders>
              <w:top w:val="single" w:sz="1" w:space="0" w:color="CCCCCC"/>
              <w:left w:val="single" w:sz="1" w:space="0" w:color="CCCCCC"/>
              <w:bottom w:val="single" w:sz="1" w:space="0" w:color="CCCCCC"/>
              <w:right w:val="single" w:sz="1" w:space="0" w:color="CCCCCC"/>
            </w:tcBorders>
            <w:shd w:val="clear" w:color="auto" w:fill="F5F7FB"/>
            <w:tcMar>
              <w:top w:w="80" w:type="dxa"/>
              <w:left w:w="120" w:type="dxa"/>
              <w:bottom w:w="80" w:type="dxa"/>
              <w:right w:w="120" w:type="dxa"/>
            </w:tcMar>
          </w:tcPr>
          <w:p w14:paraId="7DF2BAB2" w14:textId="77777777" w:rsidR="00560F38" w:rsidRDefault="00000000">
            <w:pPr>
              <w:jc w:val="both"/>
            </w:pPr>
            <w:r>
              <w:rPr>
                <w:color w:val="000000"/>
                <w:sz w:val="17"/>
                <w:szCs w:val="17"/>
              </w:rPr>
              <w:t>4</w:t>
            </w:r>
          </w:p>
        </w:tc>
      </w:tr>
      <w:tr w:rsidR="00560F38" w14:paraId="585E9EB0"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8D646F" w14:textId="77777777" w:rsidR="00560F38" w:rsidRDefault="00000000">
            <w:pPr>
              <w:jc w:val="both"/>
            </w:pPr>
            <w:r>
              <w:rPr>
                <w:color w:val="000000"/>
                <w:sz w:val="17"/>
                <w:szCs w:val="17"/>
              </w:rPr>
              <w:t>at3</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52BEB5" w14:textId="77777777" w:rsidR="00560F38" w:rsidRDefault="00000000">
            <w:pPr>
              <w:jc w:val="both"/>
            </w:pPr>
            <w:r>
              <w:rPr>
                <w:color w:val="000000"/>
                <w:sz w:val="17"/>
                <w:szCs w:val="17"/>
              </w:rPr>
              <w:t>Sobrecarga de trabalho documentada ou acumulação formal de funções</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6AEB10" w14:textId="77777777" w:rsidR="00560F38" w:rsidRDefault="00000000">
            <w:pPr>
              <w:jc w:val="both"/>
            </w:pPr>
            <w:r>
              <w:rPr>
                <w:color w:val="000000"/>
                <w:sz w:val="17"/>
                <w:szCs w:val="17"/>
              </w:rPr>
              <w:t>Dificuldade objetiva que comprometeu o desempenho</w:t>
            </w:r>
          </w:p>
        </w:tc>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C89F53" w14:textId="77777777" w:rsidR="00560F38" w:rsidRDefault="00000000">
            <w:pPr>
              <w:jc w:val="both"/>
            </w:pPr>
            <w:r>
              <w:rPr>
                <w:color w:val="000000"/>
                <w:sz w:val="17"/>
                <w:szCs w:val="17"/>
              </w:rPr>
              <w:t>2</w:t>
            </w:r>
          </w:p>
        </w:tc>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951D2D" w14:textId="77777777" w:rsidR="00560F38" w:rsidRDefault="00000000">
            <w:pPr>
              <w:jc w:val="both"/>
            </w:pPr>
            <w:r>
              <w:rPr>
                <w:color w:val="000000"/>
                <w:sz w:val="17"/>
                <w:szCs w:val="17"/>
              </w:rPr>
              <w:t>3</w:t>
            </w:r>
          </w:p>
        </w:tc>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8D2204" w14:textId="77777777" w:rsidR="00560F38" w:rsidRDefault="00000000">
            <w:pPr>
              <w:jc w:val="both"/>
            </w:pPr>
            <w:r>
              <w:rPr>
                <w:color w:val="000000"/>
                <w:sz w:val="17"/>
                <w:szCs w:val="17"/>
              </w:rPr>
              <w:t>4</w:t>
            </w:r>
          </w:p>
        </w:tc>
      </w:tr>
      <w:tr w:rsidR="00560F38" w14:paraId="237B0377"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5F7FB"/>
            <w:tcMar>
              <w:top w:w="80" w:type="dxa"/>
              <w:left w:w="120" w:type="dxa"/>
              <w:bottom w:w="80" w:type="dxa"/>
              <w:right w:w="120" w:type="dxa"/>
            </w:tcMar>
          </w:tcPr>
          <w:p w14:paraId="40FA985C" w14:textId="77777777" w:rsidR="00560F38" w:rsidRDefault="00000000">
            <w:pPr>
              <w:jc w:val="both"/>
            </w:pPr>
            <w:r>
              <w:rPr>
                <w:color w:val="000000"/>
                <w:sz w:val="17"/>
                <w:szCs w:val="17"/>
              </w:rPr>
              <w:t>at4</w:t>
            </w:r>
          </w:p>
        </w:tc>
        <w:tc>
          <w:tcPr>
            <w:tcW w:w="4560" w:type="dxa"/>
            <w:tcBorders>
              <w:top w:val="single" w:sz="1" w:space="0" w:color="CCCCCC"/>
              <w:left w:val="single" w:sz="1" w:space="0" w:color="CCCCCC"/>
              <w:bottom w:val="single" w:sz="1" w:space="0" w:color="CCCCCC"/>
              <w:right w:val="single" w:sz="1" w:space="0" w:color="CCCCCC"/>
            </w:tcBorders>
            <w:shd w:val="clear" w:color="auto" w:fill="F5F7FB"/>
            <w:tcMar>
              <w:top w:w="80" w:type="dxa"/>
              <w:left w:w="120" w:type="dxa"/>
              <w:bottom w:w="80" w:type="dxa"/>
              <w:right w:w="120" w:type="dxa"/>
            </w:tcMar>
          </w:tcPr>
          <w:p w14:paraId="68B3D3C4" w14:textId="77777777" w:rsidR="00560F38" w:rsidRDefault="00000000">
            <w:pPr>
              <w:jc w:val="both"/>
            </w:pPr>
            <w:r>
              <w:rPr>
                <w:color w:val="000000"/>
                <w:sz w:val="17"/>
                <w:szCs w:val="17"/>
              </w:rPr>
              <w:t>Condições precárias de infraestrutura física ou tecnológica documentadas</w:t>
            </w:r>
          </w:p>
        </w:tc>
        <w:tc>
          <w:tcPr>
            <w:tcW w:w="2700" w:type="dxa"/>
            <w:tcBorders>
              <w:top w:val="single" w:sz="1" w:space="0" w:color="CCCCCC"/>
              <w:left w:val="single" w:sz="1" w:space="0" w:color="CCCCCC"/>
              <w:bottom w:val="single" w:sz="1" w:space="0" w:color="CCCCCC"/>
              <w:right w:val="single" w:sz="1" w:space="0" w:color="CCCCCC"/>
            </w:tcBorders>
            <w:shd w:val="clear" w:color="auto" w:fill="F5F7FB"/>
            <w:tcMar>
              <w:top w:w="80" w:type="dxa"/>
              <w:left w:w="120" w:type="dxa"/>
              <w:bottom w:w="80" w:type="dxa"/>
              <w:right w:w="120" w:type="dxa"/>
            </w:tcMar>
          </w:tcPr>
          <w:p w14:paraId="55CFF7F1" w14:textId="77777777" w:rsidR="00560F38" w:rsidRDefault="00000000">
            <w:pPr>
              <w:jc w:val="both"/>
            </w:pPr>
            <w:r>
              <w:rPr>
                <w:color w:val="000000"/>
                <w:sz w:val="17"/>
                <w:szCs w:val="17"/>
              </w:rPr>
              <w:t>Obstáculos externos — art. 22 LINDB</w:t>
            </w:r>
          </w:p>
        </w:tc>
        <w:tc>
          <w:tcPr>
            <w:tcW w:w="500" w:type="dxa"/>
            <w:tcBorders>
              <w:top w:val="single" w:sz="1" w:space="0" w:color="CCCCCC"/>
              <w:left w:val="single" w:sz="1" w:space="0" w:color="CCCCCC"/>
              <w:bottom w:val="single" w:sz="1" w:space="0" w:color="CCCCCC"/>
              <w:right w:val="single" w:sz="1" w:space="0" w:color="CCCCCC"/>
            </w:tcBorders>
            <w:shd w:val="clear" w:color="auto" w:fill="F5F7FB"/>
            <w:tcMar>
              <w:top w:w="80" w:type="dxa"/>
              <w:left w:w="120" w:type="dxa"/>
              <w:bottom w:w="80" w:type="dxa"/>
              <w:right w:w="120" w:type="dxa"/>
            </w:tcMar>
          </w:tcPr>
          <w:p w14:paraId="2667CE6A" w14:textId="77777777" w:rsidR="00560F38" w:rsidRDefault="00000000">
            <w:pPr>
              <w:jc w:val="both"/>
            </w:pPr>
            <w:r>
              <w:rPr>
                <w:color w:val="000000"/>
                <w:sz w:val="17"/>
                <w:szCs w:val="17"/>
              </w:rPr>
              <w:t>2</w:t>
            </w:r>
          </w:p>
        </w:tc>
        <w:tc>
          <w:tcPr>
            <w:tcW w:w="500" w:type="dxa"/>
            <w:tcBorders>
              <w:top w:val="single" w:sz="1" w:space="0" w:color="CCCCCC"/>
              <w:left w:val="single" w:sz="1" w:space="0" w:color="CCCCCC"/>
              <w:bottom w:val="single" w:sz="1" w:space="0" w:color="CCCCCC"/>
              <w:right w:val="single" w:sz="1" w:space="0" w:color="CCCCCC"/>
            </w:tcBorders>
            <w:shd w:val="clear" w:color="auto" w:fill="F5F7FB"/>
            <w:tcMar>
              <w:top w:w="80" w:type="dxa"/>
              <w:left w:w="120" w:type="dxa"/>
              <w:bottom w:w="80" w:type="dxa"/>
              <w:right w:w="120" w:type="dxa"/>
            </w:tcMar>
          </w:tcPr>
          <w:p w14:paraId="776687A1" w14:textId="77777777" w:rsidR="00560F38" w:rsidRDefault="00000000">
            <w:pPr>
              <w:jc w:val="both"/>
            </w:pPr>
            <w:r>
              <w:rPr>
                <w:color w:val="000000"/>
                <w:sz w:val="17"/>
                <w:szCs w:val="17"/>
              </w:rPr>
              <w:t>2</w:t>
            </w:r>
          </w:p>
        </w:tc>
        <w:tc>
          <w:tcPr>
            <w:tcW w:w="400" w:type="dxa"/>
            <w:tcBorders>
              <w:top w:val="single" w:sz="1" w:space="0" w:color="CCCCCC"/>
              <w:left w:val="single" w:sz="1" w:space="0" w:color="CCCCCC"/>
              <w:bottom w:val="single" w:sz="1" w:space="0" w:color="CCCCCC"/>
              <w:right w:val="single" w:sz="1" w:space="0" w:color="CCCCCC"/>
            </w:tcBorders>
            <w:shd w:val="clear" w:color="auto" w:fill="F5F7FB"/>
            <w:tcMar>
              <w:top w:w="80" w:type="dxa"/>
              <w:left w:w="120" w:type="dxa"/>
              <w:bottom w:w="80" w:type="dxa"/>
              <w:right w:w="120" w:type="dxa"/>
            </w:tcMar>
          </w:tcPr>
          <w:p w14:paraId="336E2480" w14:textId="77777777" w:rsidR="00560F38" w:rsidRDefault="00000000">
            <w:pPr>
              <w:jc w:val="both"/>
            </w:pPr>
            <w:r>
              <w:rPr>
                <w:color w:val="000000"/>
                <w:sz w:val="17"/>
                <w:szCs w:val="17"/>
              </w:rPr>
              <w:t>3</w:t>
            </w:r>
          </w:p>
        </w:tc>
      </w:tr>
      <w:tr w:rsidR="00560F38" w14:paraId="02F41714"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40B237" w14:textId="77777777" w:rsidR="00560F38" w:rsidRDefault="00000000">
            <w:pPr>
              <w:jc w:val="both"/>
            </w:pPr>
            <w:r>
              <w:rPr>
                <w:color w:val="000000"/>
                <w:sz w:val="17"/>
                <w:szCs w:val="17"/>
              </w:rPr>
              <w:t>at5</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01B47B" w14:textId="77777777" w:rsidR="00560F38" w:rsidRDefault="00000000">
            <w:pPr>
              <w:jc w:val="both"/>
            </w:pPr>
            <w:r>
              <w:rPr>
                <w:color w:val="000000"/>
                <w:sz w:val="17"/>
                <w:szCs w:val="17"/>
              </w:rPr>
              <w:t>Confissão espontânea da irregularidade</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75BDFB" w14:textId="77777777" w:rsidR="00560F38" w:rsidRDefault="00000000">
            <w:pPr>
              <w:jc w:val="both"/>
            </w:pPr>
            <w:r>
              <w:rPr>
                <w:color w:val="000000"/>
                <w:sz w:val="17"/>
                <w:szCs w:val="17"/>
              </w:rPr>
              <w:t>Contribuição para o esclarecimento dos fatos</w:t>
            </w:r>
          </w:p>
        </w:tc>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062437" w14:textId="77777777" w:rsidR="00560F38" w:rsidRDefault="00000000">
            <w:pPr>
              <w:jc w:val="both"/>
            </w:pPr>
            <w:r>
              <w:rPr>
                <w:color w:val="000000"/>
                <w:sz w:val="17"/>
                <w:szCs w:val="17"/>
              </w:rPr>
              <w:t>2</w:t>
            </w:r>
          </w:p>
        </w:tc>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A8509D" w14:textId="77777777" w:rsidR="00560F38" w:rsidRDefault="00000000">
            <w:pPr>
              <w:jc w:val="both"/>
            </w:pPr>
            <w:r>
              <w:rPr>
                <w:color w:val="000000"/>
                <w:sz w:val="17"/>
                <w:szCs w:val="17"/>
              </w:rPr>
              <w:t>2</w:t>
            </w:r>
          </w:p>
        </w:tc>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294977" w14:textId="77777777" w:rsidR="00560F38" w:rsidRDefault="00000000">
            <w:pPr>
              <w:jc w:val="both"/>
            </w:pPr>
            <w:r>
              <w:rPr>
                <w:color w:val="000000"/>
                <w:sz w:val="17"/>
                <w:szCs w:val="17"/>
              </w:rPr>
              <w:t>3</w:t>
            </w:r>
          </w:p>
        </w:tc>
      </w:tr>
      <w:tr w:rsidR="00560F38" w14:paraId="478047D0"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5F7FB"/>
            <w:tcMar>
              <w:top w:w="80" w:type="dxa"/>
              <w:left w:w="120" w:type="dxa"/>
              <w:bottom w:w="80" w:type="dxa"/>
              <w:right w:w="120" w:type="dxa"/>
            </w:tcMar>
          </w:tcPr>
          <w:p w14:paraId="6925FA42" w14:textId="77777777" w:rsidR="00560F38" w:rsidRDefault="00000000">
            <w:pPr>
              <w:jc w:val="both"/>
            </w:pPr>
            <w:r>
              <w:rPr>
                <w:color w:val="000000"/>
                <w:sz w:val="17"/>
                <w:szCs w:val="17"/>
              </w:rPr>
              <w:t>at6</w:t>
            </w:r>
          </w:p>
        </w:tc>
        <w:tc>
          <w:tcPr>
            <w:tcW w:w="4560" w:type="dxa"/>
            <w:tcBorders>
              <w:top w:val="single" w:sz="1" w:space="0" w:color="CCCCCC"/>
              <w:left w:val="single" w:sz="1" w:space="0" w:color="CCCCCC"/>
              <w:bottom w:val="single" w:sz="1" w:space="0" w:color="CCCCCC"/>
              <w:right w:val="single" w:sz="1" w:space="0" w:color="CCCCCC"/>
            </w:tcBorders>
            <w:shd w:val="clear" w:color="auto" w:fill="F5F7FB"/>
            <w:tcMar>
              <w:top w:w="80" w:type="dxa"/>
              <w:left w:w="120" w:type="dxa"/>
              <w:bottom w:w="80" w:type="dxa"/>
              <w:right w:w="120" w:type="dxa"/>
            </w:tcMar>
          </w:tcPr>
          <w:p w14:paraId="70FEA552" w14:textId="77777777" w:rsidR="00560F38" w:rsidRDefault="00000000">
            <w:pPr>
              <w:jc w:val="both"/>
            </w:pPr>
            <w:r>
              <w:rPr>
                <w:color w:val="000000"/>
                <w:sz w:val="17"/>
                <w:szCs w:val="17"/>
              </w:rPr>
              <w:t>Reparação voluntária e efetiva do dano antes da conclusão do processo</w:t>
            </w:r>
          </w:p>
        </w:tc>
        <w:tc>
          <w:tcPr>
            <w:tcW w:w="2700" w:type="dxa"/>
            <w:tcBorders>
              <w:top w:val="single" w:sz="1" w:space="0" w:color="CCCCCC"/>
              <w:left w:val="single" w:sz="1" w:space="0" w:color="CCCCCC"/>
              <w:bottom w:val="single" w:sz="1" w:space="0" w:color="CCCCCC"/>
              <w:right w:val="single" w:sz="1" w:space="0" w:color="CCCCCC"/>
            </w:tcBorders>
            <w:shd w:val="clear" w:color="auto" w:fill="F5F7FB"/>
            <w:tcMar>
              <w:top w:w="80" w:type="dxa"/>
              <w:left w:w="120" w:type="dxa"/>
              <w:bottom w:w="80" w:type="dxa"/>
              <w:right w:w="120" w:type="dxa"/>
            </w:tcMar>
          </w:tcPr>
          <w:p w14:paraId="7419287B" w14:textId="77777777" w:rsidR="00560F38" w:rsidRDefault="00000000">
            <w:pPr>
              <w:jc w:val="both"/>
            </w:pPr>
            <w:r>
              <w:rPr>
                <w:color w:val="000000"/>
                <w:sz w:val="17"/>
                <w:szCs w:val="17"/>
              </w:rPr>
              <w:t>Responsabilidade e minimização do prejuízo</w:t>
            </w:r>
          </w:p>
        </w:tc>
        <w:tc>
          <w:tcPr>
            <w:tcW w:w="500" w:type="dxa"/>
            <w:tcBorders>
              <w:top w:val="single" w:sz="1" w:space="0" w:color="CCCCCC"/>
              <w:left w:val="single" w:sz="1" w:space="0" w:color="CCCCCC"/>
              <w:bottom w:val="single" w:sz="1" w:space="0" w:color="CCCCCC"/>
              <w:right w:val="single" w:sz="1" w:space="0" w:color="CCCCCC"/>
            </w:tcBorders>
            <w:shd w:val="clear" w:color="auto" w:fill="F5F7FB"/>
            <w:tcMar>
              <w:top w:w="80" w:type="dxa"/>
              <w:left w:w="120" w:type="dxa"/>
              <w:bottom w:w="80" w:type="dxa"/>
              <w:right w:w="120" w:type="dxa"/>
            </w:tcMar>
          </w:tcPr>
          <w:p w14:paraId="0432F3E5" w14:textId="77777777" w:rsidR="00560F38" w:rsidRDefault="00000000">
            <w:pPr>
              <w:jc w:val="both"/>
            </w:pPr>
            <w:r>
              <w:rPr>
                <w:color w:val="000000"/>
                <w:sz w:val="17"/>
                <w:szCs w:val="17"/>
              </w:rPr>
              <w:t>2</w:t>
            </w:r>
          </w:p>
        </w:tc>
        <w:tc>
          <w:tcPr>
            <w:tcW w:w="500" w:type="dxa"/>
            <w:tcBorders>
              <w:top w:val="single" w:sz="1" w:space="0" w:color="CCCCCC"/>
              <w:left w:val="single" w:sz="1" w:space="0" w:color="CCCCCC"/>
              <w:bottom w:val="single" w:sz="1" w:space="0" w:color="CCCCCC"/>
              <w:right w:val="single" w:sz="1" w:space="0" w:color="CCCCCC"/>
            </w:tcBorders>
            <w:shd w:val="clear" w:color="auto" w:fill="F5F7FB"/>
            <w:tcMar>
              <w:top w:w="80" w:type="dxa"/>
              <w:left w:w="120" w:type="dxa"/>
              <w:bottom w:w="80" w:type="dxa"/>
              <w:right w:w="120" w:type="dxa"/>
            </w:tcMar>
          </w:tcPr>
          <w:p w14:paraId="31C33963" w14:textId="77777777" w:rsidR="00560F38" w:rsidRDefault="00000000">
            <w:pPr>
              <w:jc w:val="both"/>
            </w:pPr>
            <w:r>
              <w:rPr>
                <w:color w:val="000000"/>
                <w:sz w:val="17"/>
                <w:szCs w:val="17"/>
              </w:rPr>
              <w:t>3</w:t>
            </w:r>
          </w:p>
        </w:tc>
        <w:tc>
          <w:tcPr>
            <w:tcW w:w="400" w:type="dxa"/>
            <w:tcBorders>
              <w:top w:val="single" w:sz="1" w:space="0" w:color="CCCCCC"/>
              <w:left w:val="single" w:sz="1" w:space="0" w:color="CCCCCC"/>
              <w:bottom w:val="single" w:sz="1" w:space="0" w:color="CCCCCC"/>
              <w:right w:val="single" w:sz="1" w:space="0" w:color="CCCCCC"/>
            </w:tcBorders>
            <w:shd w:val="clear" w:color="auto" w:fill="F5F7FB"/>
            <w:tcMar>
              <w:top w:w="80" w:type="dxa"/>
              <w:left w:w="120" w:type="dxa"/>
              <w:bottom w:w="80" w:type="dxa"/>
              <w:right w:w="120" w:type="dxa"/>
            </w:tcMar>
          </w:tcPr>
          <w:p w14:paraId="297D505A" w14:textId="77777777" w:rsidR="00560F38" w:rsidRDefault="00000000">
            <w:pPr>
              <w:jc w:val="both"/>
            </w:pPr>
            <w:r>
              <w:rPr>
                <w:color w:val="000000"/>
                <w:sz w:val="17"/>
                <w:szCs w:val="17"/>
              </w:rPr>
              <w:t>4</w:t>
            </w:r>
          </w:p>
        </w:tc>
      </w:tr>
      <w:tr w:rsidR="00560F38" w14:paraId="5581EB2C"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4FDC78" w14:textId="77777777" w:rsidR="00560F38" w:rsidRDefault="00000000">
            <w:pPr>
              <w:jc w:val="both"/>
            </w:pPr>
            <w:r>
              <w:rPr>
                <w:color w:val="000000"/>
                <w:sz w:val="17"/>
                <w:szCs w:val="17"/>
              </w:rPr>
              <w:t>at7</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C99C44" w14:textId="77777777" w:rsidR="00560F38" w:rsidRDefault="00000000">
            <w:pPr>
              <w:jc w:val="both"/>
            </w:pPr>
            <w:r>
              <w:rPr>
                <w:color w:val="000000"/>
                <w:sz w:val="17"/>
                <w:szCs w:val="17"/>
              </w:rPr>
              <w:t>Problemas pessoais documentados e justificados que comprometeram o desempenho</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7CD125" w14:textId="77777777" w:rsidR="00560F38" w:rsidRDefault="00000000">
            <w:pPr>
              <w:jc w:val="both"/>
            </w:pPr>
            <w:r>
              <w:rPr>
                <w:color w:val="000000"/>
                <w:sz w:val="17"/>
                <w:szCs w:val="17"/>
              </w:rPr>
              <w:t>Circunstâncias externas relevantes</w:t>
            </w:r>
          </w:p>
        </w:tc>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703641" w14:textId="77777777" w:rsidR="00560F38" w:rsidRDefault="00000000">
            <w:pPr>
              <w:jc w:val="both"/>
            </w:pPr>
            <w:r>
              <w:rPr>
                <w:color w:val="000000"/>
                <w:sz w:val="17"/>
                <w:szCs w:val="17"/>
              </w:rPr>
              <w:t>2</w:t>
            </w:r>
          </w:p>
        </w:tc>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DE5632" w14:textId="77777777" w:rsidR="00560F38" w:rsidRDefault="00000000">
            <w:pPr>
              <w:jc w:val="both"/>
            </w:pPr>
            <w:r>
              <w:rPr>
                <w:color w:val="000000"/>
                <w:sz w:val="17"/>
                <w:szCs w:val="17"/>
              </w:rPr>
              <w:t>2</w:t>
            </w:r>
          </w:p>
        </w:tc>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9D9C4C" w14:textId="77777777" w:rsidR="00560F38" w:rsidRDefault="00000000">
            <w:pPr>
              <w:jc w:val="both"/>
            </w:pPr>
            <w:r>
              <w:rPr>
                <w:color w:val="000000"/>
                <w:sz w:val="17"/>
                <w:szCs w:val="17"/>
              </w:rPr>
              <w:t>3</w:t>
            </w:r>
          </w:p>
        </w:tc>
      </w:tr>
      <w:tr w:rsidR="00560F38" w14:paraId="578E39F1"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5F7FB"/>
            <w:tcMar>
              <w:top w:w="80" w:type="dxa"/>
              <w:left w:w="120" w:type="dxa"/>
              <w:bottom w:w="80" w:type="dxa"/>
              <w:right w:w="120" w:type="dxa"/>
            </w:tcMar>
          </w:tcPr>
          <w:p w14:paraId="7427CF79" w14:textId="77777777" w:rsidR="00560F38" w:rsidRDefault="00000000">
            <w:pPr>
              <w:jc w:val="both"/>
            </w:pPr>
            <w:r>
              <w:rPr>
                <w:color w:val="000000"/>
                <w:sz w:val="17"/>
                <w:szCs w:val="17"/>
              </w:rPr>
              <w:t>at8</w:t>
            </w:r>
          </w:p>
        </w:tc>
        <w:tc>
          <w:tcPr>
            <w:tcW w:w="4560" w:type="dxa"/>
            <w:tcBorders>
              <w:top w:val="single" w:sz="1" w:space="0" w:color="CCCCCC"/>
              <w:left w:val="single" w:sz="1" w:space="0" w:color="CCCCCC"/>
              <w:bottom w:val="single" w:sz="1" w:space="0" w:color="CCCCCC"/>
              <w:right w:val="single" w:sz="1" w:space="0" w:color="CCCCCC"/>
            </w:tcBorders>
            <w:shd w:val="clear" w:color="auto" w:fill="F5F7FB"/>
            <w:tcMar>
              <w:top w:w="80" w:type="dxa"/>
              <w:left w:w="120" w:type="dxa"/>
              <w:bottom w:w="80" w:type="dxa"/>
              <w:right w:w="120" w:type="dxa"/>
            </w:tcMar>
          </w:tcPr>
          <w:p w14:paraId="364F42A7" w14:textId="77777777" w:rsidR="00560F38" w:rsidRDefault="00000000">
            <w:pPr>
              <w:jc w:val="both"/>
            </w:pPr>
            <w:r>
              <w:rPr>
                <w:color w:val="000000"/>
                <w:sz w:val="17"/>
                <w:szCs w:val="17"/>
              </w:rPr>
              <w:t>Conduta praticada em contexto de urgência ou emergência funcional objetivamente comprovada</w:t>
            </w:r>
          </w:p>
        </w:tc>
        <w:tc>
          <w:tcPr>
            <w:tcW w:w="2700" w:type="dxa"/>
            <w:tcBorders>
              <w:top w:val="single" w:sz="1" w:space="0" w:color="CCCCCC"/>
              <w:left w:val="single" w:sz="1" w:space="0" w:color="CCCCCC"/>
              <w:bottom w:val="single" w:sz="1" w:space="0" w:color="CCCCCC"/>
              <w:right w:val="single" w:sz="1" w:space="0" w:color="CCCCCC"/>
            </w:tcBorders>
            <w:shd w:val="clear" w:color="auto" w:fill="F5F7FB"/>
            <w:tcMar>
              <w:top w:w="80" w:type="dxa"/>
              <w:left w:w="120" w:type="dxa"/>
              <w:bottom w:w="80" w:type="dxa"/>
              <w:right w:w="120" w:type="dxa"/>
            </w:tcMar>
          </w:tcPr>
          <w:p w14:paraId="19BCD783" w14:textId="77777777" w:rsidR="00560F38" w:rsidRDefault="00000000">
            <w:pPr>
              <w:jc w:val="both"/>
            </w:pPr>
            <w:r>
              <w:rPr>
                <w:color w:val="000000"/>
                <w:sz w:val="17"/>
                <w:szCs w:val="17"/>
              </w:rPr>
              <w:t>Reduz a voluntariedade da irregularidade</w:t>
            </w:r>
          </w:p>
        </w:tc>
        <w:tc>
          <w:tcPr>
            <w:tcW w:w="500" w:type="dxa"/>
            <w:tcBorders>
              <w:top w:val="single" w:sz="1" w:space="0" w:color="CCCCCC"/>
              <w:left w:val="single" w:sz="1" w:space="0" w:color="CCCCCC"/>
              <w:bottom w:val="single" w:sz="1" w:space="0" w:color="CCCCCC"/>
              <w:right w:val="single" w:sz="1" w:space="0" w:color="CCCCCC"/>
            </w:tcBorders>
            <w:shd w:val="clear" w:color="auto" w:fill="F5F7FB"/>
            <w:tcMar>
              <w:top w:w="80" w:type="dxa"/>
              <w:left w:w="120" w:type="dxa"/>
              <w:bottom w:w="80" w:type="dxa"/>
              <w:right w:w="120" w:type="dxa"/>
            </w:tcMar>
          </w:tcPr>
          <w:p w14:paraId="7CA48411" w14:textId="77777777" w:rsidR="00560F38" w:rsidRDefault="00000000">
            <w:pPr>
              <w:jc w:val="both"/>
            </w:pPr>
            <w:r>
              <w:rPr>
                <w:color w:val="000000"/>
                <w:sz w:val="17"/>
                <w:szCs w:val="17"/>
              </w:rPr>
              <w:t>2</w:t>
            </w:r>
          </w:p>
        </w:tc>
        <w:tc>
          <w:tcPr>
            <w:tcW w:w="500" w:type="dxa"/>
            <w:tcBorders>
              <w:top w:val="single" w:sz="1" w:space="0" w:color="CCCCCC"/>
              <w:left w:val="single" w:sz="1" w:space="0" w:color="CCCCCC"/>
              <w:bottom w:val="single" w:sz="1" w:space="0" w:color="CCCCCC"/>
              <w:right w:val="single" w:sz="1" w:space="0" w:color="CCCCCC"/>
            </w:tcBorders>
            <w:shd w:val="clear" w:color="auto" w:fill="F5F7FB"/>
            <w:tcMar>
              <w:top w:w="80" w:type="dxa"/>
              <w:left w:w="120" w:type="dxa"/>
              <w:bottom w:w="80" w:type="dxa"/>
              <w:right w:w="120" w:type="dxa"/>
            </w:tcMar>
          </w:tcPr>
          <w:p w14:paraId="4E6B8B51" w14:textId="77777777" w:rsidR="00560F38" w:rsidRDefault="00000000">
            <w:pPr>
              <w:jc w:val="both"/>
            </w:pPr>
            <w:r>
              <w:rPr>
                <w:color w:val="000000"/>
                <w:sz w:val="17"/>
                <w:szCs w:val="17"/>
              </w:rPr>
              <w:t>3</w:t>
            </w:r>
          </w:p>
        </w:tc>
        <w:tc>
          <w:tcPr>
            <w:tcW w:w="400" w:type="dxa"/>
            <w:tcBorders>
              <w:top w:val="single" w:sz="1" w:space="0" w:color="CCCCCC"/>
              <w:left w:val="single" w:sz="1" w:space="0" w:color="CCCCCC"/>
              <w:bottom w:val="single" w:sz="1" w:space="0" w:color="CCCCCC"/>
              <w:right w:val="single" w:sz="1" w:space="0" w:color="CCCCCC"/>
            </w:tcBorders>
            <w:shd w:val="clear" w:color="auto" w:fill="F5F7FB"/>
            <w:tcMar>
              <w:top w:w="80" w:type="dxa"/>
              <w:left w:w="120" w:type="dxa"/>
              <w:bottom w:w="80" w:type="dxa"/>
              <w:right w:w="120" w:type="dxa"/>
            </w:tcMar>
          </w:tcPr>
          <w:p w14:paraId="0ECC881B" w14:textId="77777777" w:rsidR="00560F38" w:rsidRDefault="00000000">
            <w:pPr>
              <w:jc w:val="both"/>
            </w:pPr>
            <w:r>
              <w:rPr>
                <w:color w:val="000000"/>
                <w:sz w:val="17"/>
                <w:szCs w:val="17"/>
              </w:rPr>
              <w:t>4</w:t>
            </w:r>
          </w:p>
        </w:tc>
      </w:tr>
      <w:tr w:rsidR="00560F38" w14:paraId="3E781F66"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51ACFE" w14:textId="77777777" w:rsidR="00560F38" w:rsidRDefault="00000000">
            <w:pPr>
              <w:jc w:val="both"/>
            </w:pPr>
            <w:r>
              <w:rPr>
                <w:color w:val="000000"/>
                <w:sz w:val="17"/>
                <w:szCs w:val="17"/>
              </w:rPr>
              <w:t>at9</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6648F8" w14:textId="77777777" w:rsidR="00560F38" w:rsidRDefault="00000000">
            <w:pPr>
              <w:jc w:val="both"/>
            </w:pPr>
            <w:r>
              <w:rPr>
                <w:color w:val="000000"/>
                <w:sz w:val="17"/>
                <w:szCs w:val="17"/>
              </w:rPr>
              <w:t>Iniciativa espontânea de minorar ou evitar as consequências da infração, mesmo que não integralmente bem-sucedida</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0A0A84" w14:textId="77777777" w:rsidR="00560F38" w:rsidRDefault="00000000">
            <w:pPr>
              <w:jc w:val="both"/>
            </w:pPr>
            <w:r>
              <w:rPr>
                <w:color w:val="000000"/>
                <w:sz w:val="17"/>
                <w:szCs w:val="17"/>
              </w:rPr>
              <w:t>Art. 65, III, b, CP — esforço ativo de contenção do dano</w:t>
            </w:r>
          </w:p>
        </w:tc>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423B2D" w14:textId="77777777" w:rsidR="00560F38" w:rsidRDefault="00000000">
            <w:pPr>
              <w:jc w:val="both"/>
            </w:pPr>
            <w:r>
              <w:rPr>
                <w:color w:val="000000"/>
                <w:sz w:val="17"/>
                <w:szCs w:val="17"/>
              </w:rPr>
              <w:t>1</w:t>
            </w:r>
          </w:p>
        </w:tc>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E5034A" w14:textId="77777777" w:rsidR="00560F38" w:rsidRDefault="00000000">
            <w:pPr>
              <w:jc w:val="both"/>
            </w:pPr>
            <w:r>
              <w:rPr>
                <w:color w:val="000000"/>
                <w:sz w:val="17"/>
                <w:szCs w:val="17"/>
              </w:rPr>
              <w:t>1</w:t>
            </w:r>
          </w:p>
        </w:tc>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BC14D7" w14:textId="77777777" w:rsidR="00560F38" w:rsidRDefault="00000000">
            <w:pPr>
              <w:jc w:val="both"/>
            </w:pPr>
            <w:r>
              <w:rPr>
                <w:color w:val="000000"/>
                <w:sz w:val="17"/>
                <w:szCs w:val="17"/>
              </w:rPr>
              <w:t>2</w:t>
            </w:r>
          </w:p>
        </w:tc>
      </w:tr>
      <w:tr w:rsidR="00560F38" w14:paraId="62C1283D"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5F7FB"/>
            <w:tcMar>
              <w:top w:w="80" w:type="dxa"/>
              <w:left w:w="120" w:type="dxa"/>
              <w:bottom w:w="80" w:type="dxa"/>
              <w:right w:w="120" w:type="dxa"/>
            </w:tcMar>
          </w:tcPr>
          <w:p w14:paraId="215954BD" w14:textId="77777777" w:rsidR="00560F38" w:rsidRDefault="00000000">
            <w:pPr>
              <w:jc w:val="both"/>
            </w:pPr>
            <w:r>
              <w:rPr>
                <w:color w:val="000000"/>
                <w:sz w:val="17"/>
                <w:szCs w:val="17"/>
              </w:rPr>
              <w:t>at10</w:t>
            </w:r>
          </w:p>
        </w:tc>
        <w:tc>
          <w:tcPr>
            <w:tcW w:w="4560" w:type="dxa"/>
            <w:tcBorders>
              <w:top w:val="single" w:sz="1" w:space="0" w:color="CCCCCC"/>
              <w:left w:val="single" w:sz="1" w:space="0" w:color="CCCCCC"/>
              <w:bottom w:val="single" w:sz="1" w:space="0" w:color="CCCCCC"/>
              <w:right w:val="single" w:sz="1" w:space="0" w:color="CCCCCC"/>
            </w:tcBorders>
            <w:shd w:val="clear" w:color="auto" w:fill="F5F7FB"/>
            <w:tcMar>
              <w:top w:w="80" w:type="dxa"/>
              <w:left w:w="120" w:type="dxa"/>
              <w:bottom w:w="80" w:type="dxa"/>
              <w:right w:w="120" w:type="dxa"/>
            </w:tcMar>
          </w:tcPr>
          <w:p w14:paraId="7B14917A" w14:textId="77777777" w:rsidR="00560F38" w:rsidRDefault="00000000">
            <w:pPr>
              <w:jc w:val="both"/>
            </w:pPr>
            <w:r>
              <w:rPr>
                <w:color w:val="000000"/>
                <w:sz w:val="17"/>
                <w:szCs w:val="17"/>
              </w:rPr>
              <w:t>Infração cometida por motivo de relevante valor social ou moral, comprovado nos autos</w:t>
            </w:r>
          </w:p>
        </w:tc>
        <w:tc>
          <w:tcPr>
            <w:tcW w:w="2700" w:type="dxa"/>
            <w:tcBorders>
              <w:top w:val="single" w:sz="1" w:space="0" w:color="CCCCCC"/>
              <w:left w:val="single" w:sz="1" w:space="0" w:color="CCCCCC"/>
              <w:bottom w:val="single" w:sz="1" w:space="0" w:color="CCCCCC"/>
              <w:right w:val="single" w:sz="1" w:space="0" w:color="CCCCCC"/>
            </w:tcBorders>
            <w:shd w:val="clear" w:color="auto" w:fill="F5F7FB"/>
            <w:tcMar>
              <w:top w:w="80" w:type="dxa"/>
              <w:left w:w="120" w:type="dxa"/>
              <w:bottom w:w="80" w:type="dxa"/>
              <w:right w:w="120" w:type="dxa"/>
            </w:tcMar>
          </w:tcPr>
          <w:p w14:paraId="5F1DE5B6" w14:textId="77777777" w:rsidR="00560F38" w:rsidRDefault="00000000">
            <w:pPr>
              <w:jc w:val="both"/>
            </w:pPr>
            <w:r>
              <w:rPr>
                <w:color w:val="000000"/>
                <w:sz w:val="17"/>
                <w:szCs w:val="17"/>
              </w:rPr>
              <w:t>Art. 65, III, a, CP — atenua a censurabilidade</w:t>
            </w:r>
          </w:p>
        </w:tc>
        <w:tc>
          <w:tcPr>
            <w:tcW w:w="500" w:type="dxa"/>
            <w:tcBorders>
              <w:top w:val="single" w:sz="1" w:space="0" w:color="CCCCCC"/>
              <w:left w:val="single" w:sz="1" w:space="0" w:color="CCCCCC"/>
              <w:bottom w:val="single" w:sz="1" w:space="0" w:color="CCCCCC"/>
              <w:right w:val="single" w:sz="1" w:space="0" w:color="CCCCCC"/>
            </w:tcBorders>
            <w:shd w:val="clear" w:color="auto" w:fill="F5F7FB"/>
            <w:tcMar>
              <w:top w:w="80" w:type="dxa"/>
              <w:left w:w="120" w:type="dxa"/>
              <w:bottom w:w="80" w:type="dxa"/>
              <w:right w:w="120" w:type="dxa"/>
            </w:tcMar>
          </w:tcPr>
          <w:p w14:paraId="190262A4" w14:textId="77777777" w:rsidR="00560F38" w:rsidRDefault="00000000">
            <w:pPr>
              <w:jc w:val="both"/>
            </w:pPr>
            <w:r>
              <w:rPr>
                <w:color w:val="000000"/>
                <w:sz w:val="17"/>
                <w:szCs w:val="17"/>
              </w:rPr>
              <w:t>1</w:t>
            </w:r>
          </w:p>
        </w:tc>
        <w:tc>
          <w:tcPr>
            <w:tcW w:w="500" w:type="dxa"/>
            <w:tcBorders>
              <w:top w:val="single" w:sz="1" w:space="0" w:color="CCCCCC"/>
              <w:left w:val="single" w:sz="1" w:space="0" w:color="CCCCCC"/>
              <w:bottom w:val="single" w:sz="1" w:space="0" w:color="CCCCCC"/>
              <w:right w:val="single" w:sz="1" w:space="0" w:color="CCCCCC"/>
            </w:tcBorders>
            <w:shd w:val="clear" w:color="auto" w:fill="F5F7FB"/>
            <w:tcMar>
              <w:top w:w="80" w:type="dxa"/>
              <w:left w:w="120" w:type="dxa"/>
              <w:bottom w:w="80" w:type="dxa"/>
              <w:right w:w="120" w:type="dxa"/>
            </w:tcMar>
          </w:tcPr>
          <w:p w14:paraId="0B8EFA29" w14:textId="77777777" w:rsidR="00560F38" w:rsidRDefault="00000000">
            <w:pPr>
              <w:jc w:val="both"/>
            </w:pPr>
            <w:r>
              <w:rPr>
                <w:color w:val="000000"/>
                <w:sz w:val="17"/>
                <w:szCs w:val="17"/>
              </w:rPr>
              <w:t>1</w:t>
            </w:r>
          </w:p>
        </w:tc>
        <w:tc>
          <w:tcPr>
            <w:tcW w:w="400" w:type="dxa"/>
            <w:tcBorders>
              <w:top w:val="single" w:sz="1" w:space="0" w:color="CCCCCC"/>
              <w:left w:val="single" w:sz="1" w:space="0" w:color="CCCCCC"/>
              <w:bottom w:val="single" w:sz="1" w:space="0" w:color="CCCCCC"/>
              <w:right w:val="single" w:sz="1" w:space="0" w:color="CCCCCC"/>
            </w:tcBorders>
            <w:shd w:val="clear" w:color="auto" w:fill="F5F7FB"/>
            <w:tcMar>
              <w:top w:w="80" w:type="dxa"/>
              <w:left w:w="120" w:type="dxa"/>
              <w:bottom w:w="80" w:type="dxa"/>
              <w:right w:w="120" w:type="dxa"/>
            </w:tcMar>
          </w:tcPr>
          <w:p w14:paraId="071F9C70" w14:textId="77777777" w:rsidR="00560F38" w:rsidRDefault="00000000">
            <w:pPr>
              <w:jc w:val="both"/>
            </w:pPr>
            <w:r>
              <w:rPr>
                <w:color w:val="000000"/>
                <w:sz w:val="17"/>
                <w:szCs w:val="17"/>
              </w:rPr>
              <w:t>1</w:t>
            </w:r>
          </w:p>
        </w:tc>
      </w:tr>
      <w:tr w:rsidR="00560F38" w14:paraId="293D1BC7"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3184CD" w14:textId="77777777" w:rsidR="00560F38" w:rsidRDefault="00000000">
            <w:pPr>
              <w:jc w:val="both"/>
            </w:pPr>
            <w:r>
              <w:rPr>
                <w:color w:val="000000"/>
                <w:sz w:val="17"/>
                <w:szCs w:val="17"/>
              </w:rPr>
              <w:t>at11</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C081BE" w14:textId="77777777" w:rsidR="00560F38" w:rsidRDefault="00000000">
            <w:pPr>
              <w:jc w:val="both"/>
            </w:pPr>
            <w:r>
              <w:rPr>
                <w:color w:val="000000"/>
                <w:sz w:val="17"/>
                <w:szCs w:val="17"/>
              </w:rPr>
              <w:t>Conduta praticada sob coação resistível ou em cumprimento de ordem de autoridade superior aparentemente legal</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3E24A0" w14:textId="77777777" w:rsidR="00560F38" w:rsidRDefault="00000000">
            <w:pPr>
              <w:jc w:val="both"/>
            </w:pPr>
            <w:r>
              <w:rPr>
                <w:color w:val="000000"/>
                <w:sz w:val="17"/>
                <w:szCs w:val="17"/>
              </w:rPr>
              <w:t>Art. 65, III, c e e, CP — não se aplica a ordens manifestamente ilegais</w:t>
            </w:r>
          </w:p>
        </w:tc>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0FD65C" w14:textId="77777777" w:rsidR="00560F38" w:rsidRDefault="00000000">
            <w:pPr>
              <w:jc w:val="both"/>
            </w:pPr>
            <w:r>
              <w:rPr>
                <w:color w:val="000000"/>
                <w:sz w:val="17"/>
                <w:szCs w:val="17"/>
              </w:rPr>
              <w:t>1</w:t>
            </w:r>
          </w:p>
        </w:tc>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9F3ECB" w14:textId="77777777" w:rsidR="00560F38" w:rsidRDefault="00000000">
            <w:pPr>
              <w:jc w:val="both"/>
            </w:pPr>
            <w:r>
              <w:rPr>
                <w:color w:val="000000"/>
                <w:sz w:val="17"/>
                <w:szCs w:val="17"/>
              </w:rPr>
              <w:t>1</w:t>
            </w:r>
          </w:p>
        </w:tc>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38D481" w14:textId="77777777" w:rsidR="00560F38" w:rsidRDefault="00000000">
            <w:pPr>
              <w:jc w:val="both"/>
            </w:pPr>
            <w:r>
              <w:rPr>
                <w:color w:val="000000"/>
                <w:sz w:val="17"/>
                <w:szCs w:val="17"/>
              </w:rPr>
              <w:t>2</w:t>
            </w:r>
          </w:p>
        </w:tc>
      </w:tr>
      <w:tr w:rsidR="00560F38" w14:paraId="1A76D01C"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5F7FB"/>
            <w:tcMar>
              <w:top w:w="80" w:type="dxa"/>
              <w:left w:w="120" w:type="dxa"/>
              <w:bottom w:w="80" w:type="dxa"/>
              <w:right w:w="120" w:type="dxa"/>
            </w:tcMar>
          </w:tcPr>
          <w:p w14:paraId="285F5CA3" w14:textId="77777777" w:rsidR="00560F38" w:rsidRDefault="00000000">
            <w:pPr>
              <w:jc w:val="both"/>
            </w:pPr>
            <w:r>
              <w:rPr>
                <w:color w:val="000000"/>
                <w:sz w:val="17"/>
                <w:szCs w:val="17"/>
              </w:rPr>
              <w:t>at12</w:t>
            </w:r>
          </w:p>
        </w:tc>
        <w:tc>
          <w:tcPr>
            <w:tcW w:w="4560" w:type="dxa"/>
            <w:tcBorders>
              <w:top w:val="single" w:sz="1" w:space="0" w:color="CCCCCC"/>
              <w:left w:val="single" w:sz="1" w:space="0" w:color="CCCCCC"/>
              <w:bottom w:val="single" w:sz="1" w:space="0" w:color="CCCCCC"/>
              <w:right w:val="single" w:sz="1" w:space="0" w:color="CCCCCC"/>
            </w:tcBorders>
            <w:shd w:val="clear" w:color="auto" w:fill="F5F7FB"/>
            <w:tcMar>
              <w:top w:w="80" w:type="dxa"/>
              <w:left w:w="120" w:type="dxa"/>
              <w:bottom w:w="80" w:type="dxa"/>
              <w:right w:w="120" w:type="dxa"/>
            </w:tcMar>
          </w:tcPr>
          <w:p w14:paraId="6D71ADA8" w14:textId="77777777" w:rsidR="00560F38" w:rsidRDefault="00000000">
            <w:pPr>
              <w:jc w:val="both"/>
            </w:pPr>
            <w:r>
              <w:rPr>
                <w:color w:val="000000"/>
                <w:sz w:val="17"/>
                <w:szCs w:val="17"/>
              </w:rPr>
              <w:t>Dificuldades reais e documentadas na previsibilidade das consequências jurídicas ou do resultado</w:t>
            </w:r>
          </w:p>
        </w:tc>
        <w:tc>
          <w:tcPr>
            <w:tcW w:w="2700" w:type="dxa"/>
            <w:tcBorders>
              <w:top w:val="single" w:sz="1" w:space="0" w:color="CCCCCC"/>
              <w:left w:val="single" w:sz="1" w:space="0" w:color="CCCCCC"/>
              <w:bottom w:val="single" w:sz="1" w:space="0" w:color="CCCCCC"/>
              <w:right w:val="single" w:sz="1" w:space="0" w:color="CCCCCC"/>
            </w:tcBorders>
            <w:shd w:val="clear" w:color="auto" w:fill="F5F7FB"/>
            <w:tcMar>
              <w:top w:w="80" w:type="dxa"/>
              <w:left w:w="120" w:type="dxa"/>
              <w:bottom w:w="80" w:type="dxa"/>
              <w:right w:w="120" w:type="dxa"/>
            </w:tcMar>
          </w:tcPr>
          <w:p w14:paraId="3D1FFB12" w14:textId="77777777" w:rsidR="00560F38" w:rsidRDefault="00000000">
            <w:pPr>
              <w:jc w:val="both"/>
            </w:pPr>
            <w:r>
              <w:rPr>
                <w:color w:val="000000"/>
                <w:sz w:val="17"/>
                <w:szCs w:val="17"/>
              </w:rPr>
              <w:t>Art. 22, LINDB</w:t>
            </w:r>
          </w:p>
        </w:tc>
        <w:tc>
          <w:tcPr>
            <w:tcW w:w="500" w:type="dxa"/>
            <w:tcBorders>
              <w:top w:val="single" w:sz="1" w:space="0" w:color="CCCCCC"/>
              <w:left w:val="single" w:sz="1" w:space="0" w:color="CCCCCC"/>
              <w:bottom w:val="single" w:sz="1" w:space="0" w:color="CCCCCC"/>
              <w:right w:val="single" w:sz="1" w:space="0" w:color="CCCCCC"/>
            </w:tcBorders>
            <w:shd w:val="clear" w:color="auto" w:fill="F5F7FB"/>
            <w:tcMar>
              <w:top w:w="80" w:type="dxa"/>
              <w:left w:w="120" w:type="dxa"/>
              <w:bottom w:w="80" w:type="dxa"/>
              <w:right w:w="120" w:type="dxa"/>
            </w:tcMar>
          </w:tcPr>
          <w:p w14:paraId="0EEFB0E4" w14:textId="77777777" w:rsidR="00560F38" w:rsidRDefault="00000000">
            <w:pPr>
              <w:jc w:val="both"/>
            </w:pPr>
            <w:r>
              <w:rPr>
                <w:color w:val="000000"/>
                <w:sz w:val="17"/>
                <w:szCs w:val="17"/>
              </w:rPr>
              <w:t>2</w:t>
            </w:r>
          </w:p>
        </w:tc>
        <w:tc>
          <w:tcPr>
            <w:tcW w:w="500" w:type="dxa"/>
            <w:tcBorders>
              <w:top w:val="single" w:sz="1" w:space="0" w:color="CCCCCC"/>
              <w:left w:val="single" w:sz="1" w:space="0" w:color="CCCCCC"/>
              <w:bottom w:val="single" w:sz="1" w:space="0" w:color="CCCCCC"/>
              <w:right w:val="single" w:sz="1" w:space="0" w:color="CCCCCC"/>
            </w:tcBorders>
            <w:shd w:val="clear" w:color="auto" w:fill="F5F7FB"/>
            <w:tcMar>
              <w:top w:w="80" w:type="dxa"/>
              <w:left w:w="120" w:type="dxa"/>
              <w:bottom w:w="80" w:type="dxa"/>
              <w:right w:w="120" w:type="dxa"/>
            </w:tcMar>
          </w:tcPr>
          <w:p w14:paraId="1C61DC05" w14:textId="77777777" w:rsidR="00560F38" w:rsidRDefault="00000000">
            <w:pPr>
              <w:jc w:val="both"/>
            </w:pPr>
            <w:r>
              <w:rPr>
                <w:color w:val="000000"/>
                <w:sz w:val="17"/>
                <w:szCs w:val="17"/>
              </w:rPr>
              <w:t>2</w:t>
            </w:r>
          </w:p>
        </w:tc>
        <w:tc>
          <w:tcPr>
            <w:tcW w:w="400" w:type="dxa"/>
            <w:tcBorders>
              <w:top w:val="single" w:sz="1" w:space="0" w:color="CCCCCC"/>
              <w:left w:val="single" w:sz="1" w:space="0" w:color="CCCCCC"/>
              <w:bottom w:val="single" w:sz="1" w:space="0" w:color="CCCCCC"/>
              <w:right w:val="single" w:sz="1" w:space="0" w:color="CCCCCC"/>
            </w:tcBorders>
            <w:shd w:val="clear" w:color="auto" w:fill="F5F7FB"/>
            <w:tcMar>
              <w:top w:w="80" w:type="dxa"/>
              <w:left w:w="120" w:type="dxa"/>
              <w:bottom w:w="80" w:type="dxa"/>
              <w:right w:w="120" w:type="dxa"/>
            </w:tcMar>
          </w:tcPr>
          <w:p w14:paraId="71426057" w14:textId="77777777" w:rsidR="00560F38" w:rsidRDefault="00000000">
            <w:pPr>
              <w:jc w:val="both"/>
            </w:pPr>
            <w:r>
              <w:rPr>
                <w:color w:val="000000"/>
                <w:sz w:val="17"/>
                <w:szCs w:val="17"/>
              </w:rPr>
              <w:t>3</w:t>
            </w:r>
          </w:p>
        </w:tc>
      </w:tr>
      <w:tr w:rsidR="00560F38" w14:paraId="34578BC3"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1A883A" w14:textId="77777777" w:rsidR="00560F38" w:rsidRDefault="00000000">
            <w:pPr>
              <w:jc w:val="both"/>
            </w:pPr>
            <w:r>
              <w:rPr>
                <w:color w:val="000000"/>
                <w:sz w:val="17"/>
                <w:szCs w:val="17"/>
              </w:rPr>
              <w:t>at13</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E912E8" w14:textId="77777777" w:rsidR="00560F38" w:rsidRDefault="00000000">
            <w:pPr>
              <w:jc w:val="both"/>
            </w:pPr>
            <w:r>
              <w:rPr>
                <w:color w:val="000000"/>
                <w:sz w:val="17"/>
                <w:szCs w:val="17"/>
              </w:rPr>
              <w:t>Atuação em atividade de objeto complexo, pioneiro ou inédito, sem precedente normativo consolidado</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870F18" w14:textId="77777777" w:rsidR="00560F38" w:rsidRDefault="00000000">
            <w:pPr>
              <w:jc w:val="both"/>
            </w:pPr>
            <w:r>
              <w:rPr>
                <w:color w:val="000000"/>
                <w:sz w:val="17"/>
                <w:szCs w:val="17"/>
              </w:rPr>
              <w:t>Ausência de parâmetros reduz a exigibilidade de conduta diversa</w:t>
            </w:r>
          </w:p>
        </w:tc>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5AEA21" w14:textId="77777777" w:rsidR="00560F38" w:rsidRDefault="00000000">
            <w:pPr>
              <w:jc w:val="both"/>
            </w:pPr>
            <w:r>
              <w:rPr>
                <w:color w:val="000000"/>
                <w:sz w:val="17"/>
                <w:szCs w:val="17"/>
              </w:rPr>
              <w:t>2</w:t>
            </w:r>
          </w:p>
        </w:tc>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D4C8BC" w14:textId="77777777" w:rsidR="00560F38" w:rsidRDefault="00000000">
            <w:pPr>
              <w:jc w:val="both"/>
            </w:pPr>
            <w:r>
              <w:rPr>
                <w:color w:val="000000"/>
                <w:sz w:val="17"/>
                <w:szCs w:val="17"/>
              </w:rPr>
              <w:t>2</w:t>
            </w:r>
          </w:p>
        </w:tc>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25987B" w14:textId="77777777" w:rsidR="00560F38" w:rsidRDefault="00000000">
            <w:pPr>
              <w:jc w:val="both"/>
            </w:pPr>
            <w:r>
              <w:rPr>
                <w:color w:val="000000"/>
                <w:sz w:val="17"/>
                <w:szCs w:val="17"/>
              </w:rPr>
              <w:t>3</w:t>
            </w:r>
          </w:p>
        </w:tc>
      </w:tr>
    </w:tbl>
    <w:p w14:paraId="1D9992F4" w14:textId="77777777" w:rsidR="00560F38" w:rsidRDefault="00000000">
      <w:pPr>
        <w:pStyle w:val="Ttulo1"/>
      </w:pPr>
      <w:bookmarkStart w:id="44" w:name="_Toc232175889"/>
      <w:r>
        <w:t>9. Elemento 5 — Antecedentes Funcionais</w:t>
      </w:r>
      <w:bookmarkEnd w:id="44"/>
    </w:p>
    <w:p w14:paraId="27A76FB0" w14:textId="77777777" w:rsidR="00560F38" w:rsidRDefault="00000000">
      <w:pPr>
        <w:spacing w:before="80" w:after="80" w:line="276" w:lineRule="auto"/>
        <w:jc w:val="both"/>
      </w:pPr>
      <w:r>
        <w:t xml:space="preserve">Base legal: </w:t>
      </w:r>
      <w:r>
        <w:rPr>
          <w:b/>
          <w:bCs/>
        </w:rPr>
        <w:t>arts. 128 e 131, parágrafo único; art. 2º, parágrafo único, VIII e IX, da Lei nº 9.784/1999; Súmula 241/STJ.</w:t>
      </w:r>
      <w:r>
        <w:t xml:space="preserve"> Cada item tem slider de intensidade.</w:t>
      </w:r>
    </w:p>
    <w:p w14:paraId="5D746CA1" w14:textId="77777777" w:rsidR="00560F38" w:rsidRDefault="00560F38"/>
    <w:p w14:paraId="56785772" w14:textId="77777777" w:rsidR="00560F38" w:rsidRDefault="00000000">
      <w:pPr>
        <w:spacing w:before="80" w:after="80" w:line="276" w:lineRule="auto"/>
        <w:jc w:val="both"/>
      </w:pPr>
      <w:r>
        <w:t>Os antecedentes funcionais correspondem às anotações constantes dos assentamentos do servidor. Diferentemente das circunstâncias, que olham para o contexto do fato apurado, os antecedentes olham para a trajetória anterior do servidor.</w:t>
      </w:r>
    </w:p>
    <w:p w14:paraId="61BF8D06" w14:textId="77777777" w:rsidR="00560F38" w:rsidRDefault="00000000">
      <w:pPr>
        <w:pStyle w:val="Ttulo2"/>
      </w:pPr>
      <w:bookmarkStart w:id="45" w:name="_Toc232175890"/>
      <w:r>
        <w:t>9.1 Bons antecedentes (reduzem a pontuação)</w:t>
      </w:r>
      <w:bookmarkEnd w:id="4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95"/>
        <w:gridCol w:w="4378"/>
        <w:gridCol w:w="2631"/>
        <w:gridCol w:w="533"/>
        <w:gridCol w:w="552"/>
        <w:gridCol w:w="571"/>
      </w:tblGrid>
      <w:tr w:rsidR="00560F38" w14:paraId="5D1771D6"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C920C81" w14:textId="77777777" w:rsidR="00560F38" w:rsidRDefault="00000000">
            <w:pPr>
              <w:jc w:val="both"/>
            </w:pPr>
            <w:r>
              <w:rPr>
                <w:b/>
                <w:bCs/>
                <w:color w:val="FFFFFF"/>
                <w:sz w:val="17"/>
                <w:szCs w:val="17"/>
              </w:rPr>
              <w:t>Cód.</w:t>
            </w:r>
          </w:p>
        </w:tc>
        <w:tc>
          <w:tcPr>
            <w:tcW w:w="45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9F664DD" w14:textId="77777777" w:rsidR="00560F38" w:rsidRDefault="00000000">
            <w:pPr>
              <w:jc w:val="both"/>
            </w:pPr>
            <w:r>
              <w:rPr>
                <w:b/>
                <w:bCs/>
                <w:color w:val="FFFFFF"/>
                <w:sz w:val="17"/>
                <w:szCs w:val="17"/>
              </w:rPr>
              <w:t>Descrição</w:t>
            </w:r>
          </w:p>
        </w:tc>
        <w:tc>
          <w:tcPr>
            <w:tcW w:w="27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C884E5F" w14:textId="77777777" w:rsidR="00560F38" w:rsidRDefault="00000000">
            <w:pPr>
              <w:jc w:val="both"/>
            </w:pPr>
            <w:r>
              <w:rPr>
                <w:b/>
                <w:bCs/>
                <w:color w:val="FFFFFF"/>
                <w:sz w:val="17"/>
                <w:szCs w:val="17"/>
              </w:rPr>
              <w:t>Fundamento</w:t>
            </w:r>
          </w:p>
        </w:tc>
        <w:tc>
          <w:tcPr>
            <w:tcW w:w="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433756A" w14:textId="77777777" w:rsidR="00560F38" w:rsidRDefault="00000000">
            <w:pPr>
              <w:jc w:val="both"/>
            </w:pPr>
            <w:r>
              <w:rPr>
                <w:b/>
                <w:bCs/>
                <w:color w:val="FFFFFF"/>
                <w:sz w:val="17"/>
                <w:szCs w:val="17"/>
              </w:rPr>
              <w:t>Mín</w:t>
            </w:r>
          </w:p>
        </w:tc>
        <w:tc>
          <w:tcPr>
            <w:tcW w:w="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52C5AB7" w14:textId="77777777" w:rsidR="00560F38" w:rsidRDefault="00000000">
            <w:pPr>
              <w:jc w:val="both"/>
            </w:pPr>
            <w:r>
              <w:rPr>
                <w:b/>
                <w:bCs/>
                <w:color w:val="FFFFFF"/>
                <w:sz w:val="17"/>
                <w:szCs w:val="17"/>
              </w:rPr>
              <w:t>Pad</w:t>
            </w:r>
          </w:p>
        </w:tc>
        <w:tc>
          <w:tcPr>
            <w:tcW w:w="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1A11E62" w14:textId="77777777" w:rsidR="00560F38" w:rsidRDefault="00000000">
            <w:pPr>
              <w:jc w:val="both"/>
            </w:pPr>
            <w:r>
              <w:rPr>
                <w:b/>
                <w:bCs/>
                <w:color w:val="FFFFFF"/>
                <w:sz w:val="17"/>
                <w:szCs w:val="17"/>
              </w:rPr>
              <w:t>Máx</w:t>
            </w:r>
          </w:p>
        </w:tc>
      </w:tr>
      <w:tr w:rsidR="00560F38" w14:paraId="6BB5CE36"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770F95" w14:textId="77777777" w:rsidR="00560F38" w:rsidRDefault="00000000">
            <w:pPr>
              <w:jc w:val="both"/>
            </w:pPr>
            <w:r>
              <w:rPr>
                <w:color w:val="000000"/>
                <w:sz w:val="17"/>
                <w:szCs w:val="17"/>
              </w:rPr>
              <w:t>ba1</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9DB619" w14:textId="77777777" w:rsidR="00560F38" w:rsidRDefault="00000000">
            <w:pPr>
              <w:jc w:val="both"/>
            </w:pPr>
            <w:r>
              <w:rPr>
                <w:color w:val="000000"/>
                <w:sz w:val="17"/>
                <w:szCs w:val="17"/>
              </w:rPr>
              <w:t>Elogios simples com registro formal nos assentamentos (portaria de elogio ou reconhecimento oficial de chefia)</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5FB74D" w14:textId="77777777" w:rsidR="00560F38" w:rsidRDefault="00000000">
            <w:pPr>
              <w:jc w:val="both"/>
            </w:pPr>
            <w:r>
              <w:rPr>
                <w:color w:val="000000"/>
                <w:sz w:val="17"/>
                <w:szCs w:val="17"/>
              </w:rPr>
              <w:t>Reconhecimento formal de conduta positiva</w:t>
            </w:r>
          </w:p>
        </w:tc>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07ACC3" w14:textId="77777777" w:rsidR="00560F38" w:rsidRDefault="00000000">
            <w:pPr>
              <w:jc w:val="both"/>
            </w:pPr>
            <w:r>
              <w:rPr>
                <w:color w:val="000000"/>
                <w:sz w:val="17"/>
                <w:szCs w:val="17"/>
              </w:rPr>
              <w:t>2</w:t>
            </w:r>
          </w:p>
        </w:tc>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7B79A0" w14:textId="77777777" w:rsidR="00560F38" w:rsidRDefault="00000000">
            <w:pPr>
              <w:jc w:val="both"/>
            </w:pPr>
            <w:r>
              <w:rPr>
                <w:color w:val="000000"/>
                <w:sz w:val="17"/>
                <w:szCs w:val="17"/>
              </w:rPr>
              <w:t>3</w:t>
            </w:r>
          </w:p>
        </w:tc>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F5BF3A" w14:textId="77777777" w:rsidR="00560F38" w:rsidRDefault="00000000">
            <w:pPr>
              <w:jc w:val="both"/>
            </w:pPr>
            <w:r>
              <w:rPr>
                <w:color w:val="000000"/>
                <w:sz w:val="17"/>
                <w:szCs w:val="17"/>
              </w:rPr>
              <w:t>4</w:t>
            </w:r>
          </w:p>
        </w:tc>
      </w:tr>
      <w:tr w:rsidR="00560F38" w14:paraId="5B472107"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5F7FB"/>
            <w:tcMar>
              <w:top w:w="80" w:type="dxa"/>
              <w:left w:w="120" w:type="dxa"/>
              <w:bottom w:w="80" w:type="dxa"/>
              <w:right w:w="120" w:type="dxa"/>
            </w:tcMar>
          </w:tcPr>
          <w:p w14:paraId="38B4EC06" w14:textId="77777777" w:rsidR="00560F38" w:rsidRDefault="00000000">
            <w:pPr>
              <w:jc w:val="both"/>
            </w:pPr>
            <w:r>
              <w:rPr>
                <w:color w:val="000000"/>
                <w:sz w:val="17"/>
                <w:szCs w:val="17"/>
              </w:rPr>
              <w:lastRenderedPageBreak/>
              <w:t>ba2</w:t>
            </w:r>
          </w:p>
        </w:tc>
        <w:tc>
          <w:tcPr>
            <w:tcW w:w="4560" w:type="dxa"/>
            <w:tcBorders>
              <w:top w:val="single" w:sz="1" w:space="0" w:color="CCCCCC"/>
              <w:left w:val="single" w:sz="1" w:space="0" w:color="CCCCCC"/>
              <w:bottom w:val="single" w:sz="1" w:space="0" w:color="CCCCCC"/>
              <w:right w:val="single" w:sz="1" w:space="0" w:color="CCCCCC"/>
            </w:tcBorders>
            <w:shd w:val="clear" w:color="auto" w:fill="F5F7FB"/>
            <w:tcMar>
              <w:top w:w="80" w:type="dxa"/>
              <w:left w:w="120" w:type="dxa"/>
              <w:bottom w:w="80" w:type="dxa"/>
              <w:right w:w="120" w:type="dxa"/>
            </w:tcMar>
          </w:tcPr>
          <w:p w14:paraId="0FCF6625" w14:textId="77777777" w:rsidR="00560F38" w:rsidRDefault="00000000">
            <w:pPr>
              <w:jc w:val="both"/>
            </w:pPr>
            <w:r>
              <w:rPr>
                <w:color w:val="000000"/>
                <w:sz w:val="17"/>
                <w:szCs w:val="17"/>
              </w:rPr>
              <w:t>Menção honrosa, prêmio ou distinção funcional formal</w:t>
            </w:r>
          </w:p>
        </w:tc>
        <w:tc>
          <w:tcPr>
            <w:tcW w:w="2700" w:type="dxa"/>
            <w:tcBorders>
              <w:top w:val="single" w:sz="1" w:space="0" w:color="CCCCCC"/>
              <w:left w:val="single" w:sz="1" w:space="0" w:color="CCCCCC"/>
              <w:bottom w:val="single" w:sz="1" w:space="0" w:color="CCCCCC"/>
              <w:right w:val="single" w:sz="1" w:space="0" w:color="CCCCCC"/>
            </w:tcBorders>
            <w:shd w:val="clear" w:color="auto" w:fill="F5F7FB"/>
            <w:tcMar>
              <w:top w:w="80" w:type="dxa"/>
              <w:left w:w="120" w:type="dxa"/>
              <w:bottom w:w="80" w:type="dxa"/>
              <w:right w:w="120" w:type="dxa"/>
            </w:tcMar>
          </w:tcPr>
          <w:p w14:paraId="228E4341" w14:textId="77777777" w:rsidR="00560F38" w:rsidRDefault="00000000">
            <w:pPr>
              <w:jc w:val="both"/>
            </w:pPr>
            <w:r>
              <w:rPr>
                <w:color w:val="000000"/>
                <w:sz w:val="17"/>
                <w:szCs w:val="17"/>
              </w:rPr>
              <w:t>Reconhecimento institucional de excelência</w:t>
            </w:r>
          </w:p>
        </w:tc>
        <w:tc>
          <w:tcPr>
            <w:tcW w:w="500" w:type="dxa"/>
            <w:tcBorders>
              <w:top w:val="single" w:sz="1" w:space="0" w:color="CCCCCC"/>
              <w:left w:val="single" w:sz="1" w:space="0" w:color="CCCCCC"/>
              <w:bottom w:val="single" w:sz="1" w:space="0" w:color="CCCCCC"/>
              <w:right w:val="single" w:sz="1" w:space="0" w:color="CCCCCC"/>
            </w:tcBorders>
            <w:shd w:val="clear" w:color="auto" w:fill="F5F7FB"/>
            <w:tcMar>
              <w:top w:w="80" w:type="dxa"/>
              <w:left w:w="120" w:type="dxa"/>
              <w:bottom w:w="80" w:type="dxa"/>
              <w:right w:w="120" w:type="dxa"/>
            </w:tcMar>
          </w:tcPr>
          <w:p w14:paraId="46B6D5BA" w14:textId="77777777" w:rsidR="00560F38" w:rsidRDefault="00000000">
            <w:pPr>
              <w:jc w:val="both"/>
            </w:pPr>
            <w:r>
              <w:rPr>
                <w:color w:val="000000"/>
                <w:sz w:val="17"/>
                <w:szCs w:val="17"/>
              </w:rPr>
              <w:t>4</w:t>
            </w:r>
          </w:p>
        </w:tc>
        <w:tc>
          <w:tcPr>
            <w:tcW w:w="500" w:type="dxa"/>
            <w:tcBorders>
              <w:top w:val="single" w:sz="1" w:space="0" w:color="CCCCCC"/>
              <w:left w:val="single" w:sz="1" w:space="0" w:color="CCCCCC"/>
              <w:bottom w:val="single" w:sz="1" w:space="0" w:color="CCCCCC"/>
              <w:right w:val="single" w:sz="1" w:space="0" w:color="CCCCCC"/>
            </w:tcBorders>
            <w:shd w:val="clear" w:color="auto" w:fill="F5F7FB"/>
            <w:tcMar>
              <w:top w:w="80" w:type="dxa"/>
              <w:left w:w="120" w:type="dxa"/>
              <w:bottom w:w="80" w:type="dxa"/>
              <w:right w:w="120" w:type="dxa"/>
            </w:tcMar>
          </w:tcPr>
          <w:p w14:paraId="6F32147D" w14:textId="77777777" w:rsidR="00560F38" w:rsidRDefault="00000000">
            <w:pPr>
              <w:jc w:val="both"/>
            </w:pPr>
            <w:r>
              <w:rPr>
                <w:color w:val="000000"/>
                <w:sz w:val="17"/>
                <w:szCs w:val="17"/>
              </w:rPr>
              <w:t>5</w:t>
            </w:r>
          </w:p>
        </w:tc>
        <w:tc>
          <w:tcPr>
            <w:tcW w:w="400" w:type="dxa"/>
            <w:tcBorders>
              <w:top w:val="single" w:sz="1" w:space="0" w:color="CCCCCC"/>
              <w:left w:val="single" w:sz="1" w:space="0" w:color="CCCCCC"/>
              <w:bottom w:val="single" w:sz="1" w:space="0" w:color="CCCCCC"/>
              <w:right w:val="single" w:sz="1" w:space="0" w:color="CCCCCC"/>
            </w:tcBorders>
            <w:shd w:val="clear" w:color="auto" w:fill="F5F7FB"/>
            <w:tcMar>
              <w:top w:w="80" w:type="dxa"/>
              <w:left w:w="120" w:type="dxa"/>
              <w:bottom w:w="80" w:type="dxa"/>
              <w:right w:w="120" w:type="dxa"/>
            </w:tcMar>
          </w:tcPr>
          <w:p w14:paraId="6F48EA08" w14:textId="77777777" w:rsidR="00560F38" w:rsidRDefault="00000000">
            <w:pPr>
              <w:jc w:val="both"/>
            </w:pPr>
            <w:r>
              <w:rPr>
                <w:color w:val="000000"/>
                <w:sz w:val="17"/>
                <w:szCs w:val="17"/>
              </w:rPr>
              <w:t>7</w:t>
            </w:r>
          </w:p>
        </w:tc>
      </w:tr>
      <w:tr w:rsidR="00560F38" w14:paraId="40D6E577"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CAE794" w14:textId="77777777" w:rsidR="00560F38" w:rsidRDefault="00000000">
            <w:pPr>
              <w:jc w:val="both"/>
            </w:pPr>
            <w:r>
              <w:rPr>
                <w:color w:val="000000"/>
                <w:sz w:val="17"/>
                <w:szCs w:val="17"/>
              </w:rPr>
              <w:t>ba3</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22F108" w14:textId="77777777" w:rsidR="00560F38" w:rsidRDefault="00000000">
            <w:pPr>
              <w:jc w:val="both"/>
            </w:pPr>
            <w:r>
              <w:rPr>
                <w:color w:val="000000"/>
                <w:sz w:val="17"/>
                <w:szCs w:val="17"/>
              </w:rPr>
              <w:t>Registro formal de serviço relevante, projeto especial ou contribuição institucional de destaque</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8598B2" w14:textId="77777777" w:rsidR="00560F38" w:rsidRDefault="00000000">
            <w:pPr>
              <w:jc w:val="both"/>
            </w:pPr>
            <w:r>
              <w:rPr>
                <w:color w:val="000000"/>
                <w:sz w:val="17"/>
                <w:szCs w:val="17"/>
              </w:rPr>
              <w:t>Compromisso acima do ordinário documentado</w:t>
            </w:r>
          </w:p>
        </w:tc>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3FC7DF" w14:textId="77777777" w:rsidR="00560F38" w:rsidRDefault="00000000">
            <w:pPr>
              <w:jc w:val="both"/>
            </w:pPr>
            <w:r>
              <w:rPr>
                <w:color w:val="000000"/>
                <w:sz w:val="17"/>
                <w:szCs w:val="17"/>
              </w:rPr>
              <w:t>5</w:t>
            </w:r>
          </w:p>
        </w:tc>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E37C5F" w14:textId="77777777" w:rsidR="00560F38" w:rsidRDefault="00000000">
            <w:pPr>
              <w:jc w:val="both"/>
            </w:pPr>
            <w:r>
              <w:rPr>
                <w:color w:val="000000"/>
                <w:sz w:val="17"/>
                <w:szCs w:val="17"/>
              </w:rPr>
              <w:t>7</w:t>
            </w:r>
          </w:p>
        </w:tc>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27117E" w14:textId="77777777" w:rsidR="00560F38" w:rsidRDefault="00000000">
            <w:pPr>
              <w:jc w:val="both"/>
            </w:pPr>
            <w:r>
              <w:rPr>
                <w:color w:val="000000"/>
                <w:sz w:val="17"/>
                <w:szCs w:val="17"/>
              </w:rPr>
              <w:t>10</w:t>
            </w:r>
          </w:p>
        </w:tc>
      </w:tr>
      <w:tr w:rsidR="00560F38" w14:paraId="26DFF6EC"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5F7FB"/>
            <w:tcMar>
              <w:top w:w="80" w:type="dxa"/>
              <w:left w:w="120" w:type="dxa"/>
              <w:bottom w:w="80" w:type="dxa"/>
              <w:right w:w="120" w:type="dxa"/>
            </w:tcMar>
          </w:tcPr>
          <w:p w14:paraId="0F2DE624" w14:textId="77777777" w:rsidR="00560F38" w:rsidRDefault="00000000">
            <w:pPr>
              <w:jc w:val="both"/>
            </w:pPr>
            <w:r>
              <w:rPr>
                <w:color w:val="000000"/>
                <w:sz w:val="17"/>
                <w:szCs w:val="17"/>
              </w:rPr>
              <w:t>ba5</w:t>
            </w:r>
          </w:p>
        </w:tc>
        <w:tc>
          <w:tcPr>
            <w:tcW w:w="4560" w:type="dxa"/>
            <w:tcBorders>
              <w:top w:val="single" w:sz="1" w:space="0" w:color="CCCCCC"/>
              <w:left w:val="single" w:sz="1" w:space="0" w:color="CCCCCC"/>
              <w:bottom w:val="single" w:sz="1" w:space="0" w:color="CCCCCC"/>
              <w:right w:val="single" w:sz="1" w:space="0" w:color="CCCCCC"/>
            </w:tcBorders>
            <w:shd w:val="clear" w:color="auto" w:fill="F5F7FB"/>
            <w:tcMar>
              <w:top w:w="80" w:type="dxa"/>
              <w:left w:w="120" w:type="dxa"/>
              <w:bottom w:w="80" w:type="dxa"/>
              <w:right w:w="120" w:type="dxa"/>
            </w:tcMar>
          </w:tcPr>
          <w:p w14:paraId="6EE2B9BC" w14:textId="77777777" w:rsidR="00560F38" w:rsidRDefault="00000000">
            <w:pPr>
              <w:jc w:val="both"/>
            </w:pPr>
            <w:r>
              <w:rPr>
                <w:color w:val="000000"/>
                <w:sz w:val="17"/>
                <w:szCs w:val="17"/>
              </w:rPr>
              <w:t>Outros registros abonadores apresentados durante a apuração, não constantes dos assentamentos (formalismo moderado)</w:t>
            </w:r>
          </w:p>
        </w:tc>
        <w:tc>
          <w:tcPr>
            <w:tcW w:w="2700" w:type="dxa"/>
            <w:tcBorders>
              <w:top w:val="single" w:sz="1" w:space="0" w:color="CCCCCC"/>
              <w:left w:val="single" w:sz="1" w:space="0" w:color="CCCCCC"/>
              <w:bottom w:val="single" w:sz="1" w:space="0" w:color="CCCCCC"/>
              <w:right w:val="single" w:sz="1" w:space="0" w:color="CCCCCC"/>
            </w:tcBorders>
            <w:shd w:val="clear" w:color="auto" w:fill="F5F7FB"/>
            <w:tcMar>
              <w:top w:w="80" w:type="dxa"/>
              <w:left w:w="120" w:type="dxa"/>
              <w:bottom w:w="80" w:type="dxa"/>
              <w:right w:w="120" w:type="dxa"/>
            </w:tcMar>
          </w:tcPr>
          <w:p w14:paraId="0AFC4627" w14:textId="77777777" w:rsidR="00560F38" w:rsidRDefault="00000000">
            <w:pPr>
              <w:jc w:val="both"/>
            </w:pPr>
            <w:r>
              <w:rPr>
                <w:color w:val="000000"/>
                <w:sz w:val="17"/>
                <w:szCs w:val="17"/>
              </w:rPr>
              <w:t>Art. 2º, §único, VIII e IX, Lei 9.784/1999</w:t>
            </w:r>
          </w:p>
        </w:tc>
        <w:tc>
          <w:tcPr>
            <w:tcW w:w="500" w:type="dxa"/>
            <w:tcBorders>
              <w:top w:val="single" w:sz="1" w:space="0" w:color="CCCCCC"/>
              <w:left w:val="single" w:sz="1" w:space="0" w:color="CCCCCC"/>
              <w:bottom w:val="single" w:sz="1" w:space="0" w:color="CCCCCC"/>
              <w:right w:val="single" w:sz="1" w:space="0" w:color="CCCCCC"/>
            </w:tcBorders>
            <w:shd w:val="clear" w:color="auto" w:fill="F5F7FB"/>
            <w:tcMar>
              <w:top w:w="80" w:type="dxa"/>
              <w:left w:w="120" w:type="dxa"/>
              <w:bottom w:w="80" w:type="dxa"/>
              <w:right w:w="120" w:type="dxa"/>
            </w:tcMar>
          </w:tcPr>
          <w:p w14:paraId="0B1C0C87" w14:textId="77777777" w:rsidR="00560F38" w:rsidRDefault="00000000">
            <w:pPr>
              <w:jc w:val="both"/>
            </w:pPr>
            <w:r>
              <w:rPr>
                <w:color w:val="000000"/>
                <w:sz w:val="17"/>
                <w:szCs w:val="17"/>
              </w:rPr>
              <w:t>1</w:t>
            </w:r>
          </w:p>
        </w:tc>
        <w:tc>
          <w:tcPr>
            <w:tcW w:w="500" w:type="dxa"/>
            <w:tcBorders>
              <w:top w:val="single" w:sz="1" w:space="0" w:color="CCCCCC"/>
              <w:left w:val="single" w:sz="1" w:space="0" w:color="CCCCCC"/>
              <w:bottom w:val="single" w:sz="1" w:space="0" w:color="CCCCCC"/>
              <w:right w:val="single" w:sz="1" w:space="0" w:color="CCCCCC"/>
            </w:tcBorders>
            <w:shd w:val="clear" w:color="auto" w:fill="F5F7FB"/>
            <w:tcMar>
              <w:top w:w="80" w:type="dxa"/>
              <w:left w:w="120" w:type="dxa"/>
              <w:bottom w:w="80" w:type="dxa"/>
              <w:right w:w="120" w:type="dxa"/>
            </w:tcMar>
          </w:tcPr>
          <w:p w14:paraId="4E196006" w14:textId="77777777" w:rsidR="00560F38" w:rsidRDefault="00000000">
            <w:pPr>
              <w:jc w:val="both"/>
            </w:pPr>
            <w:r>
              <w:rPr>
                <w:color w:val="000000"/>
                <w:sz w:val="17"/>
                <w:szCs w:val="17"/>
              </w:rPr>
              <w:t>2</w:t>
            </w:r>
          </w:p>
        </w:tc>
        <w:tc>
          <w:tcPr>
            <w:tcW w:w="400" w:type="dxa"/>
            <w:tcBorders>
              <w:top w:val="single" w:sz="1" w:space="0" w:color="CCCCCC"/>
              <w:left w:val="single" w:sz="1" w:space="0" w:color="CCCCCC"/>
              <w:bottom w:val="single" w:sz="1" w:space="0" w:color="CCCCCC"/>
              <w:right w:val="single" w:sz="1" w:space="0" w:color="CCCCCC"/>
            </w:tcBorders>
            <w:shd w:val="clear" w:color="auto" w:fill="F5F7FB"/>
            <w:tcMar>
              <w:top w:w="80" w:type="dxa"/>
              <w:left w:w="120" w:type="dxa"/>
              <w:bottom w:w="80" w:type="dxa"/>
              <w:right w:w="120" w:type="dxa"/>
            </w:tcMar>
          </w:tcPr>
          <w:p w14:paraId="3E859CDF" w14:textId="77777777" w:rsidR="00560F38" w:rsidRDefault="00000000">
            <w:pPr>
              <w:jc w:val="both"/>
            </w:pPr>
            <w:r>
              <w:rPr>
                <w:color w:val="000000"/>
                <w:sz w:val="17"/>
                <w:szCs w:val="17"/>
              </w:rPr>
              <w:t>3</w:t>
            </w:r>
          </w:p>
        </w:tc>
      </w:tr>
    </w:tbl>
    <w:p w14:paraId="79108263" w14:textId="77777777" w:rsidR="00560F38" w:rsidRDefault="00560F38"/>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60F38" w14:paraId="08398B4F" w14:textId="77777777">
        <w:tblPrEx>
          <w:tblCellMar>
            <w:top w:w="0" w:type="dxa"/>
            <w:bottom w:w="0" w:type="dxa"/>
          </w:tblCellMar>
        </w:tblPrEx>
        <w:tc>
          <w:tcPr>
            <w:tcW w:w="9360" w:type="dxa"/>
            <w:tcBorders>
              <w:top w:val="single" w:sz="4" w:space="0" w:color="1F3864"/>
              <w:left w:val="single" w:sz="4" w:space="0" w:color="1F3864"/>
              <w:bottom w:val="single" w:sz="4" w:space="0" w:color="1F3864"/>
              <w:right w:val="single" w:sz="4" w:space="0" w:color="1F3864"/>
            </w:tcBorders>
            <w:shd w:val="clear" w:color="auto" w:fill="EEF2F7"/>
            <w:tcMar>
              <w:top w:w="100" w:type="dxa"/>
              <w:left w:w="180" w:type="dxa"/>
              <w:bottom w:w="100" w:type="dxa"/>
              <w:right w:w="180" w:type="dxa"/>
            </w:tcMar>
          </w:tcPr>
          <w:p w14:paraId="09671B2F" w14:textId="77777777" w:rsidR="00560F38" w:rsidRDefault="00000000">
            <w:pPr>
              <w:spacing w:before="60" w:after="40"/>
            </w:pPr>
            <w:r>
              <w:rPr>
                <w:b/>
                <w:bCs/>
                <w:color w:val="1F3864"/>
                <w:sz w:val="18"/>
                <w:szCs w:val="18"/>
              </w:rPr>
              <w:t>NOTA</w:t>
            </w:r>
          </w:p>
          <w:p w14:paraId="538AA06E" w14:textId="77777777" w:rsidR="00560F38" w:rsidRDefault="00000000">
            <w:pPr>
              <w:spacing w:before="40" w:after="60" w:line="260" w:lineRule="auto"/>
              <w:jc w:val="both"/>
            </w:pPr>
            <w:r>
              <w:rPr>
                <w:i/>
                <w:iCs/>
                <w:sz w:val="18"/>
                <w:szCs w:val="18"/>
              </w:rPr>
              <w:t>Formalismo moderado: é possível que o agente apresente registros de bons préstimos não consignados na pasta funcional. À luz do art. 2º, parágrafo único, VIII e IX, da Lei nº 9.784/1999, tais documentos podem e devem ser considerados.</w:t>
            </w:r>
          </w:p>
        </w:tc>
      </w:tr>
    </w:tbl>
    <w:p w14:paraId="22A20608" w14:textId="77777777" w:rsidR="00560F38" w:rsidRDefault="00000000">
      <w:pPr>
        <w:pStyle w:val="Ttulo2"/>
      </w:pPr>
      <w:bookmarkStart w:id="46" w:name="_Toc232175891"/>
      <w:r>
        <w:t>9.2 Maus antecedentes (aumentam a pontuação)</w:t>
      </w:r>
      <w:bookmarkEnd w:id="4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95"/>
        <w:gridCol w:w="4379"/>
        <w:gridCol w:w="2630"/>
        <w:gridCol w:w="533"/>
        <w:gridCol w:w="552"/>
        <w:gridCol w:w="571"/>
      </w:tblGrid>
      <w:tr w:rsidR="00560F38" w14:paraId="2CFD7254"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CCE1A74" w14:textId="77777777" w:rsidR="00560F38" w:rsidRDefault="00000000">
            <w:pPr>
              <w:jc w:val="both"/>
            </w:pPr>
            <w:r>
              <w:rPr>
                <w:b/>
                <w:bCs/>
                <w:color w:val="FFFFFF"/>
                <w:sz w:val="17"/>
                <w:szCs w:val="17"/>
              </w:rPr>
              <w:t>Cód.</w:t>
            </w:r>
          </w:p>
        </w:tc>
        <w:tc>
          <w:tcPr>
            <w:tcW w:w="45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9D99ACC" w14:textId="77777777" w:rsidR="00560F38" w:rsidRDefault="00000000">
            <w:pPr>
              <w:jc w:val="both"/>
            </w:pPr>
            <w:r>
              <w:rPr>
                <w:b/>
                <w:bCs/>
                <w:color w:val="FFFFFF"/>
                <w:sz w:val="17"/>
                <w:szCs w:val="17"/>
              </w:rPr>
              <w:t>Descrição</w:t>
            </w:r>
          </w:p>
        </w:tc>
        <w:tc>
          <w:tcPr>
            <w:tcW w:w="27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C1468F7" w14:textId="77777777" w:rsidR="00560F38" w:rsidRDefault="00000000">
            <w:pPr>
              <w:jc w:val="both"/>
            </w:pPr>
            <w:r>
              <w:rPr>
                <w:b/>
                <w:bCs/>
                <w:color w:val="FFFFFF"/>
                <w:sz w:val="17"/>
                <w:szCs w:val="17"/>
              </w:rPr>
              <w:t>Fundamento</w:t>
            </w:r>
          </w:p>
        </w:tc>
        <w:tc>
          <w:tcPr>
            <w:tcW w:w="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60B91EF" w14:textId="77777777" w:rsidR="00560F38" w:rsidRDefault="00000000">
            <w:pPr>
              <w:jc w:val="both"/>
            </w:pPr>
            <w:r>
              <w:rPr>
                <w:b/>
                <w:bCs/>
                <w:color w:val="FFFFFF"/>
                <w:sz w:val="17"/>
                <w:szCs w:val="17"/>
              </w:rPr>
              <w:t>Mín</w:t>
            </w:r>
          </w:p>
        </w:tc>
        <w:tc>
          <w:tcPr>
            <w:tcW w:w="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4EA8598" w14:textId="77777777" w:rsidR="00560F38" w:rsidRDefault="00000000">
            <w:pPr>
              <w:jc w:val="both"/>
            </w:pPr>
            <w:r>
              <w:rPr>
                <w:b/>
                <w:bCs/>
                <w:color w:val="FFFFFF"/>
                <w:sz w:val="17"/>
                <w:szCs w:val="17"/>
              </w:rPr>
              <w:t>Pad</w:t>
            </w:r>
          </w:p>
        </w:tc>
        <w:tc>
          <w:tcPr>
            <w:tcW w:w="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413F728" w14:textId="77777777" w:rsidR="00560F38" w:rsidRDefault="00000000">
            <w:pPr>
              <w:jc w:val="both"/>
            </w:pPr>
            <w:r>
              <w:rPr>
                <w:b/>
                <w:bCs/>
                <w:color w:val="FFFFFF"/>
                <w:sz w:val="17"/>
                <w:szCs w:val="17"/>
              </w:rPr>
              <w:t>Máx</w:t>
            </w:r>
          </w:p>
        </w:tc>
      </w:tr>
      <w:tr w:rsidR="00560F38" w14:paraId="63B991FB"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17CE38" w14:textId="77777777" w:rsidR="00560F38" w:rsidRDefault="00000000">
            <w:pPr>
              <w:jc w:val="both"/>
            </w:pPr>
            <w:r>
              <w:rPr>
                <w:color w:val="000000"/>
                <w:sz w:val="17"/>
                <w:szCs w:val="17"/>
              </w:rPr>
              <w:t>ma1</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4EFBAF" w14:textId="77777777" w:rsidR="00560F38" w:rsidRDefault="00000000">
            <w:pPr>
              <w:jc w:val="both"/>
            </w:pPr>
            <w:r>
              <w:rPr>
                <w:color w:val="000000"/>
                <w:sz w:val="17"/>
                <w:szCs w:val="17"/>
              </w:rPr>
              <w:t>Atrasos ou faltas não justificadas registradas nos assentamentos</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1A2B0A" w14:textId="77777777" w:rsidR="00560F38" w:rsidRDefault="00000000">
            <w:pPr>
              <w:jc w:val="both"/>
            </w:pPr>
            <w:r>
              <w:rPr>
                <w:color w:val="000000"/>
                <w:sz w:val="17"/>
                <w:szCs w:val="17"/>
              </w:rPr>
              <w:t>Indicador de descompromisso funcional</w:t>
            </w:r>
          </w:p>
        </w:tc>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F1D687" w14:textId="77777777" w:rsidR="00560F38" w:rsidRDefault="00000000">
            <w:pPr>
              <w:jc w:val="both"/>
            </w:pPr>
            <w:r>
              <w:rPr>
                <w:color w:val="000000"/>
                <w:sz w:val="17"/>
                <w:szCs w:val="17"/>
              </w:rPr>
              <w:t>2</w:t>
            </w:r>
          </w:p>
        </w:tc>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BFE637" w14:textId="77777777" w:rsidR="00560F38" w:rsidRDefault="00000000">
            <w:pPr>
              <w:jc w:val="both"/>
            </w:pPr>
            <w:r>
              <w:rPr>
                <w:color w:val="000000"/>
                <w:sz w:val="17"/>
                <w:szCs w:val="17"/>
              </w:rPr>
              <w:t>3</w:t>
            </w:r>
          </w:p>
        </w:tc>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EF987B" w14:textId="77777777" w:rsidR="00560F38" w:rsidRDefault="00000000">
            <w:pPr>
              <w:jc w:val="both"/>
            </w:pPr>
            <w:r>
              <w:rPr>
                <w:color w:val="000000"/>
                <w:sz w:val="17"/>
                <w:szCs w:val="17"/>
              </w:rPr>
              <w:t>4</w:t>
            </w:r>
          </w:p>
        </w:tc>
      </w:tr>
      <w:tr w:rsidR="00560F38" w14:paraId="42A82F93"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5F7FB"/>
            <w:tcMar>
              <w:top w:w="80" w:type="dxa"/>
              <w:left w:w="120" w:type="dxa"/>
              <w:bottom w:w="80" w:type="dxa"/>
              <w:right w:w="120" w:type="dxa"/>
            </w:tcMar>
          </w:tcPr>
          <w:p w14:paraId="61222838" w14:textId="77777777" w:rsidR="00560F38" w:rsidRDefault="00000000">
            <w:pPr>
              <w:jc w:val="both"/>
            </w:pPr>
            <w:r>
              <w:rPr>
                <w:color w:val="000000"/>
                <w:sz w:val="17"/>
                <w:szCs w:val="17"/>
              </w:rPr>
              <w:t>ma2</w:t>
            </w:r>
          </w:p>
        </w:tc>
        <w:tc>
          <w:tcPr>
            <w:tcW w:w="4560" w:type="dxa"/>
            <w:tcBorders>
              <w:top w:val="single" w:sz="1" w:space="0" w:color="CCCCCC"/>
              <w:left w:val="single" w:sz="1" w:space="0" w:color="CCCCCC"/>
              <w:bottom w:val="single" w:sz="1" w:space="0" w:color="CCCCCC"/>
              <w:right w:val="single" w:sz="1" w:space="0" w:color="CCCCCC"/>
            </w:tcBorders>
            <w:shd w:val="clear" w:color="auto" w:fill="F5F7FB"/>
            <w:tcMar>
              <w:top w:w="80" w:type="dxa"/>
              <w:left w:w="120" w:type="dxa"/>
              <w:bottom w:w="80" w:type="dxa"/>
              <w:right w:w="120" w:type="dxa"/>
            </w:tcMar>
          </w:tcPr>
          <w:p w14:paraId="766DC49B" w14:textId="77777777" w:rsidR="00560F38" w:rsidRDefault="00000000">
            <w:pPr>
              <w:jc w:val="both"/>
            </w:pPr>
            <w:r>
              <w:rPr>
                <w:color w:val="000000"/>
                <w:sz w:val="17"/>
                <w:szCs w:val="17"/>
              </w:rPr>
              <w:t>Descumprimento de TAC (Portaria Normativa CGU nº 27/2022)</w:t>
            </w:r>
          </w:p>
        </w:tc>
        <w:tc>
          <w:tcPr>
            <w:tcW w:w="2700" w:type="dxa"/>
            <w:tcBorders>
              <w:top w:val="single" w:sz="1" w:space="0" w:color="CCCCCC"/>
              <w:left w:val="single" w:sz="1" w:space="0" w:color="CCCCCC"/>
              <w:bottom w:val="single" w:sz="1" w:space="0" w:color="CCCCCC"/>
              <w:right w:val="single" w:sz="1" w:space="0" w:color="CCCCCC"/>
            </w:tcBorders>
            <w:shd w:val="clear" w:color="auto" w:fill="F5F7FB"/>
            <w:tcMar>
              <w:top w:w="80" w:type="dxa"/>
              <w:left w:w="120" w:type="dxa"/>
              <w:bottom w:w="80" w:type="dxa"/>
              <w:right w:w="120" w:type="dxa"/>
            </w:tcMar>
          </w:tcPr>
          <w:p w14:paraId="6C1C6D76" w14:textId="77777777" w:rsidR="00560F38" w:rsidRDefault="00000000">
            <w:pPr>
              <w:jc w:val="both"/>
            </w:pPr>
            <w:r>
              <w:rPr>
                <w:color w:val="000000"/>
                <w:sz w:val="17"/>
                <w:szCs w:val="17"/>
              </w:rPr>
              <w:t>Violação de compromisso formal perante a Corregedoria</w:t>
            </w:r>
          </w:p>
        </w:tc>
        <w:tc>
          <w:tcPr>
            <w:tcW w:w="500" w:type="dxa"/>
            <w:tcBorders>
              <w:top w:val="single" w:sz="1" w:space="0" w:color="CCCCCC"/>
              <w:left w:val="single" w:sz="1" w:space="0" w:color="CCCCCC"/>
              <w:bottom w:val="single" w:sz="1" w:space="0" w:color="CCCCCC"/>
              <w:right w:val="single" w:sz="1" w:space="0" w:color="CCCCCC"/>
            </w:tcBorders>
            <w:shd w:val="clear" w:color="auto" w:fill="F5F7FB"/>
            <w:tcMar>
              <w:top w:w="80" w:type="dxa"/>
              <w:left w:w="120" w:type="dxa"/>
              <w:bottom w:w="80" w:type="dxa"/>
              <w:right w:w="120" w:type="dxa"/>
            </w:tcMar>
          </w:tcPr>
          <w:p w14:paraId="19A02B26" w14:textId="77777777" w:rsidR="00560F38" w:rsidRDefault="00000000">
            <w:pPr>
              <w:jc w:val="both"/>
            </w:pPr>
            <w:r>
              <w:rPr>
                <w:color w:val="000000"/>
                <w:sz w:val="17"/>
                <w:szCs w:val="17"/>
              </w:rPr>
              <w:t>4</w:t>
            </w:r>
          </w:p>
        </w:tc>
        <w:tc>
          <w:tcPr>
            <w:tcW w:w="500" w:type="dxa"/>
            <w:tcBorders>
              <w:top w:val="single" w:sz="1" w:space="0" w:color="CCCCCC"/>
              <w:left w:val="single" w:sz="1" w:space="0" w:color="CCCCCC"/>
              <w:bottom w:val="single" w:sz="1" w:space="0" w:color="CCCCCC"/>
              <w:right w:val="single" w:sz="1" w:space="0" w:color="CCCCCC"/>
            </w:tcBorders>
            <w:shd w:val="clear" w:color="auto" w:fill="F5F7FB"/>
            <w:tcMar>
              <w:top w:w="80" w:type="dxa"/>
              <w:left w:w="120" w:type="dxa"/>
              <w:bottom w:w="80" w:type="dxa"/>
              <w:right w:w="120" w:type="dxa"/>
            </w:tcMar>
          </w:tcPr>
          <w:p w14:paraId="30A41E35" w14:textId="77777777" w:rsidR="00560F38" w:rsidRDefault="00000000">
            <w:pPr>
              <w:jc w:val="both"/>
            </w:pPr>
            <w:r>
              <w:rPr>
                <w:color w:val="000000"/>
                <w:sz w:val="17"/>
                <w:szCs w:val="17"/>
              </w:rPr>
              <w:t>5</w:t>
            </w:r>
          </w:p>
        </w:tc>
        <w:tc>
          <w:tcPr>
            <w:tcW w:w="400" w:type="dxa"/>
            <w:tcBorders>
              <w:top w:val="single" w:sz="1" w:space="0" w:color="CCCCCC"/>
              <w:left w:val="single" w:sz="1" w:space="0" w:color="CCCCCC"/>
              <w:bottom w:val="single" w:sz="1" w:space="0" w:color="CCCCCC"/>
              <w:right w:val="single" w:sz="1" w:space="0" w:color="CCCCCC"/>
            </w:tcBorders>
            <w:shd w:val="clear" w:color="auto" w:fill="F5F7FB"/>
            <w:tcMar>
              <w:top w:w="80" w:type="dxa"/>
              <w:left w:w="120" w:type="dxa"/>
              <w:bottom w:w="80" w:type="dxa"/>
              <w:right w:w="120" w:type="dxa"/>
            </w:tcMar>
          </w:tcPr>
          <w:p w14:paraId="2327A315" w14:textId="77777777" w:rsidR="00560F38" w:rsidRDefault="00000000">
            <w:pPr>
              <w:jc w:val="both"/>
            </w:pPr>
            <w:r>
              <w:rPr>
                <w:color w:val="000000"/>
                <w:sz w:val="17"/>
                <w:szCs w:val="17"/>
              </w:rPr>
              <w:t>7</w:t>
            </w:r>
          </w:p>
        </w:tc>
      </w:tr>
      <w:tr w:rsidR="00560F38" w14:paraId="34E98853"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35F72A" w14:textId="77777777" w:rsidR="00560F38" w:rsidRDefault="00000000">
            <w:pPr>
              <w:jc w:val="both"/>
            </w:pPr>
            <w:r>
              <w:rPr>
                <w:color w:val="000000"/>
                <w:sz w:val="17"/>
                <w:szCs w:val="17"/>
              </w:rPr>
              <w:t>ma3</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57DB27" w14:textId="77777777" w:rsidR="00560F38" w:rsidRDefault="00000000">
            <w:pPr>
              <w:jc w:val="both"/>
            </w:pPr>
            <w:r>
              <w:rPr>
                <w:color w:val="000000"/>
                <w:sz w:val="17"/>
                <w:szCs w:val="17"/>
              </w:rPr>
              <w:t>Sanção disciplinar anterior não cancelada — apenas se NÃO usada para reincidência</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7F394A" w14:textId="77777777" w:rsidR="00560F38" w:rsidRDefault="00000000">
            <w:pPr>
              <w:jc w:val="both"/>
            </w:pPr>
            <w:r>
              <w:rPr>
                <w:color w:val="000000"/>
                <w:sz w:val="17"/>
                <w:szCs w:val="17"/>
              </w:rPr>
              <w:t>Histórico de infrações — art. 131</w:t>
            </w:r>
          </w:p>
        </w:tc>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C5A8B9" w14:textId="77777777" w:rsidR="00560F38" w:rsidRDefault="00000000">
            <w:pPr>
              <w:jc w:val="both"/>
            </w:pPr>
            <w:r>
              <w:rPr>
                <w:color w:val="000000"/>
                <w:sz w:val="17"/>
                <w:szCs w:val="17"/>
              </w:rPr>
              <w:t>4</w:t>
            </w:r>
          </w:p>
        </w:tc>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E676B5" w14:textId="77777777" w:rsidR="00560F38" w:rsidRDefault="00000000">
            <w:pPr>
              <w:jc w:val="both"/>
            </w:pPr>
            <w:r>
              <w:rPr>
                <w:color w:val="000000"/>
                <w:sz w:val="17"/>
                <w:szCs w:val="17"/>
              </w:rPr>
              <w:t>6</w:t>
            </w:r>
          </w:p>
        </w:tc>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64CBC2" w14:textId="77777777" w:rsidR="00560F38" w:rsidRDefault="00000000">
            <w:pPr>
              <w:jc w:val="both"/>
            </w:pPr>
            <w:r>
              <w:rPr>
                <w:color w:val="000000"/>
                <w:sz w:val="17"/>
                <w:szCs w:val="17"/>
              </w:rPr>
              <w:t>10</w:t>
            </w:r>
          </w:p>
        </w:tc>
      </w:tr>
      <w:tr w:rsidR="00560F38" w14:paraId="0E2275B4"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5F7FB"/>
            <w:tcMar>
              <w:top w:w="80" w:type="dxa"/>
              <w:left w:w="120" w:type="dxa"/>
              <w:bottom w:w="80" w:type="dxa"/>
              <w:right w:w="120" w:type="dxa"/>
            </w:tcMar>
          </w:tcPr>
          <w:p w14:paraId="7E1FB07D" w14:textId="77777777" w:rsidR="00560F38" w:rsidRDefault="00000000">
            <w:pPr>
              <w:jc w:val="both"/>
            </w:pPr>
            <w:r>
              <w:rPr>
                <w:color w:val="000000"/>
                <w:sz w:val="17"/>
                <w:szCs w:val="17"/>
              </w:rPr>
              <w:t>ma4</w:t>
            </w:r>
          </w:p>
        </w:tc>
        <w:tc>
          <w:tcPr>
            <w:tcW w:w="4560" w:type="dxa"/>
            <w:tcBorders>
              <w:top w:val="single" w:sz="1" w:space="0" w:color="CCCCCC"/>
              <w:left w:val="single" w:sz="1" w:space="0" w:color="CCCCCC"/>
              <w:bottom w:val="single" w:sz="1" w:space="0" w:color="CCCCCC"/>
              <w:right w:val="single" w:sz="1" w:space="0" w:color="CCCCCC"/>
            </w:tcBorders>
            <w:shd w:val="clear" w:color="auto" w:fill="F5F7FB"/>
            <w:tcMar>
              <w:top w:w="80" w:type="dxa"/>
              <w:left w:w="120" w:type="dxa"/>
              <w:bottom w:w="80" w:type="dxa"/>
              <w:right w:w="120" w:type="dxa"/>
            </w:tcMar>
          </w:tcPr>
          <w:p w14:paraId="20C2B189" w14:textId="77777777" w:rsidR="00560F38" w:rsidRDefault="00000000">
            <w:pPr>
              <w:jc w:val="both"/>
            </w:pPr>
            <w:r>
              <w:rPr>
                <w:color w:val="000000"/>
                <w:sz w:val="17"/>
                <w:szCs w:val="17"/>
              </w:rPr>
              <w:t>Outros registros desabonadores documentados nos assentamentos</w:t>
            </w:r>
          </w:p>
        </w:tc>
        <w:tc>
          <w:tcPr>
            <w:tcW w:w="2700" w:type="dxa"/>
            <w:tcBorders>
              <w:top w:val="single" w:sz="1" w:space="0" w:color="CCCCCC"/>
              <w:left w:val="single" w:sz="1" w:space="0" w:color="CCCCCC"/>
              <w:bottom w:val="single" w:sz="1" w:space="0" w:color="CCCCCC"/>
              <w:right w:val="single" w:sz="1" w:space="0" w:color="CCCCCC"/>
            </w:tcBorders>
            <w:shd w:val="clear" w:color="auto" w:fill="F5F7FB"/>
            <w:tcMar>
              <w:top w:w="80" w:type="dxa"/>
              <w:left w:w="120" w:type="dxa"/>
              <w:bottom w:w="80" w:type="dxa"/>
              <w:right w:w="120" w:type="dxa"/>
            </w:tcMar>
          </w:tcPr>
          <w:p w14:paraId="68218DA3" w14:textId="77777777" w:rsidR="00560F38" w:rsidRDefault="00000000">
            <w:pPr>
              <w:jc w:val="both"/>
            </w:pPr>
            <w:r>
              <w:rPr>
                <w:color w:val="000000"/>
                <w:sz w:val="17"/>
                <w:szCs w:val="17"/>
              </w:rPr>
              <w:t>Indicadores adicionais de descompromisso</w:t>
            </w:r>
          </w:p>
        </w:tc>
        <w:tc>
          <w:tcPr>
            <w:tcW w:w="500" w:type="dxa"/>
            <w:tcBorders>
              <w:top w:val="single" w:sz="1" w:space="0" w:color="CCCCCC"/>
              <w:left w:val="single" w:sz="1" w:space="0" w:color="CCCCCC"/>
              <w:bottom w:val="single" w:sz="1" w:space="0" w:color="CCCCCC"/>
              <w:right w:val="single" w:sz="1" w:space="0" w:color="CCCCCC"/>
            </w:tcBorders>
            <w:shd w:val="clear" w:color="auto" w:fill="F5F7FB"/>
            <w:tcMar>
              <w:top w:w="80" w:type="dxa"/>
              <w:left w:w="120" w:type="dxa"/>
              <w:bottom w:w="80" w:type="dxa"/>
              <w:right w:w="120" w:type="dxa"/>
            </w:tcMar>
          </w:tcPr>
          <w:p w14:paraId="6A43A13F" w14:textId="77777777" w:rsidR="00560F38" w:rsidRDefault="00000000">
            <w:pPr>
              <w:jc w:val="both"/>
            </w:pPr>
            <w:r>
              <w:rPr>
                <w:color w:val="000000"/>
                <w:sz w:val="17"/>
                <w:szCs w:val="17"/>
              </w:rPr>
              <w:t>2</w:t>
            </w:r>
          </w:p>
        </w:tc>
        <w:tc>
          <w:tcPr>
            <w:tcW w:w="500" w:type="dxa"/>
            <w:tcBorders>
              <w:top w:val="single" w:sz="1" w:space="0" w:color="CCCCCC"/>
              <w:left w:val="single" w:sz="1" w:space="0" w:color="CCCCCC"/>
              <w:bottom w:val="single" w:sz="1" w:space="0" w:color="CCCCCC"/>
              <w:right w:val="single" w:sz="1" w:space="0" w:color="CCCCCC"/>
            </w:tcBorders>
            <w:shd w:val="clear" w:color="auto" w:fill="F5F7FB"/>
            <w:tcMar>
              <w:top w:w="80" w:type="dxa"/>
              <w:left w:w="120" w:type="dxa"/>
              <w:bottom w:w="80" w:type="dxa"/>
              <w:right w:w="120" w:type="dxa"/>
            </w:tcMar>
          </w:tcPr>
          <w:p w14:paraId="3F8DD177" w14:textId="77777777" w:rsidR="00560F38" w:rsidRDefault="00000000">
            <w:pPr>
              <w:jc w:val="both"/>
            </w:pPr>
            <w:r>
              <w:rPr>
                <w:color w:val="000000"/>
                <w:sz w:val="17"/>
                <w:szCs w:val="17"/>
              </w:rPr>
              <w:t>3</w:t>
            </w:r>
          </w:p>
        </w:tc>
        <w:tc>
          <w:tcPr>
            <w:tcW w:w="400" w:type="dxa"/>
            <w:tcBorders>
              <w:top w:val="single" w:sz="1" w:space="0" w:color="CCCCCC"/>
              <w:left w:val="single" w:sz="1" w:space="0" w:color="CCCCCC"/>
              <w:bottom w:val="single" w:sz="1" w:space="0" w:color="CCCCCC"/>
              <w:right w:val="single" w:sz="1" w:space="0" w:color="CCCCCC"/>
            </w:tcBorders>
            <w:shd w:val="clear" w:color="auto" w:fill="F5F7FB"/>
            <w:tcMar>
              <w:top w:w="80" w:type="dxa"/>
              <w:left w:w="120" w:type="dxa"/>
              <w:bottom w:w="80" w:type="dxa"/>
              <w:right w:w="120" w:type="dxa"/>
            </w:tcMar>
          </w:tcPr>
          <w:p w14:paraId="3EA9AB6E" w14:textId="77777777" w:rsidR="00560F38" w:rsidRDefault="00000000">
            <w:pPr>
              <w:jc w:val="both"/>
            </w:pPr>
            <w:r>
              <w:rPr>
                <w:color w:val="000000"/>
                <w:sz w:val="17"/>
                <w:szCs w:val="17"/>
              </w:rPr>
              <w:t>4</w:t>
            </w:r>
          </w:p>
        </w:tc>
      </w:tr>
    </w:tbl>
    <w:p w14:paraId="5B0A2C97" w14:textId="77777777" w:rsidR="00560F38" w:rsidRDefault="00560F38"/>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60F38" w14:paraId="0F1E3D7E" w14:textId="77777777">
        <w:tblPrEx>
          <w:tblCellMar>
            <w:top w:w="0" w:type="dxa"/>
            <w:bottom w:w="0" w:type="dxa"/>
          </w:tblCellMar>
        </w:tblPrEx>
        <w:tc>
          <w:tcPr>
            <w:tcW w:w="9360" w:type="dxa"/>
            <w:tcBorders>
              <w:top w:val="single" w:sz="4" w:space="0" w:color="1F3864"/>
              <w:left w:val="single" w:sz="4" w:space="0" w:color="1F3864"/>
              <w:bottom w:val="single" w:sz="4" w:space="0" w:color="1F3864"/>
              <w:right w:val="single" w:sz="4" w:space="0" w:color="1F3864"/>
            </w:tcBorders>
            <w:shd w:val="clear" w:color="auto" w:fill="EEF2F7"/>
            <w:tcMar>
              <w:top w:w="100" w:type="dxa"/>
              <w:left w:w="180" w:type="dxa"/>
              <w:bottom w:w="100" w:type="dxa"/>
              <w:right w:w="180" w:type="dxa"/>
            </w:tcMar>
          </w:tcPr>
          <w:p w14:paraId="305D9185" w14:textId="77777777" w:rsidR="00560F38" w:rsidRDefault="00000000">
            <w:pPr>
              <w:spacing w:before="60" w:after="40"/>
            </w:pPr>
            <w:r>
              <w:rPr>
                <w:b/>
                <w:bCs/>
                <w:color w:val="1F3864"/>
                <w:sz w:val="18"/>
                <w:szCs w:val="18"/>
              </w:rPr>
              <w:t>NOTA</w:t>
            </w:r>
          </w:p>
          <w:p w14:paraId="10A46E0A" w14:textId="77777777" w:rsidR="00560F38" w:rsidRDefault="00000000">
            <w:pPr>
              <w:spacing w:before="40" w:after="60" w:line="260" w:lineRule="auto"/>
              <w:jc w:val="both"/>
            </w:pPr>
            <w:r>
              <w:rPr>
                <w:i/>
                <w:iCs/>
                <w:sz w:val="18"/>
                <w:szCs w:val="18"/>
              </w:rPr>
              <w:t>O TAC integralmente cumprido não constitui mau antecedente, dada a sua natureza conciliatória e a ausência de assunção de responsabilidade.</w:t>
            </w:r>
          </w:p>
        </w:tc>
      </w:tr>
    </w:tbl>
    <w:p w14:paraId="1629C5AC" w14:textId="77777777" w:rsidR="00560F38" w:rsidRDefault="00000000">
      <w:pPr>
        <w:pStyle w:val="Ttulo2"/>
      </w:pPr>
      <w:bookmarkStart w:id="47" w:name="_Toc232175892"/>
      <w:r>
        <w:t>9.3 A distinção entre antecedentes e reincidência</w:t>
      </w:r>
      <w:bookmarkEnd w:id="47"/>
    </w:p>
    <w:p w14:paraId="5B91021E" w14:textId="77777777" w:rsidR="00560F38" w:rsidRDefault="00000000">
      <w:pPr>
        <w:spacing w:before="80" w:after="80" w:line="276" w:lineRule="auto"/>
        <w:jc w:val="both"/>
      </w:pPr>
      <w:r>
        <w:t>Maus antecedentes e reincidência não se confundem e não podem ser valorados simultaneamente sobre o mesmo registro, sob pena de dupla penalização pelo mesmo fato (Súmula 241/STJ). A regra operacional é:</w:t>
      </w:r>
    </w:p>
    <w:p w14:paraId="7EB5F1F2" w14:textId="77777777" w:rsidR="001528BF" w:rsidRPr="001528BF" w:rsidRDefault="001528BF" w:rsidP="001528BF">
      <w:pPr>
        <w:pStyle w:val="PargrafodaLista"/>
        <w:numPr>
          <w:ilvl w:val="0"/>
          <w:numId w:val="2"/>
        </w:numPr>
        <w:spacing w:before="60" w:after="60" w:line="260" w:lineRule="auto"/>
        <w:jc w:val="both"/>
      </w:pPr>
      <w:r>
        <w:t>Se houver uma penalidade vigente (ou seja, que satisfaça os requisitos temporais do art. 131) e que configure reincidência, se a nova conduta for punível com advertência, aquela penalidade vigente opera como reincidência na segunda fase (efeito conversor), não podendo ser valorada como mau antecedente (ma3).</w:t>
      </w:r>
    </w:p>
    <w:p w14:paraId="250FD1CB" w14:textId="42B40BFB" w:rsidR="001528BF" w:rsidRPr="001528BF" w:rsidRDefault="001528BF" w:rsidP="001528BF">
      <w:pPr>
        <w:pStyle w:val="PargrafodaLista"/>
        <w:numPr>
          <w:ilvl w:val="0"/>
          <w:numId w:val="2"/>
        </w:numPr>
        <w:spacing w:before="60" w:after="60" w:line="260" w:lineRule="auto"/>
        <w:jc w:val="both"/>
      </w:pPr>
      <w:r>
        <w:t>Se houver mais de uma penalidade vigente, a primeira serve como elemento conversor na segunda fase; as demais são valoradas como maus antecedentes (ma3).</w:t>
      </w:r>
    </w:p>
    <w:p w14:paraId="6AF01C67" w14:textId="7A1E3AA2" w:rsidR="001528BF" w:rsidRPr="001528BF" w:rsidRDefault="001528BF" w:rsidP="001528BF">
      <w:pPr>
        <w:pStyle w:val="PargrafodaLista"/>
        <w:numPr>
          <w:ilvl w:val="0"/>
          <w:numId w:val="2"/>
        </w:numPr>
        <w:spacing w:before="60" w:after="60" w:line="260" w:lineRule="auto"/>
        <w:jc w:val="both"/>
      </w:pPr>
      <w:r>
        <w:t>Se houver registros de penalidade vigente que não configurem reincidência, todos esses registros devem ser valorados como maus antecedentes (ma3), não gerando obrigatoriedade de suspensão.</w:t>
      </w:r>
    </w:p>
    <w:p w14:paraId="7C27AA7A" w14:textId="254070D1" w:rsidR="00560F38" w:rsidRDefault="00560F38" w:rsidP="001528BF">
      <w:pPr>
        <w:pStyle w:val="PargrafodaLista"/>
        <w:spacing w:before="60" w:after="60" w:line="260" w:lineRule="auto"/>
        <w:ind w:left="540"/>
        <w:jc w:val="both"/>
      </w:pPr>
    </w:p>
    <w:p w14:paraId="18C3F625" w14:textId="77777777" w:rsidR="00560F38" w:rsidRDefault="00000000">
      <w:pPr>
        <w:pStyle w:val="Ttulo1"/>
      </w:pPr>
      <w:bookmarkStart w:id="48" w:name="_Toc232175893"/>
      <w:r>
        <w:t>10. A Reincidência (Segunda Fase)</w:t>
      </w:r>
      <w:bookmarkEnd w:id="48"/>
    </w:p>
    <w:p w14:paraId="30C6AB9B" w14:textId="77777777" w:rsidR="00560F38" w:rsidRDefault="00000000">
      <w:pPr>
        <w:spacing w:before="80" w:after="80" w:line="276" w:lineRule="auto"/>
        <w:jc w:val="both"/>
      </w:pPr>
      <w:r>
        <w:t xml:space="preserve">Base legal: </w:t>
      </w:r>
      <w:r>
        <w:rPr>
          <w:b/>
          <w:bCs/>
        </w:rPr>
        <w:t>art. 130, caput, e art. 131.</w:t>
      </w:r>
    </w:p>
    <w:p w14:paraId="50B21BB2" w14:textId="77777777" w:rsidR="00560F38" w:rsidRDefault="00560F38"/>
    <w:p w14:paraId="5BDD52F4" w14:textId="77777777" w:rsidR="00560F38" w:rsidRDefault="00000000">
      <w:pPr>
        <w:spacing w:before="80" w:after="80" w:line="276" w:lineRule="auto"/>
        <w:jc w:val="both"/>
      </w:pPr>
      <w:r>
        <w:lastRenderedPageBreak/>
        <w:t>A reincidência não pertence aos elementos balizadores do art. 128. Ela é verificada ao término da dosimetria, com função específica: salvaguardar a aplicação da suspensão ao servidor reincidente na prática de faltas leves (art. 130, caput). Por isso a metodologia a trata em segunda fase.</w:t>
      </w:r>
    </w:p>
    <w:p w14:paraId="54C44BEE" w14:textId="77777777" w:rsidR="00560F38" w:rsidRDefault="00560F38"/>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60F38" w14:paraId="54B16978" w14:textId="77777777">
        <w:tblPrEx>
          <w:tblCellMar>
            <w:top w:w="0" w:type="dxa"/>
            <w:bottom w:w="0" w:type="dxa"/>
          </w:tblCellMar>
        </w:tblPrEx>
        <w:tc>
          <w:tcPr>
            <w:tcW w:w="9360" w:type="dxa"/>
            <w:tcBorders>
              <w:top w:val="single" w:sz="4" w:space="0" w:color="2E5090"/>
              <w:left w:val="single" w:sz="4" w:space="0" w:color="2E5090"/>
              <w:bottom w:val="single" w:sz="4" w:space="0" w:color="2E5090"/>
              <w:right w:val="single" w:sz="4" w:space="0" w:color="2E5090"/>
            </w:tcBorders>
            <w:shd w:val="clear" w:color="auto" w:fill="EEF2F7"/>
            <w:tcMar>
              <w:top w:w="100" w:type="dxa"/>
              <w:left w:w="180" w:type="dxa"/>
              <w:bottom w:w="100" w:type="dxa"/>
              <w:right w:w="180" w:type="dxa"/>
            </w:tcMar>
          </w:tcPr>
          <w:p w14:paraId="09A1DBE1" w14:textId="77777777" w:rsidR="00560F38" w:rsidRDefault="00000000">
            <w:pPr>
              <w:spacing w:before="60" w:after="40"/>
            </w:pPr>
            <w:r>
              <w:rPr>
                <w:b/>
                <w:bCs/>
                <w:color w:val="2E5090"/>
                <w:sz w:val="18"/>
                <w:szCs w:val="18"/>
              </w:rPr>
              <w:t>ART. 130</w:t>
            </w:r>
          </w:p>
          <w:p w14:paraId="217D083A" w14:textId="77777777" w:rsidR="00560F38" w:rsidRDefault="00000000">
            <w:pPr>
              <w:spacing w:before="40" w:after="60" w:line="260" w:lineRule="auto"/>
              <w:jc w:val="both"/>
            </w:pPr>
            <w:r>
              <w:rPr>
                <w:i/>
                <w:iCs/>
                <w:sz w:val="18"/>
                <w:szCs w:val="18"/>
              </w:rPr>
              <w:t>A suspensão será aplicada em caso de reincidência das faltas punidas com advertência e de violação das demais proibições que não tipifiquem infração sujeita a penalidade de demissão, não podendo exceder de 90 dias.</w:t>
            </w:r>
          </w:p>
        </w:tc>
      </w:tr>
    </w:tbl>
    <w:p w14:paraId="3527F69D" w14:textId="77777777" w:rsidR="00560F38" w:rsidRDefault="00560F38"/>
    <w:p w14:paraId="592CAC97" w14:textId="77777777" w:rsidR="00560F38" w:rsidRDefault="00000000">
      <w:pPr>
        <w:pStyle w:val="Ttulo2"/>
      </w:pPr>
      <w:bookmarkStart w:id="49" w:name="_Toc232175894"/>
      <w:r>
        <w:t>10.1 Conceito e requisitos</w:t>
      </w:r>
      <w:bookmarkEnd w:id="49"/>
    </w:p>
    <w:p w14:paraId="21E6089B" w14:textId="4D517D5D" w:rsidR="00560F38" w:rsidRDefault="001528BF">
      <w:pPr>
        <w:spacing w:before="80" w:after="80" w:line="276" w:lineRule="auto"/>
        <w:jc w:val="both"/>
      </w:pPr>
      <w:r>
        <w:t>A reincidência prevista na Lei nº 8.112/1990 é a genérica: basta a ocorrência de uma segunda transgressão disciplinar qualquer punível com advertência ou suspensão. Requisitos: (a) um mesmo infrator; (b) decisão anterior definitiva condenando esse infrator e efetivamente aplicando-lhe pena de advertência ou de suspensão; (c) cometimento de nova infração punível com advertência ou suspensão, em menos de três anos de ter sofrido a advertência ou em menos de cinco anos de ter sofrido a suspensão. O prazo de vigência da primeira pena (três ou cinco anos da data da aplicação, ou seja, da data de publicação da portaria punitiva) se extrai do art. 131, pois, uma vez transpassado, o registro é cancelado e não pode mais gerar nenhum efeito jurídico contra o servidor, no que se a impossibilidade de fundamentar reincidência.</w:t>
      </w:r>
    </w:p>
    <w:p w14:paraId="10E4DD6E" w14:textId="77777777" w:rsidR="00560F38" w:rsidRDefault="00000000">
      <w:pPr>
        <w:pStyle w:val="Ttulo2"/>
      </w:pPr>
      <w:bookmarkStart w:id="50" w:name="_Toc232175895"/>
      <w:r>
        <w:t>10.2 O efeito exclusivamente conversor</w:t>
      </w:r>
      <w:bookmarkEnd w:id="50"/>
    </w:p>
    <w:p w14:paraId="370F8480" w14:textId="77777777" w:rsidR="00560F38" w:rsidRDefault="00000000">
      <w:pPr>
        <w:spacing w:before="80" w:after="80" w:line="276" w:lineRule="auto"/>
        <w:jc w:val="both"/>
      </w:pPr>
      <w:r>
        <w:t>Na Calculadora, a reincidência tem função estritamente conversora: transforma a advertência resultante da primeira fase em suspensão de 1 dia. Se a primeira fase já resultou em suspensão, a reincidência apenas confirma a penalidade — não agrava o número de dias.</w:t>
      </w:r>
    </w:p>
    <w:p w14:paraId="695AFD89" w14:textId="77777777" w:rsidR="00560F38" w:rsidRDefault="00560F38"/>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60F38" w14:paraId="3E92248B" w14:textId="77777777">
        <w:tblPrEx>
          <w:tblCellMar>
            <w:top w:w="0" w:type="dxa"/>
            <w:bottom w:w="0" w:type="dxa"/>
          </w:tblCellMar>
        </w:tblPrEx>
        <w:tc>
          <w:tcPr>
            <w:tcW w:w="9360" w:type="dxa"/>
            <w:tcBorders>
              <w:top w:val="single" w:sz="4" w:space="0" w:color="1F3864"/>
              <w:left w:val="single" w:sz="4" w:space="0" w:color="1F3864"/>
              <w:bottom w:val="single" w:sz="4" w:space="0" w:color="1F3864"/>
              <w:right w:val="single" w:sz="4" w:space="0" w:color="1F3864"/>
            </w:tcBorders>
            <w:shd w:val="clear" w:color="auto" w:fill="EEF2F7"/>
            <w:tcMar>
              <w:top w:w="100" w:type="dxa"/>
              <w:left w:w="180" w:type="dxa"/>
              <w:bottom w:w="100" w:type="dxa"/>
              <w:right w:w="180" w:type="dxa"/>
            </w:tcMar>
          </w:tcPr>
          <w:p w14:paraId="62BD6535" w14:textId="77777777" w:rsidR="00560F38" w:rsidRDefault="00000000">
            <w:pPr>
              <w:spacing w:before="60" w:after="40"/>
            </w:pPr>
            <w:r>
              <w:rPr>
                <w:b/>
                <w:bCs/>
                <w:color w:val="1F3864"/>
                <w:sz w:val="18"/>
                <w:szCs w:val="18"/>
              </w:rPr>
              <w:t>NOTA</w:t>
            </w:r>
          </w:p>
          <w:p w14:paraId="16E08670" w14:textId="77777777" w:rsidR="00560F38" w:rsidRDefault="00000000">
            <w:pPr>
              <w:spacing w:before="40" w:after="60" w:line="260" w:lineRule="auto"/>
              <w:jc w:val="both"/>
            </w:pPr>
            <w:r>
              <w:rPr>
                <w:i/>
                <w:iCs/>
                <w:sz w:val="18"/>
                <w:szCs w:val="18"/>
              </w:rPr>
              <w:t>A majoração da reprovabilidade decorrente do histórico disciplinar já é capturada pelos maus antecedentes (Elemento 5). Permitir que a reincidência também aumentasse os dias de suspensão duplicaria a valoração do mesmo histórico, em ofensa ao ne bis in idem (Súmula 241/STJ).</w:t>
            </w:r>
          </w:p>
        </w:tc>
      </w:tr>
    </w:tbl>
    <w:p w14:paraId="0790C8A2" w14:textId="77777777" w:rsidR="00560F38" w:rsidRDefault="00000000">
      <w:pPr>
        <w:pStyle w:val="Ttulo1"/>
      </w:pPr>
      <w:bookmarkStart w:id="51" w:name="_Toc232175896"/>
      <w:r>
        <w:t>11. Concurso Material de Infrações</w:t>
      </w:r>
      <w:bookmarkEnd w:id="51"/>
    </w:p>
    <w:p w14:paraId="586DA40D" w14:textId="77777777" w:rsidR="00560F38" w:rsidRDefault="00000000">
      <w:pPr>
        <w:spacing w:before="80" w:after="80" w:line="276" w:lineRule="auto"/>
        <w:jc w:val="both"/>
      </w:pPr>
      <w:r>
        <w:t xml:space="preserve">Base legal: </w:t>
      </w:r>
      <w:r>
        <w:rPr>
          <w:b/>
          <w:bCs/>
        </w:rPr>
        <w:t>art. 128 c/c art. 130.</w:t>
      </w:r>
    </w:p>
    <w:p w14:paraId="013B5F38" w14:textId="77777777" w:rsidR="00560F38" w:rsidRDefault="00560F38"/>
    <w:p w14:paraId="5DC08850" w14:textId="77777777" w:rsidR="00560F38" w:rsidRDefault="00000000">
      <w:pPr>
        <w:spacing w:before="80" w:after="80" w:line="276" w:lineRule="auto"/>
        <w:jc w:val="both"/>
      </w:pPr>
      <w:r>
        <w:t>O Regime de Concurso aplica-se quando o servidor pratica duas ou mais infrações disciplinares autônomas apuradas no mesmo processo.</w:t>
      </w:r>
    </w:p>
    <w:p w14:paraId="3E3A3BE8" w14:textId="77777777" w:rsidR="00560F38" w:rsidRDefault="00000000">
      <w:pPr>
        <w:pStyle w:val="Ttulo2"/>
      </w:pPr>
      <w:bookmarkStart w:id="52" w:name="_Toc232175897"/>
      <w:r>
        <w:t>11.1 Regras de consolidação</w:t>
      </w:r>
      <w:bookmarkEnd w:id="52"/>
    </w:p>
    <w:p w14:paraId="5B19063A" w14:textId="77777777" w:rsidR="00560F38" w:rsidRDefault="00000000" w:rsidP="001528BF">
      <w:pPr>
        <w:pStyle w:val="PargrafodaLista"/>
        <w:numPr>
          <w:ilvl w:val="0"/>
          <w:numId w:val="2"/>
        </w:numPr>
        <w:spacing w:before="60" w:after="60" w:line="260" w:lineRule="auto"/>
        <w:jc w:val="both"/>
      </w:pPr>
      <w:r>
        <w:t>Se todas as infrações resultarem em advertência, a penalidade final é advertência.</w:t>
      </w:r>
    </w:p>
    <w:p w14:paraId="6A10BBD4" w14:textId="77777777" w:rsidR="00560F38" w:rsidRDefault="00000000" w:rsidP="001528BF">
      <w:pPr>
        <w:pStyle w:val="PargrafodaLista"/>
        <w:numPr>
          <w:ilvl w:val="0"/>
          <w:numId w:val="2"/>
        </w:numPr>
        <w:spacing w:before="60" w:after="60" w:line="260" w:lineRule="auto"/>
        <w:jc w:val="both"/>
      </w:pPr>
      <w:r>
        <w:t>Se ao menos uma infração resultar em suspensão, a advertência é absorvida pela suspensão.</w:t>
      </w:r>
    </w:p>
    <w:p w14:paraId="1F02AF46" w14:textId="77777777" w:rsidR="00560F38" w:rsidRDefault="00000000" w:rsidP="001528BF">
      <w:pPr>
        <w:pStyle w:val="PargrafodaLista"/>
        <w:numPr>
          <w:ilvl w:val="0"/>
          <w:numId w:val="2"/>
        </w:numPr>
        <w:spacing w:before="60" w:after="60" w:line="260" w:lineRule="auto"/>
        <w:jc w:val="both"/>
      </w:pPr>
      <w:r>
        <w:t>Duas ou mais suspensões são somadas, limitando-se o total a 90 dias. Se o resultado for zero dias e houver advertência, a ferramenta retorna advertência.</w:t>
      </w:r>
    </w:p>
    <w:p w14:paraId="450AE28D" w14:textId="77777777" w:rsidR="00560F38" w:rsidRDefault="00560F38"/>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60F38" w14:paraId="35947210" w14:textId="77777777">
        <w:tblPrEx>
          <w:tblCellMar>
            <w:top w:w="0" w:type="dxa"/>
            <w:bottom w:w="0" w:type="dxa"/>
          </w:tblCellMar>
        </w:tblPrEx>
        <w:tc>
          <w:tcPr>
            <w:tcW w:w="9360" w:type="dxa"/>
            <w:tcBorders>
              <w:top w:val="single" w:sz="4" w:space="0" w:color="1F3864"/>
              <w:left w:val="single" w:sz="4" w:space="0" w:color="1F3864"/>
              <w:bottom w:val="single" w:sz="4" w:space="0" w:color="1F3864"/>
              <w:right w:val="single" w:sz="4" w:space="0" w:color="1F3864"/>
            </w:tcBorders>
            <w:shd w:val="clear" w:color="auto" w:fill="EEF2F7"/>
            <w:tcMar>
              <w:top w:w="100" w:type="dxa"/>
              <w:left w:w="180" w:type="dxa"/>
              <w:bottom w:w="100" w:type="dxa"/>
              <w:right w:w="180" w:type="dxa"/>
            </w:tcMar>
          </w:tcPr>
          <w:p w14:paraId="4DA2180F" w14:textId="77777777" w:rsidR="00560F38" w:rsidRDefault="00000000">
            <w:pPr>
              <w:spacing w:before="60" w:after="40"/>
            </w:pPr>
            <w:r>
              <w:rPr>
                <w:b/>
                <w:bCs/>
                <w:color w:val="1F3864"/>
                <w:sz w:val="18"/>
                <w:szCs w:val="18"/>
              </w:rPr>
              <w:t>NOTA</w:t>
            </w:r>
          </w:p>
          <w:p w14:paraId="5E81D34F" w14:textId="77777777" w:rsidR="00560F38" w:rsidRDefault="00000000">
            <w:pPr>
              <w:spacing w:before="40" w:after="60" w:line="260" w:lineRule="auto"/>
              <w:jc w:val="both"/>
            </w:pPr>
            <w:r>
              <w:rPr>
                <w:i/>
                <w:iCs/>
                <w:sz w:val="18"/>
                <w:szCs w:val="18"/>
              </w:rPr>
              <w:t>No Regime de Concurso, o operador insere a Soma Total calculada individualmente para cada infração. Recomenda-se realizar dosimetrias individuais completas antes de inserir os resultados na tela de Concurso. O sistema alerta quando a soma das suspensões ultrapassar 90 dias.</w:t>
            </w:r>
          </w:p>
        </w:tc>
      </w:tr>
    </w:tbl>
    <w:p w14:paraId="1AE8AD07" w14:textId="77777777" w:rsidR="00560F38" w:rsidRDefault="00000000">
      <w:r>
        <w:br w:type="page"/>
      </w:r>
    </w:p>
    <w:p w14:paraId="6B429785" w14:textId="77777777" w:rsidR="00560F38" w:rsidRDefault="00000000">
      <w:pPr>
        <w:shd w:val="clear" w:color="auto" w:fill="1F3864"/>
        <w:spacing w:before="200" w:after="200"/>
        <w:jc w:val="center"/>
      </w:pPr>
      <w:r>
        <w:rPr>
          <w:b/>
          <w:bCs/>
          <w:color w:val="FFFFFF"/>
          <w:sz w:val="28"/>
          <w:szCs w:val="28"/>
        </w:rPr>
        <w:lastRenderedPageBreak/>
        <w:t>PARTE IV — TERMO DE AJUSTAMENTO DE CONDUTA</w:t>
      </w:r>
    </w:p>
    <w:p w14:paraId="74BBA912" w14:textId="77777777" w:rsidR="00560F38" w:rsidRDefault="00000000">
      <w:pPr>
        <w:pStyle w:val="Ttulo1"/>
      </w:pPr>
      <w:bookmarkStart w:id="53" w:name="_Toc232175898"/>
      <w:r>
        <w:t>12. Admissibilidade do Termo de Ajustamento de Conduta</w:t>
      </w:r>
      <w:bookmarkEnd w:id="53"/>
    </w:p>
    <w:p w14:paraId="5E521D22" w14:textId="77777777" w:rsidR="00560F38" w:rsidRDefault="00000000">
      <w:pPr>
        <w:spacing w:before="80" w:after="80" w:line="276" w:lineRule="auto"/>
        <w:jc w:val="both"/>
      </w:pPr>
      <w:r>
        <w:t xml:space="preserve">Base legal: </w:t>
      </w:r>
      <w:r>
        <w:rPr>
          <w:b/>
          <w:bCs/>
        </w:rPr>
        <w:t>arts. 62 a 72 da Portaria Normativa CGU nº 27/2022</w:t>
      </w:r>
      <w:r>
        <w:t>; art. 46.</w:t>
      </w:r>
    </w:p>
    <w:p w14:paraId="0F349C76" w14:textId="77777777" w:rsidR="00560F38" w:rsidRDefault="00560F38"/>
    <w:p w14:paraId="70631F0D" w14:textId="77777777" w:rsidR="00560F38" w:rsidRDefault="00000000">
      <w:pPr>
        <w:spacing w:before="80" w:after="80" w:line="276" w:lineRule="auto"/>
        <w:jc w:val="both"/>
      </w:pPr>
      <w:r>
        <w:t>O TAC é instrumento pelo qual o servidor se compromete a cumprir obrigações específicas em substituição à penalidade disciplinar. A Calculadora verifica a elegibilidade em três camadas sequenciais; reprovado em qualquer camada, o TAC é inviável.</w:t>
      </w:r>
    </w:p>
    <w:p w14:paraId="25AB1ACE" w14:textId="77777777" w:rsidR="00560F38" w:rsidRDefault="00000000">
      <w:pPr>
        <w:pStyle w:val="Ttulo2"/>
      </w:pPr>
      <w:bookmarkStart w:id="54" w:name="_Toc232175899"/>
      <w:r>
        <w:t>12.1 Camada 1 — Elegibilidade da infração (art. 62)</w:t>
      </w:r>
      <w:bookmarkEnd w:id="54"/>
    </w:p>
    <w:p w14:paraId="303005A9" w14:textId="77777777" w:rsidR="00560F38" w:rsidRDefault="00000000">
      <w:pPr>
        <w:spacing w:before="80" w:after="80" w:line="276" w:lineRule="auto"/>
        <w:jc w:val="both"/>
      </w:pPr>
      <w:r>
        <w:t>O art. 62 admite o instrumento para infrações culposas ou dolosas punidas com advertência ou suspensão de até 30 dias; suspensões superiores o inviabilizam. Para servidor não ocupante de cargo efetivo e empregado público, o TAC somente é admissível nas infrações puníveis com advertência (parágrafo único do art. 62).</w:t>
      </w:r>
    </w:p>
    <w:p w14:paraId="3D560068" w14:textId="77777777" w:rsidR="00560F38" w:rsidRDefault="00560F38"/>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0"/>
        <w:gridCol w:w="4560"/>
      </w:tblGrid>
      <w:tr w:rsidR="00560F38" w14:paraId="729328A6" w14:textId="77777777">
        <w:tblPrEx>
          <w:tblCellMar>
            <w:top w:w="0" w:type="dxa"/>
            <w:bottom w:w="0" w:type="dxa"/>
          </w:tblCellMar>
        </w:tblPrEx>
        <w:tc>
          <w:tcPr>
            <w:tcW w:w="4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75A71B8" w14:textId="77777777" w:rsidR="00560F38" w:rsidRDefault="00000000">
            <w:pPr>
              <w:jc w:val="both"/>
            </w:pPr>
            <w:r>
              <w:rPr>
                <w:b/>
                <w:bCs/>
                <w:color w:val="FFFFFF"/>
                <w:sz w:val="18"/>
                <w:szCs w:val="18"/>
              </w:rPr>
              <w:t>Condição</w:t>
            </w:r>
          </w:p>
        </w:tc>
        <w:tc>
          <w:tcPr>
            <w:tcW w:w="45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3C974D0" w14:textId="77777777" w:rsidR="00560F38" w:rsidRDefault="00000000">
            <w:pPr>
              <w:jc w:val="both"/>
            </w:pPr>
            <w:r>
              <w:rPr>
                <w:b/>
                <w:bCs/>
                <w:color w:val="FFFFFF"/>
                <w:sz w:val="18"/>
                <w:szCs w:val="18"/>
              </w:rPr>
              <w:t>Resultado</w:t>
            </w:r>
          </w:p>
        </w:tc>
      </w:tr>
      <w:tr w:rsidR="00560F38" w14:paraId="5E4F6095" w14:textId="77777777">
        <w:tblPrEx>
          <w:tblCellMar>
            <w:top w:w="0" w:type="dxa"/>
            <w:bottom w:w="0" w:type="dxa"/>
          </w:tblCellMar>
        </w:tblPrEx>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8B6763" w14:textId="77777777" w:rsidR="00560F38" w:rsidRDefault="00000000">
            <w:pPr>
              <w:jc w:val="both"/>
            </w:pPr>
            <w:r>
              <w:rPr>
                <w:color w:val="000000"/>
                <w:sz w:val="18"/>
                <w:szCs w:val="18"/>
              </w:rPr>
              <w:t>Penalidade = advertência</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09F6D8" w14:textId="77777777" w:rsidR="00560F38" w:rsidRDefault="00000000">
            <w:pPr>
              <w:jc w:val="both"/>
            </w:pPr>
            <w:r>
              <w:rPr>
                <w:color w:val="000000"/>
                <w:sz w:val="18"/>
                <w:szCs w:val="18"/>
              </w:rPr>
              <w:t>VIÁVEL</w:t>
            </w:r>
          </w:p>
        </w:tc>
      </w:tr>
      <w:tr w:rsidR="00560F38" w14:paraId="358941C3" w14:textId="77777777">
        <w:tblPrEx>
          <w:tblCellMar>
            <w:top w:w="0" w:type="dxa"/>
            <w:bottom w:w="0" w:type="dxa"/>
          </w:tblCellMar>
        </w:tblPrEx>
        <w:tc>
          <w:tcPr>
            <w:tcW w:w="4800" w:type="dxa"/>
            <w:tcBorders>
              <w:top w:val="single" w:sz="1" w:space="0" w:color="CCCCCC"/>
              <w:left w:val="single" w:sz="1" w:space="0" w:color="CCCCCC"/>
              <w:bottom w:val="single" w:sz="1" w:space="0" w:color="CCCCCC"/>
              <w:right w:val="single" w:sz="1" w:space="0" w:color="CCCCCC"/>
            </w:tcBorders>
            <w:shd w:val="clear" w:color="auto" w:fill="F5F7FB"/>
            <w:tcMar>
              <w:top w:w="80" w:type="dxa"/>
              <w:left w:w="120" w:type="dxa"/>
              <w:bottom w:w="80" w:type="dxa"/>
              <w:right w:w="120" w:type="dxa"/>
            </w:tcMar>
          </w:tcPr>
          <w:p w14:paraId="26392319" w14:textId="77777777" w:rsidR="00560F38" w:rsidRDefault="00000000">
            <w:pPr>
              <w:jc w:val="both"/>
            </w:pPr>
            <w:r>
              <w:rPr>
                <w:color w:val="000000"/>
                <w:sz w:val="18"/>
                <w:szCs w:val="18"/>
              </w:rPr>
              <w:t>Penalidade = suspensão ≤ 30 dias e vínculo efetivo</w:t>
            </w:r>
          </w:p>
        </w:tc>
        <w:tc>
          <w:tcPr>
            <w:tcW w:w="4560" w:type="dxa"/>
            <w:tcBorders>
              <w:top w:val="single" w:sz="1" w:space="0" w:color="CCCCCC"/>
              <w:left w:val="single" w:sz="1" w:space="0" w:color="CCCCCC"/>
              <w:bottom w:val="single" w:sz="1" w:space="0" w:color="CCCCCC"/>
              <w:right w:val="single" w:sz="1" w:space="0" w:color="CCCCCC"/>
            </w:tcBorders>
            <w:shd w:val="clear" w:color="auto" w:fill="F5F7FB"/>
            <w:tcMar>
              <w:top w:w="80" w:type="dxa"/>
              <w:left w:w="120" w:type="dxa"/>
              <w:bottom w:w="80" w:type="dxa"/>
              <w:right w:w="120" w:type="dxa"/>
            </w:tcMar>
          </w:tcPr>
          <w:p w14:paraId="7904504B" w14:textId="77777777" w:rsidR="00560F38" w:rsidRDefault="00000000">
            <w:pPr>
              <w:jc w:val="both"/>
            </w:pPr>
            <w:r>
              <w:rPr>
                <w:color w:val="000000"/>
                <w:sz w:val="18"/>
                <w:szCs w:val="18"/>
              </w:rPr>
              <w:t>VIÁVEL</w:t>
            </w:r>
          </w:p>
        </w:tc>
      </w:tr>
      <w:tr w:rsidR="00560F38" w14:paraId="4BEC2141" w14:textId="77777777">
        <w:tblPrEx>
          <w:tblCellMar>
            <w:top w:w="0" w:type="dxa"/>
            <w:bottom w:w="0" w:type="dxa"/>
          </w:tblCellMar>
        </w:tblPrEx>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AC9AB2" w14:textId="77777777" w:rsidR="00560F38" w:rsidRDefault="00000000">
            <w:pPr>
              <w:jc w:val="both"/>
            </w:pPr>
            <w:r>
              <w:rPr>
                <w:color w:val="000000"/>
                <w:sz w:val="18"/>
                <w:szCs w:val="18"/>
              </w:rPr>
              <w:t>Penalidade = suspensão ≤ 30 dias e vínculo não efetivo</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B79C19" w14:textId="77777777" w:rsidR="00560F38" w:rsidRDefault="00000000">
            <w:pPr>
              <w:jc w:val="both"/>
            </w:pPr>
            <w:r>
              <w:rPr>
                <w:color w:val="000000"/>
                <w:sz w:val="18"/>
                <w:szCs w:val="18"/>
              </w:rPr>
              <w:t>INVIÁVEL — TAC só admissível para advertência (art. 62, §único)</w:t>
            </w:r>
          </w:p>
        </w:tc>
      </w:tr>
      <w:tr w:rsidR="00560F38" w14:paraId="2441D3B2" w14:textId="77777777">
        <w:tblPrEx>
          <w:tblCellMar>
            <w:top w:w="0" w:type="dxa"/>
            <w:bottom w:w="0" w:type="dxa"/>
          </w:tblCellMar>
        </w:tblPrEx>
        <w:tc>
          <w:tcPr>
            <w:tcW w:w="4800" w:type="dxa"/>
            <w:tcBorders>
              <w:top w:val="single" w:sz="1" w:space="0" w:color="CCCCCC"/>
              <w:left w:val="single" w:sz="1" w:space="0" w:color="CCCCCC"/>
              <w:bottom w:val="single" w:sz="1" w:space="0" w:color="CCCCCC"/>
              <w:right w:val="single" w:sz="1" w:space="0" w:color="CCCCCC"/>
            </w:tcBorders>
            <w:shd w:val="clear" w:color="auto" w:fill="F5F7FB"/>
            <w:tcMar>
              <w:top w:w="80" w:type="dxa"/>
              <w:left w:w="120" w:type="dxa"/>
              <w:bottom w:w="80" w:type="dxa"/>
              <w:right w:w="120" w:type="dxa"/>
            </w:tcMar>
          </w:tcPr>
          <w:p w14:paraId="3CC4A0F7" w14:textId="77777777" w:rsidR="00560F38" w:rsidRDefault="00000000">
            <w:pPr>
              <w:jc w:val="both"/>
            </w:pPr>
            <w:r>
              <w:rPr>
                <w:color w:val="000000"/>
                <w:sz w:val="18"/>
                <w:szCs w:val="18"/>
              </w:rPr>
              <w:t>Penalidade = suspensão &gt; 30 dias</w:t>
            </w:r>
          </w:p>
        </w:tc>
        <w:tc>
          <w:tcPr>
            <w:tcW w:w="4560" w:type="dxa"/>
            <w:tcBorders>
              <w:top w:val="single" w:sz="1" w:space="0" w:color="CCCCCC"/>
              <w:left w:val="single" w:sz="1" w:space="0" w:color="CCCCCC"/>
              <w:bottom w:val="single" w:sz="1" w:space="0" w:color="CCCCCC"/>
              <w:right w:val="single" w:sz="1" w:space="0" w:color="CCCCCC"/>
            </w:tcBorders>
            <w:shd w:val="clear" w:color="auto" w:fill="F5F7FB"/>
            <w:tcMar>
              <w:top w:w="80" w:type="dxa"/>
              <w:left w:w="120" w:type="dxa"/>
              <w:bottom w:w="80" w:type="dxa"/>
              <w:right w:w="120" w:type="dxa"/>
            </w:tcMar>
          </w:tcPr>
          <w:p w14:paraId="5E600237" w14:textId="77777777" w:rsidR="00560F38" w:rsidRDefault="00000000">
            <w:pPr>
              <w:jc w:val="both"/>
            </w:pPr>
            <w:r>
              <w:rPr>
                <w:color w:val="000000"/>
                <w:sz w:val="18"/>
                <w:szCs w:val="18"/>
              </w:rPr>
              <w:t>INVIÁVEL — penalidade excede o limite (art. 62)</w:t>
            </w:r>
          </w:p>
        </w:tc>
      </w:tr>
    </w:tbl>
    <w:p w14:paraId="0C6313BB" w14:textId="77777777" w:rsidR="00560F38" w:rsidRDefault="00560F38"/>
    <w:p w14:paraId="4FF8AC06" w14:textId="77777777" w:rsidR="00560F38" w:rsidRDefault="00000000">
      <w:pPr>
        <w:pStyle w:val="Ttulo2"/>
      </w:pPr>
      <w:bookmarkStart w:id="55" w:name="_Toc232175900"/>
      <w:r>
        <w:t>12.2 Camada 2 — Elegibilidade do servidor (art. 63)</w:t>
      </w:r>
      <w:bookmarkEnd w:id="55"/>
    </w:p>
    <w:p w14:paraId="11EC39C6" w14:textId="77777777" w:rsidR="00560F38" w:rsidRDefault="00000000">
      <w:pPr>
        <w:spacing w:before="80" w:after="80" w:line="276" w:lineRule="auto"/>
        <w:jc w:val="both"/>
      </w:pPr>
      <w:r>
        <w:t>Três condições cumulativas:</w:t>
      </w:r>
    </w:p>
    <w:p w14:paraId="2E71215F" w14:textId="77777777" w:rsidR="00560F38" w:rsidRDefault="00000000">
      <w:pPr>
        <w:pStyle w:val="PargrafodaLista"/>
        <w:numPr>
          <w:ilvl w:val="0"/>
          <w:numId w:val="2"/>
        </w:numPr>
        <w:spacing w:before="60" w:after="60" w:line="260" w:lineRule="auto"/>
      </w:pPr>
      <w:r>
        <w:t>Ausência de registro vigente de penalidade disciplinar (prazos do art. 131). A reincidência implica existência de registro vigente — além de impor suspensão, veta o TAC quando a suspensão calculada for de até 30 dias. O contrário não é verdadeiro: registro vigente não implica necessariamente reincidência. Atenção: se o operador indicar ausência de registro vigente na tela de elegibilidade do TAC e, posteriormente, confirmar reincidência, a Calculadora desconsiderará automaticamente o "Não" informado na tela de dados TAC e fará prevalecer o "Sim" resultante da reincidência confirmada na Tela 9, vedando o TAC (art. 63, I, Portaria CGU 27/2022).</w:t>
      </w:r>
    </w:p>
    <w:p w14:paraId="4519F514" w14:textId="77777777" w:rsidR="00560F38" w:rsidRDefault="00000000">
      <w:pPr>
        <w:pStyle w:val="PargrafodaLista"/>
        <w:numPr>
          <w:ilvl w:val="0"/>
          <w:numId w:val="2"/>
        </w:numPr>
        <w:spacing w:before="60" w:after="60" w:line="260" w:lineRule="auto"/>
      </w:pPr>
      <w:r>
        <w:t>Ausência de TAC firmado nos últimos 2 anos — ressalvado o art. 63, § 1º: admissível quando a infração ora apurada for anterior ao TAC anteriormente firmado.</w:t>
      </w:r>
    </w:p>
    <w:p w14:paraId="0FDBE99E" w14:textId="77777777" w:rsidR="00560F38" w:rsidRDefault="00000000">
      <w:pPr>
        <w:pStyle w:val="PargrafodaLista"/>
        <w:numPr>
          <w:ilvl w:val="0"/>
          <w:numId w:val="2"/>
        </w:numPr>
        <w:spacing w:before="60" w:after="60" w:line="260" w:lineRule="auto"/>
      </w:pPr>
      <w:r>
        <w:t>Ressarcimento do dano ou compromisso formal de ressarcimento, quando houver dano à Administração (art. 63, III, c/c art. 46).</w:t>
      </w:r>
    </w:p>
    <w:p w14:paraId="029E14B7" w14:textId="77777777" w:rsidR="00560F38" w:rsidRDefault="00000000">
      <w:pPr>
        <w:pStyle w:val="Ttulo2"/>
      </w:pPr>
      <w:bookmarkStart w:id="56" w:name="_Toc232175901"/>
      <w:r>
        <w:t>12.3 Camada 3 — Proporcionalidade das obrigações (art. 68)</w:t>
      </w:r>
      <w:bookmarkEnd w:id="5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200"/>
        <w:gridCol w:w="5960"/>
      </w:tblGrid>
      <w:tr w:rsidR="00560F38" w14:paraId="278CE9F5"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58D5A72" w14:textId="77777777" w:rsidR="00560F38" w:rsidRDefault="00000000">
            <w:pPr>
              <w:jc w:val="both"/>
            </w:pPr>
            <w:r>
              <w:rPr>
                <w:b/>
                <w:bCs/>
                <w:color w:val="FFFFFF"/>
                <w:sz w:val="18"/>
                <w:szCs w:val="18"/>
              </w:rPr>
              <w:t>Faixa</w:t>
            </w:r>
          </w:p>
        </w:tc>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AD3701B" w14:textId="77777777" w:rsidR="00560F38" w:rsidRDefault="00000000">
            <w:pPr>
              <w:jc w:val="both"/>
            </w:pPr>
            <w:r>
              <w:rPr>
                <w:b/>
                <w:bCs/>
                <w:color w:val="FFFFFF"/>
                <w:sz w:val="18"/>
                <w:szCs w:val="18"/>
              </w:rPr>
              <w:t>Critério (Soma Total 1ª fase)</w:t>
            </w:r>
          </w:p>
        </w:tc>
        <w:tc>
          <w:tcPr>
            <w:tcW w:w="59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C80781E" w14:textId="77777777" w:rsidR="00560F38" w:rsidRDefault="00000000">
            <w:pPr>
              <w:jc w:val="both"/>
            </w:pPr>
            <w:r>
              <w:rPr>
                <w:b/>
                <w:bCs/>
                <w:color w:val="FFFFFF"/>
                <w:sz w:val="18"/>
                <w:szCs w:val="18"/>
              </w:rPr>
              <w:t>Obrigações disponíveis</w:t>
            </w:r>
          </w:p>
        </w:tc>
      </w:tr>
      <w:tr w:rsidR="00560F38" w14:paraId="372AE935"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F83012" w14:textId="77777777" w:rsidR="00560F38" w:rsidRDefault="00000000">
            <w:pPr>
              <w:jc w:val="both"/>
            </w:pPr>
            <w:r>
              <w:rPr>
                <w:color w:val="000000"/>
                <w:sz w:val="18"/>
                <w:szCs w:val="18"/>
              </w:rPr>
              <w:t>LEVE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591B19" w14:textId="77777777" w:rsidR="00560F38" w:rsidRDefault="00000000">
            <w:pPr>
              <w:jc w:val="both"/>
            </w:pPr>
            <w:r>
              <w:rPr>
                <w:color w:val="000000"/>
                <w:sz w:val="18"/>
                <w:szCs w:val="18"/>
              </w:rPr>
              <w:t>≤ 20</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7171E3" w14:textId="77777777" w:rsidR="00560F38" w:rsidRDefault="00000000">
            <w:pPr>
              <w:jc w:val="both"/>
            </w:pPr>
            <w:r>
              <w:rPr>
                <w:color w:val="000000"/>
                <w:sz w:val="18"/>
                <w:szCs w:val="18"/>
              </w:rPr>
              <w:t>OB-01 (Reparação do Dano); OB-02 (Retratação Formal); OB-03 (Capacitação Específica); OB-04 (Curso de Ética); OB-05 (Acordo de Horário).</w:t>
            </w:r>
          </w:p>
        </w:tc>
      </w:tr>
      <w:tr w:rsidR="00560F38" w14:paraId="16333D0C"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5F7FB"/>
            <w:tcMar>
              <w:top w:w="80" w:type="dxa"/>
              <w:left w:w="120" w:type="dxa"/>
              <w:bottom w:w="80" w:type="dxa"/>
              <w:right w:w="120" w:type="dxa"/>
            </w:tcMar>
          </w:tcPr>
          <w:p w14:paraId="044164A2" w14:textId="77777777" w:rsidR="00560F38" w:rsidRDefault="00000000">
            <w:pPr>
              <w:jc w:val="both"/>
            </w:pPr>
            <w:r>
              <w:rPr>
                <w:color w:val="000000"/>
                <w:sz w:val="18"/>
                <w:szCs w:val="18"/>
              </w:rPr>
              <w:t>LEVE-MÉDIA</w:t>
            </w:r>
          </w:p>
        </w:tc>
        <w:tc>
          <w:tcPr>
            <w:tcW w:w="2200" w:type="dxa"/>
            <w:tcBorders>
              <w:top w:val="single" w:sz="1" w:space="0" w:color="CCCCCC"/>
              <w:left w:val="single" w:sz="1" w:space="0" w:color="CCCCCC"/>
              <w:bottom w:val="single" w:sz="1" w:space="0" w:color="CCCCCC"/>
              <w:right w:val="single" w:sz="1" w:space="0" w:color="CCCCCC"/>
            </w:tcBorders>
            <w:shd w:val="clear" w:color="auto" w:fill="F5F7FB"/>
            <w:tcMar>
              <w:top w:w="80" w:type="dxa"/>
              <w:left w:w="120" w:type="dxa"/>
              <w:bottom w:w="80" w:type="dxa"/>
              <w:right w:w="120" w:type="dxa"/>
            </w:tcMar>
          </w:tcPr>
          <w:p w14:paraId="5BBE4E2D" w14:textId="77777777" w:rsidR="00560F38" w:rsidRDefault="00000000">
            <w:pPr>
              <w:jc w:val="both"/>
            </w:pPr>
            <w:r>
              <w:rPr>
                <w:color w:val="000000"/>
                <w:sz w:val="18"/>
                <w:szCs w:val="18"/>
              </w:rPr>
              <w:t>21 a 40</w:t>
            </w:r>
          </w:p>
        </w:tc>
        <w:tc>
          <w:tcPr>
            <w:tcW w:w="5960" w:type="dxa"/>
            <w:tcBorders>
              <w:top w:val="single" w:sz="1" w:space="0" w:color="CCCCCC"/>
              <w:left w:val="single" w:sz="1" w:space="0" w:color="CCCCCC"/>
              <w:bottom w:val="single" w:sz="1" w:space="0" w:color="CCCCCC"/>
              <w:right w:val="single" w:sz="1" w:space="0" w:color="CCCCCC"/>
            </w:tcBorders>
            <w:shd w:val="clear" w:color="auto" w:fill="F5F7FB"/>
            <w:tcMar>
              <w:top w:w="80" w:type="dxa"/>
              <w:left w:w="120" w:type="dxa"/>
              <w:bottom w:w="80" w:type="dxa"/>
              <w:right w:w="120" w:type="dxa"/>
            </w:tcMar>
          </w:tcPr>
          <w:p w14:paraId="2EC9FE73" w14:textId="77777777" w:rsidR="00560F38" w:rsidRDefault="00000000">
            <w:pPr>
              <w:jc w:val="both"/>
            </w:pPr>
            <w:r>
              <w:rPr>
                <w:color w:val="000000"/>
                <w:sz w:val="18"/>
                <w:szCs w:val="18"/>
              </w:rPr>
              <w:t>OB-01; OB-02; OB-03; OB-04; OB-06 (Metas de Desempenho); OB-07 (Monitoramento de Acessos).</w:t>
            </w:r>
          </w:p>
        </w:tc>
      </w:tr>
      <w:tr w:rsidR="00560F38" w14:paraId="6C876E23"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B9C2D6" w14:textId="77777777" w:rsidR="00560F38" w:rsidRDefault="00000000">
            <w:pPr>
              <w:jc w:val="both"/>
            </w:pPr>
            <w:r>
              <w:rPr>
                <w:color w:val="000000"/>
                <w:sz w:val="18"/>
                <w:szCs w:val="18"/>
              </w:rPr>
              <w:t>LIMITE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745E89" w14:textId="77777777" w:rsidR="00560F38" w:rsidRDefault="00000000">
            <w:pPr>
              <w:jc w:val="both"/>
            </w:pPr>
            <w:r>
              <w:rPr>
                <w:color w:val="000000"/>
                <w:sz w:val="18"/>
                <w:szCs w:val="18"/>
              </w:rPr>
              <w:t>&gt; 40</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5BA2F6" w14:textId="77777777" w:rsidR="00560F38" w:rsidRDefault="00000000">
            <w:pPr>
              <w:jc w:val="both"/>
            </w:pPr>
            <w:r>
              <w:rPr>
                <w:color w:val="000000"/>
                <w:sz w:val="18"/>
                <w:szCs w:val="18"/>
              </w:rPr>
              <w:t>OB-01; OB-02; OB-03; OB-06; OB-07; OB-08 (Relatório Periódico); OB-09 (Comunicação à Corregedoria).</w:t>
            </w:r>
          </w:p>
        </w:tc>
      </w:tr>
    </w:tbl>
    <w:p w14:paraId="22992C74" w14:textId="77777777" w:rsidR="00560F38" w:rsidRDefault="00560F38"/>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200"/>
        <w:gridCol w:w="1700"/>
        <w:gridCol w:w="2760"/>
        <w:gridCol w:w="1800"/>
      </w:tblGrid>
      <w:tr w:rsidR="00560F38" w14:paraId="083AA3C5"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94B1BCE" w14:textId="77777777" w:rsidR="00560F38" w:rsidRDefault="00000000">
            <w:pPr>
              <w:jc w:val="both"/>
            </w:pPr>
            <w:r>
              <w:rPr>
                <w:b/>
                <w:bCs/>
                <w:color w:val="FFFFFF"/>
                <w:sz w:val="17"/>
                <w:szCs w:val="17"/>
              </w:rPr>
              <w:lastRenderedPageBreak/>
              <w:t>Código</w:t>
            </w:r>
          </w:p>
        </w:tc>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1769A7C" w14:textId="77777777" w:rsidR="00560F38" w:rsidRDefault="00000000">
            <w:pPr>
              <w:jc w:val="both"/>
            </w:pPr>
            <w:r>
              <w:rPr>
                <w:b/>
                <w:bCs/>
                <w:color w:val="FFFFFF"/>
                <w:sz w:val="17"/>
                <w:szCs w:val="17"/>
              </w:rPr>
              <w:t>Obrigação</w:t>
            </w:r>
          </w:p>
        </w:tc>
        <w:tc>
          <w:tcPr>
            <w:tcW w:w="17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E11490F" w14:textId="77777777" w:rsidR="00560F38" w:rsidRDefault="00000000">
            <w:pPr>
              <w:jc w:val="both"/>
            </w:pPr>
            <w:r>
              <w:rPr>
                <w:b/>
                <w:bCs/>
                <w:color w:val="FFFFFF"/>
                <w:sz w:val="17"/>
                <w:szCs w:val="17"/>
              </w:rPr>
              <w:t>Base</w:t>
            </w:r>
          </w:p>
        </w:tc>
        <w:tc>
          <w:tcPr>
            <w:tcW w:w="27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82C9F44" w14:textId="77777777" w:rsidR="00560F38" w:rsidRDefault="00000000">
            <w:pPr>
              <w:jc w:val="both"/>
            </w:pPr>
            <w:r>
              <w:rPr>
                <w:b/>
                <w:bCs/>
                <w:color w:val="FFFFFF"/>
                <w:sz w:val="17"/>
                <w:szCs w:val="17"/>
              </w:rPr>
              <w:t>Faixas</w:t>
            </w:r>
          </w:p>
        </w:tc>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2E6B857" w14:textId="77777777" w:rsidR="00560F38" w:rsidRDefault="00000000">
            <w:pPr>
              <w:jc w:val="both"/>
            </w:pPr>
            <w:r>
              <w:rPr>
                <w:b/>
                <w:bCs/>
                <w:color w:val="FFFFFF"/>
                <w:sz w:val="17"/>
                <w:szCs w:val="17"/>
              </w:rPr>
              <w:t>Prazo padrão</w:t>
            </w:r>
          </w:p>
        </w:tc>
      </w:tr>
      <w:tr w:rsidR="00560F38" w14:paraId="7E78C591"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A97EF4" w14:textId="77777777" w:rsidR="00560F38" w:rsidRDefault="00000000">
            <w:pPr>
              <w:jc w:val="both"/>
            </w:pPr>
            <w:r>
              <w:rPr>
                <w:color w:val="000000"/>
                <w:sz w:val="17"/>
                <w:szCs w:val="17"/>
              </w:rPr>
              <w:t>OB-01</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782DEF" w14:textId="77777777" w:rsidR="00560F38" w:rsidRDefault="00000000">
            <w:pPr>
              <w:jc w:val="both"/>
            </w:pPr>
            <w:r>
              <w:rPr>
                <w:color w:val="000000"/>
                <w:sz w:val="17"/>
                <w:szCs w:val="17"/>
              </w:rPr>
              <w:t>Reparação do Dano</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86F4C1" w14:textId="77777777" w:rsidR="00560F38" w:rsidRDefault="00000000">
            <w:pPr>
              <w:jc w:val="both"/>
            </w:pPr>
            <w:r>
              <w:rPr>
                <w:color w:val="000000"/>
                <w:sz w:val="17"/>
                <w:szCs w:val="17"/>
              </w:rPr>
              <w:t>Art. 68, §1º, I</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685C2B" w14:textId="77777777" w:rsidR="00560F38" w:rsidRDefault="00000000">
            <w:pPr>
              <w:jc w:val="both"/>
            </w:pPr>
            <w:r>
              <w:rPr>
                <w:color w:val="000000"/>
                <w:sz w:val="17"/>
                <w:szCs w:val="17"/>
              </w:rPr>
              <w:t>Leve, LM, Limite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A49F1C" w14:textId="77777777" w:rsidR="00560F38" w:rsidRDefault="00000000">
            <w:pPr>
              <w:jc w:val="both"/>
            </w:pPr>
            <w:r>
              <w:rPr>
                <w:color w:val="000000"/>
                <w:sz w:val="17"/>
                <w:szCs w:val="17"/>
              </w:rPr>
              <w:t>6 meses</w:t>
            </w:r>
          </w:p>
        </w:tc>
      </w:tr>
      <w:tr w:rsidR="00560F38" w14:paraId="0D766C48"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5F7FB"/>
            <w:tcMar>
              <w:top w:w="80" w:type="dxa"/>
              <w:left w:w="120" w:type="dxa"/>
              <w:bottom w:w="80" w:type="dxa"/>
              <w:right w:w="120" w:type="dxa"/>
            </w:tcMar>
          </w:tcPr>
          <w:p w14:paraId="7A40480E" w14:textId="77777777" w:rsidR="00560F38" w:rsidRDefault="00000000">
            <w:pPr>
              <w:jc w:val="both"/>
            </w:pPr>
            <w:r>
              <w:rPr>
                <w:color w:val="000000"/>
                <w:sz w:val="17"/>
                <w:szCs w:val="17"/>
              </w:rPr>
              <w:t>OB-02</w:t>
            </w:r>
          </w:p>
        </w:tc>
        <w:tc>
          <w:tcPr>
            <w:tcW w:w="2200" w:type="dxa"/>
            <w:tcBorders>
              <w:top w:val="single" w:sz="1" w:space="0" w:color="CCCCCC"/>
              <w:left w:val="single" w:sz="1" w:space="0" w:color="CCCCCC"/>
              <w:bottom w:val="single" w:sz="1" w:space="0" w:color="CCCCCC"/>
              <w:right w:val="single" w:sz="1" w:space="0" w:color="CCCCCC"/>
            </w:tcBorders>
            <w:shd w:val="clear" w:color="auto" w:fill="F5F7FB"/>
            <w:tcMar>
              <w:top w:w="80" w:type="dxa"/>
              <w:left w:w="120" w:type="dxa"/>
              <w:bottom w:w="80" w:type="dxa"/>
              <w:right w:w="120" w:type="dxa"/>
            </w:tcMar>
          </w:tcPr>
          <w:p w14:paraId="0F192F02" w14:textId="77777777" w:rsidR="00560F38" w:rsidRDefault="00000000">
            <w:pPr>
              <w:jc w:val="both"/>
            </w:pPr>
            <w:r>
              <w:rPr>
                <w:color w:val="000000"/>
                <w:sz w:val="17"/>
                <w:szCs w:val="17"/>
              </w:rPr>
              <w:t>Retratação Formal</w:t>
            </w:r>
          </w:p>
        </w:tc>
        <w:tc>
          <w:tcPr>
            <w:tcW w:w="1700" w:type="dxa"/>
            <w:tcBorders>
              <w:top w:val="single" w:sz="1" w:space="0" w:color="CCCCCC"/>
              <w:left w:val="single" w:sz="1" w:space="0" w:color="CCCCCC"/>
              <w:bottom w:val="single" w:sz="1" w:space="0" w:color="CCCCCC"/>
              <w:right w:val="single" w:sz="1" w:space="0" w:color="CCCCCC"/>
            </w:tcBorders>
            <w:shd w:val="clear" w:color="auto" w:fill="F5F7FB"/>
            <w:tcMar>
              <w:top w:w="80" w:type="dxa"/>
              <w:left w:w="120" w:type="dxa"/>
              <w:bottom w:w="80" w:type="dxa"/>
              <w:right w:w="120" w:type="dxa"/>
            </w:tcMar>
          </w:tcPr>
          <w:p w14:paraId="542D252F" w14:textId="77777777" w:rsidR="00560F38" w:rsidRDefault="00000000">
            <w:pPr>
              <w:jc w:val="both"/>
            </w:pPr>
            <w:r>
              <w:rPr>
                <w:color w:val="000000"/>
                <w:sz w:val="17"/>
                <w:szCs w:val="17"/>
              </w:rPr>
              <w:t>Art. 68, §1º, II</w:t>
            </w:r>
          </w:p>
        </w:tc>
        <w:tc>
          <w:tcPr>
            <w:tcW w:w="2760" w:type="dxa"/>
            <w:tcBorders>
              <w:top w:val="single" w:sz="1" w:space="0" w:color="CCCCCC"/>
              <w:left w:val="single" w:sz="1" w:space="0" w:color="CCCCCC"/>
              <w:bottom w:val="single" w:sz="1" w:space="0" w:color="CCCCCC"/>
              <w:right w:val="single" w:sz="1" w:space="0" w:color="CCCCCC"/>
            </w:tcBorders>
            <w:shd w:val="clear" w:color="auto" w:fill="F5F7FB"/>
            <w:tcMar>
              <w:top w:w="80" w:type="dxa"/>
              <w:left w:w="120" w:type="dxa"/>
              <w:bottom w:w="80" w:type="dxa"/>
              <w:right w:w="120" w:type="dxa"/>
            </w:tcMar>
          </w:tcPr>
          <w:p w14:paraId="62F86486" w14:textId="77777777" w:rsidR="00560F38" w:rsidRDefault="00000000">
            <w:pPr>
              <w:jc w:val="both"/>
            </w:pPr>
            <w:r>
              <w:rPr>
                <w:color w:val="000000"/>
                <w:sz w:val="17"/>
                <w:szCs w:val="17"/>
              </w:rPr>
              <w:t>Leve, LM, Limite</w:t>
            </w:r>
          </w:p>
        </w:tc>
        <w:tc>
          <w:tcPr>
            <w:tcW w:w="1800" w:type="dxa"/>
            <w:tcBorders>
              <w:top w:val="single" w:sz="1" w:space="0" w:color="CCCCCC"/>
              <w:left w:val="single" w:sz="1" w:space="0" w:color="CCCCCC"/>
              <w:bottom w:val="single" w:sz="1" w:space="0" w:color="CCCCCC"/>
              <w:right w:val="single" w:sz="1" w:space="0" w:color="CCCCCC"/>
            </w:tcBorders>
            <w:shd w:val="clear" w:color="auto" w:fill="F5F7FB"/>
            <w:tcMar>
              <w:top w:w="80" w:type="dxa"/>
              <w:left w:w="120" w:type="dxa"/>
              <w:bottom w:w="80" w:type="dxa"/>
              <w:right w:w="120" w:type="dxa"/>
            </w:tcMar>
          </w:tcPr>
          <w:p w14:paraId="6E354A75" w14:textId="77777777" w:rsidR="00560F38" w:rsidRDefault="00000000">
            <w:pPr>
              <w:jc w:val="both"/>
            </w:pPr>
            <w:r>
              <w:rPr>
                <w:color w:val="000000"/>
                <w:sz w:val="17"/>
                <w:szCs w:val="17"/>
              </w:rPr>
              <w:t>1 mês</w:t>
            </w:r>
          </w:p>
        </w:tc>
      </w:tr>
      <w:tr w:rsidR="00560F38" w14:paraId="77D3473D"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24D0B7" w14:textId="77777777" w:rsidR="00560F38" w:rsidRDefault="00000000">
            <w:pPr>
              <w:jc w:val="both"/>
            </w:pPr>
            <w:r>
              <w:rPr>
                <w:color w:val="000000"/>
                <w:sz w:val="17"/>
                <w:szCs w:val="17"/>
              </w:rPr>
              <w:t>OB-03</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67A5B2" w14:textId="77777777" w:rsidR="00560F38" w:rsidRDefault="00000000">
            <w:pPr>
              <w:jc w:val="both"/>
            </w:pPr>
            <w:r>
              <w:rPr>
                <w:color w:val="000000"/>
                <w:sz w:val="17"/>
                <w:szCs w:val="17"/>
              </w:rPr>
              <w:t>Capacitação Específica</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4C4D65" w14:textId="77777777" w:rsidR="00560F38" w:rsidRDefault="00000000">
            <w:pPr>
              <w:jc w:val="both"/>
            </w:pPr>
            <w:r>
              <w:rPr>
                <w:color w:val="000000"/>
                <w:sz w:val="17"/>
                <w:szCs w:val="17"/>
              </w:rPr>
              <w:t>Art. 68, §1º, III</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41EA37" w14:textId="77777777" w:rsidR="00560F38" w:rsidRDefault="00000000">
            <w:pPr>
              <w:jc w:val="both"/>
            </w:pPr>
            <w:r>
              <w:rPr>
                <w:color w:val="000000"/>
                <w:sz w:val="17"/>
                <w:szCs w:val="17"/>
              </w:rPr>
              <w:t>Leve, LM, Limite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C3279B" w14:textId="77777777" w:rsidR="00560F38" w:rsidRDefault="00000000">
            <w:pPr>
              <w:jc w:val="both"/>
            </w:pPr>
            <w:r>
              <w:rPr>
                <w:color w:val="000000"/>
                <w:sz w:val="17"/>
                <w:szCs w:val="17"/>
              </w:rPr>
              <w:t>6 meses</w:t>
            </w:r>
          </w:p>
        </w:tc>
      </w:tr>
      <w:tr w:rsidR="00560F38" w14:paraId="16D5E253"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5F7FB"/>
            <w:tcMar>
              <w:top w:w="80" w:type="dxa"/>
              <w:left w:w="120" w:type="dxa"/>
              <w:bottom w:w="80" w:type="dxa"/>
              <w:right w:w="120" w:type="dxa"/>
            </w:tcMar>
          </w:tcPr>
          <w:p w14:paraId="7F60D881" w14:textId="77777777" w:rsidR="00560F38" w:rsidRDefault="00000000">
            <w:pPr>
              <w:jc w:val="both"/>
            </w:pPr>
            <w:r>
              <w:rPr>
                <w:color w:val="000000"/>
                <w:sz w:val="17"/>
                <w:szCs w:val="17"/>
              </w:rPr>
              <w:t>OB-04</w:t>
            </w:r>
          </w:p>
        </w:tc>
        <w:tc>
          <w:tcPr>
            <w:tcW w:w="2200" w:type="dxa"/>
            <w:tcBorders>
              <w:top w:val="single" w:sz="1" w:space="0" w:color="CCCCCC"/>
              <w:left w:val="single" w:sz="1" w:space="0" w:color="CCCCCC"/>
              <w:bottom w:val="single" w:sz="1" w:space="0" w:color="CCCCCC"/>
              <w:right w:val="single" w:sz="1" w:space="0" w:color="CCCCCC"/>
            </w:tcBorders>
            <w:shd w:val="clear" w:color="auto" w:fill="F5F7FB"/>
            <w:tcMar>
              <w:top w:w="80" w:type="dxa"/>
              <w:left w:w="120" w:type="dxa"/>
              <w:bottom w:w="80" w:type="dxa"/>
              <w:right w:w="120" w:type="dxa"/>
            </w:tcMar>
          </w:tcPr>
          <w:p w14:paraId="415EDC0D" w14:textId="77777777" w:rsidR="00560F38" w:rsidRDefault="00000000">
            <w:pPr>
              <w:jc w:val="both"/>
            </w:pPr>
            <w:r>
              <w:rPr>
                <w:color w:val="000000"/>
                <w:sz w:val="17"/>
                <w:szCs w:val="17"/>
              </w:rPr>
              <w:t>Curso de Ética</w:t>
            </w:r>
          </w:p>
        </w:tc>
        <w:tc>
          <w:tcPr>
            <w:tcW w:w="1700" w:type="dxa"/>
            <w:tcBorders>
              <w:top w:val="single" w:sz="1" w:space="0" w:color="CCCCCC"/>
              <w:left w:val="single" w:sz="1" w:space="0" w:color="CCCCCC"/>
              <w:bottom w:val="single" w:sz="1" w:space="0" w:color="CCCCCC"/>
              <w:right w:val="single" w:sz="1" w:space="0" w:color="CCCCCC"/>
            </w:tcBorders>
            <w:shd w:val="clear" w:color="auto" w:fill="F5F7FB"/>
            <w:tcMar>
              <w:top w:w="80" w:type="dxa"/>
              <w:left w:w="120" w:type="dxa"/>
              <w:bottom w:w="80" w:type="dxa"/>
              <w:right w:w="120" w:type="dxa"/>
            </w:tcMar>
          </w:tcPr>
          <w:p w14:paraId="6F2CBD0E" w14:textId="77777777" w:rsidR="00560F38" w:rsidRDefault="00000000">
            <w:pPr>
              <w:jc w:val="both"/>
            </w:pPr>
            <w:r>
              <w:rPr>
                <w:color w:val="000000"/>
                <w:sz w:val="17"/>
                <w:szCs w:val="17"/>
              </w:rPr>
              <w:t>Art. 68, §1º, III</w:t>
            </w:r>
          </w:p>
        </w:tc>
        <w:tc>
          <w:tcPr>
            <w:tcW w:w="2760" w:type="dxa"/>
            <w:tcBorders>
              <w:top w:val="single" w:sz="1" w:space="0" w:color="CCCCCC"/>
              <w:left w:val="single" w:sz="1" w:space="0" w:color="CCCCCC"/>
              <w:bottom w:val="single" w:sz="1" w:space="0" w:color="CCCCCC"/>
              <w:right w:val="single" w:sz="1" w:space="0" w:color="CCCCCC"/>
            </w:tcBorders>
            <w:shd w:val="clear" w:color="auto" w:fill="F5F7FB"/>
            <w:tcMar>
              <w:top w:w="80" w:type="dxa"/>
              <w:left w:w="120" w:type="dxa"/>
              <w:bottom w:w="80" w:type="dxa"/>
              <w:right w:w="120" w:type="dxa"/>
            </w:tcMar>
          </w:tcPr>
          <w:p w14:paraId="225DB63A" w14:textId="77777777" w:rsidR="00560F38" w:rsidRDefault="00000000">
            <w:pPr>
              <w:jc w:val="both"/>
            </w:pPr>
            <w:r>
              <w:rPr>
                <w:color w:val="000000"/>
                <w:sz w:val="17"/>
                <w:szCs w:val="17"/>
              </w:rPr>
              <w:t>Leve, LM</w:t>
            </w:r>
          </w:p>
        </w:tc>
        <w:tc>
          <w:tcPr>
            <w:tcW w:w="1800" w:type="dxa"/>
            <w:tcBorders>
              <w:top w:val="single" w:sz="1" w:space="0" w:color="CCCCCC"/>
              <w:left w:val="single" w:sz="1" w:space="0" w:color="CCCCCC"/>
              <w:bottom w:val="single" w:sz="1" w:space="0" w:color="CCCCCC"/>
              <w:right w:val="single" w:sz="1" w:space="0" w:color="CCCCCC"/>
            </w:tcBorders>
            <w:shd w:val="clear" w:color="auto" w:fill="F5F7FB"/>
            <w:tcMar>
              <w:top w:w="80" w:type="dxa"/>
              <w:left w:w="120" w:type="dxa"/>
              <w:bottom w:w="80" w:type="dxa"/>
              <w:right w:w="120" w:type="dxa"/>
            </w:tcMar>
          </w:tcPr>
          <w:p w14:paraId="00249788" w14:textId="77777777" w:rsidR="00560F38" w:rsidRDefault="00000000">
            <w:pPr>
              <w:jc w:val="both"/>
            </w:pPr>
            <w:r>
              <w:rPr>
                <w:color w:val="000000"/>
                <w:sz w:val="17"/>
                <w:szCs w:val="17"/>
              </w:rPr>
              <w:t>6 meses</w:t>
            </w:r>
          </w:p>
        </w:tc>
      </w:tr>
      <w:tr w:rsidR="00560F38" w14:paraId="44299E6A"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583A2F" w14:textId="77777777" w:rsidR="00560F38" w:rsidRDefault="00000000">
            <w:pPr>
              <w:jc w:val="both"/>
            </w:pPr>
            <w:r>
              <w:rPr>
                <w:color w:val="000000"/>
                <w:sz w:val="17"/>
                <w:szCs w:val="17"/>
              </w:rPr>
              <w:t>OB-05</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BCEF7B" w14:textId="77777777" w:rsidR="00560F38" w:rsidRDefault="00000000">
            <w:pPr>
              <w:jc w:val="both"/>
            </w:pPr>
            <w:r>
              <w:rPr>
                <w:color w:val="000000"/>
                <w:sz w:val="17"/>
                <w:szCs w:val="17"/>
              </w:rPr>
              <w:t>Acordo de Horário</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3BF588" w14:textId="77777777" w:rsidR="00560F38" w:rsidRDefault="00000000">
            <w:pPr>
              <w:jc w:val="both"/>
            </w:pPr>
            <w:r>
              <w:rPr>
                <w:color w:val="000000"/>
                <w:sz w:val="17"/>
                <w:szCs w:val="17"/>
              </w:rPr>
              <w:t>Art. 68, §1º, IV</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4756EB" w14:textId="77777777" w:rsidR="00560F38" w:rsidRDefault="00000000">
            <w:pPr>
              <w:jc w:val="both"/>
            </w:pPr>
            <w:r>
              <w:rPr>
                <w:color w:val="000000"/>
                <w:sz w:val="17"/>
                <w:szCs w:val="17"/>
              </w:rPr>
              <w:t>Leve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DE6085" w14:textId="77777777" w:rsidR="00560F38" w:rsidRDefault="00000000">
            <w:pPr>
              <w:jc w:val="both"/>
            </w:pPr>
            <w:r>
              <w:rPr>
                <w:color w:val="000000"/>
                <w:sz w:val="17"/>
                <w:szCs w:val="17"/>
              </w:rPr>
              <w:t>12 meses</w:t>
            </w:r>
          </w:p>
        </w:tc>
      </w:tr>
      <w:tr w:rsidR="00560F38" w14:paraId="68C37710"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5F7FB"/>
            <w:tcMar>
              <w:top w:w="80" w:type="dxa"/>
              <w:left w:w="120" w:type="dxa"/>
              <w:bottom w:w="80" w:type="dxa"/>
              <w:right w:w="120" w:type="dxa"/>
            </w:tcMar>
          </w:tcPr>
          <w:p w14:paraId="0BAF2905" w14:textId="77777777" w:rsidR="00560F38" w:rsidRDefault="00000000">
            <w:pPr>
              <w:jc w:val="both"/>
            </w:pPr>
            <w:r>
              <w:rPr>
                <w:color w:val="000000"/>
                <w:sz w:val="17"/>
                <w:szCs w:val="17"/>
              </w:rPr>
              <w:t>OB-06</w:t>
            </w:r>
          </w:p>
        </w:tc>
        <w:tc>
          <w:tcPr>
            <w:tcW w:w="2200" w:type="dxa"/>
            <w:tcBorders>
              <w:top w:val="single" w:sz="1" w:space="0" w:color="CCCCCC"/>
              <w:left w:val="single" w:sz="1" w:space="0" w:color="CCCCCC"/>
              <w:bottom w:val="single" w:sz="1" w:space="0" w:color="CCCCCC"/>
              <w:right w:val="single" w:sz="1" w:space="0" w:color="CCCCCC"/>
            </w:tcBorders>
            <w:shd w:val="clear" w:color="auto" w:fill="F5F7FB"/>
            <w:tcMar>
              <w:top w:w="80" w:type="dxa"/>
              <w:left w:w="120" w:type="dxa"/>
              <w:bottom w:w="80" w:type="dxa"/>
              <w:right w:w="120" w:type="dxa"/>
            </w:tcMar>
          </w:tcPr>
          <w:p w14:paraId="59C5567E" w14:textId="77777777" w:rsidR="00560F38" w:rsidRDefault="00000000">
            <w:pPr>
              <w:jc w:val="both"/>
            </w:pPr>
            <w:r>
              <w:rPr>
                <w:color w:val="000000"/>
                <w:sz w:val="17"/>
                <w:szCs w:val="17"/>
              </w:rPr>
              <w:t>Metas de Desempenho</w:t>
            </w:r>
          </w:p>
        </w:tc>
        <w:tc>
          <w:tcPr>
            <w:tcW w:w="1700" w:type="dxa"/>
            <w:tcBorders>
              <w:top w:val="single" w:sz="1" w:space="0" w:color="CCCCCC"/>
              <w:left w:val="single" w:sz="1" w:space="0" w:color="CCCCCC"/>
              <w:bottom w:val="single" w:sz="1" w:space="0" w:color="CCCCCC"/>
              <w:right w:val="single" w:sz="1" w:space="0" w:color="CCCCCC"/>
            </w:tcBorders>
            <w:shd w:val="clear" w:color="auto" w:fill="F5F7FB"/>
            <w:tcMar>
              <w:top w:w="80" w:type="dxa"/>
              <w:left w:w="120" w:type="dxa"/>
              <w:bottom w:w="80" w:type="dxa"/>
              <w:right w:w="120" w:type="dxa"/>
            </w:tcMar>
          </w:tcPr>
          <w:p w14:paraId="02940A07" w14:textId="77777777" w:rsidR="00560F38" w:rsidRDefault="00000000">
            <w:pPr>
              <w:jc w:val="both"/>
            </w:pPr>
            <w:r>
              <w:rPr>
                <w:color w:val="000000"/>
                <w:sz w:val="17"/>
                <w:szCs w:val="17"/>
              </w:rPr>
              <w:t>Art. 68, §1º, V</w:t>
            </w:r>
          </w:p>
        </w:tc>
        <w:tc>
          <w:tcPr>
            <w:tcW w:w="2760" w:type="dxa"/>
            <w:tcBorders>
              <w:top w:val="single" w:sz="1" w:space="0" w:color="CCCCCC"/>
              <w:left w:val="single" w:sz="1" w:space="0" w:color="CCCCCC"/>
              <w:bottom w:val="single" w:sz="1" w:space="0" w:color="CCCCCC"/>
              <w:right w:val="single" w:sz="1" w:space="0" w:color="CCCCCC"/>
            </w:tcBorders>
            <w:shd w:val="clear" w:color="auto" w:fill="F5F7FB"/>
            <w:tcMar>
              <w:top w:w="80" w:type="dxa"/>
              <w:left w:w="120" w:type="dxa"/>
              <w:bottom w:w="80" w:type="dxa"/>
              <w:right w:w="120" w:type="dxa"/>
            </w:tcMar>
          </w:tcPr>
          <w:p w14:paraId="04515163" w14:textId="77777777" w:rsidR="00560F38" w:rsidRDefault="00000000">
            <w:pPr>
              <w:jc w:val="both"/>
            </w:pPr>
            <w:r>
              <w:rPr>
                <w:color w:val="000000"/>
                <w:sz w:val="17"/>
                <w:szCs w:val="17"/>
              </w:rPr>
              <w:t>LM, Limite</w:t>
            </w:r>
          </w:p>
        </w:tc>
        <w:tc>
          <w:tcPr>
            <w:tcW w:w="1800" w:type="dxa"/>
            <w:tcBorders>
              <w:top w:val="single" w:sz="1" w:space="0" w:color="CCCCCC"/>
              <w:left w:val="single" w:sz="1" w:space="0" w:color="CCCCCC"/>
              <w:bottom w:val="single" w:sz="1" w:space="0" w:color="CCCCCC"/>
              <w:right w:val="single" w:sz="1" w:space="0" w:color="CCCCCC"/>
            </w:tcBorders>
            <w:shd w:val="clear" w:color="auto" w:fill="F5F7FB"/>
            <w:tcMar>
              <w:top w:w="80" w:type="dxa"/>
              <w:left w:w="120" w:type="dxa"/>
              <w:bottom w:w="80" w:type="dxa"/>
              <w:right w:w="120" w:type="dxa"/>
            </w:tcMar>
          </w:tcPr>
          <w:p w14:paraId="3EAC0834" w14:textId="77777777" w:rsidR="00560F38" w:rsidRDefault="00000000">
            <w:pPr>
              <w:jc w:val="both"/>
            </w:pPr>
            <w:r>
              <w:rPr>
                <w:color w:val="000000"/>
                <w:sz w:val="17"/>
                <w:szCs w:val="17"/>
              </w:rPr>
              <w:t>12 meses</w:t>
            </w:r>
          </w:p>
        </w:tc>
      </w:tr>
      <w:tr w:rsidR="00560F38" w14:paraId="2D74D8C3"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BB9CF8" w14:textId="77777777" w:rsidR="00560F38" w:rsidRDefault="00000000">
            <w:pPr>
              <w:jc w:val="both"/>
            </w:pPr>
            <w:r>
              <w:rPr>
                <w:color w:val="000000"/>
                <w:sz w:val="17"/>
                <w:szCs w:val="17"/>
              </w:rPr>
              <w:t>OB-07</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81AF1D" w14:textId="77777777" w:rsidR="00560F38" w:rsidRDefault="00000000">
            <w:pPr>
              <w:jc w:val="both"/>
            </w:pPr>
            <w:r>
              <w:rPr>
                <w:color w:val="000000"/>
                <w:sz w:val="17"/>
                <w:szCs w:val="17"/>
              </w:rPr>
              <w:t>Monitoramento de Acessos</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2796EB" w14:textId="77777777" w:rsidR="00560F38" w:rsidRDefault="00000000">
            <w:pPr>
              <w:jc w:val="both"/>
            </w:pPr>
            <w:r>
              <w:rPr>
                <w:color w:val="000000"/>
                <w:sz w:val="17"/>
                <w:szCs w:val="17"/>
              </w:rPr>
              <w:t>Art. 68, §1º, VI</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D595BC" w14:textId="77777777" w:rsidR="00560F38" w:rsidRDefault="00000000">
            <w:pPr>
              <w:jc w:val="both"/>
            </w:pPr>
            <w:r>
              <w:rPr>
                <w:color w:val="000000"/>
                <w:sz w:val="17"/>
                <w:szCs w:val="17"/>
              </w:rPr>
              <w:t>LM, Limite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DDF10A" w14:textId="77777777" w:rsidR="00560F38" w:rsidRDefault="00000000">
            <w:pPr>
              <w:jc w:val="both"/>
            </w:pPr>
            <w:r>
              <w:rPr>
                <w:color w:val="000000"/>
                <w:sz w:val="17"/>
                <w:szCs w:val="17"/>
              </w:rPr>
              <w:t>18 meses</w:t>
            </w:r>
          </w:p>
        </w:tc>
      </w:tr>
      <w:tr w:rsidR="00560F38" w14:paraId="4B201E47"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5F7FB"/>
            <w:tcMar>
              <w:top w:w="80" w:type="dxa"/>
              <w:left w:w="120" w:type="dxa"/>
              <w:bottom w:w="80" w:type="dxa"/>
              <w:right w:w="120" w:type="dxa"/>
            </w:tcMar>
          </w:tcPr>
          <w:p w14:paraId="76AC794B" w14:textId="77777777" w:rsidR="00560F38" w:rsidRDefault="00000000">
            <w:pPr>
              <w:jc w:val="both"/>
            </w:pPr>
            <w:r>
              <w:rPr>
                <w:color w:val="000000"/>
                <w:sz w:val="17"/>
                <w:szCs w:val="17"/>
              </w:rPr>
              <w:t>OB-08</w:t>
            </w:r>
          </w:p>
        </w:tc>
        <w:tc>
          <w:tcPr>
            <w:tcW w:w="2200" w:type="dxa"/>
            <w:tcBorders>
              <w:top w:val="single" w:sz="1" w:space="0" w:color="CCCCCC"/>
              <w:left w:val="single" w:sz="1" w:space="0" w:color="CCCCCC"/>
              <w:bottom w:val="single" w:sz="1" w:space="0" w:color="CCCCCC"/>
              <w:right w:val="single" w:sz="1" w:space="0" w:color="CCCCCC"/>
            </w:tcBorders>
            <w:shd w:val="clear" w:color="auto" w:fill="F5F7FB"/>
            <w:tcMar>
              <w:top w:w="80" w:type="dxa"/>
              <w:left w:w="120" w:type="dxa"/>
              <w:bottom w:w="80" w:type="dxa"/>
              <w:right w:w="120" w:type="dxa"/>
            </w:tcMar>
          </w:tcPr>
          <w:p w14:paraId="51B624E3" w14:textId="77777777" w:rsidR="00560F38" w:rsidRDefault="00000000">
            <w:pPr>
              <w:jc w:val="both"/>
            </w:pPr>
            <w:r>
              <w:rPr>
                <w:color w:val="000000"/>
                <w:sz w:val="17"/>
                <w:szCs w:val="17"/>
              </w:rPr>
              <w:t>Relatório Periódico</w:t>
            </w:r>
          </w:p>
        </w:tc>
        <w:tc>
          <w:tcPr>
            <w:tcW w:w="1700" w:type="dxa"/>
            <w:tcBorders>
              <w:top w:val="single" w:sz="1" w:space="0" w:color="CCCCCC"/>
              <w:left w:val="single" w:sz="1" w:space="0" w:color="CCCCCC"/>
              <w:bottom w:val="single" w:sz="1" w:space="0" w:color="CCCCCC"/>
              <w:right w:val="single" w:sz="1" w:space="0" w:color="CCCCCC"/>
            </w:tcBorders>
            <w:shd w:val="clear" w:color="auto" w:fill="F5F7FB"/>
            <w:tcMar>
              <w:top w:w="80" w:type="dxa"/>
              <w:left w:w="120" w:type="dxa"/>
              <w:bottom w:w="80" w:type="dxa"/>
              <w:right w:w="120" w:type="dxa"/>
            </w:tcMar>
          </w:tcPr>
          <w:p w14:paraId="53B1EF02" w14:textId="77777777" w:rsidR="00560F38" w:rsidRDefault="00000000">
            <w:pPr>
              <w:jc w:val="both"/>
            </w:pPr>
            <w:r>
              <w:rPr>
                <w:color w:val="000000"/>
                <w:sz w:val="17"/>
                <w:szCs w:val="17"/>
              </w:rPr>
              <w:t>Art. 68, §1º, VI</w:t>
            </w:r>
          </w:p>
        </w:tc>
        <w:tc>
          <w:tcPr>
            <w:tcW w:w="2760" w:type="dxa"/>
            <w:tcBorders>
              <w:top w:val="single" w:sz="1" w:space="0" w:color="CCCCCC"/>
              <w:left w:val="single" w:sz="1" w:space="0" w:color="CCCCCC"/>
              <w:bottom w:val="single" w:sz="1" w:space="0" w:color="CCCCCC"/>
              <w:right w:val="single" w:sz="1" w:space="0" w:color="CCCCCC"/>
            </w:tcBorders>
            <w:shd w:val="clear" w:color="auto" w:fill="F5F7FB"/>
            <w:tcMar>
              <w:top w:w="80" w:type="dxa"/>
              <w:left w:w="120" w:type="dxa"/>
              <w:bottom w:w="80" w:type="dxa"/>
              <w:right w:w="120" w:type="dxa"/>
            </w:tcMar>
          </w:tcPr>
          <w:p w14:paraId="6C2AF1B2" w14:textId="77777777" w:rsidR="00560F38" w:rsidRDefault="00000000">
            <w:pPr>
              <w:jc w:val="both"/>
            </w:pPr>
            <w:r>
              <w:rPr>
                <w:color w:val="000000"/>
                <w:sz w:val="17"/>
                <w:szCs w:val="17"/>
              </w:rPr>
              <w:t>Limite</w:t>
            </w:r>
          </w:p>
        </w:tc>
        <w:tc>
          <w:tcPr>
            <w:tcW w:w="1800" w:type="dxa"/>
            <w:tcBorders>
              <w:top w:val="single" w:sz="1" w:space="0" w:color="CCCCCC"/>
              <w:left w:val="single" w:sz="1" w:space="0" w:color="CCCCCC"/>
              <w:bottom w:val="single" w:sz="1" w:space="0" w:color="CCCCCC"/>
              <w:right w:val="single" w:sz="1" w:space="0" w:color="CCCCCC"/>
            </w:tcBorders>
            <w:shd w:val="clear" w:color="auto" w:fill="F5F7FB"/>
            <w:tcMar>
              <w:top w:w="80" w:type="dxa"/>
              <w:left w:w="120" w:type="dxa"/>
              <w:bottom w:w="80" w:type="dxa"/>
              <w:right w:w="120" w:type="dxa"/>
            </w:tcMar>
          </w:tcPr>
          <w:p w14:paraId="46872EED" w14:textId="77777777" w:rsidR="00560F38" w:rsidRDefault="00000000">
            <w:pPr>
              <w:jc w:val="both"/>
            </w:pPr>
            <w:r>
              <w:rPr>
                <w:color w:val="000000"/>
                <w:sz w:val="17"/>
                <w:szCs w:val="17"/>
              </w:rPr>
              <w:t>24 meses</w:t>
            </w:r>
          </w:p>
        </w:tc>
      </w:tr>
      <w:tr w:rsidR="00560F38" w14:paraId="0A7A084C"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365E04" w14:textId="77777777" w:rsidR="00560F38" w:rsidRDefault="00000000">
            <w:pPr>
              <w:jc w:val="both"/>
            </w:pPr>
            <w:r>
              <w:rPr>
                <w:color w:val="000000"/>
                <w:sz w:val="17"/>
                <w:szCs w:val="17"/>
              </w:rPr>
              <w:t>OB-09</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C1793A" w14:textId="77777777" w:rsidR="00560F38" w:rsidRDefault="00000000">
            <w:pPr>
              <w:jc w:val="both"/>
            </w:pPr>
            <w:r>
              <w:rPr>
                <w:color w:val="000000"/>
                <w:sz w:val="17"/>
                <w:szCs w:val="17"/>
              </w:rPr>
              <w:t>Comunicação à Corregedoria</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545B45" w14:textId="77777777" w:rsidR="00560F38" w:rsidRDefault="00000000">
            <w:pPr>
              <w:jc w:val="both"/>
            </w:pPr>
            <w:r>
              <w:rPr>
                <w:color w:val="000000"/>
                <w:sz w:val="17"/>
                <w:szCs w:val="17"/>
              </w:rPr>
              <w:t>Art. 68, §1º, VI</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3E3E8F" w14:textId="77777777" w:rsidR="00560F38" w:rsidRDefault="00000000">
            <w:pPr>
              <w:jc w:val="both"/>
            </w:pPr>
            <w:r>
              <w:rPr>
                <w:color w:val="000000"/>
                <w:sz w:val="17"/>
                <w:szCs w:val="17"/>
              </w:rPr>
              <w:t>Limite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F2D248" w14:textId="77777777" w:rsidR="00560F38" w:rsidRDefault="00000000">
            <w:pPr>
              <w:jc w:val="both"/>
            </w:pPr>
            <w:r>
              <w:rPr>
                <w:color w:val="000000"/>
                <w:sz w:val="17"/>
                <w:szCs w:val="17"/>
              </w:rPr>
              <w:t>Imediata</w:t>
            </w:r>
          </w:p>
        </w:tc>
      </w:tr>
    </w:tbl>
    <w:p w14:paraId="069D1412" w14:textId="77777777" w:rsidR="00560F38" w:rsidRDefault="00560F38"/>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60F38" w14:paraId="01211FCF" w14:textId="77777777">
        <w:tblPrEx>
          <w:tblCellMar>
            <w:top w:w="0" w:type="dxa"/>
            <w:bottom w:w="0" w:type="dxa"/>
          </w:tblCellMar>
        </w:tblPrEx>
        <w:tc>
          <w:tcPr>
            <w:tcW w:w="9360" w:type="dxa"/>
            <w:tcBorders>
              <w:top w:val="single" w:sz="4" w:space="0" w:color="1F3864"/>
              <w:left w:val="single" w:sz="4" w:space="0" w:color="1F3864"/>
              <w:bottom w:val="single" w:sz="4" w:space="0" w:color="1F3864"/>
              <w:right w:val="single" w:sz="4" w:space="0" w:color="1F3864"/>
            </w:tcBorders>
            <w:shd w:val="clear" w:color="auto" w:fill="EEF2F7"/>
            <w:tcMar>
              <w:top w:w="100" w:type="dxa"/>
              <w:left w:w="180" w:type="dxa"/>
              <w:bottom w:w="100" w:type="dxa"/>
              <w:right w:w="180" w:type="dxa"/>
            </w:tcMar>
          </w:tcPr>
          <w:p w14:paraId="53179C74" w14:textId="77777777" w:rsidR="00560F38" w:rsidRDefault="00000000">
            <w:pPr>
              <w:spacing w:before="60" w:after="40"/>
            </w:pPr>
            <w:r>
              <w:rPr>
                <w:b/>
                <w:bCs/>
                <w:color w:val="1F3864"/>
                <w:sz w:val="18"/>
                <w:szCs w:val="18"/>
              </w:rPr>
              <w:t>NOTA</w:t>
            </w:r>
          </w:p>
          <w:p w14:paraId="4BD9E488" w14:textId="77777777" w:rsidR="00560F38" w:rsidRDefault="00000000">
            <w:pPr>
              <w:spacing w:before="40" w:after="60" w:line="260" w:lineRule="auto"/>
              <w:jc w:val="both"/>
            </w:pPr>
            <w:r>
              <w:rPr>
                <w:i/>
                <w:iCs/>
                <w:sz w:val="18"/>
                <w:szCs w:val="18"/>
              </w:rPr>
              <w:t>Os prazos das obrigações correm em paralelo: a vigência total do TAC corresponde ao maior prazo individual, limitada a 24 meses (art. 68, § 2º). Para cada obrigação selecionada é obrigatório preencher a Obrigação Efetiva e a Forma de Comprovação. A nulidade do TAC firmado sem observância da Portaria é expressa no art. 72.</w:t>
            </w:r>
          </w:p>
        </w:tc>
      </w:tr>
    </w:tbl>
    <w:p w14:paraId="6ECDF8FA" w14:textId="77777777" w:rsidR="00560F38" w:rsidRDefault="00000000">
      <w:r>
        <w:br w:type="page"/>
      </w:r>
    </w:p>
    <w:p w14:paraId="6ED5722D" w14:textId="77777777" w:rsidR="00560F38" w:rsidRDefault="00000000">
      <w:pPr>
        <w:shd w:val="clear" w:color="auto" w:fill="1F3864"/>
        <w:spacing w:before="200" w:after="200"/>
        <w:jc w:val="center"/>
      </w:pPr>
      <w:r>
        <w:rPr>
          <w:b/>
          <w:bCs/>
          <w:color w:val="FFFFFF"/>
          <w:sz w:val="28"/>
          <w:szCs w:val="28"/>
        </w:rPr>
        <w:lastRenderedPageBreak/>
        <w:t>PARTE V — GUIA OPERACIONAL DA CALCULADORA v3</w:t>
      </w:r>
    </w:p>
    <w:p w14:paraId="0D8A082F" w14:textId="77777777" w:rsidR="00560F38" w:rsidRDefault="00000000">
      <w:pPr>
        <w:pStyle w:val="Ttulo1"/>
      </w:pPr>
      <w:bookmarkStart w:id="57" w:name="_Toc232175902"/>
      <w:r>
        <w:t>13. Recursos Gerais da Ferramenta</w:t>
      </w:r>
      <w:bookmarkEnd w:id="57"/>
    </w:p>
    <w:p w14:paraId="0368B2D8" w14:textId="77777777" w:rsidR="00560F38" w:rsidRDefault="00000000">
      <w:pPr>
        <w:pStyle w:val="Ttulo2"/>
      </w:pPr>
      <w:bookmarkStart w:id="58" w:name="_Toc232175903"/>
      <w:r>
        <w:t>13.1 Persistência automática de sessão</w:t>
      </w:r>
      <w:bookmarkEnd w:id="58"/>
    </w:p>
    <w:p w14:paraId="62A1ABAF" w14:textId="77777777" w:rsidR="00560F38" w:rsidRDefault="00000000">
      <w:pPr>
        <w:spacing w:before="80" w:after="80" w:line="276" w:lineRule="auto"/>
        <w:jc w:val="both"/>
      </w:pPr>
      <w:r>
        <w:t>A Calculadora v3 salva automaticamente o estado da sessão no armazenamento local do navegador (localStorage) a cada alteração. Ao recarregar a página, o sistema restaura o preenchimento anterior. Para iniciar um novo processo, use a opção de limpar a sessão disponível na interface.</w:t>
      </w:r>
    </w:p>
    <w:p w14:paraId="6F4440A6" w14:textId="77777777" w:rsidR="00560F38" w:rsidRDefault="00000000">
      <w:pPr>
        <w:pStyle w:val="Ttulo2"/>
      </w:pPr>
      <w:bookmarkStart w:id="59" w:name="_Toc232175904"/>
      <w:r>
        <w:t>13.2 Barra de progresso e navegação por telas</w:t>
      </w:r>
      <w:bookmarkEnd w:id="59"/>
    </w:p>
    <w:p w14:paraId="2871059C" w14:textId="77777777" w:rsidR="00560F38" w:rsidRDefault="00000000">
      <w:pPr>
        <w:spacing w:before="80" w:after="80" w:line="276" w:lineRule="auto"/>
        <w:jc w:val="both"/>
      </w:pPr>
      <w:r>
        <w:t>A interface exibe as doze etapas em uma barra de progresso no topo. O operador avança pelo botão "Próximo" ou retorna pelo botão "Anterior". Algumas telas bloqueiam o avanço até que campos obrigatórios sejam preenchidos — a confirmação do art. 132 na Identificação e a seleção de artigo/inciso na Classificação.</w:t>
      </w:r>
    </w:p>
    <w:p w14:paraId="12F0FB54" w14:textId="77777777" w:rsidR="00560F38" w:rsidRDefault="00000000">
      <w:pPr>
        <w:pStyle w:val="Ttulo2"/>
      </w:pPr>
      <w:bookmarkStart w:id="60" w:name="_Toc232175905"/>
      <w:r>
        <w:t>13.3 Campos de complementação facultativa</w:t>
      </w:r>
      <w:bookmarkEnd w:id="60"/>
    </w:p>
    <w:p w14:paraId="41E68E32" w14:textId="77777777" w:rsidR="00560F38" w:rsidRDefault="00000000">
      <w:pPr>
        <w:spacing w:before="80" w:after="80" w:line="276" w:lineRule="auto"/>
        <w:jc w:val="both"/>
      </w:pPr>
      <w:r>
        <w:t>Cada subfator admite campo de complementação facultativa (máx. 500 caracteres) para registrar particularidades não capturadas pelas alternativas predefinidas. No relatório gerado, o conteúdo inserido pelo operador é diferenciado visualmente com borda dourada à esquerda e rótulo "Complementação do operador", permitindo verificar, em eventual impugnação, se o resultado sistemático foi mantido ou modificado.</w:t>
      </w:r>
    </w:p>
    <w:p w14:paraId="44E9F559" w14:textId="77777777" w:rsidR="00560F38" w:rsidRDefault="00000000">
      <w:pPr>
        <w:pStyle w:val="Ttulo2"/>
      </w:pPr>
      <w:bookmarkStart w:id="61" w:name="_Toc232175906"/>
      <w:r>
        <w:t>13.4 Sliders de intensidade</w:t>
      </w:r>
      <w:bookmarkEnd w:id="61"/>
    </w:p>
    <w:p w14:paraId="5E76215C" w14:textId="77777777" w:rsidR="00560F38" w:rsidRDefault="00000000">
      <w:pPr>
        <w:spacing w:before="80" w:after="80" w:line="276" w:lineRule="auto"/>
        <w:jc w:val="both"/>
      </w:pPr>
      <w:r>
        <w:t>Para circunstâncias e antecedentes, cada item marcado é acompanhado de um slider de intensidade com três posições — mínimo, padrão e máximo. O valor padrão é ponto de partida: o operador deve avaliar o grau de influência da circunstância ou antecedente no caso concreto e ajustar o slider com fundamentação no campo de complementação.</w:t>
      </w:r>
    </w:p>
    <w:p w14:paraId="74EAB1F1" w14:textId="77777777" w:rsidR="00560F38" w:rsidRDefault="00000000">
      <w:pPr>
        <w:pStyle w:val="Ttulo2"/>
      </w:pPr>
      <w:bookmarkStart w:id="62" w:name="_Toc232175907"/>
      <w:r>
        <w:t>13.5 Zona limítrofe</w:t>
      </w:r>
      <w:bookmarkEnd w:id="62"/>
    </w:p>
    <w:p w14:paraId="6AB95D7D" w14:textId="77777777" w:rsidR="00560F38" w:rsidRDefault="00000000">
      <w:pPr>
        <w:spacing w:before="80" w:after="80" w:line="276" w:lineRule="auto"/>
        <w:jc w:val="both"/>
      </w:pPr>
      <w:r>
        <w:t>No Regime Geral, o ponto 30 separa a advertência da suspensão (faixa de alerta: 27–33 pontos). Há também zona limítrofe para elegibilidade do TAC: suspensões na faixa de 57–63 pontos separam o TAC viável (suspensão de até 30 dias) do inviável (acima de 30 dias). Em ambas as zonas, o sistema exibe alerta recomendando revisão colegiada.</w:t>
      </w:r>
    </w:p>
    <w:p w14:paraId="644476D3" w14:textId="77777777" w:rsidR="00560F38" w:rsidRDefault="00000000">
      <w:pPr>
        <w:pStyle w:val="Ttulo2"/>
      </w:pPr>
      <w:bookmarkStart w:id="63" w:name="_Toc232175908"/>
      <w:r>
        <w:t>13.6 Exportação de documentos</w:t>
      </w:r>
      <w:bookmarkEnd w:id="63"/>
    </w:p>
    <w:p w14:paraId="318F6481" w14:textId="77777777" w:rsidR="00560F38" w:rsidRDefault="00000000">
      <w:pPr>
        <w:spacing w:before="80" w:after="80" w:line="276" w:lineRule="auto"/>
        <w:jc w:val="both"/>
      </w:pPr>
      <w:r>
        <w:t>Na tela Relatório (Tela 11), o operador dispõe de três opções:</w:t>
      </w:r>
    </w:p>
    <w:p w14:paraId="650F7942" w14:textId="77777777" w:rsidR="00560F38" w:rsidRDefault="00000000">
      <w:pPr>
        <w:pStyle w:val="PargrafodaLista"/>
        <w:numPr>
          <w:ilvl w:val="0"/>
          <w:numId w:val="2"/>
        </w:numPr>
        <w:spacing w:before="60" w:after="60" w:line="260" w:lineRule="auto"/>
      </w:pPr>
      <w:r>
        <w:t>Gerar Relatório PDF: exporta o relatório técnico de fundamentação com identificação do processo, enquadramento legal, descrição de cada subfator, sliders ajustados, quadro-resumo da pontuação, memória de cálculo, resultado da segunda fase, análise das três camadas do TAC e referências legais.</w:t>
      </w:r>
    </w:p>
    <w:p w14:paraId="1DABD55C" w14:textId="77777777" w:rsidR="00560F38" w:rsidRDefault="00000000">
      <w:pPr>
        <w:pStyle w:val="PargrafodaLista"/>
        <w:numPr>
          <w:ilvl w:val="0"/>
          <w:numId w:val="2"/>
        </w:numPr>
        <w:spacing w:before="60" w:after="60" w:line="260" w:lineRule="auto"/>
      </w:pPr>
      <w:r>
        <w:t>Exportar JSON: exporta o estado completo da sessão para arquivamento junto ao processo e reprodução auditável do cálculo.</w:t>
      </w:r>
    </w:p>
    <w:p w14:paraId="6424F1FA" w14:textId="77777777" w:rsidR="00560F38" w:rsidRDefault="00000000">
      <w:pPr>
        <w:pStyle w:val="PargrafodaLista"/>
        <w:numPr>
          <w:ilvl w:val="0"/>
          <w:numId w:val="2"/>
        </w:numPr>
        <w:spacing w:before="60" w:after="60" w:line="260" w:lineRule="auto"/>
      </w:pPr>
      <w:r>
        <w:t>Gerar TAC: exporta o documento do TAC em HTML, contendo as obrigações selecionadas com descrições efetivas e formas de comprovação.</w:t>
      </w:r>
    </w:p>
    <w:p w14:paraId="7863EF90" w14:textId="77777777" w:rsidR="00560F38" w:rsidRDefault="00000000">
      <w:pPr>
        <w:pStyle w:val="Ttulo2"/>
      </w:pPr>
      <w:bookmarkStart w:id="64" w:name="_Toc232175909"/>
      <w:r>
        <w:t>13.7 Painel "Perfil da Conduta"</w:t>
      </w:r>
      <w:bookmarkEnd w:id="64"/>
    </w:p>
    <w:p w14:paraId="2CEA6F29" w14:textId="77777777" w:rsidR="00560F38" w:rsidRDefault="00000000" w:rsidP="001528BF">
      <w:pPr>
        <w:spacing w:line="276" w:lineRule="auto"/>
        <w:jc w:val="both"/>
      </w:pPr>
      <w:r>
        <w:t>O painel Perfil da Conduta é exibido automaticamente na Tela 9, logo após o cartão de Penalidade Calculada e antes da Análise TAC. Seu objetivo é oferecer ao operador uma leitura analítica e visual da composição da pontuação, permitindo identificar quais elementos têm maior peso relativo antes de consolidar o resultado.</w:t>
      </w:r>
    </w:p>
    <w:p w14:paraId="38B73782" w14:textId="77777777" w:rsidR="00560F38" w:rsidRDefault="00000000" w:rsidP="001528BF">
      <w:pPr>
        <w:spacing w:line="276" w:lineRule="auto"/>
        <w:jc w:val="both"/>
      </w:pPr>
      <w:r>
        <w:lastRenderedPageBreak/>
        <w:t>O painel é não editável e não bloqueante: não interfere no fluxo de navegação e não impede o prosseguimento.</w:t>
      </w:r>
    </w:p>
    <w:p w14:paraId="67D9583B" w14:textId="77777777" w:rsidR="00560F38" w:rsidRDefault="00000000" w:rsidP="001528BF">
      <w:pPr>
        <w:spacing w:line="276" w:lineRule="auto"/>
        <w:jc w:val="both"/>
      </w:pPr>
      <w:r>
        <w:t>O painel organiza-se em três blocos lado a lado:</w:t>
      </w:r>
    </w:p>
    <w:p w14:paraId="181ABFC1" w14:textId="77777777" w:rsidR="00560F38" w:rsidRDefault="00000000" w:rsidP="001528BF">
      <w:pPr>
        <w:pStyle w:val="PargrafodaLista"/>
        <w:spacing w:line="276" w:lineRule="auto"/>
        <w:jc w:val="both"/>
      </w:pPr>
      <w:r>
        <w:t>Bloco 1 — Tabela de composição (coluna esquerda, ~45% da largura): exibe, para cada elemento, a pontuação atribuída, o teto máximo, o percentual do teto atingido e o percentual de contribuição na Soma Total. O percentual do teto é codificado por cor: verde (≤ 40%), amarelo (41–70%) e vermelho (&gt; 70%). Circunstâncias e antecedentes negativos são exibidos em verde com sinal negativo. A linha final mostra a Soma Total e o máximo fixo de 90 pontos (Natureza 30 + Gravidade 30 + Dano 30). Os tetos individuais são: Natureza 30, Gravidade 30, Dano Material 20 e Dano Imaterial 20 (cap conjunto de 30).</w:t>
      </w:r>
    </w:p>
    <w:p w14:paraId="553B0D4E" w14:textId="77777777" w:rsidR="00560F38" w:rsidRDefault="00000000" w:rsidP="001528BF">
      <w:pPr>
        <w:pStyle w:val="PargrafodaLista"/>
        <w:spacing w:line="276" w:lineRule="auto"/>
        <w:jc w:val="both"/>
      </w:pPr>
      <w:r>
        <w:t>Bloco 2 — Gráfico de barras horizontais (coluna direita, parte superior): apresenta, para Natureza, Gravidade, Dano Material e Dano Imaterial, a porcentagem do teto individual atingida. As barras seguem o mesmo código de cor do Bloco 1.</w:t>
      </w:r>
    </w:p>
    <w:p w14:paraId="557A3A08" w14:textId="77777777" w:rsidR="00560F38" w:rsidRDefault="00000000" w:rsidP="001528BF">
      <w:pPr>
        <w:pStyle w:val="PargrafodaLista"/>
        <w:spacing w:line="276" w:lineRule="auto"/>
        <w:jc w:val="both"/>
      </w:pPr>
      <w:r>
        <w:t>Bloco 3 — Gráfico de rosca (coluna direita, parte inferior): ilustra a composição proporcional da Soma Total por elemento. Elementos positivos são representados por fatias sólidas; moduladores negativos (atenuantes e bons antecedentes) por fatias semitransparentes com borda tracejada. A legenda ao lado identifica cada segmento com cor e valor absoluto.</w:t>
      </w:r>
    </w:p>
    <w:p w14:paraId="4D1136CC" w14:textId="77777777" w:rsidR="00560F38" w:rsidRDefault="00000000" w:rsidP="001528BF">
      <w:pPr>
        <w:spacing w:line="276" w:lineRule="auto"/>
        <w:jc w:val="both"/>
      </w:pPr>
      <w:r>
        <w:t>O painel é incluído no relatório PDF como seção 6A, com tabela e gráficos SVG inline compatíveis com impressão.</w:t>
      </w:r>
    </w:p>
    <w:p w14:paraId="28700D8C" w14:textId="77777777" w:rsidR="00560F38" w:rsidRDefault="00000000">
      <w:pPr>
        <w:pStyle w:val="Ttulo2"/>
      </w:pPr>
      <w:bookmarkStart w:id="65" w:name="_Toc232175910"/>
      <w:r>
        <w:t>13.8 Painel "Pontos de Atenção Identificados"</w:t>
      </w:r>
      <w:bookmarkEnd w:id="65"/>
    </w:p>
    <w:p w14:paraId="6DC47ABD" w14:textId="77777777" w:rsidR="00560F38" w:rsidRDefault="00000000" w:rsidP="001528BF">
      <w:pPr>
        <w:spacing w:line="276" w:lineRule="auto"/>
        <w:jc w:val="both"/>
      </w:pPr>
      <w:r>
        <w:t>O painel Pontos de Atenção Identificados é exibido na Tela 9, após o Perfil da Conduta e antes da Análise TAC. Sua função é detectar automaticamente tensões de consistência interna entre as respostas fornecidas pelo operador, sinalizando combinações que, embora formalmente possíveis, apresentam incompatibilidade jurídica ou fática relevante. O painel é estritamente não bloqueante: não impede o operador de prosseguir e não altera nenhum valor calculado.</w:t>
      </w:r>
    </w:p>
    <w:p w14:paraId="25A59E6C" w14:textId="77777777" w:rsidR="00560F38" w:rsidRDefault="00000000" w:rsidP="001528BF">
      <w:pPr>
        <w:spacing w:line="276" w:lineRule="auto"/>
        <w:jc w:val="both"/>
      </w:pPr>
      <w:r>
        <w:t>Comportamento visual e interativo:</w:t>
      </w:r>
    </w:p>
    <w:p w14:paraId="5DBB4F27" w14:textId="77777777" w:rsidR="00560F38" w:rsidRDefault="00000000" w:rsidP="001528BF">
      <w:pPr>
        <w:pStyle w:val="PargrafodaLista"/>
        <w:spacing w:line="276" w:lineRule="auto"/>
        <w:jc w:val="both"/>
      </w:pPr>
      <w:r>
        <w:t>Sem tensões detectadas: exibe apenas linha discreta em verde — "Nenhum ponto de atenção identificado. As respostas são internamente consistentes." — sem painel colapsável.</w:t>
      </w:r>
    </w:p>
    <w:p w14:paraId="75D874AA" w14:textId="77777777" w:rsidR="00560F38" w:rsidRDefault="00000000" w:rsidP="001528BF">
      <w:pPr>
        <w:pStyle w:val="PargrafodaLista"/>
        <w:spacing w:line="276" w:lineRule="auto"/>
        <w:jc w:val="both"/>
      </w:pPr>
      <w:r>
        <w:t>Apenas tensões MÉDIA ou INFORMATIVA: painel colapsável exibido fechado, com contador de tensões e convite a expandir.</w:t>
      </w:r>
    </w:p>
    <w:p w14:paraId="0C00945F" w14:textId="77777777" w:rsidR="00560F38" w:rsidRDefault="00000000" w:rsidP="001528BF">
      <w:pPr>
        <w:pStyle w:val="PargrafodaLista"/>
        <w:spacing w:line="276" w:lineRule="auto"/>
        <w:jc w:val="both"/>
      </w:pPr>
      <w:r>
        <w:t>Ao menos uma tensão ALTA: painel colapsável aberto automaticamente, cabeçalho em amarelo escuro.</w:t>
      </w:r>
    </w:p>
    <w:p w14:paraId="0D48C8AC" w14:textId="77777777" w:rsidR="00560F38" w:rsidRDefault="00000000" w:rsidP="001528BF">
      <w:pPr>
        <w:spacing w:line="276" w:lineRule="auto"/>
        <w:jc w:val="both"/>
      </w:pPr>
      <w:r>
        <w:t>Cada card de tensão exibe: identificador (ex.: T1), nível de intensidade, texto da mensagem e sugestão em itálico. Quando o operador tiver preenchido campos de complementação nos subfatores envolvidos, o texto é exibido abaixo do card sob o rótulo "Fundamentação do operador:", demonstrando que a tensão foi reconhecida e motivada expressamente.</w:t>
      </w:r>
    </w:p>
    <w:p w14:paraId="3C471EE3" w14:textId="77777777" w:rsidR="00560F38" w:rsidRDefault="00000000" w:rsidP="001528BF">
      <w:pPr>
        <w:spacing w:line="276" w:lineRule="auto"/>
        <w:jc w:val="both"/>
      </w:pPr>
      <w:r>
        <w:t>Código visual de intensidade:</w:t>
      </w:r>
    </w:p>
    <w:p w14:paraId="0F78D158" w14:textId="77777777" w:rsidR="00560F38" w:rsidRDefault="00000000" w:rsidP="001528BF">
      <w:pPr>
        <w:pStyle w:val="PargrafodaLista"/>
        <w:spacing w:line="276" w:lineRule="auto"/>
        <w:jc w:val="both"/>
      </w:pPr>
      <w:r>
        <w:t>ALTA — fundo amarelo escuro, borda esquerda vermelha, ícone ⚠. Indica combinação com forte incompatibilidade jurídica ou fática.</w:t>
      </w:r>
    </w:p>
    <w:p w14:paraId="2903DF82" w14:textId="77777777" w:rsidR="00560F38" w:rsidRDefault="00000000" w:rsidP="001528BF">
      <w:pPr>
        <w:pStyle w:val="PargrafodaLista"/>
        <w:spacing w:line="276" w:lineRule="auto"/>
        <w:jc w:val="both"/>
      </w:pPr>
      <w:r>
        <w:t>MÉDIA — fundo amarelo claro, borda esquerda laranja, ícone ⚠. Indica combinação incomum que merece fundamentação expressa.</w:t>
      </w:r>
    </w:p>
    <w:p w14:paraId="14A23D18" w14:textId="77777777" w:rsidR="00560F38" w:rsidRDefault="00000000" w:rsidP="001528BF">
      <w:pPr>
        <w:pStyle w:val="PargrafodaLista"/>
        <w:spacing w:line="276" w:lineRule="auto"/>
        <w:jc w:val="both"/>
      </w:pPr>
      <w:r>
        <w:t>INFORMATIVA — fundo azul claro, borda esquerda azul, ícone ℹ. Indica combinação possível que merece atenção adicional.</w:t>
      </w:r>
    </w:p>
    <w:p w14:paraId="2F0E8468" w14:textId="77777777" w:rsidR="00560F38" w:rsidRDefault="00000000" w:rsidP="001528BF">
      <w:pPr>
        <w:spacing w:line="276" w:lineRule="auto"/>
        <w:jc w:val="both"/>
      </w:pPr>
      <w:r>
        <w:t>O painel é incluído no relatório PDF como seção 6B, com o mesmo conteúdo e incluindo as complementações do operador quando presentes.</w:t>
      </w:r>
    </w:p>
    <w:p w14:paraId="5AFA5695" w14:textId="77777777" w:rsidR="00560F38" w:rsidRDefault="00000000" w:rsidP="001528BF">
      <w:pPr>
        <w:spacing w:line="276" w:lineRule="auto"/>
        <w:jc w:val="both"/>
      </w:pPr>
      <w:r>
        <w:t>Regras de detecção implementadas (T1 a T14):</w:t>
      </w:r>
    </w:p>
    <w:p w14:paraId="50D872F0" w14:textId="77777777" w:rsidR="00560F38" w:rsidRDefault="00000000" w:rsidP="001528BF">
      <w:pPr>
        <w:pStyle w:val="PargrafodaLista"/>
        <w:spacing w:line="276" w:lineRule="auto"/>
        <w:jc w:val="both"/>
      </w:pPr>
      <w:r>
        <w:t>T1 (ALTA): SF1.1 = dolo direto (val 20) ou especial fim de agir (val 22) E SF1.2 = 0 (ausência total de referência normativa ou informal). O dolo direto pressupõe conhecimento suficiente da situação — ausência de qualquer orientação é incompatível com essa gradação na quase totalidade dos casos práticos. Sugestão: rever SF1.1 ou SF1.2 e fundamentar no campo de complementação.</w:t>
      </w:r>
    </w:p>
    <w:p w14:paraId="1ABE2EBE" w14:textId="77777777" w:rsidR="00560F38" w:rsidRDefault="00000000" w:rsidP="001528BF">
      <w:pPr>
        <w:pStyle w:val="PargrafodaLista"/>
        <w:spacing w:line="276" w:lineRule="auto"/>
        <w:jc w:val="both"/>
      </w:pPr>
      <w:r>
        <w:lastRenderedPageBreak/>
        <w:t>T2 (MÉDIA): SF1.1 = dolo direto (val 20) ou especial fim de agir (val 22) E SF1.2 = 1 (apenas informação informal). Informação apenas informal é base frágil para sustentar o dolo direto. Sugestão: rever SF1.1 ou SF1.2 e fundamentar no campo de complementação.</w:t>
      </w:r>
    </w:p>
    <w:p w14:paraId="0D13E26D" w14:textId="77777777" w:rsidR="00560F38" w:rsidRDefault="00000000" w:rsidP="001528BF">
      <w:pPr>
        <w:pStyle w:val="PargrafodaLista"/>
        <w:spacing w:line="276" w:lineRule="auto"/>
        <w:jc w:val="both"/>
      </w:pPr>
      <w:r>
        <w:t>T3 (MÉDIA): SF1.1 = culpa leve grau 1 (val 2) E SF1.2 = 8 (capacitação específica documentada). A capacitação documentada sobre exatamente esta conduta eleva o dever de cuidado exigível, tendendo a afastar a gradação mínima da culpa leve. Sugestão: rever SF1.1 e fundamentar por que o treinamento não elevou o padrão de cuidado.</w:t>
      </w:r>
    </w:p>
    <w:p w14:paraId="4EE23A4D" w14:textId="77777777" w:rsidR="00560F38" w:rsidRDefault="00000000" w:rsidP="001528BF">
      <w:pPr>
        <w:pStyle w:val="PargrafodaLista"/>
        <w:spacing w:line="276" w:lineRule="auto"/>
        <w:jc w:val="both"/>
      </w:pPr>
      <w:r>
        <w:t>T4 (INFORMATIVA): SF1.1 = culpa leve grau 2 (val 5) ou grau 3 (val 8) E SF1.2 = 8 (capacitação específica documentada). Combinação possível, mas capacitação específica tende a elevar o elemento subjetivo ao menos para culpa grave. Sugestão: verificar se o caso concreto justifica manter culpa leve e registrar a razão.</w:t>
      </w:r>
    </w:p>
    <w:p w14:paraId="57E3797B" w14:textId="77777777" w:rsidR="00560F38" w:rsidRDefault="00000000" w:rsidP="001528BF">
      <w:pPr>
        <w:pStyle w:val="PargrafodaLista"/>
        <w:spacing w:line="276" w:lineRule="auto"/>
        <w:jc w:val="both"/>
      </w:pPr>
      <w:r>
        <w:t>T5 (ALTA): SF1.1 = culpa leve grau 1 (val 2) E SF2.2 = infração continuada superior a 6 meses (val 15). Conduta que persiste por mais de seis meses é incompatível com a menor gradação da culpa leve — a persistência temporal afasta o caráter de equívoco esporádico. Sugestão: rever SF1.1 ou SF2.2.</w:t>
      </w:r>
    </w:p>
    <w:p w14:paraId="4CB857E6" w14:textId="77777777" w:rsidR="00560F38" w:rsidRDefault="00000000" w:rsidP="001528BF">
      <w:pPr>
        <w:pStyle w:val="PargrafodaLista"/>
        <w:spacing w:line="276" w:lineRule="auto"/>
        <w:jc w:val="both"/>
      </w:pPr>
      <w:r>
        <w:t>T6 (MÉDIA): SF1.1 = culpa leve grau 1 (val 2) E SF2.2 = infração reiterada com 4 ou mais episódios ou período superior a 3 meses (val 10). A reiteração é de difícil conciliação com a menor gradação da culpa leve. Sugestão: rever SF1.1 ou SF2.2 e fundamentar.</w:t>
      </w:r>
    </w:p>
    <w:p w14:paraId="5710E1D4" w14:textId="77777777" w:rsidR="00560F38" w:rsidRDefault="00000000" w:rsidP="001528BF">
      <w:pPr>
        <w:pStyle w:val="PargrafodaLista"/>
        <w:spacing w:line="276" w:lineRule="auto"/>
        <w:jc w:val="both"/>
      </w:pPr>
      <w:r>
        <w:t>T7 (MÉDIA): SF1.1 = culpa leve grau 1 (val 2) E SF2.2 = infração continuada até 6 meses (val 11). A continuidade da conduta tende a afastar a menor gradação da culpa leve. Sugestão: rever SF1.1 ou SF2.2 e fundamentar.</w:t>
      </w:r>
    </w:p>
    <w:p w14:paraId="3DB46299" w14:textId="77777777" w:rsidR="00560F38" w:rsidRDefault="00000000" w:rsidP="001528BF">
      <w:pPr>
        <w:pStyle w:val="PargrafodaLista"/>
        <w:spacing w:line="276" w:lineRule="auto"/>
        <w:jc w:val="both"/>
      </w:pPr>
      <w:r>
        <w:t>T8 (MÉDIA): SF1.1 = culpa leve grau 1 (val 2) E SF2.1 = alta proteção institucional (vals 11, 13 ou 15 — regularidade formal de procedimentos fiscais, isonomia tributária, sigilo fiscal ou segurança de sistemas). Bens jurídicos nucleares da missão da RFB exigem atenção redobrada. Sugestão: verificar se o caso concreto justifica manter a gradação mínima da culpa leve.</w:t>
      </w:r>
    </w:p>
    <w:p w14:paraId="4C376697" w14:textId="77777777" w:rsidR="00560F38" w:rsidRDefault="00000000" w:rsidP="001528BF">
      <w:pPr>
        <w:pStyle w:val="PargrafodaLista"/>
        <w:spacing w:line="276" w:lineRule="auto"/>
        <w:jc w:val="both"/>
      </w:pPr>
      <w:r>
        <w:t>T9 (MÉDIA): SF3B.4a = 12 (divulgação ampla ou utilização indevida de dados sigilosos de contribuintes) E SF1.1 = culpa leve grau 1 (val 2). A gravidade objetiva do resultado — grau máximo de comprometimento do sigilo fiscal — tende a indicar ao menos culpa grave. Sugestão: fundamentar no campo de complementação de SF1.1.</w:t>
      </w:r>
    </w:p>
    <w:p w14:paraId="046794FD" w14:textId="77777777" w:rsidR="00560F38" w:rsidRDefault="00000000" w:rsidP="001528BF">
      <w:pPr>
        <w:pStyle w:val="PargrafodaLista"/>
        <w:spacing w:line="276" w:lineRule="auto"/>
        <w:jc w:val="both"/>
      </w:pPr>
      <w:r>
        <w:t>T10 (MÉDIA): SF3B.4b = 12 (comprometimento grave e documentado do processo tributário) E SF1.1 = culpa leve grau 1 (val 2). A gravidade objetiva do resultado tende a indicar ao menos culpa grave. Sugestão: fundamentar no campo de complementação de SF1.1.</w:t>
      </w:r>
    </w:p>
    <w:p w14:paraId="14CB5121" w14:textId="77777777" w:rsidR="00560F38" w:rsidRDefault="00000000" w:rsidP="001528BF">
      <w:pPr>
        <w:pStyle w:val="PargrafodaLista"/>
        <w:spacing w:line="276" w:lineRule="auto"/>
        <w:jc w:val="both"/>
      </w:pPr>
      <w:r>
        <w:t>T11 (ALTA): Agravante ag1 marcada (capacitação específica documentada na área da infração) E SF1.1 = culpa leve grau 1 (val 2). A agravante implica que o servidor detinha conhecimento especializado, mas o elemento subjetivo foi graduado no mínimo da culpa leve — risco de dupla valoração em sentidos conflitantes: a capacitação agrava na Tela 6 e deveria ter elevado o dever de cuidado na Tela 2. Sugestão: rever SF1.1 ou fundamentar expressamente.</w:t>
      </w:r>
    </w:p>
    <w:p w14:paraId="56F420B3" w14:textId="77777777" w:rsidR="00560F38" w:rsidRDefault="00000000" w:rsidP="001528BF">
      <w:pPr>
        <w:pStyle w:val="PargrafodaLista"/>
        <w:spacing w:line="276" w:lineRule="auto"/>
        <w:jc w:val="both"/>
      </w:pPr>
      <w:r>
        <w:t>T12 (MÉDIA): Agravante ag7 marcada (experiência pretérita em cargo de chefia em área correlata) E SF1.1 = culpa leve grau 1 (val 2). Trajetória de gestão em área correlata eleva o padrão de cuidado exigível — difícil conciliação com a menor gradação da culpa leve. Sugestão: rever SF1.1 e fundamentar.</w:t>
      </w:r>
    </w:p>
    <w:p w14:paraId="6E975854" w14:textId="77777777" w:rsidR="00560F38" w:rsidRDefault="00000000" w:rsidP="001528BF">
      <w:pPr>
        <w:pStyle w:val="PargrafodaLista"/>
        <w:spacing w:line="276" w:lineRule="auto"/>
        <w:jc w:val="both"/>
      </w:pPr>
      <w:r>
        <w:t>T14 (MÉDIA): Soma Total ≤ 10 pontos E (Dano Material ≥ 12 pts OU Dano Imaterial ≥ 15 pts). Soma Total muito baixa com dano elevado pode indicar subavaliação dos elementos de Natureza e/ou Gravidade em relação ao resultado produzido. Sugestão: revisar Natureza e Gravidade à luz do dano apurado.</w:t>
      </w:r>
    </w:p>
    <w:p w14:paraId="3F247E89" w14:textId="77777777" w:rsidR="00560F38" w:rsidRDefault="00000000">
      <w:pPr>
        <w:pStyle w:val="Ttulo1"/>
      </w:pPr>
      <w:bookmarkStart w:id="66" w:name="_Toc232175911"/>
      <w:r>
        <w:t>14. Fluxo Operacional Passo a Passo</w:t>
      </w:r>
      <w:bookmarkEnd w:id="66"/>
    </w:p>
    <w:p w14:paraId="76171686" w14:textId="77777777" w:rsidR="00560F38" w:rsidRDefault="00000000">
      <w:pPr>
        <w:spacing w:before="80" w:after="80" w:line="276" w:lineRule="auto"/>
        <w:jc w:val="both"/>
      </w:pPr>
      <w:r>
        <w:t>A seguir, o percurso completo nas doze telas da Calculadora v3.</w:t>
      </w:r>
    </w:p>
    <w:p w14:paraId="6EC7FAD4" w14:textId="77777777" w:rsidR="00560F38" w:rsidRDefault="00000000">
      <w:pPr>
        <w:pStyle w:val="Ttulo2"/>
      </w:pPr>
      <w:bookmarkStart w:id="67" w:name="_Toc232175912"/>
      <w:r>
        <w:t>Tela 0 — Identificação</w:t>
      </w:r>
      <w:bookmarkEnd w:id="67"/>
    </w:p>
    <w:p w14:paraId="08EE8371" w14:textId="77777777" w:rsidR="00560F38" w:rsidRDefault="00000000">
      <w:pPr>
        <w:spacing w:before="80" w:after="80" w:line="276" w:lineRule="auto"/>
        <w:jc w:val="both"/>
      </w:pPr>
      <w:r>
        <w:t xml:space="preserve">Preencher: Número do Processo, Nome do Servidor, Matrícula, Cargo, Unidade e Data do Ilícito. Marcar expressamente que a conduta apurada não é punível com pena capital do art. 132. Sem </w:t>
        <w:lastRenderedPageBreak/>
        <w:t>essa confirmação, o sistema bloqueia o avanço. Boa prática: verificar a inaplicabilidade do art. 132 antes de iniciar o preenchimento.</w:t>
      </w:r>
    </w:p>
    <w:p w14:paraId="4135333C" w14:textId="77777777" w:rsidR="00560F38" w:rsidRDefault="00000000">
      <w:pPr>
        <w:pStyle w:val="Ttulo2"/>
      </w:pPr>
      <w:bookmarkStart w:id="68" w:name="_Toc232175913"/>
      <w:r>
        <w:t>Tela 1 — Classificação</w:t>
      </w:r>
      <w:bookmarkEnd w:id="68"/>
    </w:p>
    <w:p w14:paraId="30FB4C94" w14:textId="77777777" w:rsidR="00560F38" w:rsidRDefault="00000000">
      <w:pPr>
        <w:spacing w:before="80" w:after="80" w:line="276" w:lineRule="auto"/>
        <w:jc w:val="both"/>
      </w:pPr>
      <w:r>
        <w:t>Selecionar o regime: A — Regime Geral; B — Regime RE1; C — Regime RE2; D — Regime RE3; E — Concurso Material de Infrações. Abrir o modal de Enquadramento Legal e selecionar o(s) artigo(s) e inciso(s) específicos violados. O sistema organiza os dispositivos por artigo (116, 117, 130 ou 32 da LAI). A seleção é obrigatória para prosseguir. Em caso de Concurso, o enquadramento é preenchido individualmente em cada ciclo.</w:t>
      </w:r>
    </w:p>
    <w:p w14:paraId="33B5A40E" w14:textId="77777777" w:rsidR="00560F38" w:rsidRDefault="00000000">
      <w:pPr>
        <w:pStyle w:val="Ttulo2"/>
      </w:pPr>
      <w:bookmarkStart w:id="69" w:name="_Toc232175914"/>
      <w:r>
        <w:t>Tela 2 — Natureza</w:t>
      </w:r>
      <w:bookmarkEnd w:id="69"/>
    </w:p>
    <w:p w14:paraId="5A638234" w14:textId="77777777" w:rsidR="00560F38" w:rsidRDefault="00000000">
      <w:pPr>
        <w:spacing w:before="80" w:after="80" w:line="276" w:lineRule="auto"/>
        <w:jc w:val="both"/>
      </w:pPr>
      <w:r>
        <w:t>Responder ao SF1.1 navegando pela árvore de decisão: culpa leve (3 graus: 2/5/8 pts), culpa grave (3 graus: 10/13/16 pts) ou dolo (eventual: 17 pts, direto: 20 pts, especial fim de agir: 22 pts). O refinamento da modalidade dolosa está integrado no próprio SF1.1. Responder ao SF1.2 (0–8 pts) percorrendo os quatro ramos mutuamente exclusivos: (A) sem norma/orientação/capacitação — com ou sem informação informal (0–1 pts); (B) norma sem orientação formal nem capacitação (2–3 pts); (C) norma com orientação institucional formal, sem capacitação (4–5 pts); (D) norma, orientação e capacitação documentada (6–8 pts). Complementar os campos livres sempre que as alternativas não captarem a situação fática com precisão.</w:t>
      </w:r>
    </w:p>
    <w:p w14:paraId="3686EBEB" w14:textId="77777777" w:rsidR="00560F38" w:rsidRDefault="00000000">
      <w:pPr>
        <w:pStyle w:val="Ttulo2"/>
      </w:pPr>
      <w:bookmarkStart w:id="70" w:name="_Toc232175915"/>
      <w:r>
        <w:t>Tela 3 — Gravidade</w:t>
      </w:r>
      <w:bookmarkEnd w:id="70"/>
    </w:p>
    <w:p w14:paraId="711566D7" w14:textId="77777777" w:rsidR="00560F38" w:rsidRDefault="00000000">
      <w:pPr>
        <w:spacing w:before="80" w:after="80" w:line="276" w:lineRule="auto"/>
        <w:jc w:val="both"/>
      </w:pPr>
      <w:r>
        <w:t>Avaliar SF2.1 (hierarquia do bem jurídico em abstrato — não o dano concreto, 1–15 pts), SF2.2 (caráter temporal — isolada/reiterada/continuada, 1–15 pts; a reiteração considera a mesma infração cometida mais de uma vez) e SF2.3 (concurso formal de dispositivos — 0 ou 15 pts). Atentar para a distinção metodológica entre SF2.1 e os subfatores de dano imaterial.</w:t>
      </w:r>
    </w:p>
    <w:p w14:paraId="5D174974" w14:textId="77777777" w:rsidR="00560F38" w:rsidRDefault="00000000">
      <w:pPr>
        <w:pStyle w:val="Ttulo2"/>
      </w:pPr>
      <w:bookmarkStart w:id="71" w:name="_Toc232175916"/>
      <w:r>
        <w:t>Tela 4 — Dano Material</w:t>
      </w:r>
      <w:bookmarkEnd w:id="71"/>
    </w:p>
    <w:p w14:paraId="6169D103" w14:textId="77777777" w:rsidR="00560F38" w:rsidRDefault="00000000">
      <w:pPr>
        <w:spacing w:before="80" w:after="80" w:line="276" w:lineRule="auto"/>
        <w:jc w:val="both"/>
      </w:pPr>
      <w:r>
        <w:t>Percorrer a árvore: (1) existência do dano material efetivo; (2) extensão relativa — baixa (&lt;5%), média (5–25%) ou alta (&gt;25%) em relação ao referencial orçamentário ou contratual; (3) reversibilidade — ressarcimento integral, parcial ou ausente. Informar se houve ressarcimento: essa informação alimenta automaticamente a Camada 2 do TAC. Boa prática: anotar a fundamentação probatória no campo de complementação — não presumir dano.</w:t>
      </w:r>
    </w:p>
    <w:p w14:paraId="3384532E" w14:textId="77777777" w:rsidR="00560F38" w:rsidRDefault="00000000">
      <w:pPr>
        <w:pStyle w:val="Ttulo2"/>
      </w:pPr>
      <w:bookmarkStart w:id="72" w:name="_Toc232175917"/>
      <w:r>
        <w:t>Tela 5 — Dano Imaterial</w:t>
      </w:r>
      <w:bookmarkEnd w:id="72"/>
    </w:p>
    <w:p w14:paraId="7677E58C" w14:textId="77777777" w:rsidR="00560F38" w:rsidRDefault="00000000">
      <w:pPr>
        <w:spacing w:before="80" w:after="80" w:line="276" w:lineRule="auto"/>
        <w:jc w:val="both"/>
      </w:pPr>
      <w:r>
        <w:t>Avaliar os cinco subfatores independentemente: SF3B.1 (credibilidade — 0–10 pts: sem repercussão perceptível, interna, regional, ampla); SF3B.2 (regularidade do serviço — 0–6 pts); SF3B.3 (impacto sobre contribuintes e terceiros — 0–6 pts); SF3B.4a (comprometimento concreto do sigilo fiscal — 0–12 pts: se dados foram efetivamente expostos); SF3B.4b (comprometimento concreto de fiscalização/lançamento — 0–12 pts). SF3B.4a e SF3B.4b avaliam o impacto concreto, não a hierarquia abstrata da norma.</w:t>
      </w:r>
    </w:p>
    <w:p w14:paraId="70AE23E4" w14:textId="77777777" w:rsidR="00560F38" w:rsidRDefault="00000000">
      <w:pPr>
        <w:pStyle w:val="Ttulo2"/>
      </w:pPr>
      <w:bookmarkStart w:id="73" w:name="_Toc232175918"/>
      <w:r>
        <w:t>Tela 6 — Circunstâncias</w:t>
      </w:r>
      <w:bookmarkEnd w:id="73"/>
    </w:p>
    <w:p w14:paraId="63A3E1BB" w14:textId="77777777" w:rsidR="00560F38" w:rsidRDefault="00000000">
      <w:pPr>
        <w:spacing w:before="80" w:after="80" w:line="276" w:lineRule="auto"/>
        <w:jc w:val="both"/>
      </w:pPr>
      <w:r>
        <w:t>Marcar agravantes e atenuantes apenas quando efetivamente comprovadas nos autos. Para cada item marcado, ajustar o slider de intensidade (mínimo, padrão ou máximo) à medida do caso concreto. Lembrar que o alto dano já valorado no Elemento 3 não pode ser reaproveitado como agravante. Boa prática: para cada item marcado, usar o campo de complementação para indicar a prova que o sustenta e a razão do slider ajustado.</w:t>
      </w:r>
    </w:p>
    <w:p w14:paraId="21179F2C" w14:textId="77777777" w:rsidR="00560F38" w:rsidRDefault="00000000">
      <w:pPr>
        <w:pStyle w:val="Ttulo2"/>
      </w:pPr>
      <w:bookmarkStart w:id="74" w:name="_Toc232175919"/>
      <w:r>
        <w:t>Tela 7 — Antecedentes</w:t>
      </w:r>
      <w:bookmarkEnd w:id="74"/>
    </w:p>
    <w:p w14:paraId="22422577" w14:textId="77777777" w:rsidR="00560F38" w:rsidRDefault="00000000">
      <w:pPr>
        <w:spacing w:before="80" w:after="80" w:line="276" w:lineRule="auto"/>
        <w:jc w:val="both"/>
      </w:pPr>
      <w:r>
        <w:t xml:space="preserve">Verificar os assentamentos funcionais do servidor. Marcar bons antecedentes (ba1–ba5, reduzem a pontuação) e maus antecedentes (ma1–ma4, aumentam a pontuação), ajustando os sliders de </w:t>
        <w:lastRenderedPageBreak/>
        <w:t>intensidade. Observar que o mesmo registro não pode configurar simultaneamente reincidência e mau antecedente (ma3).</w:t>
      </w:r>
    </w:p>
    <w:p w14:paraId="5EA40ED6" w14:textId="77777777" w:rsidR="00560F38" w:rsidRDefault="00000000">
      <w:pPr>
        <w:pStyle w:val="Ttulo2"/>
      </w:pPr>
      <w:bookmarkStart w:id="75" w:name="_Toc232175920"/>
      <w:r>
        <w:t>Tela 8 — Dados TAC</w:t>
      </w:r>
      <w:bookmarkEnd w:id="75"/>
    </w:p>
    <w:p w14:paraId="56DA01F4" w14:textId="77777777" w:rsidR="00560F38" w:rsidRDefault="00000000">
      <w:pPr>
        <w:spacing w:before="80" w:after="80" w:line="276" w:lineRule="auto"/>
        <w:jc w:val="both"/>
      </w:pPr>
      <w:r>
        <w:t>Responder às perguntas que alimentam as três camadas de elegibilidade: (i) o servidor é ocupante de cargo efetivo?; (ii) há registro vigente de penalidade disciplinar (advertência &lt; 3 anos ou suspensão &lt; 5 anos)?; (iii) o servidor firmou TAC nos últimos 2 anos?; (iv) o servidor ressarciu o dano ou formalizou compromisso de ressarcimento?</w:t>
      </w:r>
    </w:p>
    <w:p w14:paraId="0489E228" w14:textId="77777777" w:rsidR="00560F38" w:rsidRDefault="00000000">
      <w:pPr>
        <w:pStyle w:val="Ttulo2"/>
      </w:pPr>
      <w:bookmarkStart w:id="76" w:name="_Toc232175921"/>
      <w:r>
        <w:t>Tela 9 — Resultado</w:t>
      </w:r>
      <w:bookmarkEnd w:id="76"/>
    </w:p>
    <w:p w14:paraId="38B5DD51" w14:textId="77777777" w:rsidR="00560F38" w:rsidRDefault="00000000">
      <w:pPr>
        <w:spacing w:before="80" w:after="80" w:line="276" w:lineRule="auto"/>
        <w:jc w:val="both"/>
      </w:pPr>
      <w:r>
        <w:t>Verificar a Soma Total calculada e o painel de conversão por regime. Se a Soma Total situar-se na zona limítrofe, o sistema emite alerta de revisão colegiada. Responder à pergunta sobre reincidência, cujo efeito conversor é exibido imediatamente. Após a Penalidade Calculada: (a) o painel Perfil da Conduta (§13.7) exibe a composição analítica e visual da pontuação; (b) o painel Pontos de Atenção Identificados (§13.8) sinaliza eventuais tensões de consistência interna entre as respostas. O painel Análise TAC indica a viabilidade por camadas, com mensagens contextuais diferenciadas para cada motivo de inviabilidade. O botão "Prosseguir" leva à revisão das obrigações (TAC viável) ou diretamente ao Relatório (TAC inviável).</w:t>
      </w:r>
    </w:p>
    <w:p w14:paraId="33F83C86" w14:textId="77777777" w:rsidR="00560F38" w:rsidRDefault="00000000">
      <w:pPr>
        <w:pStyle w:val="Ttulo2"/>
      </w:pPr>
      <w:bookmarkStart w:id="77" w:name="_Toc232175922"/>
      <w:r>
        <w:t>Tela 10 — Revisão TAC</w:t>
      </w:r>
      <w:bookmarkEnd w:id="77"/>
    </w:p>
    <w:p w14:paraId="5536C130" w14:textId="77777777" w:rsidR="00560F38" w:rsidRDefault="00000000">
      <w:pPr>
        <w:spacing w:before="80" w:after="80" w:line="276" w:lineRule="auto"/>
        <w:jc w:val="both"/>
      </w:pPr>
      <w:r>
        <w:t>Se o TAC for viável até a Camada 2, revisar as obrigações sugeridas pelo sistema com base na faixa de proporcionalidade (Leve, Leve-Média ou Limite). Para cada obrigação selecionada, preencher obrigatoriamente: (a) Obrigação Efetiva — descrição concreta e específica para este caso; e (b) Forma de Comprovação — como o cumprimento será atestado. Ajustar os prazos individuais (máx. 24 meses cada; vigência total = maior prazo individual).</w:t>
      </w:r>
    </w:p>
    <w:p w14:paraId="309E267B" w14:textId="77777777" w:rsidR="00560F38" w:rsidRDefault="00000000">
      <w:pPr>
        <w:pStyle w:val="Ttulo2"/>
      </w:pPr>
      <w:bookmarkStart w:id="78" w:name="_Toc232175923"/>
      <w:r>
        <w:t>Tela 11 — Relatório</w:t>
      </w:r>
      <w:bookmarkEnd w:id="78"/>
    </w:p>
    <w:p w14:paraId="3E370092" w14:textId="77777777" w:rsidR="00560F38" w:rsidRDefault="00000000">
      <w:pPr>
        <w:spacing w:before="80" w:after="80" w:line="276" w:lineRule="auto"/>
        <w:jc w:val="both"/>
      </w:pPr>
      <w:r>
        <w:t>Revisar o relatório de fundamentação gerado automaticamente. O conteúdo inserido pelo operador aparece com borda dourada à esquerda. Exportar o relatório em PDF para instrução do processo. Exportar o JSON para arquivamento e auditoria. Se o TAC foi concluído, gerar o documento de TAC em HTML.</w:t>
      </w:r>
    </w:p>
    <w:p w14:paraId="5F1DAA3E" w14:textId="77777777" w:rsidR="00560F38" w:rsidRDefault="00000000">
      <w:pPr>
        <w:pStyle w:val="Ttulo1"/>
      </w:pPr>
      <w:bookmarkStart w:id="79" w:name="_Toc232175924"/>
      <w:r>
        <w:t>15. Relatório de Fundamentação</w:t>
      </w:r>
      <w:bookmarkEnd w:id="79"/>
    </w:p>
    <w:p w14:paraId="1018F820" w14:textId="77777777" w:rsidR="00560F38" w:rsidRDefault="00000000">
      <w:pPr>
        <w:pStyle w:val="Ttulo2"/>
      </w:pPr>
      <w:bookmarkStart w:id="80" w:name="_Toc232175925"/>
      <w:r>
        <w:t>15.1 Conteúdo</w:t>
      </w:r>
      <w:bookmarkEnd w:id="80"/>
    </w:p>
    <w:p w14:paraId="28F390CF" w14:textId="77777777" w:rsidR="00560F38" w:rsidRDefault="00000000">
      <w:pPr>
        <w:pStyle w:val="PargrafodaLista"/>
        <w:numPr>
          <w:ilvl w:val="0"/>
          <w:numId w:val="2"/>
        </w:numPr>
        <w:spacing w:before="60" w:after="60" w:line="260" w:lineRule="auto"/>
      </w:pPr>
      <w:r>
        <w:t>Identificação do processo, do servidor e do regime aplicável.</w:t>
      </w:r>
    </w:p>
    <w:p w14:paraId="23071CFC" w14:textId="77777777" w:rsidR="00560F38" w:rsidRDefault="00000000">
      <w:pPr>
        <w:pStyle w:val="PargrafodaLista"/>
        <w:numPr>
          <w:ilvl w:val="0"/>
          <w:numId w:val="2"/>
        </w:numPr>
        <w:spacing w:before="60" w:after="60" w:line="260" w:lineRule="auto"/>
      </w:pPr>
      <w:r>
        <w:t>Enquadramento legal com indicação do artigo e inciso específico violado.</w:t>
      </w:r>
    </w:p>
    <w:p w14:paraId="62EFA378" w14:textId="77777777" w:rsidR="00560F38" w:rsidRDefault="00000000">
      <w:pPr>
        <w:pStyle w:val="PargrafodaLista"/>
        <w:numPr>
          <w:ilvl w:val="0"/>
          <w:numId w:val="2"/>
        </w:numPr>
        <w:spacing w:before="60" w:after="60" w:line="260" w:lineRule="auto"/>
      </w:pPr>
      <w:r>
        <w:t>Descrição de cada subfator com a alternativa selecionada, o slider ajustado e o respectivo fundamento legal, em linguagem corrente.</w:t>
      </w:r>
    </w:p>
    <w:p w14:paraId="1E5F2E14" w14:textId="77777777" w:rsidR="00560F38" w:rsidRDefault="00000000">
      <w:pPr>
        <w:pStyle w:val="PargrafodaLista"/>
        <w:numPr>
          <w:ilvl w:val="0"/>
          <w:numId w:val="2"/>
        </w:numPr>
        <w:spacing w:before="60" w:after="60" w:line="260" w:lineRule="auto"/>
      </w:pPr>
      <w:r>
        <w:t>Quadro-resumo da pontuação por elemento e Soma Total; memória de cálculo da conversão por regime.</w:t>
      </w:r>
    </w:p>
    <w:p w14:paraId="447775EE" w14:textId="77777777" w:rsidR="00560F38" w:rsidRDefault="00000000">
      <w:pPr>
        <w:pStyle w:val="PargrafodaLista"/>
      </w:pPr>
      <w:r>
        <w:t>Perfil da Conduta (seção 6A): tabela de composição com percentuais de teto e de Soma Total por elemento; gráfico de barras de ocupação de teto; gráfico de rosca da composição proporcional. Tudo em SVG inline compatível com impressão PDF.</w:t>
      </w:r>
    </w:p>
    <w:p w14:paraId="35F3FBEF" w14:textId="77777777" w:rsidR="00560F38" w:rsidRDefault="00000000">
      <w:pPr>
        <w:pStyle w:val="PargrafodaLista"/>
      </w:pPr>
      <w:r>
        <w:t>Pontos de Atenção Identificados (seção 6B): lista das tensões de consistência interna efetivamente detectadas, com identificador, intensidade, mensagem e sugestão. As complementações do operador nos subfatores envolvidos são incluídas sob o rótulo "Fundamentação do operador:" quando presentes. Se nenhuma tensão for detectada, a seção registra: "Consistência interna verificada: nenhum ponto de atenção identificado."</w:t>
      </w:r>
    </w:p>
    <w:p w14:paraId="6C14DCCF" w14:textId="77777777" w:rsidR="00560F38" w:rsidRDefault="00000000">
      <w:pPr>
        <w:pStyle w:val="PargrafodaLista"/>
        <w:numPr>
          <w:ilvl w:val="0"/>
          <w:numId w:val="2"/>
        </w:numPr>
        <w:spacing w:before="60" w:after="60" w:line="260" w:lineRule="auto"/>
      </w:pPr>
      <w:r>
        <w:t>Resultado da segunda fase e efeito da reincidência, quando aplicável.</w:t>
      </w:r>
    </w:p>
    <w:p w14:paraId="7767DAFF" w14:textId="77777777" w:rsidR="00560F38" w:rsidRDefault="00000000">
      <w:pPr>
        <w:pStyle w:val="PargrafodaLista"/>
        <w:numPr>
          <w:ilvl w:val="0"/>
          <w:numId w:val="2"/>
        </w:numPr>
        <w:spacing w:before="60" w:after="60" w:line="260" w:lineRule="auto"/>
      </w:pPr>
      <w:r>
        <w:t>Análise linha a linha das três camadas de admissibilidade do TAC; obrigações confirmadas com prazos e vigência máxima.</w:t>
      </w:r>
    </w:p>
    <w:p w14:paraId="664954C2" w14:textId="77777777" w:rsidR="00560F38" w:rsidRDefault="00000000">
      <w:pPr>
        <w:pStyle w:val="PargrafodaLista"/>
        <w:numPr>
          <w:ilvl w:val="0"/>
          <w:numId w:val="2"/>
        </w:numPr>
        <w:spacing w:before="60" w:after="60" w:line="260" w:lineRule="auto"/>
      </w:pPr>
      <w:r>
        <w:lastRenderedPageBreak/>
        <w:t>Referências legais completas.</w:t>
      </w:r>
    </w:p>
    <w:p w14:paraId="26457483" w14:textId="77777777" w:rsidR="00560F38" w:rsidRDefault="00000000">
      <w:pPr>
        <w:pStyle w:val="Ttulo2"/>
      </w:pPr>
      <w:bookmarkStart w:id="81" w:name="_Toc232175926"/>
      <w:r>
        <w:t>15.2 Diferenciação visual das complementações do operador</w:t>
      </w:r>
      <w:bookmarkEnd w:id="81"/>
    </w:p>
    <w:p w14:paraId="51939DDB" w14:textId="77777777" w:rsidR="00560F38" w:rsidRDefault="00000000">
      <w:pPr>
        <w:spacing w:before="80" w:after="80" w:line="276" w:lineRule="auto"/>
        <w:jc w:val="both"/>
      </w:pPr>
      <w:r>
        <w:t>No relatório, o conteúdo gerado pelo sistema é apresentado em fundo neutro; o conteúdo inserido pelo operador é destacado com fundo diferenciado, borda dourada à esquerda e o rótulo "Complementação do operador". Essa diferenciação permite verificar, em eventual impugnação, se o resultado sistemático foi mantido ou modificado.</w:t>
      </w:r>
    </w:p>
    <w:p w14:paraId="271BB35A" w14:textId="77777777" w:rsidR="00560F38" w:rsidRDefault="00000000">
      <w:pPr>
        <w:pStyle w:val="Ttulo1"/>
      </w:pPr>
      <w:bookmarkStart w:id="82" w:name="_Toc232175927"/>
      <w:r>
        <w:t>16. Limitações, Boas Práticas e Salvaguardas</w:t>
      </w:r>
      <w:bookmarkEnd w:id="82"/>
    </w:p>
    <w:p w14:paraId="6CBC4089" w14:textId="77777777" w:rsidR="00560F38" w:rsidRDefault="00000000">
      <w:pPr>
        <w:pStyle w:val="Ttulo2"/>
      </w:pPr>
      <w:bookmarkStart w:id="83" w:name="_Toc232175928"/>
      <w:r>
        <w:t>16.1 Limitações reconhecidas</w:t>
      </w:r>
      <w:bookmarkEnd w:id="83"/>
    </w:p>
    <w:p w14:paraId="0D04B47E" w14:textId="77777777" w:rsidR="00560F38" w:rsidRDefault="00000000">
      <w:pPr>
        <w:pStyle w:val="PargrafodaLista"/>
        <w:numPr>
          <w:ilvl w:val="0"/>
          <w:numId w:val="2"/>
        </w:numPr>
        <w:spacing w:before="60" w:after="60" w:line="260" w:lineRule="auto"/>
      </w:pPr>
      <w:r>
        <w:t>A ferramenta é auxiliar, não substitutiva: o resultado numérico não vincula a autoridade, que pode, fundamentadamente, divergir da pontuação.</w:t>
      </w:r>
    </w:p>
    <w:p w14:paraId="088D0ED5" w14:textId="77777777" w:rsidR="00560F38" w:rsidRDefault="00000000">
      <w:pPr>
        <w:pStyle w:val="PargrafodaLista"/>
        <w:numPr>
          <w:ilvl w:val="0"/>
          <w:numId w:val="2"/>
        </w:numPr>
        <w:spacing w:before="60" w:after="60" w:line="260" w:lineRule="auto"/>
      </w:pPr>
      <w:r>
        <w:t>A escolha das alternativas e o ajuste dos sliders permanecem atos de julgamento: o sistema reduz, mas não elimina, a discricionariedade do operador.</w:t>
      </w:r>
    </w:p>
    <w:p w14:paraId="267EB8AE" w14:textId="77777777" w:rsidR="00560F38" w:rsidRDefault="00000000">
      <w:pPr>
        <w:pStyle w:val="PargrafodaLista"/>
        <w:numPr>
          <w:ilvl w:val="0"/>
          <w:numId w:val="2"/>
        </w:numPr>
        <w:spacing w:before="60" w:after="60" w:line="260" w:lineRule="auto"/>
      </w:pPr>
      <w:r>
        <w:t>Os intervalos refletem escolhas metodológicas da Corregedoria, não determinações legais explícitas, e podem ser revistos.</w:t>
      </w:r>
    </w:p>
    <w:p w14:paraId="667FA0A2" w14:textId="77777777" w:rsidR="00560F38" w:rsidRDefault="00000000">
      <w:pPr>
        <w:pStyle w:val="PargrafodaLista"/>
        <w:numPr>
          <w:ilvl w:val="0"/>
          <w:numId w:val="2"/>
        </w:numPr>
        <w:spacing w:before="60" w:after="60" w:line="260" w:lineRule="auto"/>
      </w:pPr>
      <w:r>
        <w:t>Casos de alta complexidade ou com elementos atípicos podem exigir análise jurídica complementar.</w:t>
      </w:r>
    </w:p>
    <w:p w14:paraId="4942543F" w14:textId="77777777" w:rsidR="00560F38" w:rsidRDefault="00000000">
      <w:pPr>
        <w:pStyle w:val="PargrafodaLista"/>
        <w:numPr>
          <w:ilvl w:val="0"/>
          <w:numId w:val="2"/>
        </w:numPr>
        <w:spacing w:before="60" w:after="60" w:line="260" w:lineRule="auto"/>
      </w:pPr>
      <w:r>
        <w:t>O sistema pressupõe instrução concluída e fatos devidamente apurados.</w:t>
      </w:r>
    </w:p>
    <w:p w14:paraId="10A6D639" w14:textId="77777777" w:rsidR="00560F38" w:rsidRDefault="00000000">
      <w:pPr>
        <w:pStyle w:val="Ttulo2"/>
      </w:pPr>
      <w:bookmarkStart w:id="84" w:name="_Toc232175929"/>
      <w:r>
        <w:t>16.2 Boas práticas</w:t>
      </w:r>
      <w:bookmarkEnd w:id="84"/>
    </w:p>
    <w:p w14:paraId="6B74FA4F" w14:textId="77777777" w:rsidR="00560F38" w:rsidRDefault="00000000">
      <w:pPr>
        <w:pStyle w:val="PargrafodaLista"/>
        <w:numPr>
          <w:ilvl w:val="0"/>
          <w:numId w:val="2"/>
        </w:numPr>
        <w:spacing w:before="60" w:after="60" w:line="260" w:lineRule="auto"/>
      </w:pPr>
      <w:r>
        <w:t>Utilizar a ferramenta somente após a conclusão da instrução, com os autos à disposição.</w:t>
      </w:r>
    </w:p>
    <w:p w14:paraId="01B38BFC" w14:textId="77777777" w:rsidR="00560F38" w:rsidRDefault="00000000">
      <w:pPr>
        <w:pStyle w:val="PargrafodaLista"/>
        <w:numPr>
          <w:ilvl w:val="0"/>
          <w:numId w:val="2"/>
        </w:numPr>
        <w:spacing w:before="60" w:after="60" w:line="260" w:lineRule="auto"/>
      </w:pPr>
      <w:r>
        <w:t>Preencher os campos de complementação sempre que as alternativas predefinidas não captarem a situação fática com precisão.</w:t>
      </w:r>
    </w:p>
    <w:p w14:paraId="600DE995" w14:textId="77777777" w:rsidR="00560F38" w:rsidRDefault="00000000">
      <w:pPr>
        <w:pStyle w:val="PargrafodaLista"/>
        <w:numPr>
          <w:ilvl w:val="0"/>
          <w:numId w:val="2"/>
        </w:numPr>
        <w:spacing w:before="60" w:after="60" w:line="260" w:lineRule="auto"/>
      </w:pPr>
      <w:r>
        <w:t>Ajustar os sliders de intensidade com critério: o valor padrão é ponto de partida, não ponto de chegada — fundamentar o ajuste no campo de complementação.</w:t>
      </w:r>
    </w:p>
    <w:p w14:paraId="10C6EB53" w14:textId="77777777" w:rsidR="00560F38" w:rsidRDefault="00000000">
      <w:pPr>
        <w:pStyle w:val="PargrafodaLista"/>
        <w:numPr>
          <w:ilvl w:val="0"/>
          <w:numId w:val="2"/>
        </w:numPr>
        <w:spacing w:before="60" w:after="60" w:line="260" w:lineRule="auto"/>
      </w:pPr>
      <w:r>
        <w:t>Arquivar o JSON exportado junto ao processo, para auditoria e reprodução do cálculo.</w:t>
      </w:r>
    </w:p>
    <w:p w14:paraId="3A3E92BD" w14:textId="77777777" w:rsidR="00560F38" w:rsidRDefault="00000000">
      <w:pPr>
        <w:pStyle w:val="PargrafodaLista"/>
        <w:numPr>
          <w:ilvl w:val="0"/>
          <w:numId w:val="2"/>
        </w:numPr>
        <w:spacing w:before="60" w:after="60" w:line="260" w:lineRule="auto"/>
      </w:pPr>
      <w:r>
        <w:t>Não usar o relatório como substituto da fundamentação do ato — ele a integra como peça auxiliar.</w:t>
      </w:r>
    </w:p>
    <w:p w14:paraId="0D90305C" w14:textId="77777777" w:rsidR="00560F38" w:rsidRDefault="00000000">
      <w:pPr>
        <w:pStyle w:val="PargrafodaLista"/>
        <w:numPr>
          <w:ilvl w:val="0"/>
          <w:numId w:val="2"/>
        </w:numPr>
        <w:spacing w:before="60" w:after="60" w:line="260" w:lineRule="auto"/>
      </w:pPr>
      <w:r>
        <w:t>Na zona limítrofe, realizar revisão colegiada antes de consolidar o resultado.</w:t>
      </w:r>
    </w:p>
    <w:p w14:paraId="6F9BE8C6" w14:textId="77777777" w:rsidR="00560F38" w:rsidRDefault="00000000">
      <w:pPr>
        <w:pStyle w:val="PargrafodaLista"/>
        <w:numPr>
          <w:ilvl w:val="0"/>
          <w:numId w:val="2"/>
        </w:numPr>
        <w:spacing w:before="60" w:after="60" w:line="260" w:lineRule="auto"/>
      </w:pPr>
      <w:r>
        <w:t>Manter a ferramenta atualizada diante de alterações normativas.</w:t>
      </w:r>
    </w:p>
    <w:p w14:paraId="4B3DEC57" w14:textId="77777777" w:rsidR="00560F38" w:rsidRDefault="00000000">
      <w:r>
        <w:br w:type="page"/>
      </w:r>
    </w:p>
    <w:p w14:paraId="21A09B8D" w14:textId="77777777" w:rsidR="00560F38" w:rsidRDefault="00000000">
      <w:pPr>
        <w:shd w:val="clear" w:color="auto" w:fill="1F3864"/>
        <w:spacing w:before="200" w:after="200"/>
        <w:jc w:val="center"/>
      </w:pPr>
      <w:r>
        <w:rPr>
          <w:b/>
          <w:bCs/>
          <w:color w:val="FFFFFF"/>
          <w:sz w:val="28"/>
          <w:szCs w:val="28"/>
        </w:rPr>
        <w:lastRenderedPageBreak/>
        <w:t>PARTE VI — MODELOS DE FUNDAMENTAÇÃO</w:t>
      </w:r>
    </w:p>
    <w:p w14:paraId="297C30D0" w14:textId="77777777" w:rsidR="00560F38" w:rsidRDefault="00000000">
      <w:pPr>
        <w:spacing w:before="80" w:after="80" w:line="276" w:lineRule="auto"/>
        <w:jc w:val="both"/>
      </w:pPr>
      <w:r>
        <w:t>Os textos a seguir são sugestões adaptáveis. Os trechos entre colchetes indicam onde inserir os dados da apuração. Não dispensam a motivação específica da autoridade julgadora.</w:t>
      </w:r>
    </w:p>
    <w:p w14:paraId="1C696512" w14:textId="77777777" w:rsidR="00560F38" w:rsidRDefault="00000000">
      <w:pPr>
        <w:pStyle w:val="Ttulo1"/>
      </w:pPr>
      <w:bookmarkStart w:id="85" w:name="_Toc232175930"/>
      <w:r>
        <w:t>17. Modelos de Fundamentação</w:t>
      </w:r>
      <w:bookmarkEnd w:id="85"/>
    </w:p>
    <w:p w14:paraId="12571E49" w14:textId="77777777" w:rsidR="00560F38" w:rsidRDefault="00000000">
      <w:pPr>
        <w:pStyle w:val="Ttulo2"/>
      </w:pPr>
      <w:bookmarkStart w:id="86" w:name="_Toc232175931"/>
      <w:r>
        <w:t>17.1 Abertura e enquadramento</w:t>
      </w:r>
      <w:bookmarkEnd w:id="86"/>
    </w:p>
    <w:p w14:paraId="33319995" w14:textId="77777777" w:rsidR="00560F38" w:rsidRDefault="00000000">
      <w:pPr>
        <w:spacing w:before="80" w:after="80" w:line="260" w:lineRule="auto"/>
        <w:ind w:left="720"/>
        <w:jc w:val="both"/>
      </w:pPr>
      <w:r>
        <w:rPr>
          <w:i/>
          <w:iCs/>
        </w:rPr>
        <w:t>Segundo o apurado, o(a) agente cometeu [descrever a conduta], de modo que a(s) irregularidade(s) consistiu(íram) em [descrever a violação ao ordenamento]. A infração amolda-se ao art. [129/130], podendo resultar em advertência ou suspensão, razão pela qual se realiza a análise dos elementos balizadores do art. 128. Não foram detectadas hipóteses do art. 132. Os dispositivos específicos violados foram: [art. X, inc. Y]. A dosimetria foi processada com o auxílio da Calculadora de Dosimetria das Sanções Disciplinares v3.</w:t>
      </w:r>
    </w:p>
    <w:p w14:paraId="10DDB269" w14:textId="77777777" w:rsidR="00560F38" w:rsidRDefault="00000000">
      <w:pPr>
        <w:pStyle w:val="Ttulo2"/>
      </w:pPr>
      <w:bookmarkStart w:id="87" w:name="_Toc232175932"/>
      <w:r>
        <w:t>17.2 Natureza</w:t>
      </w:r>
      <w:bookmarkEnd w:id="87"/>
    </w:p>
    <w:p w14:paraId="24123259" w14:textId="77777777" w:rsidR="00560F38" w:rsidRDefault="00000000">
      <w:pPr>
        <w:spacing w:before="80" w:after="80" w:line="260" w:lineRule="auto"/>
        <w:ind w:left="720"/>
        <w:jc w:val="both"/>
      </w:pPr>
      <w:r>
        <w:rPr>
          <w:i/>
          <w:iCs/>
        </w:rPr>
        <w:t>A partir do apurado, verificou-se que o(a) agente [não previu nem aceitou o risco da conduta / assumiu o risco qualificado / quis o resultado / orientou sua vontade por especial fim de agir], o que caracterizou [culpa leve grau X / culpa grave grau X / dolo eventual / dolo direto / dolo com especial fim de agir], sob a modalidade [negligência / imprudência / imperícia], conforme [art. 17 / art. 12, §1º, do Decreto nº 9.830/2019]. Quanto à acessibilidade normativa, [havia / não havia] norma específica, orientação institucional e capacitação documentada. Atribui-se a pontuação de [X] pts ao SF1.1 e [Y] pts ao SF1.2.</w:t>
      </w:r>
    </w:p>
    <w:p w14:paraId="69224FC1" w14:textId="77777777" w:rsidR="00560F38" w:rsidRDefault="00000000">
      <w:pPr>
        <w:pStyle w:val="Ttulo2"/>
      </w:pPr>
      <w:bookmarkStart w:id="88" w:name="_Toc232175933"/>
      <w:r>
        <w:t>17.3 Gravidade</w:t>
      </w:r>
      <w:bookmarkEnd w:id="88"/>
    </w:p>
    <w:p w14:paraId="645A8DA1" w14:textId="77777777" w:rsidR="00560F38" w:rsidRDefault="00000000">
      <w:pPr>
        <w:spacing w:before="80" w:after="80" w:line="260" w:lineRule="auto"/>
        <w:ind w:left="720"/>
        <w:jc w:val="both"/>
      </w:pPr>
      <w:r>
        <w:rPr>
          <w:i/>
          <w:iCs/>
        </w:rPr>
        <w:t>Constatou-se a violação de [especificar as normas e incisos], cujo bem jurídico tutelado em abstrato possui hierarquia [baixa / média / alta] (SF2.1 = [X] pts). A conduta ocorreu de modo [isolado / reiterado — [N] episódios em [período] / continuado por [período]] (SF2.2 = [X] pts). [Havendo concurso formal: uma única conduta violou [N] dispositivos distintos (SF2.3 = 15 pts).] Atribui-se ao elemento Gravidade a pontuação de [X] pts, sem reaproveitamento do dano, em respeito ao ne bis in idem.</w:t>
      </w:r>
    </w:p>
    <w:p w14:paraId="00F8569F" w14:textId="77777777" w:rsidR="00560F38" w:rsidRDefault="00000000">
      <w:pPr>
        <w:pStyle w:val="Ttulo2"/>
      </w:pPr>
      <w:bookmarkStart w:id="89" w:name="_Toc232175934"/>
      <w:r>
        <w:t>17.4 Dano</w:t>
      </w:r>
      <w:bookmarkEnd w:id="89"/>
    </w:p>
    <w:p w14:paraId="521FD246" w14:textId="77777777" w:rsidR="00560F38" w:rsidRDefault="00000000">
      <w:pPr>
        <w:spacing w:before="80" w:after="80" w:line="260" w:lineRule="auto"/>
        <w:ind w:left="720"/>
        <w:jc w:val="both"/>
      </w:pPr>
      <w:r>
        <w:rPr>
          <w:i/>
          <w:iCs/>
        </w:rPr>
        <w:t>Detectou-se dano [material / imaterial / material e imaterial cumulados], demonstrado da seguinte forma: [descrever e elencar os prejuízos — não presumir]. O dano material apresentou extensão [baixa/média/alta] em relação a [referencial] e reversibilidade [integral/parcial/ausente]. O dano imaterial recaiu sobre [credibilidade institucional — alcance X / regularidade do serviço / sigilo fiscal — exposição Y / contribuintes]. Atribui-se ao elemento Dano a pontuação de [X] pts, respeitado o teto conjunto de 30 pts.</w:t>
      </w:r>
    </w:p>
    <w:p w14:paraId="29D2B055" w14:textId="77777777" w:rsidR="00560F38" w:rsidRDefault="00000000">
      <w:pPr>
        <w:pStyle w:val="Ttulo2"/>
      </w:pPr>
      <w:bookmarkStart w:id="90" w:name="_Toc232175935"/>
      <w:r>
        <w:t>17.5 Circunstâncias e antecedentes</w:t>
      </w:r>
      <w:bookmarkEnd w:id="90"/>
    </w:p>
    <w:p w14:paraId="12C37736" w14:textId="77777777" w:rsidR="00560F38" w:rsidRDefault="00000000">
      <w:pPr>
        <w:spacing w:before="80" w:after="80" w:line="260" w:lineRule="auto"/>
        <w:ind w:left="720"/>
        <w:jc w:val="both"/>
      </w:pPr>
      <w:r>
        <w:rPr>
          <w:i/>
          <w:iCs/>
        </w:rPr>
        <w:t>Identificaram-se as seguintes circunstâncias efetivamente comprovadas nos autos: agravantes — [elencar, com prova e slider ajustado]; atenuantes — [elencar, com prova e slider ajustado]. Tais circunstâncias atuam horizontalmente, sem alterar o enquadramento e sem reduzir a pena abaixo do mínimo (Súmula 231/STJ). Quanto aos antecedentes funcionais, os assentamentos registram [bons antecedentes / maus antecedentes / ausência de registros]. Atribui-se [±X] ao elemento Circunstâncias e [±Y] ao elemento Antecedentes.</w:t>
      </w:r>
    </w:p>
    <w:p w14:paraId="6FC10D49" w14:textId="77777777" w:rsidR="00560F38" w:rsidRDefault="00000000">
      <w:pPr>
        <w:pStyle w:val="Ttulo2"/>
      </w:pPr>
      <w:bookmarkStart w:id="91" w:name="_Toc232175936"/>
      <w:r>
        <w:t>17.6 Resultado e reincidência</w:t>
      </w:r>
      <w:bookmarkEnd w:id="91"/>
    </w:p>
    <w:p w14:paraId="5C278BF9" w14:textId="77777777" w:rsidR="00560F38" w:rsidRDefault="00000000">
      <w:pPr>
        <w:spacing w:before="80" w:after="80" w:line="260" w:lineRule="auto"/>
        <w:ind w:left="720"/>
        <w:jc w:val="both"/>
      </w:pPr>
      <w:r>
        <w:rPr>
          <w:i/>
          <w:iCs/>
        </w:rPr>
        <w:t xml:space="preserve">Da soma dos elementos resultou a Soma Total de [X] pontos, que, aplicada a fórmula do Regime [Geral/RE1/RE2/RE3], converte-se em [advertência / suspensão de N dias]. Verificada a [existência/inexistência] de reincidência nos termos dos arts. 130 e 131, [a </w:t>
        <w:lastRenderedPageBreak/>
        <w:t>advertência converte-se em suspensão de 1 dia / mantém-se a penalidade]. Conclui-se pela aplicação da penalidade de [especificar].</w:t>
      </w:r>
    </w:p>
    <w:p w14:paraId="7431C35E" w14:textId="77777777" w:rsidR="00560F38" w:rsidRDefault="00000000">
      <w:pPr>
        <w:pStyle w:val="Ttulo2"/>
      </w:pPr>
      <w:bookmarkStart w:id="92" w:name="_Toc232175937"/>
      <w:r>
        <w:t>17.7 TAC</w:t>
      </w:r>
      <w:bookmarkEnd w:id="92"/>
    </w:p>
    <w:p w14:paraId="3420ED47" w14:textId="77777777" w:rsidR="00560F38" w:rsidRDefault="00000000">
      <w:pPr>
        <w:spacing w:before="80" w:after="80" w:line="260" w:lineRule="auto"/>
        <w:ind w:left="720"/>
        <w:jc w:val="both"/>
      </w:pPr>
      <w:r>
        <w:rPr>
          <w:i/>
          <w:iCs/>
        </w:rPr>
        <w:t>Quanto à viabilidade do TAC: (Camada 1) a penalidade calculada é [advertência / suspensão de até 30 dias / suspensão superior a 30 dias], [compatível / incompatível] com o art. 62 da Portaria CGU nº 27/2022; (Camada 2) o servidor [atende / não atende] às condições cumulativas do art. 63; (Camada 3) sendo elegível, a faixa de proporcionalidade é [Leve/Leve-Média/Limite], com as obrigações [elencar, com obrigação efetiva e forma de comprovação] e vigência máxima de [N] meses. Conclui-se pela [possibilidade / impossibilidade] da proposta de TAC, observado que a decisão compete à autoridade (arts. 65 e 66 da Portaria).</w:t>
      </w:r>
    </w:p>
    <w:p w14:paraId="6E3B87A5" w14:textId="77777777" w:rsidR="00560F38" w:rsidRDefault="00000000">
      <w:r>
        <w:br w:type="page"/>
      </w:r>
    </w:p>
    <w:p w14:paraId="7CCFB063" w14:textId="77777777" w:rsidR="00560F38" w:rsidRDefault="00000000">
      <w:pPr>
        <w:pStyle w:val="Ttulo1"/>
      </w:pPr>
      <w:bookmarkStart w:id="93" w:name="_Toc232175938"/>
      <w:r>
        <w:lastRenderedPageBreak/>
        <w:t>18. Glossário</w:t>
      </w:r>
      <w:bookmarkEnd w:id="9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560F38" w14:paraId="1CBCE8D0"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6AEB216" w14:textId="77777777" w:rsidR="00560F38" w:rsidRDefault="00000000">
            <w:r>
              <w:rPr>
                <w:b/>
                <w:bCs/>
                <w:color w:val="FFFFFF"/>
                <w:sz w:val="18"/>
                <w:szCs w:val="18"/>
              </w:rPr>
              <w:t>Termo</w:t>
            </w:r>
          </w:p>
        </w:tc>
        <w:tc>
          <w:tcPr>
            <w:tcW w:w="67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6F2D407" w14:textId="77777777" w:rsidR="00560F38" w:rsidRDefault="00000000">
            <w:r>
              <w:rPr>
                <w:b/>
                <w:bCs/>
                <w:color w:val="FFFFFF"/>
                <w:sz w:val="18"/>
                <w:szCs w:val="18"/>
              </w:rPr>
              <w:t>Definição</w:t>
            </w:r>
          </w:p>
        </w:tc>
      </w:tr>
      <w:tr w:rsidR="00560F38" w14:paraId="7E7DCB41"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8EDF5"/>
            <w:tcMar>
              <w:top w:w="80" w:type="dxa"/>
              <w:left w:w="120" w:type="dxa"/>
              <w:bottom w:w="80" w:type="dxa"/>
              <w:right w:w="120" w:type="dxa"/>
            </w:tcMar>
          </w:tcPr>
          <w:p w14:paraId="163C25FE" w14:textId="77777777" w:rsidR="00560F38" w:rsidRDefault="00000000">
            <w:pPr>
              <w:jc w:val="both"/>
            </w:pPr>
            <w:r>
              <w:rPr>
                <w:sz w:val="17"/>
                <w:szCs w:val="17"/>
              </w:rPr>
              <w:t>Advertência</w:t>
            </w:r>
          </w:p>
        </w:tc>
        <w:tc>
          <w:tcPr>
            <w:tcW w:w="6760" w:type="dxa"/>
            <w:tcBorders>
              <w:top w:val="single" w:sz="1" w:space="0" w:color="CCCCCC"/>
              <w:left w:val="single" w:sz="1" w:space="0" w:color="CCCCCC"/>
              <w:bottom w:val="single" w:sz="1" w:space="0" w:color="CCCCCC"/>
              <w:right w:val="single" w:sz="1" w:space="0" w:color="CCCCCC"/>
            </w:tcBorders>
            <w:shd w:val="clear" w:color="auto" w:fill="E8EDF5"/>
            <w:tcMar>
              <w:top w:w="80" w:type="dxa"/>
              <w:left w:w="120" w:type="dxa"/>
              <w:bottom w:w="80" w:type="dxa"/>
              <w:right w:w="120" w:type="dxa"/>
            </w:tcMar>
          </w:tcPr>
          <w:p w14:paraId="1C8A3E1E" w14:textId="77777777" w:rsidR="00560F38" w:rsidRDefault="00000000">
            <w:pPr>
              <w:jc w:val="both"/>
            </w:pPr>
            <w:r>
              <w:rPr>
                <w:sz w:val="17"/>
                <w:szCs w:val="17"/>
              </w:rPr>
              <w:t>Penalidade mais leve (art. 129), aplicável a infrações que não causem maior perturbação ao serviço.</w:t>
            </w:r>
          </w:p>
        </w:tc>
      </w:tr>
      <w:tr w:rsidR="00560F38" w14:paraId="3CF18850"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EB6BF5" w14:textId="77777777" w:rsidR="00560F38" w:rsidRDefault="00000000">
            <w:pPr>
              <w:jc w:val="both"/>
            </w:pPr>
            <w:r>
              <w:rPr>
                <w:sz w:val="17"/>
                <w:szCs w:val="17"/>
              </w:rPr>
              <w:t>Antecedentes funcionais</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996CD8" w14:textId="77777777" w:rsidR="00560F38" w:rsidRDefault="00000000">
            <w:pPr>
              <w:jc w:val="both"/>
            </w:pPr>
            <w:r>
              <w:rPr>
                <w:sz w:val="17"/>
                <w:szCs w:val="17"/>
              </w:rPr>
              <w:t>Registros positivos e negativos do histórico disciplinar e de desempenho do servidor, conforme os assentamentos.</w:t>
            </w:r>
          </w:p>
        </w:tc>
      </w:tr>
      <w:tr w:rsidR="00560F38" w14:paraId="0803B311"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8EDF5"/>
            <w:tcMar>
              <w:top w:w="80" w:type="dxa"/>
              <w:left w:w="120" w:type="dxa"/>
              <w:bottom w:w="80" w:type="dxa"/>
              <w:right w:w="120" w:type="dxa"/>
            </w:tcMar>
          </w:tcPr>
          <w:p w14:paraId="190749FE" w14:textId="77777777" w:rsidR="00560F38" w:rsidRDefault="00000000">
            <w:pPr>
              <w:jc w:val="both"/>
            </w:pPr>
            <w:r>
              <w:rPr>
                <w:sz w:val="17"/>
                <w:szCs w:val="17"/>
              </w:rPr>
              <w:t>Circunstâncias agravantes/atenuantes</w:t>
            </w:r>
          </w:p>
        </w:tc>
        <w:tc>
          <w:tcPr>
            <w:tcW w:w="6760" w:type="dxa"/>
            <w:tcBorders>
              <w:top w:val="single" w:sz="1" w:space="0" w:color="CCCCCC"/>
              <w:left w:val="single" w:sz="1" w:space="0" w:color="CCCCCC"/>
              <w:bottom w:val="single" w:sz="1" w:space="0" w:color="CCCCCC"/>
              <w:right w:val="single" w:sz="1" w:space="0" w:color="CCCCCC"/>
            </w:tcBorders>
            <w:shd w:val="clear" w:color="auto" w:fill="E8EDF5"/>
            <w:tcMar>
              <w:top w:w="80" w:type="dxa"/>
              <w:left w:w="120" w:type="dxa"/>
              <w:bottom w:w="80" w:type="dxa"/>
              <w:right w:w="120" w:type="dxa"/>
            </w:tcMar>
          </w:tcPr>
          <w:p w14:paraId="47AE6273" w14:textId="77777777" w:rsidR="00560F38" w:rsidRDefault="00000000">
            <w:pPr>
              <w:jc w:val="both"/>
            </w:pPr>
            <w:r>
              <w:rPr>
                <w:sz w:val="17"/>
                <w:szCs w:val="17"/>
              </w:rPr>
              <w:t>Elementos fáticos comprovados que modulam a reprovabilidade sem alterar o enquadramento jurídico. Na Calculadora v3, cada item tem slider de intensidade (min/padrão/máx).</w:t>
            </w:r>
          </w:p>
        </w:tc>
      </w:tr>
      <w:tr w:rsidR="00560F38" w14:paraId="1E638304"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F94C20" w14:textId="77777777" w:rsidR="00560F38" w:rsidRDefault="00000000">
            <w:pPr>
              <w:jc w:val="both"/>
            </w:pPr>
            <w:r>
              <w:rPr>
                <w:sz w:val="17"/>
                <w:szCs w:val="17"/>
              </w:rPr>
              <w:t>Complementação do operador</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EA1CE6" w14:textId="77777777" w:rsidR="00560F38" w:rsidRDefault="00000000">
            <w:pPr>
              <w:jc w:val="both"/>
            </w:pPr>
            <w:r>
              <w:rPr>
                <w:sz w:val="17"/>
                <w:szCs w:val="17"/>
              </w:rPr>
              <w:t>Texto livre inserido nos campos facultativos de cada subfator. Diferenciado visualmente no relatório com borda dourada.</w:t>
            </w:r>
          </w:p>
        </w:tc>
      </w:tr>
      <w:tr w:rsidR="00560F38" w14:paraId="35B015C8"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8EDF5"/>
            <w:tcMar>
              <w:top w:w="80" w:type="dxa"/>
              <w:left w:w="120" w:type="dxa"/>
              <w:bottom w:w="80" w:type="dxa"/>
              <w:right w:w="120" w:type="dxa"/>
            </w:tcMar>
          </w:tcPr>
          <w:p w14:paraId="6AA5F3A9" w14:textId="77777777" w:rsidR="00560F38" w:rsidRDefault="00000000">
            <w:pPr>
              <w:jc w:val="both"/>
            </w:pPr>
            <w:r>
              <w:rPr>
                <w:sz w:val="17"/>
                <w:szCs w:val="17"/>
              </w:rPr>
              <w:t>Concurso formal</w:t>
            </w:r>
          </w:p>
        </w:tc>
        <w:tc>
          <w:tcPr>
            <w:tcW w:w="6760" w:type="dxa"/>
            <w:tcBorders>
              <w:top w:val="single" w:sz="1" w:space="0" w:color="CCCCCC"/>
              <w:left w:val="single" w:sz="1" w:space="0" w:color="CCCCCC"/>
              <w:bottom w:val="single" w:sz="1" w:space="0" w:color="CCCCCC"/>
              <w:right w:val="single" w:sz="1" w:space="0" w:color="CCCCCC"/>
            </w:tcBorders>
            <w:shd w:val="clear" w:color="auto" w:fill="E8EDF5"/>
            <w:tcMar>
              <w:top w:w="80" w:type="dxa"/>
              <w:left w:w="120" w:type="dxa"/>
              <w:bottom w:w="80" w:type="dxa"/>
              <w:right w:w="120" w:type="dxa"/>
            </w:tcMar>
          </w:tcPr>
          <w:p w14:paraId="7B8197F9" w14:textId="77777777" w:rsidR="00560F38" w:rsidRDefault="00000000">
            <w:pPr>
              <w:jc w:val="both"/>
            </w:pPr>
            <w:r>
              <w:rPr>
                <w:sz w:val="17"/>
                <w:szCs w:val="17"/>
              </w:rPr>
              <w:t>Uma única conduta que viola mais de uma norma. Na v3: SF2.3 = 15 pontos.</w:t>
            </w:r>
          </w:p>
        </w:tc>
      </w:tr>
      <w:tr w:rsidR="00560F38" w14:paraId="18400C96"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4069E8" w14:textId="77777777" w:rsidR="00560F38" w:rsidRDefault="00000000">
            <w:pPr>
              <w:jc w:val="both"/>
            </w:pPr>
            <w:r>
              <w:rPr>
                <w:sz w:val="17"/>
                <w:szCs w:val="17"/>
              </w:rPr>
              <w:t>Concurso material (Regime de Concurso)</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2BB15D" w14:textId="77777777" w:rsidR="00560F38" w:rsidRDefault="00000000">
            <w:pPr>
              <w:jc w:val="both"/>
            </w:pPr>
            <w:r>
              <w:rPr>
                <w:sz w:val="17"/>
                <w:szCs w:val="17"/>
              </w:rPr>
              <w:t>Duas ou mais condutas autônomas, com dosimetria individual para cada uma.</w:t>
            </w:r>
          </w:p>
        </w:tc>
      </w:tr>
      <w:tr w:rsidR="00560F38" w14:paraId="4D08B1A1"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8EDF5"/>
            <w:tcMar>
              <w:top w:w="80" w:type="dxa"/>
              <w:left w:w="120" w:type="dxa"/>
              <w:bottom w:w="80" w:type="dxa"/>
              <w:right w:w="120" w:type="dxa"/>
            </w:tcMar>
          </w:tcPr>
          <w:p w14:paraId="6C2F9B20" w14:textId="77777777" w:rsidR="00560F38" w:rsidRDefault="00000000">
            <w:pPr>
              <w:jc w:val="both"/>
            </w:pPr>
            <w:r>
              <w:rPr>
                <w:sz w:val="17"/>
                <w:szCs w:val="17"/>
              </w:rPr>
              <w:t>Culpa consciente</w:t>
            </w:r>
          </w:p>
        </w:tc>
        <w:tc>
          <w:tcPr>
            <w:tcW w:w="6760" w:type="dxa"/>
            <w:tcBorders>
              <w:top w:val="single" w:sz="1" w:space="0" w:color="CCCCCC"/>
              <w:left w:val="single" w:sz="1" w:space="0" w:color="CCCCCC"/>
              <w:bottom w:val="single" w:sz="1" w:space="0" w:color="CCCCCC"/>
              <w:right w:val="single" w:sz="1" w:space="0" w:color="CCCCCC"/>
            </w:tcBorders>
            <w:shd w:val="clear" w:color="auto" w:fill="E8EDF5"/>
            <w:tcMar>
              <w:top w:w="80" w:type="dxa"/>
              <w:left w:w="120" w:type="dxa"/>
              <w:bottom w:w="80" w:type="dxa"/>
              <w:right w:w="120" w:type="dxa"/>
            </w:tcMar>
          </w:tcPr>
          <w:p w14:paraId="795F0326" w14:textId="77777777" w:rsidR="00560F38" w:rsidRDefault="00000000">
            <w:pPr>
              <w:jc w:val="both"/>
            </w:pPr>
            <w:r>
              <w:rPr>
                <w:sz w:val="17"/>
                <w:szCs w:val="17"/>
              </w:rPr>
              <w:t>O agente prevê o resultado como possível, mas confia que não ocorrerá. Distingue-se do dolo eventual, no qual o agente aceita o risco.</w:t>
            </w:r>
          </w:p>
        </w:tc>
      </w:tr>
      <w:tr w:rsidR="00560F38" w14:paraId="624D6344"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934BD2" w14:textId="77777777" w:rsidR="00560F38" w:rsidRDefault="00000000">
            <w:pPr>
              <w:jc w:val="both"/>
            </w:pPr>
            <w:r>
              <w:rPr>
                <w:sz w:val="17"/>
                <w:szCs w:val="17"/>
              </w:rPr>
              <w:t>Culpa grave / erro grosseiro</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D0AB6D" w14:textId="77777777" w:rsidR="00560F38" w:rsidRDefault="00000000">
            <w:pPr>
              <w:jc w:val="both"/>
            </w:pPr>
            <w:r>
              <w:rPr>
                <w:sz w:val="17"/>
                <w:szCs w:val="17"/>
              </w:rPr>
              <w:t>Erro manifesto, evidente e inescusável, com elevado grau de negligência, imprudência ou imperícia (art. 12, §1º, Decreto 9.830/2019). SF1.1: 10–16 pts.</w:t>
            </w:r>
          </w:p>
        </w:tc>
      </w:tr>
      <w:tr w:rsidR="00560F38" w14:paraId="106CC60D"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8EDF5"/>
            <w:tcMar>
              <w:top w:w="80" w:type="dxa"/>
              <w:left w:w="120" w:type="dxa"/>
              <w:bottom w:w="80" w:type="dxa"/>
              <w:right w:w="120" w:type="dxa"/>
            </w:tcMar>
          </w:tcPr>
          <w:p w14:paraId="4DE60C7B" w14:textId="77777777" w:rsidR="00560F38" w:rsidRDefault="00000000">
            <w:pPr>
              <w:jc w:val="both"/>
            </w:pPr>
            <w:r>
              <w:rPr>
                <w:sz w:val="17"/>
                <w:szCs w:val="17"/>
              </w:rPr>
              <w:t>Culpa inconsciente</w:t>
            </w:r>
          </w:p>
        </w:tc>
        <w:tc>
          <w:tcPr>
            <w:tcW w:w="6760" w:type="dxa"/>
            <w:tcBorders>
              <w:top w:val="single" w:sz="1" w:space="0" w:color="CCCCCC"/>
              <w:left w:val="single" w:sz="1" w:space="0" w:color="CCCCCC"/>
              <w:bottom w:val="single" w:sz="1" w:space="0" w:color="CCCCCC"/>
              <w:right w:val="single" w:sz="1" w:space="0" w:color="CCCCCC"/>
            </w:tcBorders>
            <w:shd w:val="clear" w:color="auto" w:fill="E8EDF5"/>
            <w:tcMar>
              <w:top w:w="80" w:type="dxa"/>
              <w:left w:w="120" w:type="dxa"/>
              <w:bottom w:w="80" w:type="dxa"/>
              <w:right w:w="120" w:type="dxa"/>
            </w:tcMar>
          </w:tcPr>
          <w:p w14:paraId="0D79B04A" w14:textId="77777777" w:rsidR="00560F38" w:rsidRDefault="00000000">
            <w:pPr>
              <w:jc w:val="both"/>
            </w:pPr>
            <w:r>
              <w:rPr>
                <w:sz w:val="17"/>
                <w:szCs w:val="17"/>
              </w:rPr>
              <w:t>O agente não prevê o resultado, embora objetivamente previsível.</w:t>
            </w:r>
          </w:p>
        </w:tc>
      </w:tr>
      <w:tr w:rsidR="00560F38" w14:paraId="06399F08"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F698EB" w14:textId="77777777" w:rsidR="00560F38" w:rsidRDefault="00000000">
            <w:pPr>
              <w:jc w:val="both"/>
            </w:pPr>
            <w:r>
              <w:rPr>
                <w:sz w:val="17"/>
                <w:szCs w:val="17"/>
              </w:rPr>
              <w:t>Culpa leve</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55520E" w14:textId="77777777" w:rsidR="00560F38" w:rsidRDefault="00000000">
            <w:pPr>
              <w:jc w:val="both"/>
            </w:pPr>
            <w:r>
              <w:rPr>
                <w:sz w:val="17"/>
                <w:szCs w:val="17"/>
              </w:rPr>
              <w:t>Conduta evitável com a atenção e o cuidado básicos esperados do agente em função similar. SF1.1: 2–8 pts.</w:t>
            </w:r>
          </w:p>
        </w:tc>
      </w:tr>
      <w:tr w:rsidR="00560F38" w14:paraId="404D137A"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8EDF5"/>
            <w:tcMar>
              <w:top w:w="80" w:type="dxa"/>
              <w:left w:w="120" w:type="dxa"/>
              <w:bottom w:w="80" w:type="dxa"/>
              <w:right w:w="120" w:type="dxa"/>
            </w:tcMar>
          </w:tcPr>
          <w:p w14:paraId="6B96B55E" w14:textId="77777777" w:rsidR="00560F38" w:rsidRDefault="00000000">
            <w:pPr>
              <w:jc w:val="both"/>
            </w:pPr>
            <w:r>
              <w:rPr>
                <w:sz w:val="17"/>
                <w:szCs w:val="17"/>
              </w:rPr>
              <w:t>Dano imaterial</w:t>
            </w:r>
          </w:p>
        </w:tc>
        <w:tc>
          <w:tcPr>
            <w:tcW w:w="6760" w:type="dxa"/>
            <w:tcBorders>
              <w:top w:val="single" w:sz="1" w:space="0" w:color="CCCCCC"/>
              <w:left w:val="single" w:sz="1" w:space="0" w:color="CCCCCC"/>
              <w:bottom w:val="single" w:sz="1" w:space="0" w:color="CCCCCC"/>
              <w:right w:val="single" w:sz="1" w:space="0" w:color="CCCCCC"/>
            </w:tcBorders>
            <w:shd w:val="clear" w:color="auto" w:fill="E8EDF5"/>
            <w:tcMar>
              <w:top w:w="80" w:type="dxa"/>
              <w:left w:w="120" w:type="dxa"/>
              <w:bottom w:w="80" w:type="dxa"/>
              <w:right w:w="120" w:type="dxa"/>
            </w:tcMar>
          </w:tcPr>
          <w:p w14:paraId="0FB8D196" w14:textId="77777777" w:rsidR="00560F38" w:rsidRDefault="00000000">
            <w:pPr>
              <w:jc w:val="both"/>
            </w:pPr>
            <w:r>
              <w:rPr>
                <w:sz w:val="17"/>
                <w:szCs w:val="17"/>
              </w:rPr>
              <w:t>Prejuízo extrapatrimonial — credibilidade institucional, regularidade do serviço, sigilo fiscal, entre outros. Teto SF3B: 30 pts.</w:t>
            </w:r>
          </w:p>
        </w:tc>
      </w:tr>
      <w:tr w:rsidR="00560F38" w14:paraId="65592E2A"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F0FAB2" w14:textId="77777777" w:rsidR="00560F38" w:rsidRDefault="00000000">
            <w:pPr>
              <w:jc w:val="both"/>
            </w:pPr>
            <w:r>
              <w:rPr>
                <w:sz w:val="17"/>
                <w:szCs w:val="17"/>
              </w:rPr>
              <w:t>Dano material</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CE7487" w14:textId="77777777" w:rsidR="00560F38" w:rsidRDefault="00000000">
            <w:pPr>
              <w:jc w:val="both"/>
            </w:pPr>
            <w:r>
              <w:rPr>
                <w:sz w:val="17"/>
                <w:szCs w:val="17"/>
              </w:rPr>
              <w:t>Prejuízo financeiro ou patrimonial à Administração ou a terceiros. Teto SF3A: 20 pts.</w:t>
            </w:r>
          </w:p>
        </w:tc>
      </w:tr>
      <w:tr w:rsidR="00560F38" w14:paraId="28011B05"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8EDF5"/>
            <w:tcMar>
              <w:top w:w="80" w:type="dxa"/>
              <w:left w:w="120" w:type="dxa"/>
              <w:bottom w:w="80" w:type="dxa"/>
              <w:right w:w="120" w:type="dxa"/>
            </w:tcMar>
          </w:tcPr>
          <w:p w14:paraId="294CFA45" w14:textId="77777777" w:rsidR="00560F38" w:rsidRDefault="00000000">
            <w:pPr>
              <w:jc w:val="both"/>
            </w:pPr>
            <w:r>
              <w:rPr>
                <w:sz w:val="17"/>
                <w:szCs w:val="17"/>
              </w:rPr>
              <w:t>Dolo com especial fim de agir</w:t>
            </w:r>
          </w:p>
        </w:tc>
        <w:tc>
          <w:tcPr>
            <w:tcW w:w="6760" w:type="dxa"/>
            <w:tcBorders>
              <w:top w:val="single" w:sz="1" w:space="0" w:color="CCCCCC"/>
              <w:left w:val="single" w:sz="1" w:space="0" w:color="CCCCCC"/>
              <w:bottom w:val="single" w:sz="1" w:space="0" w:color="CCCCCC"/>
              <w:right w:val="single" w:sz="1" w:space="0" w:color="CCCCCC"/>
            </w:tcBorders>
            <w:shd w:val="clear" w:color="auto" w:fill="E8EDF5"/>
            <w:tcMar>
              <w:top w:w="80" w:type="dxa"/>
              <w:left w:w="120" w:type="dxa"/>
              <w:bottom w:w="80" w:type="dxa"/>
              <w:right w:w="120" w:type="dxa"/>
            </w:tcMar>
          </w:tcPr>
          <w:p w14:paraId="0929E9F5" w14:textId="77777777" w:rsidR="00560F38" w:rsidRDefault="00000000">
            <w:pPr>
              <w:jc w:val="both"/>
            </w:pPr>
            <w:r>
              <w:rPr>
                <w:sz w:val="17"/>
                <w:szCs w:val="17"/>
              </w:rPr>
              <w:t>Modalidade mais grave: servidor orienta sua vontade por finalidade específica para além do resultado imediato. SF1.1: 22 pts.</w:t>
            </w:r>
          </w:p>
        </w:tc>
      </w:tr>
      <w:tr w:rsidR="00560F38" w14:paraId="7493E03A"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765F70" w14:textId="77777777" w:rsidR="00560F38" w:rsidRDefault="00000000">
            <w:pPr>
              <w:jc w:val="both"/>
            </w:pPr>
            <w:r>
              <w:rPr>
                <w:sz w:val="17"/>
                <w:szCs w:val="17"/>
              </w:rPr>
              <w:t>Dolo direto</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38369C" w14:textId="77777777" w:rsidR="00560F38" w:rsidRDefault="00000000">
            <w:pPr>
              <w:jc w:val="both"/>
            </w:pPr>
            <w:r>
              <w:rPr>
                <w:sz w:val="17"/>
                <w:szCs w:val="17"/>
              </w:rPr>
              <w:t>Conduta em que o resultado ilícito é conscientemente buscado (teoria da vontade). SF1.1: 20 pts.</w:t>
            </w:r>
          </w:p>
        </w:tc>
      </w:tr>
      <w:tr w:rsidR="00560F38" w14:paraId="09E6F2EB"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8EDF5"/>
            <w:tcMar>
              <w:top w:w="80" w:type="dxa"/>
              <w:left w:w="120" w:type="dxa"/>
              <w:bottom w:w="80" w:type="dxa"/>
              <w:right w:w="120" w:type="dxa"/>
            </w:tcMar>
          </w:tcPr>
          <w:p w14:paraId="680DFDF0" w14:textId="77777777" w:rsidR="00560F38" w:rsidRDefault="00000000">
            <w:pPr>
              <w:jc w:val="both"/>
            </w:pPr>
            <w:r>
              <w:rPr>
                <w:sz w:val="17"/>
                <w:szCs w:val="17"/>
              </w:rPr>
              <w:t>Dolo eventual</w:t>
            </w:r>
          </w:p>
        </w:tc>
        <w:tc>
          <w:tcPr>
            <w:tcW w:w="6760" w:type="dxa"/>
            <w:tcBorders>
              <w:top w:val="single" w:sz="1" w:space="0" w:color="CCCCCC"/>
              <w:left w:val="single" w:sz="1" w:space="0" w:color="CCCCCC"/>
              <w:bottom w:val="single" w:sz="1" w:space="0" w:color="CCCCCC"/>
              <w:right w:val="single" w:sz="1" w:space="0" w:color="CCCCCC"/>
            </w:tcBorders>
            <w:shd w:val="clear" w:color="auto" w:fill="E8EDF5"/>
            <w:tcMar>
              <w:top w:w="80" w:type="dxa"/>
              <w:left w:w="120" w:type="dxa"/>
              <w:bottom w:w="80" w:type="dxa"/>
              <w:right w:w="120" w:type="dxa"/>
            </w:tcMar>
          </w:tcPr>
          <w:p w14:paraId="7BD3DD8A" w14:textId="77777777" w:rsidR="00560F38" w:rsidRDefault="00000000">
            <w:pPr>
              <w:jc w:val="both"/>
            </w:pPr>
            <w:r>
              <w:rPr>
                <w:sz w:val="17"/>
                <w:szCs w:val="17"/>
              </w:rPr>
              <w:t>Conduta em que o agente assume o risco de produzir o resultado sem buscá-lo (teoria do assentimento). SF1.1: 17 pts.</w:t>
            </w:r>
          </w:p>
        </w:tc>
      </w:tr>
      <w:tr w:rsidR="00560F38" w14:paraId="1A36C478"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01D78A" w14:textId="77777777" w:rsidR="00560F38" w:rsidRDefault="00000000">
            <w:pPr>
              <w:jc w:val="both"/>
            </w:pPr>
            <w:r>
              <w:rPr>
                <w:sz w:val="17"/>
                <w:szCs w:val="17"/>
              </w:rPr>
              <w:t>Dosimetria</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B6D5D8" w14:textId="77777777" w:rsidR="00560F38" w:rsidRDefault="00000000">
            <w:pPr>
              <w:jc w:val="both"/>
            </w:pPr>
            <w:r>
              <w:rPr>
                <w:sz w:val="17"/>
                <w:szCs w:val="17"/>
              </w:rPr>
              <w:t>Mensuração e graduação fundamentada da sanção, com base nos critérios do art. 128.</w:t>
            </w:r>
          </w:p>
        </w:tc>
      </w:tr>
      <w:tr w:rsidR="00560F38" w14:paraId="6B1BD0D3"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8EDF5"/>
            <w:tcMar>
              <w:top w:w="80" w:type="dxa"/>
              <w:left w:w="120" w:type="dxa"/>
              <w:bottom w:w="80" w:type="dxa"/>
              <w:right w:w="120" w:type="dxa"/>
            </w:tcMar>
          </w:tcPr>
          <w:p w14:paraId="421BF2F4" w14:textId="77777777" w:rsidR="00560F38" w:rsidRDefault="00000000">
            <w:pPr>
              <w:jc w:val="both"/>
            </w:pPr>
            <w:r>
              <w:rPr>
                <w:sz w:val="17"/>
                <w:szCs w:val="17"/>
              </w:rPr>
              <w:t>Enquadramento legal</w:t>
            </w:r>
          </w:p>
        </w:tc>
        <w:tc>
          <w:tcPr>
            <w:tcW w:w="6760" w:type="dxa"/>
            <w:tcBorders>
              <w:top w:val="single" w:sz="1" w:space="0" w:color="CCCCCC"/>
              <w:left w:val="single" w:sz="1" w:space="0" w:color="CCCCCC"/>
              <w:bottom w:val="single" w:sz="1" w:space="0" w:color="CCCCCC"/>
              <w:right w:val="single" w:sz="1" w:space="0" w:color="CCCCCC"/>
            </w:tcBorders>
            <w:shd w:val="clear" w:color="auto" w:fill="E8EDF5"/>
            <w:tcMar>
              <w:top w:w="80" w:type="dxa"/>
              <w:left w:w="120" w:type="dxa"/>
              <w:bottom w:w="80" w:type="dxa"/>
              <w:right w:w="120" w:type="dxa"/>
            </w:tcMar>
          </w:tcPr>
          <w:p w14:paraId="45445FCB" w14:textId="77777777" w:rsidR="00560F38" w:rsidRDefault="00000000">
            <w:pPr>
              <w:jc w:val="both"/>
            </w:pPr>
            <w:r>
              <w:rPr>
                <w:sz w:val="17"/>
                <w:szCs w:val="17"/>
              </w:rPr>
              <w:t>Identificação do(s) artigo(s) e inciso(s) específicos violados no modal da Tela 1. Obrigatório na v3.</w:t>
            </w:r>
          </w:p>
        </w:tc>
      </w:tr>
      <w:tr w:rsidR="00560F38" w14:paraId="68D9CCD5"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2725F1" w14:textId="77777777" w:rsidR="00560F38" w:rsidRDefault="00000000">
            <w:pPr>
              <w:jc w:val="both"/>
            </w:pPr>
            <w:r>
              <w:rPr>
                <w:sz w:val="17"/>
                <w:szCs w:val="17"/>
              </w:rPr>
              <w:t>Erro de proibição</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E7489E" w14:textId="77777777" w:rsidR="00560F38" w:rsidRDefault="00000000">
            <w:pPr>
              <w:jc w:val="both"/>
            </w:pPr>
            <w:r>
              <w:rPr>
                <w:sz w:val="17"/>
                <w:szCs w:val="17"/>
              </w:rPr>
              <w:t>Dúvida inescusável quanto à licitude da conduta. Quando evitável, não exclui dolo ou culpa, mas pode atenuar a gravidade.</w:t>
            </w:r>
          </w:p>
        </w:tc>
      </w:tr>
      <w:tr w:rsidR="00560F38" w14:paraId="555C0FE2"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8EDF5"/>
            <w:tcMar>
              <w:top w:w="80" w:type="dxa"/>
              <w:left w:w="120" w:type="dxa"/>
              <w:bottom w:w="80" w:type="dxa"/>
              <w:right w:w="120" w:type="dxa"/>
            </w:tcMar>
          </w:tcPr>
          <w:p w14:paraId="0693F5C1" w14:textId="77777777" w:rsidR="00560F38" w:rsidRDefault="00000000">
            <w:pPr>
              <w:jc w:val="both"/>
            </w:pPr>
            <w:r>
              <w:rPr>
                <w:sz w:val="17"/>
                <w:szCs w:val="17"/>
              </w:rPr>
              <w:t>Erro escusável</w:t>
            </w:r>
          </w:p>
        </w:tc>
        <w:tc>
          <w:tcPr>
            <w:tcW w:w="6760" w:type="dxa"/>
            <w:tcBorders>
              <w:top w:val="single" w:sz="1" w:space="0" w:color="CCCCCC"/>
              <w:left w:val="single" w:sz="1" w:space="0" w:color="CCCCCC"/>
              <w:bottom w:val="single" w:sz="1" w:space="0" w:color="CCCCCC"/>
              <w:right w:val="single" w:sz="1" w:space="0" w:color="CCCCCC"/>
            </w:tcBorders>
            <w:shd w:val="clear" w:color="auto" w:fill="E8EDF5"/>
            <w:tcMar>
              <w:top w:w="80" w:type="dxa"/>
              <w:left w:w="120" w:type="dxa"/>
              <w:bottom w:w="80" w:type="dxa"/>
              <w:right w:w="120" w:type="dxa"/>
            </w:tcMar>
          </w:tcPr>
          <w:p w14:paraId="75478F94" w14:textId="77777777" w:rsidR="00560F38" w:rsidRDefault="00000000">
            <w:pPr>
              <w:jc w:val="both"/>
            </w:pPr>
            <w:r>
              <w:rPr>
                <w:sz w:val="17"/>
                <w:szCs w:val="17"/>
              </w:rPr>
              <w:t>Equívoco funcional não punível: ausência de dolo, eventualidade do erro e ínfimo poder ofensivo (tese da Coger/RFB; NT nº 2006/1 e nº 12/2021). Na v3, sinalizado indiretamente pela combinação de SF1.1 e SF1.2 mínimos com dano ínfimo e conduta isolada.</w:t>
            </w:r>
          </w:p>
        </w:tc>
      </w:tr>
      <w:tr w:rsidR="00560F38" w14:paraId="45729C1B"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DA3954" w14:textId="77777777" w:rsidR="00560F38" w:rsidRDefault="00000000">
            <w:pPr>
              <w:jc w:val="both"/>
            </w:pPr>
            <w:r>
              <w:rPr>
                <w:sz w:val="17"/>
                <w:szCs w:val="17"/>
              </w:rPr>
              <w:t>Exportação JSON</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D61865" w14:textId="77777777" w:rsidR="00560F38" w:rsidRDefault="00000000">
            <w:pPr>
              <w:jc w:val="both"/>
            </w:pPr>
            <w:r>
              <w:rPr>
                <w:sz w:val="17"/>
                <w:szCs w:val="17"/>
              </w:rPr>
              <w:t>Recurso que salva o estado completo da sessão para arquivamento e auditoria futura.</w:t>
            </w:r>
          </w:p>
        </w:tc>
      </w:tr>
      <w:tr w:rsidR="00560F38" w14:paraId="475EE028"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8EDF5"/>
            <w:tcMar>
              <w:top w:w="80" w:type="dxa"/>
              <w:left w:w="120" w:type="dxa"/>
              <w:bottom w:w="80" w:type="dxa"/>
              <w:right w:w="120" w:type="dxa"/>
            </w:tcMar>
          </w:tcPr>
          <w:p w14:paraId="58DB813D" w14:textId="77777777" w:rsidR="00560F38" w:rsidRDefault="00000000">
            <w:pPr>
              <w:jc w:val="both"/>
            </w:pPr>
            <w:r>
              <w:rPr>
                <w:sz w:val="17"/>
                <w:szCs w:val="17"/>
              </w:rPr>
              <w:t>Infração continuada</w:t>
            </w:r>
          </w:p>
        </w:tc>
        <w:tc>
          <w:tcPr>
            <w:tcW w:w="6760" w:type="dxa"/>
            <w:tcBorders>
              <w:top w:val="single" w:sz="1" w:space="0" w:color="CCCCCC"/>
              <w:left w:val="single" w:sz="1" w:space="0" w:color="CCCCCC"/>
              <w:bottom w:val="single" w:sz="1" w:space="0" w:color="CCCCCC"/>
              <w:right w:val="single" w:sz="1" w:space="0" w:color="CCCCCC"/>
            </w:tcBorders>
            <w:shd w:val="clear" w:color="auto" w:fill="E8EDF5"/>
            <w:tcMar>
              <w:top w:w="80" w:type="dxa"/>
              <w:left w:w="120" w:type="dxa"/>
              <w:bottom w:w="80" w:type="dxa"/>
              <w:right w:w="120" w:type="dxa"/>
            </w:tcMar>
          </w:tcPr>
          <w:p w14:paraId="77F9DB4C" w14:textId="77777777" w:rsidR="00560F38" w:rsidRDefault="00000000">
            <w:pPr>
              <w:jc w:val="both"/>
            </w:pPr>
            <w:r>
              <w:rPr>
                <w:sz w:val="17"/>
                <w:szCs w:val="17"/>
              </w:rPr>
              <w:t>Pluralidade de atos da mesma espécie em circunstâncias similares (analogia ao art. 71 do CP). SF2.2: 11–15 pts.</w:t>
            </w:r>
          </w:p>
        </w:tc>
      </w:tr>
      <w:tr w:rsidR="00560F38" w14:paraId="717D4AF4"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CA2797" w14:textId="77777777" w:rsidR="00560F38" w:rsidRDefault="00000000">
            <w:pPr>
              <w:jc w:val="both"/>
            </w:pPr>
            <w:r>
              <w:rPr>
                <w:sz w:val="17"/>
                <w:szCs w:val="17"/>
              </w:rPr>
              <w:t>Ne bis in idem</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5D8326" w14:textId="77777777" w:rsidR="00560F38" w:rsidRDefault="00000000">
            <w:pPr>
              <w:jc w:val="both"/>
            </w:pPr>
            <w:r>
              <w:rPr>
                <w:sz w:val="17"/>
                <w:szCs w:val="17"/>
              </w:rPr>
              <w:t>Vedação à dupla valoração da mesma circunstância em prejuízo do agente.</w:t>
            </w:r>
          </w:p>
        </w:tc>
      </w:tr>
      <w:tr w:rsidR="00560F38" w14:paraId="7758A7BF"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8EDF5"/>
            <w:tcMar>
              <w:top w:w="80" w:type="dxa"/>
              <w:left w:w="120" w:type="dxa"/>
              <w:bottom w:w="80" w:type="dxa"/>
              <w:right w:w="120" w:type="dxa"/>
            </w:tcMar>
          </w:tcPr>
          <w:p w14:paraId="6EB1601C" w14:textId="77777777" w:rsidR="00560F38" w:rsidRDefault="00000000">
            <w:pPr>
              <w:jc w:val="both"/>
            </w:pPr>
            <w:r>
              <w:rPr>
                <w:sz w:val="17"/>
                <w:szCs w:val="17"/>
              </w:rPr>
              <w:t>Persistência de sessão</w:t>
            </w:r>
          </w:p>
        </w:tc>
        <w:tc>
          <w:tcPr>
            <w:tcW w:w="6760" w:type="dxa"/>
            <w:tcBorders>
              <w:top w:val="single" w:sz="1" w:space="0" w:color="CCCCCC"/>
              <w:left w:val="single" w:sz="1" w:space="0" w:color="CCCCCC"/>
              <w:bottom w:val="single" w:sz="1" w:space="0" w:color="CCCCCC"/>
              <w:right w:val="single" w:sz="1" w:space="0" w:color="CCCCCC"/>
            </w:tcBorders>
            <w:shd w:val="clear" w:color="auto" w:fill="E8EDF5"/>
            <w:tcMar>
              <w:top w:w="80" w:type="dxa"/>
              <w:left w:w="120" w:type="dxa"/>
              <w:bottom w:w="80" w:type="dxa"/>
              <w:right w:w="120" w:type="dxa"/>
            </w:tcMar>
          </w:tcPr>
          <w:p w14:paraId="25C0FA8D" w14:textId="77777777" w:rsidR="00560F38" w:rsidRDefault="00000000">
            <w:pPr>
              <w:jc w:val="both"/>
            </w:pPr>
            <w:r>
              <w:rPr>
                <w:sz w:val="17"/>
                <w:szCs w:val="17"/>
              </w:rPr>
              <w:t>Recurso que salva automaticamente o preenchimento no localStorage do navegador.</w:t>
            </w:r>
          </w:p>
        </w:tc>
      </w:tr>
      <w:tr w:rsidR="00560F38" w14:paraId="64D9B7EF"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2830E4" w14:textId="77777777" w:rsidR="00560F38" w:rsidRDefault="00000000">
            <w:pPr>
              <w:jc w:val="both"/>
            </w:pPr>
            <w:r>
              <w:rPr>
                <w:sz w:val="17"/>
                <w:szCs w:val="17"/>
              </w:rPr>
              <w:t>Reincidência</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E860E2" w14:textId="77777777" w:rsidR="00560F38" w:rsidRDefault="00000000">
            <w:pPr>
              <w:jc w:val="both"/>
            </w:pPr>
            <w:r>
              <w:rPr>
                <w:sz w:val="17"/>
                <w:szCs w:val="17"/>
              </w:rPr>
              <w:t>Registro vigente de penalidade anterior não cancelada (art. 131). Verificada na segunda fase, com efeito exclusivamente conversor (transforma advertência em suspensão de 1 dia).</w:t>
            </w:r>
          </w:p>
        </w:tc>
      </w:tr>
      <w:tr w:rsidR="00560F38" w14:paraId="550E41E3"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8EDF5"/>
            <w:tcMar>
              <w:top w:w="80" w:type="dxa"/>
              <w:left w:w="120" w:type="dxa"/>
              <w:bottom w:w="80" w:type="dxa"/>
              <w:right w:w="120" w:type="dxa"/>
            </w:tcMar>
          </w:tcPr>
          <w:p w14:paraId="0F723301" w14:textId="77777777" w:rsidR="00560F38" w:rsidRDefault="00000000">
            <w:pPr>
              <w:jc w:val="both"/>
            </w:pPr>
            <w:r>
              <w:rPr>
                <w:sz w:val="17"/>
                <w:szCs w:val="17"/>
              </w:rPr>
              <w:t>Regime RE1</w:t>
            </w:r>
          </w:p>
        </w:tc>
        <w:tc>
          <w:tcPr>
            <w:tcW w:w="6760" w:type="dxa"/>
            <w:tcBorders>
              <w:top w:val="single" w:sz="1" w:space="0" w:color="CCCCCC"/>
              <w:left w:val="single" w:sz="1" w:space="0" w:color="CCCCCC"/>
              <w:bottom w:val="single" w:sz="1" w:space="0" w:color="CCCCCC"/>
              <w:right w:val="single" w:sz="1" w:space="0" w:color="CCCCCC"/>
            </w:tcBorders>
            <w:shd w:val="clear" w:color="auto" w:fill="E8EDF5"/>
            <w:tcMar>
              <w:top w:w="80" w:type="dxa"/>
              <w:left w:w="120" w:type="dxa"/>
              <w:bottom w:w="80" w:type="dxa"/>
              <w:right w:w="120" w:type="dxa"/>
            </w:tcMar>
          </w:tcPr>
          <w:p w14:paraId="2B1B6569" w14:textId="77777777" w:rsidR="00560F38" w:rsidRDefault="00000000">
            <w:pPr>
              <w:jc w:val="both"/>
            </w:pPr>
            <w:r>
              <w:rPr>
                <w:sz w:val="17"/>
                <w:szCs w:val="17"/>
              </w:rPr>
              <w:t>Art. 117, XVII e XVIII — suspensão obrigatória: max(1, min(⌊3×Soma÷4⌋, 90)) dias.</w:t>
            </w:r>
          </w:p>
        </w:tc>
      </w:tr>
      <w:tr w:rsidR="00560F38" w14:paraId="185830BD"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028C04" w14:textId="77777777" w:rsidR="00560F38" w:rsidRDefault="00000000">
            <w:pPr>
              <w:jc w:val="both"/>
            </w:pPr>
            <w:r>
              <w:rPr>
                <w:sz w:val="17"/>
                <w:szCs w:val="17"/>
              </w:rPr>
              <w:lastRenderedPageBreak/>
              <w:t>Regime RE2</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C2342B" w14:textId="77777777" w:rsidR="00560F38" w:rsidRDefault="00000000">
            <w:pPr>
              <w:jc w:val="both"/>
            </w:pPr>
            <w:r>
              <w:rPr>
                <w:sz w:val="17"/>
                <w:szCs w:val="17"/>
              </w:rPr>
              <w:t>Art. 130, §1º — recusa à perícia; suspensão de 1 a 15 dias; apenas dolo admissível em SF1.1.</w:t>
            </w:r>
          </w:p>
        </w:tc>
      </w:tr>
      <w:tr w:rsidR="00560F38" w14:paraId="134DAC5B"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8EDF5"/>
            <w:tcMar>
              <w:top w:w="80" w:type="dxa"/>
              <w:left w:w="120" w:type="dxa"/>
              <w:bottom w:w="80" w:type="dxa"/>
              <w:right w:w="120" w:type="dxa"/>
            </w:tcMar>
          </w:tcPr>
          <w:p w14:paraId="0A527158" w14:textId="77777777" w:rsidR="00560F38" w:rsidRDefault="00000000">
            <w:pPr>
              <w:jc w:val="both"/>
            </w:pPr>
            <w:r>
              <w:rPr>
                <w:sz w:val="17"/>
                <w:szCs w:val="17"/>
              </w:rPr>
              <w:t>Regime RE3</w:t>
            </w:r>
          </w:p>
        </w:tc>
        <w:tc>
          <w:tcPr>
            <w:tcW w:w="6760" w:type="dxa"/>
            <w:tcBorders>
              <w:top w:val="single" w:sz="1" w:space="0" w:color="CCCCCC"/>
              <w:left w:val="single" w:sz="1" w:space="0" w:color="CCCCCC"/>
              <w:bottom w:val="single" w:sz="1" w:space="0" w:color="CCCCCC"/>
              <w:right w:val="single" w:sz="1" w:space="0" w:color="CCCCCC"/>
            </w:tcBorders>
            <w:shd w:val="clear" w:color="auto" w:fill="E8EDF5"/>
            <w:tcMar>
              <w:top w:w="80" w:type="dxa"/>
              <w:left w:w="120" w:type="dxa"/>
              <w:bottom w:w="80" w:type="dxa"/>
              <w:right w:w="120" w:type="dxa"/>
            </w:tcMar>
          </w:tcPr>
          <w:p w14:paraId="17D2F6AB" w14:textId="77777777" w:rsidR="00560F38" w:rsidRDefault="00000000">
            <w:pPr>
              <w:jc w:val="both"/>
            </w:pPr>
            <w:r>
              <w:rPr>
                <w:sz w:val="17"/>
                <w:szCs w:val="17"/>
              </w:rPr>
              <w:t>Art. 32 da LAI — suspensão obrigatória, fórmula idêntica ao RE1.</w:t>
            </w:r>
          </w:p>
        </w:tc>
      </w:tr>
      <w:tr w:rsidR="00560F38" w14:paraId="0FAE4D66"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D9D54F" w14:textId="77777777" w:rsidR="00560F38" w:rsidRDefault="00000000">
            <w:pPr>
              <w:jc w:val="both"/>
            </w:pPr>
            <w:r>
              <w:rPr>
                <w:sz w:val="17"/>
                <w:szCs w:val="17"/>
              </w:rPr>
              <w:t>Slider de intensidade</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D8FEA8" w14:textId="77777777" w:rsidR="00560F38" w:rsidRDefault="00000000">
            <w:pPr>
              <w:jc w:val="both"/>
            </w:pPr>
            <w:r>
              <w:rPr>
                <w:sz w:val="17"/>
                <w:szCs w:val="17"/>
              </w:rPr>
              <w:t>Controle que permite ajustar o grau de cada circunstância e antecedente entre valores mínimo, padrão e máximo.</w:t>
            </w:r>
          </w:p>
        </w:tc>
      </w:tr>
      <w:tr w:rsidR="00560F38" w14:paraId="37862560"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8EDF5"/>
            <w:tcMar>
              <w:top w:w="80" w:type="dxa"/>
              <w:left w:w="120" w:type="dxa"/>
              <w:bottom w:w="80" w:type="dxa"/>
              <w:right w:w="120" w:type="dxa"/>
            </w:tcMar>
          </w:tcPr>
          <w:p w14:paraId="2CDBF7C8" w14:textId="77777777" w:rsidR="00560F38" w:rsidRDefault="00000000">
            <w:pPr>
              <w:jc w:val="both"/>
            </w:pPr>
            <w:r>
              <w:rPr>
                <w:sz w:val="17"/>
                <w:szCs w:val="17"/>
              </w:rPr>
              <w:t>Soma Total</w:t>
            </w:r>
          </w:p>
        </w:tc>
        <w:tc>
          <w:tcPr>
            <w:tcW w:w="6760" w:type="dxa"/>
            <w:tcBorders>
              <w:top w:val="single" w:sz="1" w:space="0" w:color="CCCCCC"/>
              <w:left w:val="single" w:sz="1" w:space="0" w:color="CCCCCC"/>
              <w:bottom w:val="single" w:sz="1" w:space="0" w:color="CCCCCC"/>
              <w:right w:val="single" w:sz="1" w:space="0" w:color="CCCCCC"/>
            </w:tcBorders>
            <w:shd w:val="clear" w:color="auto" w:fill="E8EDF5"/>
            <w:tcMar>
              <w:top w:w="80" w:type="dxa"/>
              <w:left w:w="120" w:type="dxa"/>
              <w:bottom w:w="80" w:type="dxa"/>
              <w:right w:w="120" w:type="dxa"/>
            </w:tcMar>
          </w:tcPr>
          <w:p w14:paraId="0DBD7034" w14:textId="77777777" w:rsidR="00560F38" w:rsidRDefault="00000000">
            <w:pPr>
              <w:jc w:val="both"/>
            </w:pPr>
            <w:r>
              <w:rPr>
                <w:sz w:val="17"/>
                <w:szCs w:val="17"/>
              </w:rPr>
              <w:t>Resultado aritmético dos elementos da primeira fase; base da conversão em penalidade.</w:t>
            </w:r>
          </w:p>
        </w:tc>
      </w:tr>
      <w:tr w:rsidR="00560F38" w14:paraId="53B9FB1A"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54AD57" w14:textId="77777777" w:rsidR="00560F38" w:rsidRDefault="00000000">
            <w:pPr>
              <w:jc w:val="both"/>
            </w:pPr>
            <w:r>
              <w:rPr>
                <w:sz w:val="17"/>
                <w:szCs w:val="17"/>
              </w:rPr>
              <w:t>TAC</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8AB7CD" w14:textId="77777777" w:rsidR="00560F38" w:rsidRDefault="00000000">
            <w:pPr>
              <w:jc w:val="both"/>
            </w:pPr>
            <w:r>
              <w:rPr>
                <w:sz w:val="17"/>
                <w:szCs w:val="17"/>
              </w:rPr>
              <w:t>Termo de Ajustamento de Conduta (Portaria Normativa CGU nº 27/2022) — substitui a penalidade pelo cumprimento de obrigações específicas.</w:t>
            </w:r>
          </w:p>
        </w:tc>
      </w:tr>
      <w:tr w:rsidR="00560F38" w14:paraId="6AB5DCE3"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8EDF5"/>
            <w:tcMar>
              <w:top w:w="80" w:type="dxa"/>
              <w:left w:w="120" w:type="dxa"/>
              <w:bottom w:w="80" w:type="dxa"/>
              <w:right w:w="120" w:type="dxa"/>
            </w:tcMar>
          </w:tcPr>
          <w:p w14:paraId="20E3072A" w14:textId="77777777" w:rsidR="00560F38" w:rsidRDefault="00000000">
            <w:pPr>
              <w:jc w:val="both"/>
            </w:pPr>
            <w:r>
              <w:rPr>
                <w:sz w:val="17"/>
                <w:szCs w:val="17"/>
              </w:rPr>
              <w:t>Zona limítrofe</w:t>
            </w:r>
          </w:p>
        </w:tc>
        <w:tc>
          <w:tcPr>
            <w:tcW w:w="6760" w:type="dxa"/>
            <w:tcBorders>
              <w:top w:val="single" w:sz="1" w:space="0" w:color="CCCCCC"/>
              <w:left w:val="single" w:sz="1" w:space="0" w:color="CCCCCC"/>
              <w:bottom w:val="single" w:sz="1" w:space="0" w:color="CCCCCC"/>
              <w:right w:val="single" w:sz="1" w:space="0" w:color="CCCCCC"/>
            </w:tcBorders>
            <w:shd w:val="clear" w:color="auto" w:fill="E8EDF5"/>
            <w:tcMar>
              <w:top w:w="80" w:type="dxa"/>
              <w:left w:w="120" w:type="dxa"/>
              <w:bottom w:w="80" w:type="dxa"/>
              <w:right w:w="120" w:type="dxa"/>
            </w:tcMar>
          </w:tcPr>
          <w:p w14:paraId="40968D41" w14:textId="77777777" w:rsidR="00560F38" w:rsidRDefault="00000000">
            <w:pPr>
              <w:jc w:val="both"/>
            </w:pPr>
            <w:r>
              <w:rPr>
                <w:sz w:val="17"/>
                <w:szCs w:val="17"/>
              </w:rPr>
              <w:t>27–33 pts (advertência/suspensão, Regime Geral) ou 57–63 pts (elegibilidade TAC, Regime Geral): o sistema recomenda revisão colegiada.</w:t>
            </w:r>
          </w:p>
        </w:tc>
      </w:tr>
    </w:tbl>
    <w:p w14:paraId="5DE7EE58" w14:textId="77777777" w:rsidR="00560F38" w:rsidRDefault="00000000">
      <w:pPr>
        <w:pStyle w:val="Ttulo1"/>
      </w:pPr>
      <w:bookmarkStart w:id="94" w:name="_Toc232175939"/>
      <w:r>
        <w:t>19. Referências</w:t>
      </w:r>
      <w:bookmarkEnd w:id="94"/>
    </w:p>
    <w:p w14:paraId="25AF85CE" w14:textId="77777777" w:rsidR="00560F38" w:rsidRDefault="00000000">
      <w:pPr>
        <w:pStyle w:val="Ttulo2"/>
      </w:pPr>
      <w:bookmarkStart w:id="95" w:name="_Toc232175940"/>
      <w:r>
        <w:t>19.1 Normas</w:t>
      </w:r>
      <w:bookmarkEnd w:id="95"/>
    </w:p>
    <w:p w14:paraId="59ACEF86" w14:textId="77777777" w:rsidR="00560F38" w:rsidRDefault="00000000">
      <w:pPr>
        <w:pStyle w:val="PargrafodaLista"/>
        <w:numPr>
          <w:ilvl w:val="0"/>
          <w:numId w:val="2"/>
        </w:numPr>
        <w:spacing w:before="60" w:after="60" w:line="260" w:lineRule="auto"/>
      </w:pPr>
      <w:r>
        <w:t>Constituição Federal de 1988 — art. 5º, X, XII e LIV; art. 37.</w:t>
      </w:r>
    </w:p>
    <w:p w14:paraId="5A6DD0A7" w14:textId="77777777" w:rsidR="00560F38" w:rsidRDefault="00000000">
      <w:pPr>
        <w:pStyle w:val="PargrafodaLista"/>
        <w:numPr>
          <w:ilvl w:val="0"/>
          <w:numId w:val="2"/>
        </w:numPr>
        <w:spacing w:before="60" w:after="60" w:line="260" w:lineRule="auto"/>
      </w:pPr>
      <w:r>
        <w:t>Lei nº 8.112, de 11 de dezembro de 1990 — arts. 116, 117, 128 a 132 e 46.</w:t>
      </w:r>
    </w:p>
    <w:p w14:paraId="41EA82DD" w14:textId="77777777" w:rsidR="00560F38" w:rsidRDefault="00000000">
      <w:pPr>
        <w:pStyle w:val="PargrafodaLista"/>
        <w:numPr>
          <w:ilvl w:val="0"/>
          <w:numId w:val="2"/>
        </w:numPr>
        <w:spacing w:before="60" w:after="60" w:line="260" w:lineRule="auto"/>
      </w:pPr>
      <w:r>
        <w:t>Lei nº 9.784, de 29 de janeiro de 1999 — art. 2º, parágrafo único, e art. 50.</w:t>
      </w:r>
    </w:p>
    <w:p w14:paraId="5CAB3D36" w14:textId="77777777" w:rsidR="00560F38" w:rsidRDefault="00000000">
      <w:pPr>
        <w:pStyle w:val="PargrafodaLista"/>
        <w:numPr>
          <w:ilvl w:val="0"/>
          <w:numId w:val="2"/>
        </w:numPr>
        <w:spacing w:before="60" w:after="60" w:line="260" w:lineRule="auto"/>
      </w:pPr>
      <w:r>
        <w:t>Lei nº 12.527, de 18 de novembro de 2011 (LAI) — art. 32.</w:t>
      </w:r>
    </w:p>
    <w:p w14:paraId="30583428" w14:textId="77777777" w:rsidR="00560F38" w:rsidRDefault="00000000">
      <w:pPr>
        <w:pStyle w:val="PargrafodaLista"/>
        <w:numPr>
          <w:ilvl w:val="0"/>
          <w:numId w:val="2"/>
        </w:numPr>
        <w:spacing w:before="60" w:after="60" w:line="260" w:lineRule="auto"/>
      </w:pPr>
      <w:r>
        <w:t>Lei nº 5.172, de 25 de outubro de 1966 (CTN) — art. 198.</w:t>
      </w:r>
    </w:p>
    <w:p w14:paraId="42D5BFD1" w14:textId="77777777" w:rsidR="00560F38" w:rsidRDefault="00000000">
      <w:pPr>
        <w:pStyle w:val="PargrafodaLista"/>
        <w:numPr>
          <w:ilvl w:val="0"/>
          <w:numId w:val="2"/>
        </w:numPr>
        <w:spacing w:before="60" w:after="60" w:line="260" w:lineRule="auto"/>
      </w:pPr>
      <w:r>
        <w:t>Decreto-Lei nº 4.657, de 1942 (LINDB) — arts. 20, 22 e 28.</w:t>
      </w:r>
    </w:p>
    <w:p w14:paraId="1D2C943D" w14:textId="77777777" w:rsidR="00560F38" w:rsidRDefault="00000000">
      <w:pPr>
        <w:pStyle w:val="PargrafodaLista"/>
        <w:numPr>
          <w:ilvl w:val="0"/>
          <w:numId w:val="2"/>
        </w:numPr>
        <w:spacing w:before="60" w:after="60" w:line="260" w:lineRule="auto"/>
      </w:pPr>
      <w:r>
        <w:t>Decreto nº 9.830, de 10 de junho de 2019 — arts. 12, 16 e 17.</w:t>
      </w:r>
    </w:p>
    <w:p w14:paraId="523F9D6F" w14:textId="77777777" w:rsidR="00560F38" w:rsidRDefault="00000000">
      <w:pPr>
        <w:pStyle w:val="PargrafodaLista"/>
        <w:numPr>
          <w:ilvl w:val="0"/>
          <w:numId w:val="2"/>
        </w:numPr>
        <w:spacing w:before="60" w:after="60" w:line="260" w:lineRule="auto"/>
      </w:pPr>
      <w:r>
        <w:t>Portaria Normativa CGU nº 27, de 11 de outubro de 2022 — arts. 62 a 72, 65, 66, 140 e 141.</w:t>
      </w:r>
    </w:p>
    <w:p w14:paraId="6D878AC8" w14:textId="77777777" w:rsidR="00560F38" w:rsidRDefault="00000000">
      <w:pPr>
        <w:pStyle w:val="Ttulo2"/>
      </w:pPr>
      <w:bookmarkStart w:id="96" w:name="_Toc232175941"/>
      <w:r>
        <w:t>19.2 Jurisprudência e súmulas</w:t>
      </w:r>
      <w:bookmarkEnd w:id="96"/>
    </w:p>
    <w:p w14:paraId="03E4043C" w14:textId="77777777" w:rsidR="00560F38" w:rsidRDefault="00000000">
      <w:pPr>
        <w:pStyle w:val="PargrafodaLista"/>
        <w:numPr>
          <w:ilvl w:val="0"/>
          <w:numId w:val="2"/>
        </w:numPr>
        <w:spacing w:before="60" w:after="60" w:line="260" w:lineRule="auto"/>
      </w:pPr>
      <w:r>
        <w:t>STJ — Súmula 231; Súmula 241; Súmula 650.</w:t>
      </w:r>
    </w:p>
    <w:p w14:paraId="5D8322B9" w14:textId="77777777" w:rsidR="00560F38" w:rsidRDefault="00000000">
      <w:pPr>
        <w:pStyle w:val="PargrafodaLista"/>
        <w:numPr>
          <w:ilvl w:val="0"/>
          <w:numId w:val="2"/>
        </w:numPr>
        <w:spacing w:before="60" w:after="60" w:line="260" w:lineRule="auto"/>
      </w:pPr>
      <w:r>
        <w:t>STJ — AgRg no REsp 1.043.279/PR; REsp 1.943.262/SC; REsp 1.854.893/SP; AgRg no RHC 76.581/PE; REsp 1.440.893/MT; AgRg no AREsp 455.209/SP; AgInt no AREsp 949.377/MG; REsp 1.585.939/PB; REsp 621.415/MG; HC 229.260/GO.</w:t>
      </w:r>
    </w:p>
    <w:p w14:paraId="0AD80481" w14:textId="77777777" w:rsidR="00560F38" w:rsidRDefault="00000000">
      <w:pPr>
        <w:pStyle w:val="PargrafodaLista"/>
        <w:numPr>
          <w:ilvl w:val="0"/>
          <w:numId w:val="2"/>
        </w:numPr>
        <w:spacing w:before="60" w:after="60" w:line="260" w:lineRule="auto"/>
      </w:pPr>
      <w:r>
        <w:t>STF — HC 91.159/MG.</w:t>
      </w:r>
    </w:p>
    <w:p w14:paraId="1C316E8E" w14:textId="77777777" w:rsidR="00560F38" w:rsidRDefault="00000000">
      <w:pPr>
        <w:pStyle w:val="PargrafodaLista"/>
        <w:numPr>
          <w:ilvl w:val="0"/>
          <w:numId w:val="2"/>
        </w:numPr>
        <w:spacing w:before="60" w:after="60" w:line="260" w:lineRule="auto"/>
      </w:pPr>
      <w:r>
        <w:t>TCU — Acórdão nº 63/2023 — Plenário.</w:t>
      </w:r>
    </w:p>
    <w:p w14:paraId="2F6AFF13" w14:textId="77777777" w:rsidR="00560F38" w:rsidRDefault="00000000">
      <w:pPr>
        <w:pStyle w:val="PargrafodaLista"/>
        <w:numPr>
          <w:ilvl w:val="0"/>
          <w:numId w:val="2"/>
        </w:numPr>
        <w:spacing w:before="60" w:after="60" w:line="260" w:lineRule="auto"/>
      </w:pPr>
      <w:r>
        <w:t>TRF-4 — ACR 5005401-57.2017.4.04.7207.  TJ-PR — ACR 0614090-5.</w:t>
      </w:r>
    </w:p>
    <w:p w14:paraId="36C84C4D" w14:textId="77777777" w:rsidR="00560F38" w:rsidRDefault="00000000">
      <w:pPr>
        <w:pStyle w:val="Ttulo2"/>
      </w:pPr>
      <w:bookmarkStart w:id="97" w:name="_Toc232175942"/>
      <w:r>
        <w:t>19.3 Documentos de referência</w:t>
      </w:r>
      <w:bookmarkEnd w:id="97"/>
    </w:p>
    <w:p w14:paraId="3D23FBFE" w14:textId="77777777" w:rsidR="00560F38" w:rsidRDefault="00000000">
      <w:pPr>
        <w:pStyle w:val="PargrafodaLista"/>
        <w:numPr>
          <w:ilvl w:val="0"/>
          <w:numId w:val="2"/>
        </w:numPr>
        <w:spacing w:before="60" w:after="60" w:line="260" w:lineRule="auto"/>
      </w:pPr>
      <w:r>
        <w:t>CGU. Guia Teórico e Prático da Dosimetria da Sanção Disciplinar. Brasília, 2024.</w:t>
      </w:r>
    </w:p>
    <w:p w14:paraId="288706D5" w14:textId="77777777" w:rsidR="00560F38" w:rsidRDefault="00000000">
      <w:pPr>
        <w:pStyle w:val="PargrafodaLista"/>
        <w:numPr>
          <w:ilvl w:val="0"/>
          <w:numId w:val="2"/>
        </w:numPr>
        <w:spacing w:before="60" w:after="60" w:line="260" w:lineRule="auto"/>
      </w:pPr>
      <w:r>
        <w:t>CGU. Estudo Dosimetria das Sanções Administrativas Disciplinares: Advertência e Suspensão.</w:t>
      </w:r>
    </w:p>
    <w:p w14:paraId="5F1DDEC3" w14:textId="77777777" w:rsidR="00560F38" w:rsidRDefault="00000000">
      <w:pPr>
        <w:pStyle w:val="PargrafodaLista"/>
        <w:numPr>
          <w:ilvl w:val="0"/>
          <w:numId w:val="2"/>
        </w:numPr>
        <w:spacing w:before="60" w:after="60" w:line="260" w:lineRule="auto"/>
      </w:pPr>
      <w:r>
        <w:t>CGU. Manual de Processo Administrativo Disciplinar, 2022.</w:t>
      </w:r>
    </w:p>
    <w:p w14:paraId="17F7C053" w14:textId="77777777" w:rsidR="00560F38" w:rsidRDefault="00000000">
      <w:pPr>
        <w:pStyle w:val="PargrafodaLista"/>
        <w:numPr>
          <w:ilvl w:val="0"/>
          <w:numId w:val="2"/>
        </w:numPr>
        <w:spacing w:before="60" w:after="60" w:line="260" w:lineRule="auto"/>
      </w:pPr>
      <w:r>
        <w:t>Corregedoria da RFB. Nota Técnica Coger nº 2006/1, de 21 de setembro de 2006.</w:t>
      </w:r>
    </w:p>
    <w:p w14:paraId="1699EFB2" w14:textId="77777777" w:rsidR="00560F38" w:rsidRDefault="00000000">
      <w:pPr>
        <w:pStyle w:val="PargrafodaLista"/>
        <w:numPr>
          <w:ilvl w:val="0"/>
          <w:numId w:val="2"/>
        </w:numPr>
        <w:spacing w:before="60" w:after="60" w:line="260" w:lineRule="auto"/>
      </w:pPr>
      <w:r>
        <w:t>Corregedoria da RFB. Nota Técnica Coger/RFB nº 12/2021, de 9 de setembro de 2021.</w:t>
      </w:r>
    </w:p>
    <w:p w14:paraId="2A8D3457" w14:textId="77777777" w:rsidR="00560F38" w:rsidRDefault="00000000">
      <w:pPr>
        <w:pStyle w:val="PargrafodaLista"/>
        <w:numPr>
          <w:ilvl w:val="0"/>
          <w:numId w:val="2"/>
        </w:numPr>
        <w:spacing w:before="60" w:after="60" w:line="260" w:lineRule="auto"/>
      </w:pPr>
      <w:r>
        <w:t>TEIXEIRA, Marcos Salles. Anotações sobre processo administrativo disciplinar. Distrito Federal: CGU, 2025. Disponível em: https://basedeconhecimento.cgu.gov.br/handle/1/20744.</w:t>
      </w:r>
    </w:p>
    <w:p w14:paraId="061DBBAF" w14:textId="77777777" w:rsidR="00560F38" w:rsidRDefault="00000000">
      <w:pPr>
        <w:pStyle w:val="PargrafodaLista"/>
        <w:numPr>
          <w:ilvl w:val="0"/>
          <w:numId w:val="2"/>
        </w:numPr>
        <w:spacing w:before="60" w:after="60" w:line="260" w:lineRule="auto"/>
      </w:pPr>
      <w:r>
        <w:t>ÁVILA, Humberto. Teoria dos Princípios: da definição à aplicação dos princípios jurídicos. 3. ed. São Paulo: Malheiros, 2004.</w:t>
      </w:r>
    </w:p>
    <w:p w14:paraId="6DBC00FD" w14:textId="77777777" w:rsidR="00560F38" w:rsidRDefault="00000000">
      <w:pPr>
        <w:pBdr>
          <w:top w:val="single" w:sz="4" w:space="4" w:color="1F3864"/>
        </w:pBdr>
        <w:spacing w:before="200"/>
        <w:jc w:val="center"/>
      </w:pPr>
      <w:r>
        <w:rPr>
          <w:i/>
          <w:iCs/>
          <w:color w:val="555555"/>
          <w:sz w:val="18"/>
          <w:szCs w:val="18"/>
        </w:rPr>
        <w:t>Corregedoria da Receita Federal do Brasil  ·  Calculadora de Dosimetria v3  ·  Uso restrito a servidores autorizados</w:t>
      </w:r>
    </w:p>
    <w:sectPr w:rsidR="00560F38">
      <w:headerReference w:type="default" r:id="rId8"/>
      <w:footerReference w:type="default" r:id="rId9"/>
      <w:pgSz w:w="11906" w:h="16838"/>
      <w:pgMar w:top="1440" w:right="1440" w:bottom="1440" w:left="18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D83CC2" w14:textId="77777777" w:rsidR="00B975C0" w:rsidRDefault="00B975C0">
      <w:r>
        <w:separator/>
      </w:r>
    </w:p>
  </w:endnote>
  <w:endnote w:type="continuationSeparator" w:id="0">
    <w:p w14:paraId="28C4043C" w14:textId="77777777" w:rsidR="00B975C0" w:rsidRDefault="00B975C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7BF662" w14:textId="77777777" w:rsidR="00560F38" w:rsidRDefault="00000000">
    <w:pPr>
      <w:pBdr>
        <w:top w:val="single" w:sz="4" w:space="4" w:color="1F3864"/>
      </w:pBdr>
    </w:pPr>
    <w:r>
      <w:rPr>
        <w:color w:val="555555"/>
        <w:sz w:val="16"/>
        <w:szCs w:val="16"/>
      </w:rPr>
      <w:t xml:space="preserve">Uso restrito a servidores </w:t>
    </w:r>
    <w:proofErr w:type="gramStart"/>
    <w:r>
      <w:rPr>
        <w:color w:val="555555"/>
        <w:sz w:val="16"/>
        <w:szCs w:val="16"/>
      </w:rPr>
      <w:t>autorizados  |</w:t>
    </w:r>
    <w:proofErr w:type="gramEnd"/>
    <w:r>
      <w:rPr>
        <w:color w:val="555555"/>
        <w:sz w:val="16"/>
        <w:szCs w:val="16"/>
      </w:rPr>
      <w:t xml:space="preserve">  Brasília · </w:t>
    </w:r>
    <w:proofErr w:type="gramStart"/>
    <w:r>
      <w:rPr>
        <w:color w:val="555555"/>
        <w:sz w:val="16"/>
        <w:szCs w:val="16"/>
      </w:rPr>
      <w:t>2026  |</w:t>
    </w:r>
    <w:proofErr w:type="gramEnd"/>
    <w:r>
      <w:rPr>
        <w:color w:val="555555"/>
        <w:sz w:val="16"/>
        <w:szCs w:val="16"/>
      </w:rPr>
      <w:t xml:space="preserve">  Pág. </w:t>
    </w:r>
    <w:r>
      <w:rPr>
        <w:color w:val="555555"/>
        <w:sz w:val="16"/>
        <w:szCs w:val="16"/>
      </w:rPr>
      <w:pgNum/>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BBAA26" w14:textId="77777777" w:rsidR="00B975C0" w:rsidRDefault="00B975C0">
      <w:r>
        <w:separator/>
      </w:r>
    </w:p>
  </w:footnote>
  <w:footnote w:type="continuationSeparator" w:id="0">
    <w:p w14:paraId="4370C8E6" w14:textId="77777777" w:rsidR="00B975C0" w:rsidRDefault="00B975C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EEE234" w14:textId="24A04FD3" w:rsidR="00560F38" w:rsidRDefault="00000000">
    <w:pPr>
      <w:pBdr>
        <w:bottom w:val="single" w:sz="4" w:space="4" w:color="1F3864"/>
      </w:pBdr>
      <w:jc w:val="right"/>
    </w:pPr>
    <w:r>
      <w:rPr>
        <w:color w:val="555555"/>
        <w:sz w:val="16"/>
        <w:szCs w:val="16"/>
      </w:rPr>
      <w:t>Manual da Calculadora de Dosimetria v</w:t>
    </w:r>
    <w:r w:rsidR="004677FD">
      <w:rPr>
        <w:color w:val="555555"/>
        <w:sz w:val="16"/>
        <w:szCs w:val="16"/>
      </w:rPr>
      <w:t>1</w:t>
    </w:r>
    <w:r>
      <w:rPr>
        <w:color w:val="555555"/>
        <w:sz w:val="16"/>
        <w:szCs w:val="16"/>
      </w:rPr>
      <w:t xml:space="preserve"> — </w:t>
    </w:r>
    <w:proofErr w:type="spellStart"/>
    <w:r>
      <w:rPr>
        <w:color w:val="555555"/>
        <w:sz w:val="16"/>
        <w:szCs w:val="16"/>
      </w:rPr>
      <w:t>Coger</w:t>
    </w:r>
    <w:proofErr w:type="spellEnd"/>
    <w:r>
      <w:rPr>
        <w:color w:val="555555"/>
        <w:sz w:val="16"/>
        <w:szCs w:val="16"/>
      </w:rPr>
      <w:t>/RFB</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C16459"/>
    <w:multiLevelType w:val="hybridMultilevel"/>
    <w:tmpl w:val="E3A60A62"/>
    <w:lvl w:ilvl="0" w:tplc="D68AF60C">
      <w:start w:val="1"/>
      <w:numFmt w:val="bullet"/>
      <w:lvlText w:val="•"/>
      <w:lvlJc w:val="left"/>
      <w:pPr>
        <w:ind w:left="540" w:hanging="360"/>
      </w:pPr>
    </w:lvl>
    <w:lvl w:ilvl="1" w:tplc="BD2E1DF2">
      <w:start w:val="1"/>
      <w:numFmt w:val="bullet"/>
      <w:lvlText w:val="◦"/>
      <w:lvlJc w:val="left"/>
      <w:pPr>
        <w:ind w:left="900" w:hanging="360"/>
      </w:pPr>
    </w:lvl>
    <w:lvl w:ilvl="2" w:tplc="275083A0">
      <w:numFmt w:val="decimal"/>
      <w:lvlText w:val=""/>
      <w:lvlJc w:val="left"/>
    </w:lvl>
    <w:lvl w:ilvl="3" w:tplc="0DE08A24">
      <w:numFmt w:val="decimal"/>
      <w:lvlText w:val=""/>
      <w:lvlJc w:val="left"/>
    </w:lvl>
    <w:lvl w:ilvl="4" w:tplc="112AE18C">
      <w:numFmt w:val="decimal"/>
      <w:lvlText w:val=""/>
      <w:lvlJc w:val="left"/>
    </w:lvl>
    <w:lvl w:ilvl="5" w:tplc="6B841BBC">
      <w:numFmt w:val="decimal"/>
      <w:lvlText w:val=""/>
      <w:lvlJc w:val="left"/>
    </w:lvl>
    <w:lvl w:ilvl="6" w:tplc="8654A42E">
      <w:numFmt w:val="decimal"/>
      <w:lvlText w:val=""/>
      <w:lvlJc w:val="left"/>
    </w:lvl>
    <w:lvl w:ilvl="7" w:tplc="227A2284">
      <w:numFmt w:val="decimal"/>
      <w:lvlText w:val=""/>
      <w:lvlJc w:val="left"/>
    </w:lvl>
    <w:lvl w:ilvl="8" w:tplc="7B5E6CB2">
      <w:numFmt w:val="decimal"/>
      <w:lvlText w:val=""/>
      <w:lvlJc w:val="left"/>
    </w:lvl>
  </w:abstractNum>
  <w:abstractNum w:abstractNumId="1" w15:restartNumberingAfterBreak="0">
    <w:nsid w:val="3FCB22AF"/>
    <w:multiLevelType w:val="hybridMultilevel"/>
    <w:tmpl w:val="7CFA180A"/>
    <w:lvl w:ilvl="0" w:tplc="9C782FAA">
      <w:start w:val="1"/>
      <w:numFmt w:val="bullet"/>
      <w:lvlText w:val="●"/>
      <w:lvlJc w:val="left"/>
      <w:pPr>
        <w:ind w:left="720" w:hanging="360"/>
      </w:pPr>
    </w:lvl>
    <w:lvl w:ilvl="1" w:tplc="0ECC2BD2">
      <w:start w:val="1"/>
      <w:numFmt w:val="bullet"/>
      <w:lvlText w:val="○"/>
      <w:lvlJc w:val="left"/>
      <w:pPr>
        <w:ind w:left="1440" w:hanging="360"/>
      </w:pPr>
    </w:lvl>
    <w:lvl w:ilvl="2" w:tplc="9F48FB80">
      <w:start w:val="1"/>
      <w:numFmt w:val="bullet"/>
      <w:lvlText w:val="■"/>
      <w:lvlJc w:val="left"/>
      <w:pPr>
        <w:ind w:left="2160" w:hanging="360"/>
      </w:pPr>
    </w:lvl>
    <w:lvl w:ilvl="3" w:tplc="E732EF34">
      <w:start w:val="1"/>
      <w:numFmt w:val="bullet"/>
      <w:lvlText w:val="●"/>
      <w:lvlJc w:val="left"/>
      <w:pPr>
        <w:ind w:left="2880" w:hanging="360"/>
      </w:pPr>
    </w:lvl>
    <w:lvl w:ilvl="4" w:tplc="23C0FA90">
      <w:start w:val="1"/>
      <w:numFmt w:val="bullet"/>
      <w:lvlText w:val="○"/>
      <w:lvlJc w:val="left"/>
      <w:pPr>
        <w:ind w:left="3600" w:hanging="360"/>
      </w:pPr>
    </w:lvl>
    <w:lvl w:ilvl="5" w:tplc="013258F8">
      <w:start w:val="1"/>
      <w:numFmt w:val="bullet"/>
      <w:lvlText w:val="■"/>
      <w:lvlJc w:val="left"/>
      <w:pPr>
        <w:ind w:left="4320" w:hanging="360"/>
      </w:pPr>
    </w:lvl>
    <w:lvl w:ilvl="6" w:tplc="947A94A4">
      <w:start w:val="1"/>
      <w:numFmt w:val="bullet"/>
      <w:lvlText w:val="●"/>
      <w:lvlJc w:val="left"/>
      <w:pPr>
        <w:ind w:left="5040" w:hanging="360"/>
      </w:pPr>
    </w:lvl>
    <w:lvl w:ilvl="7" w:tplc="BFCC8538">
      <w:start w:val="1"/>
      <w:numFmt w:val="bullet"/>
      <w:lvlText w:val="●"/>
      <w:lvlJc w:val="left"/>
      <w:pPr>
        <w:ind w:left="5760" w:hanging="360"/>
      </w:pPr>
    </w:lvl>
    <w:lvl w:ilvl="8" w:tplc="47BE948E">
      <w:start w:val="1"/>
      <w:numFmt w:val="bullet"/>
      <w:lvlText w:val="●"/>
      <w:lvlJc w:val="left"/>
      <w:pPr>
        <w:ind w:left="6480" w:hanging="360"/>
      </w:pPr>
    </w:lvl>
  </w:abstractNum>
  <w:num w:numId="1" w16cid:durableId="806512133">
    <w:abstractNumId w:val="1"/>
    <w:lvlOverride w:ilvl="0">
      <w:startOverride w:val="1"/>
    </w:lvlOverride>
  </w:num>
  <w:num w:numId="2" w16cid:durableId="190988086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60F38"/>
    <w:rsid w:val="001528BF"/>
    <w:rsid w:val="004677FD"/>
    <w:rsid w:val="00560F38"/>
    <w:rsid w:val="00985E17"/>
    <w:rsid w:val="00B975C0"/>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1232032"/>
  <w15:docId w15:val="{9F755354-FBE6-4D38-833A-B1010F83B7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280" w:after="120"/>
      <w:outlineLvl w:val="0"/>
    </w:pPr>
    <w:rPr>
      <w:b/>
      <w:bCs/>
      <w:color w:val="1F3864"/>
      <w:sz w:val="28"/>
      <w:szCs w:val="28"/>
    </w:rPr>
  </w:style>
  <w:style w:type="paragraph" w:styleId="Ttulo2">
    <w:name w:val="heading 2"/>
    <w:uiPriority w:val="9"/>
    <w:unhideWhenUsed/>
    <w:qFormat/>
    <w:pPr>
      <w:spacing w:before="200" w:after="80"/>
      <w:outlineLvl w:val="1"/>
    </w:pPr>
    <w:rPr>
      <w:b/>
      <w:bCs/>
      <w:color w:val="2E5090"/>
      <w:sz w:val="24"/>
      <w:szCs w:val="24"/>
    </w:rPr>
  </w:style>
  <w:style w:type="paragraph" w:styleId="Ttulo3">
    <w:name w:val="heading 3"/>
    <w:uiPriority w:val="9"/>
    <w:unhideWhenUsed/>
    <w:qFormat/>
    <w:pPr>
      <w:spacing w:before="160" w:after="60"/>
      <w:outlineLvl w:val="2"/>
    </w:pPr>
    <w:rPr>
      <w:b/>
      <w:bCs/>
      <w:color w:val="2E5090"/>
      <w:sz w:val="22"/>
      <w:szCs w:val="22"/>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uiPriority w:val="10"/>
    <w:qFormat/>
    <w:rPr>
      <w:sz w:val="56"/>
      <w:szCs w:val="56"/>
    </w:rPr>
  </w:style>
  <w:style w:type="paragraph" w:customStyle="1" w:styleId="Forte1">
    <w:name w:val="Forte1"/>
    <w:qFormat/>
    <w:rPr>
      <w:b/>
      <w:bCs/>
    </w:rPr>
  </w:style>
  <w:style w:type="paragraph" w:styleId="PargrafodaLista">
    <w:name w:val="List Paragraph"/>
    <w:qFormat/>
  </w:style>
  <w:style w:type="character" w:styleId="Hyperlink">
    <w:name w:val="Hyperlink"/>
    <w:uiPriority w:val="99"/>
    <w:unhideWhenUsed/>
    <w:rPr>
      <w:color w:val="0563C1"/>
      <w:u w:val="single"/>
    </w:rPr>
  </w:style>
  <w:style w:type="character" w:styleId="Refdenotaderodap">
    <w:name w:val="footnote reference"/>
    <w:uiPriority w:val="99"/>
    <w:semiHidden/>
    <w:unhideWhenUsed/>
    <w:rPr>
      <w:vertAlign w:val="superscript"/>
    </w:rPr>
  </w:style>
  <w:style w:type="paragraph" w:styleId="Textodenotaderodap">
    <w:name w:val="footnote text"/>
    <w:link w:val="TextodenotaderodapChar"/>
    <w:uiPriority w:val="99"/>
    <w:semiHidden/>
    <w:unhideWhenUsed/>
  </w:style>
  <w:style w:type="character" w:customStyle="1" w:styleId="TextodenotaderodapChar">
    <w:name w:val="Texto de nota de rodapé Char"/>
    <w:link w:val="Textodenotaderodap"/>
    <w:uiPriority w:val="99"/>
    <w:semiHidden/>
    <w:unhideWhenUsed/>
    <w:rPr>
      <w:sz w:val="20"/>
      <w:szCs w:val="20"/>
    </w:rPr>
  </w:style>
  <w:style w:type="character" w:styleId="Refdenotadefim">
    <w:name w:val="endnote reference"/>
    <w:uiPriority w:val="99"/>
    <w:semiHidden/>
    <w:unhideWhenUsed/>
    <w:rPr>
      <w:vertAlign w:val="superscript"/>
    </w:rPr>
  </w:style>
  <w:style w:type="paragraph" w:styleId="Textodenotadefim">
    <w:name w:val="endnote text"/>
    <w:link w:val="TextodenotadefimChar"/>
    <w:uiPriority w:val="99"/>
    <w:semiHidden/>
    <w:unhideWhenUsed/>
  </w:style>
  <w:style w:type="character" w:customStyle="1" w:styleId="TextodenotadefimChar">
    <w:name w:val="Texto de nota de fim Char"/>
    <w:link w:val="Textodenotadefim"/>
    <w:uiPriority w:val="99"/>
    <w:semiHidden/>
    <w:unhideWhenUsed/>
    <w:rPr>
      <w:sz w:val="20"/>
      <w:szCs w:val="20"/>
    </w:rPr>
  </w:style>
  <w:style w:type="paragraph" w:styleId="NormalWeb">
    <w:name w:val="Normal (Web)"/>
    <w:basedOn w:val="Normal"/>
    <w:uiPriority w:val="99"/>
    <w:semiHidden/>
    <w:unhideWhenUsed/>
    <w:rsid w:val="001528BF"/>
    <w:pPr>
      <w:spacing w:before="100" w:beforeAutospacing="1" w:after="100" w:afterAutospacing="1"/>
    </w:pPr>
    <w:rPr>
      <w:rFonts w:ascii="Times New Roman" w:eastAsia="Times New Roman" w:hAnsi="Times New Roman" w:cs="Times New Roman"/>
      <w:sz w:val="24"/>
      <w:szCs w:val="24"/>
    </w:rPr>
  </w:style>
  <w:style w:type="paragraph" w:styleId="CabealhodoSumrio">
    <w:name w:val="TOC Heading"/>
    <w:basedOn w:val="Ttulo1"/>
    <w:next w:val="Normal"/>
    <w:uiPriority w:val="39"/>
    <w:unhideWhenUsed/>
    <w:qFormat/>
    <w:rsid w:val="001528BF"/>
    <w:pPr>
      <w:keepNext/>
      <w:keepLines/>
      <w:spacing w:before="240" w:after="0" w:line="259" w:lineRule="auto"/>
      <w:outlineLvl w:val="9"/>
    </w:pPr>
    <w:rPr>
      <w:rFonts w:asciiTheme="majorHAnsi" w:eastAsiaTheme="majorEastAsia" w:hAnsiTheme="majorHAnsi" w:cstheme="majorBidi"/>
      <w:b w:val="0"/>
      <w:bCs w:val="0"/>
      <w:color w:val="0F4761" w:themeColor="accent1" w:themeShade="BF"/>
      <w:sz w:val="32"/>
      <w:szCs w:val="32"/>
    </w:rPr>
  </w:style>
  <w:style w:type="paragraph" w:styleId="Sumrio1">
    <w:name w:val="toc 1"/>
    <w:basedOn w:val="Normal"/>
    <w:next w:val="Normal"/>
    <w:autoRedefine/>
    <w:uiPriority w:val="39"/>
    <w:unhideWhenUsed/>
    <w:rsid w:val="001528BF"/>
    <w:pPr>
      <w:spacing w:after="100"/>
    </w:pPr>
  </w:style>
  <w:style w:type="paragraph" w:styleId="Sumrio2">
    <w:name w:val="toc 2"/>
    <w:basedOn w:val="Normal"/>
    <w:next w:val="Normal"/>
    <w:autoRedefine/>
    <w:uiPriority w:val="39"/>
    <w:unhideWhenUsed/>
    <w:rsid w:val="001528BF"/>
    <w:pPr>
      <w:spacing w:after="100"/>
      <w:ind w:left="200"/>
    </w:pPr>
  </w:style>
  <w:style w:type="paragraph" w:styleId="Sumrio3">
    <w:name w:val="toc 3"/>
    <w:basedOn w:val="Normal"/>
    <w:next w:val="Normal"/>
    <w:autoRedefine/>
    <w:uiPriority w:val="39"/>
    <w:unhideWhenUsed/>
    <w:rsid w:val="001528BF"/>
    <w:pPr>
      <w:spacing w:after="100"/>
      <w:ind w:left="400"/>
    </w:pPr>
  </w:style>
  <w:style w:type="paragraph" w:styleId="Sumrio4">
    <w:name w:val="toc 4"/>
    <w:basedOn w:val="Normal"/>
    <w:next w:val="Normal"/>
    <w:autoRedefine/>
    <w:uiPriority w:val="39"/>
    <w:unhideWhenUsed/>
    <w:rsid w:val="001528BF"/>
    <w:pPr>
      <w:spacing w:after="100" w:line="278" w:lineRule="auto"/>
      <w:ind w:left="720"/>
    </w:pPr>
    <w:rPr>
      <w:rFonts w:asciiTheme="minorHAnsi" w:eastAsiaTheme="minorEastAsia" w:hAnsiTheme="minorHAnsi" w:cstheme="minorBidi"/>
      <w:kern w:val="2"/>
      <w:sz w:val="24"/>
      <w:szCs w:val="24"/>
      <w14:ligatures w14:val="standardContextual"/>
    </w:rPr>
  </w:style>
  <w:style w:type="paragraph" w:styleId="Sumrio5">
    <w:name w:val="toc 5"/>
    <w:basedOn w:val="Normal"/>
    <w:next w:val="Normal"/>
    <w:autoRedefine/>
    <w:uiPriority w:val="39"/>
    <w:unhideWhenUsed/>
    <w:rsid w:val="001528BF"/>
    <w:pPr>
      <w:spacing w:after="100" w:line="278" w:lineRule="auto"/>
      <w:ind w:left="960"/>
    </w:pPr>
    <w:rPr>
      <w:rFonts w:asciiTheme="minorHAnsi" w:eastAsiaTheme="minorEastAsia" w:hAnsiTheme="minorHAnsi" w:cstheme="minorBidi"/>
      <w:kern w:val="2"/>
      <w:sz w:val="24"/>
      <w:szCs w:val="24"/>
      <w14:ligatures w14:val="standardContextual"/>
    </w:rPr>
  </w:style>
  <w:style w:type="paragraph" w:styleId="Sumrio6">
    <w:name w:val="toc 6"/>
    <w:basedOn w:val="Normal"/>
    <w:next w:val="Normal"/>
    <w:autoRedefine/>
    <w:uiPriority w:val="39"/>
    <w:unhideWhenUsed/>
    <w:rsid w:val="001528BF"/>
    <w:pPr>
      <w:spacing w:after="100" w:line="278" w:lineRule="auto"/>
      <w:ind w:left="1200"/>
    </w:pPr>
    <w:rPr>
      <w:rFonts w:asciiTheme="minorHAnsi" w:eastAsiaTheme="minorEastAsia" w:hAnsiTheme="minorHAnsi" w:cstheme="minorBidi"/>
      <w:kern w:val="2"/>
      <w:sz w:val="24"/>
      <w:szCs w:val="24"/>
      <w14:ligatures w14:val="standardContextual"/>
    </w:rPr>
  </w:style>
  <w:style w:type="paragraph" w:styleId="Sumrio7">
    <w:name w:val="toc 7"/>
    <w:basedOn w:val="Normal"/>
    <w:next w:val="Normal"/>
    <w:autoRedefine/>
    <w:uiPriority w:val="39"/>
    <w:unhideWhenUsed/>
    <w:rsid w:val="001528BF"/>
    <w:pPr>
      <w:spacing w:after="100" w:line="278" w:lineRule="auto"/>
      <w:ind w:left="1440"/>
    </w:pPr>
    <w:rPr>
      <w:rFonts w:asciiTheme="minorHAnsi" w:eastAsiaTheme="minorEastAsia" w:hAnsiTheme="minorHAnsi" w:cstheme="minorBidi"/>
      <w:kern w:val="2"/>
      <w:sz w:val="24"/>
      <w:szCs w:val="24"/>
      <w14:ligatures w14:val="standardContextual"/>
    </w:rPr>
  </w:style>
  <w:style w:type="paragraph" w:styleId="Sumrio8">
    <w:name w:val="toc 8"/>
    <w:basedOn w:val="Normal"/>
    <w:next w:val="Normal"/>
    <w:autoRedefine/>
    <w:uiPriority w:val="39"/>
    <w:unhideWhenUsed/>
    <w:rsid w:val="001528BF"/>
    <w:pPr>
      <w:spacing w:after="100" w:line="278" w:lineRule="auto"/>
      <w:ind w:left="1680"/>
    </w:pPr>
    <w:rPr>
      <w:rFonts w:asciiTheme="minorHAnsi" w:eastAsiaTheme="minorEastAsia" w:hAnsiTheme="minorHAnsi" w:cstheme="minorBidi"/>
      <w:kern w:val="2"/>
      <w:sz w:val="24"/>
      <w:szCs w:val="24"/>
      <w14:ligatures w14:val="standardContextual"/>
    </w:rPr>
  </w:style>
  <w:style w:type="paragraph" w:styleId="Sumrio9">
    <w:name w:val="toc 9"/>
    <w:basedOn w:val="Normal"/>
    <w:next w:val="Normal"/>
    <w:autoRedefine/>
    <w:uiPriority w:val="39"/>
    <w:unhideWhenUsed/>
    <w:rsid w:val="001528BF"/>
    <w:pPr>
      <w:spacing w:after="100" w:line="278" w:lineRule="auto"/>
      <w:ind w:left="1920"/>
    </w:pPr>
    <w:rPr>
      <w:rFonts w:asciiTheme="minorHAnsi" w:eastAsiaTheme="minorEastAsia" w:hAnsiTheme="minorHAnsi" w:cstheme="minorBidi"/>
      <w:kern w:val="2"/>
      <w:sz w:val="24"/>
      <w:szCs w:val="24"/>
      <w14:ligatures w14:val="standardContextual"/>
    </w:rPr>
  </w:style>
  <w:style w:type="character" w:styleId="MenoPendente">
    <w:name w:val="Unresolved Mention"/>
    <w:basedOn w:val="Fontepargpadro"/>
    <w:uiPriority w:val="99"/>
    <w:semiHidden/>
    <w:unhideWhenUsed/>
    <w:rsid w:val="001528BF"/>
    <w:rPr>
      <w:color w:val="605E5C"/>
      <w:shd w:val="clear" w:color="auto" w:fill="E1DFDD"/>
    </w:rPr>
  </w:style>
  <w:style w:type="paragraph" w:styleId="Cabealho">
    <w:name w:val="header"/>
    <w:basedOn w:val="Normal"/>
    <w:link w:val="CabealhoChar"/>
    <w:uiPriority w:val="99"/>
    <w:unhideWhenUsed/>
    <w:rsid w:val="004677FD"/>
    <w:pPr>
      <w:tabs>
        <w:tab w:val="center" w:pos="4252"/>
        <w:tab w:val="right" w:pos="8504"/>
      </w:tabs>
    </w:pPr>
  </w:style>
  <w:style w:type="character" w:customStyle="1" w:styleId="CabealhoChar">
    <w:name w:val="Cabeçalho Char"/>
    <w:basedOn w:val="Fontepargpadro"/>
    <w:link w:val="Cabealho"/>
    <w:uiPriority w:val="99"/>
    <w:rsid w:val="004677FD"/>
  </w:style>
  <w:style w:type="paragraph" w:styleId="Rodap">
    <w:name w:val="footer"/>
    <w:basedOn w:val="Normal"/>
    <w:link w:val="RodapChar"/>
    <w:uiPriority w:val="99"/>
    <w:unhideWhenUsed/>
    <w:rsid w:val="004677FD"/>
    <w:pPr>
      <w:tabs>
        <w:tab w:val="center" w:pos="4252"/>
        <w:tab w:val="right" w:pos="8504"/>
      </w:tabs>
    </w:pPr>
  </w:style>
  <w:style w:type="character" w:customStyle="1" w:styleId="RodapChar">
    <w:name w:val="Rodapé Char"/>
    <w:basedOn w:val="Fontepargpadro"/>
    <w:link w:val="Rodap"/>
    <w:uiPriority w:val="99"/>
    <w:rsid w:val="004677F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088743E-7422-408E-AFBD-FE0EBC490A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33</Pages>
  <Words>13666</Words>
  <Characters>73802</Characters>
  <Application>Microsoft Office Word</Application>
  <DocSecurity>0</DocSecurity>
  <Lines>615</Lines>
  <Paragraphs>174</Paragraphs>
  <ScaleCrop>false</ScaleCrop>
  <Company/>
  <LinksUpToDate>false</LinksUpToDate>
  <CharactersWithSpaces>87294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Raphael Albuquerque de Souza</cp:lastModifiedBy>
  <cp:revision>2</cp:revision>
  <dcterms:created xsi:type="dcterms:W3CDTF">2026-06-11T19:11:00Z</dcterms:created>
  <dcterms:modified xsi:type="dcterms:W3CDTF">2026-06-12T19:59:00Z</dcterms:modified>
</cp:coreProperties>
</file>