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jc w:val="center"/>
      </w:pPr>
      <w:r>
        <w:rPr>
          <w:rFonts w:ascii="Arial" w:hAnsi="Arial"/>
          <w:b/>
          <w:color w:val="00205B"/>
          <w:sz w:val="26"/>
        </w:rPr>
        <w:t>CORREGEDORIA DA RECEITA FEDERAL DO BRASIL</w:t>
      </w:r>
    </w:p>
    <w:p>
      <w:pPr>
        <w:spacing w:before="800"/>
        <w:jc w:val="center"/>
      </w:pPr>
      <w:r>
        <w:rPr>
          <w:rFonts w:ascii="Arial" w:hAnsi="Arial"/>
          <w:b/>
          <w:color w:val="00205B"/>
          <w:sz w:val="44"/>
        </w:rPr>
        <w:t>MANUAL TEÓRICO-PRÁTICO</w:t>
      </w:r>
    </w:p>
    <w:p>
      <w:pPr>
        <w:jc w:val="center"/>
      </w:pPr>
      <w:r>
        <w:rPr>
          <w:rFonts w:ascii="Arial" w:hAnsi="Arial"/>
          <w:b/>
          <w:color w:val="64A70B"/>
          <w:sz w:val="36"/>
        </w:rPr>
        <w:t>Calculadora de Multa PAR</w:t>
      </w:r>
    </w:p>
    <w:tbl>
      <w:tblPr>
        <w:tblW w:type="auto" w:w="0"/>
        <w:jc w:val="center"/>
        <w:tblLook w:firstColumn="1" w:firstRow="1" w:lastColumn="0" w:lastRow="0" w:noHBand="0" w:noVBand="1" w:val="04A0"/>
      </w:tblPr>
      <w:tblGrid>
        <w:gridCol w:w="9405"/>
      </w:tblGrid>
      <w:tr>
        <w:tc>
          <w:tcPr>
            <w:tcW w:type="dxa" w:w="6803"/>
            <w:shd w:val="clear" w:color="auto" w:fill="64A70B"/>
          </w:tcPr>
          <w:p>
            <w:r>
              <w:t xml:space="preserve"> </w:t>
            </w:r>
          </w:p>
        </w:tc>
      </w:tr>
    </w:tbl>
    <w:p>
      <w:pPr>
        <w:spacing w:before="600"/>
        <w:jc w:val="center"/>
      </w:pPr>
      <w:r>
        <w:rPr>
          <w:rFonts w:ascii="Arial" w:hAnsi="Arial"/>
          <w:color w:val="1D3A78"/>
          <w:sz w:val="24"/>
        </w:rPr>
        <w:t>Processo Administrativo de Responsabilização — PAR</w:t>
        <w:br/>
        <w:t>Lei nº 12.846/2013 | Decreto nº 11.129/2022</w:t>
      </w:r>
    </w:p>
    <w:p>
      <w:pPr>
        <w:spacing w:before="1200"/>
        <w:jc w:val="center"/>
      </w:pPr>
      <w:r>
        <w:rPr>
          <w:rFonts w:ascii="Arial" w:hAnsi="Arial"/>
          <w:color w:val="444444"/>
          <w:sz w:val="22"/>
        </w:rPr>
        <w:t>Versão 2026 — Conforme Manual de Responsabilização de Entes Privados da CGU (3ª ed., jun/2026)</w:t>
      </w:r>
    </w:p>
    <w:p>
      <w:r>
        <w:br w:type="page"/>
      </w:r>
    </w:p>
    <w:tbl>
      <w:tblPr>
        <w:tblStyle w:val="TableGrid"/>
        <w:tblW w:type="auto" w:w="0"/>
        <w:jc w:val="left"/>
        <w:tblLook w:firstColumn="1" w:firstRow="1" w:lastColumn="0" w:lastRow="0" w:noHBand="0" w:noVBand="1" w:val="04A0"/>
      </w:tblPr>
      <w:tblGrid>
        <w:gridCol w:w="9405"/>
      </w:tblGrid>
      <w:tr>
        <w:tc>
          <w:tcPr>
            <w:tcW w:type="dxa" w:w="9405"/>
            <w:shd w:val="clear" w:color="auto" w:fill="00205B"/>
            <w:tcBorders>
              <w:top w:val="none"/>
              <w:left w:val="none"/>
              <w:bottom w:val="none"/>
              <w:right w:val="none"/>
              <w:insideH w:val="none"/>
              <w:insideV w:val="none"/>
            </w:tcBorders>
            <w:tcBorders>
              <w:top w:val="none"/>
              <w:left w:val="none"/>
              <w:bottom w:val="none"/>
              <w:right w:val="none"/>
              <w:insideH w:val="none"/>
              <w:insideV w:val="none"/>
            </w:tcBorders>
            <w:tcBorders>
              <w:top w:val="none"/>
              <w:left w:val="none"/>
              <w:bottom w:val="none"/>
              <w:right w:val="none"/>
              <w:insideH w:val="none"/>
              <w:insideV w:val="none"/>
            </w:tcBorders>
            <w:tcBorders>
              <w:top w:val="none"/>
              <w:left w:val="none"/>
              <w:bottom w:val="none"/>
              <w:right w:val="none"/>
              <w:insideH w:val="none"/>
              <w:insideV w:val="none"/>
            </w:tcBorders>
          </w:tcPr>
          <w:p>
            <w:pPr>
              <w:spacing w:before="0" w:after="0"/>
              <w:ind w:left="170"/>
            </w:pPr>
            <w:r>
              <w:rPr>
                <w:rFonts w:ascii="Arial" w:hAnsi="Arial"/>
                <w:b/>
                <w:color w:val="FFFFFF"/>
                <w:sz w:val="26"/>
              </w:rPr>
              <w:t>APRESENTAÇÃO</w:t>
            </w:r>
          </w:p>
        </w:tc>
      </w:tr>
    </w:tbl>
    <w:p/>
    <w:p>
      <w:pPr>
        <w:spacing w:before="0" w:after="80"/>
      </w:pPr>
      <w:r>
        <w:rPr>
          <w:rFonts w:ascii="Arial" w:hAnsi="Arial"/>
          <w:i w:val="0"/>
          <w:sz w:val="22"/>
        </w:rPr>
        <w:t>Este manual tem dupla finalidade. Na Parte I, apresenta os fundamentos teóricos do Processo Administrativo de Responsabilização (PAR): o fenômeno da corrupção e suas distorções, a origem e a lógica da Lei Anticorrupção, os sujeitos alcançados, os atos lesivos, o rito processual, o julgamento, os recursos, o acordo de leniência e os cadastros de sanções. Na Parte II, ensina a dosimetria da multa e o uso prático da Calculadora de Multa PAR, etapa por etapa, com fórmulas, tabelas legais, casos especiais e estudos de caso comentados.</w:t>
      </w:r>
    </w:p>
    <w:p>
      <w:pPr>
        <w:spacing w:before="0" w:after="80"/>
      </w:pPr>
      <w:r>
        <w:rPr>
          <w:rFonts w:ascii="Arial" w:hAnsi="Arial"/>
          <w:i w:val="0"/>
          <w:sz w:val="22"/>
        </w:rPr>
        <w:t>O operador que domina apenas a mecânica da calculadora, sem compreender a teoria que a sustenta, corre o risco de aplicar percentuais sem o necessário juízo crítico. Por isso, recomenda-se a leitura integral da Parte I antes de manusear a ferramenta descrita na Parte II.</w:t>
      </w:r>
    </w:p>
    <w:p>
      <w:pPr>
        <w:spacing w:before="2400"/>
        <w:jc w:val="center"/>
      </w:pPr>
      <w:r>
        <w:rPr>
          <w:rFonts w:ascii="Arial" w:hAnsi="Arial"/>
          <w:b/>
          <w:color w:val="00205B"/>
          <w:sz w:val="52"/>
        </w:rPr>
        <w:t>PARTE I</w:t>
      </w:r>
    </w:p>
    <w:tbl>
      <w:tblPr>
        <w:tblW w:type="auto" w:w="0"/>
        <w:jc w:val="center"/>
        <w:tblLook w:firstColumn="1" w:firstRow="1" w:lastColumn="0" w:lastRow="0" w:noHBand="0" w:noVBand="1" w:val="04A0"/>
      </w:tblPr>
      <w:tblGrid>
        <w:gridCol w:w="9405"/>
      </w:tblGrid>
      <w:tr>
        <w:tc>
          <w:tcPr>
            <w:tcW w:type="dxa" w:w="5669"/>
            <w:shd w:val="clear" w:color="auto" w:fill="64A70B"/>
          </w:tcPr>
          <w:p>
            <w:r>
              <w:t xml:space="preserve"> </w:t>
            </w:r>
          </w:p>
        </w:tc>
      </w:tr>
    </w:tbl>
    <w:p>
      <w:pPr>
        <w:spacing w:before="400"/>
        <w:jc w:val="center"/>
      </w:pPr>
      <w:r>
        <w:rPr>
          <w:rFonts w:ascii="Arial" w:hAnsi="Arial"/>
          <w:i/>
          <w:color w:val="1D3A78"/>
          <w:sz w:val="26"/>
        </w:rPr>
        <w:t>Fundamentos Teóricos do PAR</w:t>
      </w:r>
    </w:p>
    <w:p>
      <w:r>
        <w:br w:type="page"/>
      </w:r>
    </w:p>
    <w:tbl>
      <w:tblPr>
        <w:tblStyle w:val="TableGrid"/>
        <w:tblW w:type="auto" w:w="0"/>
        <w:jc w:val="left"/>
        <w:tblLook w:firstColumn="1" w:firstRow="1" w:lastColumn="0" w:lastRow="0" w:noHBand="0" w:noVBand="1" w:val="04A0"/>
      </w:tblPr>
      <w:tblGrid>
        <w:gridCol w:w="9405"/>
      </w:tblGrid>
      <w:tr>
        <w:tc>
          <w:tcPr>
            <w:tcW w:type="dxa" w:w="9405"/>
            <w:shd w:val="clear" w:color="auto" w:fill="00205B"/>
            <w:tcBorders>
              <w:top w:val="none"/>
              <w:left w:val="none"/>
              <w:bottom w:val="none"/>
              <w:right w:val="none"/>
              <w:insideH w:val="none"/>
              <w:insideV w:val="none"/>
            </w:tcBorders>
            <w:tcBorders>
              <w:top w:val="none"/>
              <w:left w:val="none"/>
              <w:bottom w:val="none"/>
              <w:right w:val="none"/>
              <w:insideH w:val="none"/>
              <w:insideV w:val="none"/>
            </w:tcBorders>
            <w:tcBorders>
              <w:top w:val="none"/>
              <w:left w:val="none"/>
              <w:bottom w:val="none"/>
              <w:right w:val="none"/>
              <w:insideH w:val="none"/>
              <w:insideV w:val="none"/>
            </w:tcBorders>
            <w:tcBorders>
              <w:top w:val="none"/>
              <w:left w:val="none"/>
              <w:bottom w:val="none"/>
              <w:right w:val="none"/>
              <w:insideH w:val="none"/>
              <w:insideV w:val="none"/>
            </w:tcBorders>
          </w:tcPr>
          <w:p>
            <w:pPr>
              <w:spacing w:before="0" w:after="0"/>
              <w:ind w:left="170"/>
            </w:pPr>
            <w:r>
              <w:rPr>
                <w:rFonts w:ascii="Arial" w:hAnsi="Arial"/>
                <w:b/>
                <w:color w:val="FFFFFF"/>
                <w:sz w:val="26"/>
              </w:rPr>
              <w:t>1. A CORRUPÇÃO E SUAS DISTORÇÕES</w:t>
            </w:r>
          </w:p>
        </w:tc>
      </w:tr>
    </w:tbl>
    <w:p/>
    <w:p>
      <w:pPr>
        <w:spacing w:before="0" w:after="80"/>
      </w:pPr>
      <w:r>
        <w:rPr>
          <w:rFonts w:ascii="Arial" w:hAnsi="Arial"/>
          <w:i w:val="0"/>
          <w:sz w:val="22"/>
        </w:rPr>
        <w:t>Compreender a finalidade da Lei Anticorrupção exige, antes, compreender o mal que ela combate. A metáfora tradicional de que "a corrupção seria o lubrificante da burocracia" — sugerindo que a propina apenas agilizaria processos emperrados — é falsa e perigosa. A corrupção não lubrifica; ela corrói.</w:t>
      </w:r>
    </w:p>
    <w:p>
      <w:pPr>
        <w:spacing w:before="240" w:after="80"/>
        <w:pBdr>
          <w:bottom w:val="single" w:sz="6" w:space="1" w:color="64A70B"/>
        </w:pBdr>
      </w:pPr>
      <w:r>
        <w:rPr>
          <w:rFonts w:ascii="Arial" w:hAnsi="Arial"/>
          <w:b/>
          <w:color w:val="1D3A78"/>
          <w:sz w:val="23"/>
        </w:rPr>
        <w:t>1.1 Tipos de Corrupção</w:t>
      </w:r>
    </w:p>
    <w:tbl>
      <w:tblPr>
        <w:tblStyle w:val="TableGrid"/>
        <w:tblW w:type="auto" w:w="0"/>
        <w:jc w:val="left"/>
        <w:tblLook w:firstColumn="1" w:firstRow="1" w:lastColumn="0" w:lastRow="0" w:noHBand="0" w:noVBand="1" w:val="04A0"/>
      </w:tblPr>
      <w:tblGrid>
        <w:gridCol w:w="3135"/>
        <w:gridCol w:w="3135"/>
        <w:gridCol w:w="3135"/>
      </w:tblGrid>
      <w:tr>
        <w:tc>
          <w:tcPr>
            <w:tcW w:type="dxa" w:w="1984"/>
            <w:shd w:val="clear" w:color="auto" w:fill="00205B"/>
          </w:tcPr>
          <w:p>
            <w:pPr>
              <w:jc w:val="center"/>
            </w:pPr>
            <w:r>
              <w:rPr>
                <w:rFonts w:ascii="Arial" w:hAnsi="Arial"/>
                <w:b/>
                <w:color w:val="FFFFFF"/>
                <w:sz w:val="20"/>
              </w:rPr>
              <w:t>Tipo</w:t>
            </w:r>
          </w:p>
        </w:tc>
        <w:tc>
          <w:tcPr>
            <w:tcW w:type="dxa" w:w="4535"/>
            <w:shd w:val="clear" w:color="auto" w:fill="00205B"/>
          </w:tcPr>
          <w:p>
            <w:pPr>
              <w:jc w:val="center"/>
            </w:pPr>
            <w:r>
              <w:rPr>
                <w:rFonts w:ascii="Arial" w:hAnsi="Arial"/>
                <w:b/>
                <w:color w:val="FFFFFF"/>
                <w:sz w:val="20"/>
              </w:rPr>
              <w:t>Descrição</w:t>
            </w:r>
          </w:p>
        </w:tc>
        <w:tc>
          <w:tcPr>
            <w:tcW w:type="dxa" w:w="2835"/>
            <w:shd w:val="clear" w:color="auto" w:fill="00205B"/>
          </w:tcPr>
          <w:p>
            <w:pPr>
              <w:jc w:val="center"/>
            </w:pPr>
            <w:r>
              <w:rPr>
                <w:rFonts w:ascii="Arial" w:hAnsi="Arial"/>
                <w:b/>
                <w:color w:val="FFFFFF"/>
                <w:sz w:val="20"/>
              </w:rPr>
              <w:t>Consequência</w:t>
            </w:r>
          </w:p>
        </w:tc>
      </w:tr>
      <w:tr>
        <w:tc>
          <w:tcPr>
            <w:tcW w:type="dxa" w:w="1984"/>
            <w:shd w:val="clear" w:color="auto" w:fill="F2F2F2"/>
          </w:tcPr>
          <w:p>
            <w:pPr>
              <w:jc w:val="left"/>
            </w:pPr>
            <w:r>
              <w:rPr>
                <w:rFonts w:ascii="Arial" w:hAnsi="Arial"/>
                <w:sz w:val="20"/>
              </w:rPr>
              <w:t>"Speedy money" (dinheiro de velocidade)</w:t>
            </w:r>
          </w:p>
        </w:tc>
        <w:tc>
          <w:tcPr>
            <w:tcW w:type="dxa" w:w="4535"/>
            <w:shd w:val="clear" w:color="auto" w:fill="F2F2F2"/>
          </w:tcPr>
          <w:p>
            <w:pPr>
              <w:jc w:val="center"/>
            </w:pPr>
            <w:r>
              <w:rPr>
                <w:rFonts w:ascii="Arial" w:hAnsi="Arial"/>
                <w:sz w:val="20"/>
              </w:rPr>
              <w:t>Propina paga para acelerar processos burocráticos; o agente público usa seu poder para remover entraves que ele mesmo cria</w:t>
            </w:r>
          </w:p>
        </w:tc>
        <w:tc>
          <w:tcPr>
            <w:tcW w:type="dxa" w:w="2835"/>
            <w:shd w:val="clear" w:color="auto" w:fill="F2F2F2"/>
          </w:tcPr>
          <w:p>
            <w:pPr>
              <w:jc w:val="center"/>
            </w:pPr>
            <w:r>
              <w:rPr>
                <w:rFonts w:ascii="Arial" w:hAnsi="Arial"/>
                <w:sz w:val="20"/>
              </w:rPr>
              <w:t>Gera tolerância generalizada, fomenta novas propinas e acentua as distorções econômicas</w:t>
            </w:r>
          </w:p>
        </w:tc>
      </w:tr>
      <w:tr>
        <w:tc>
          <w:tcPr>
            <w:tcW w:type="dxa" w:w="1984"/>
            <w:shd w:val="clear" w:color="auto" w:fill="FFFFFF"/>
          </w:tcPr>
          <w:p>
            <w:pPr>
              <w:jc w:val="left"/>
            </w:pPr>
            <w:r>
              <w:rPr>
                <w:rFonts w:ascii="Arial" w:hAnsi="Arial"/>
                <w:sz w:val="20"/>
              </w:rPr>
              <w:t>"Rent seeking" (busca de renda)</w:t>
            </w:r>
          </w:p>
        </w:tc>
        <w:tc>
          <w:tcPr>
            <w:tcW w:type="dxa" w:w="4535"/>
            <w:shd w:val="clear" w:color="auto" w:fill="FFFFFF"/>
          </w:tcPr>
          <w:p>
            <w:pPr>
              <w:jc w:val="center"/>
            </w:pPr>
            <w:r>
              <w:rPr>
                <w:rFonts w:ascii="Arial" w:hAnsi="Arial"/>
                <w:sz w:val="20"/>
              </w:rPr>
              <w:t>Atuação em licenças ou mercados escassos; a ideia de que "só o eficiente paga propina" é falsa</w:t>
            </w:r>
          </w:p>
        </w:tc>
        <w:tc>
          <w:tcPr>
            <w:tcW w:type="dxa" w:w="2835"/>
            <w:shd w:val="clear" w:color="auto" w:fill="FFFFFF"/>
          </w:tcPr>
          <w:p>
            <w:pPr>
              <w:jc w:val="center"/>
            </w:pPr>
            <w:r>
              <w:rPr>
                <w:rFonts w:ascii="Arial" w:hAnsi="Arial"/>
                <w:sz w:val="20"/>
              </w:rPr>
              <w:t>Confere vantagem competitiva exclusiva a quem detém a melhor relação espúria com agentes corruptos</w:t>
            </w:r>
          </w:p>
        </w:tc>
      </w:tr>
    </w:tbl>
    <w:p/>
    <w:p>
      <w:pPr>
        <w:spacing w:before="240" w:after="80"/>
        <w:pBdr>
          <w:bottom w:val="single" w:sz="6" w:space="1" w:color="64A70B"/>
        </w:pBdr>
      </w:pPr>
      <w:r>
        <w:rPr>
          <w:rFonts w:ascii="Arial" w:hAnsi="Arial"/>
          <w:b/>
          <w:color w:val="1D3A78"/>
          <w:sz w:val="23"/>
        </w:rPr>
        <w:t>1.2 Distorções Econômicas e Sociais</w:t>
      </w:r>
    </w:p>
    <w:p>
      <w:pPr>
        <w:pStyle w:val="ListBullet"/>
        <w:spacing w:before="0" w:after="40"/>
        <w:ind w:left="283"/>
      </w:pPr>
      <w:r>
        <w:rPr>
          <w:rFonts w:ascii="Arial" w:hAnsi="Arial"/>
          <w:sz w:val="22"/>
        </w:rPr>
        <w:t>Seleção adversa: nem sempre vencem as empresas mais eficientes, mas as dispostas a corromper;</w:t>
      </w:r>
    </w:p>
    <w:p>
      <w:pPr>
        <w:pStyle w:val="ListBullet"/>
        <w:spacing w:before="0" w:after="40"/>
        <w:ind w:left="283"/>
      </w:pPr>
      <w:r>
        <w:rPr>
          <w:rFonts w:ascii="Arial" w:hAnsi="Arial"/>
          <w:sz w:val="22"/>
        </w:rPr>
        <w:t>Alocação ineficiente de recursos: desperdício em obras e serviços superfaturados, desnecessários e de qualidade inferior;</w:t>
      </w:r>
    </w:p>
    <w:p>
      <w:pPr>
        <w:pStyle w:val="ListBullet"/>
        <w:spacing w:before="0" w:after="40"/>
        <w:ind w:left="283"/>
      </w:pPr>
      <w:r>
        <w:rPr>
          <w:rFonts w:ascii="Arial" w:hAnsi="Arial"/>
          <w:sz w:val="22"/>
        </w:rPr>
        <w:t>Redução da competição: empresas honestas afastam-se dos "pseudoleilões" públicos, gerando má alocação de talentos.</w:t>
      </w:r>
    </w:p>
    <w:tbl>
      <w:tblPr>
        <w:tblStyle w:val="TableGrid"/>
        <w:tblW w:type="auto" w:w="0"/>
        <w:tblLook w:firstColumn="1" w:firstRow="1" w:lastColumn="0" w:lastRow="0" w:noHBand="0" w:noVBand="1" w:val="04A0"/>
      </w:tblPr>
      <w:tblGrid>
        <w:gridCol w:w="9405"/>
      </w:tblGrid>
      <w:tr>
        <w:tc>
          <w:tcPr>
            <w:tcW w:type="dxa" w:w="9405"/>
            <w:shd w:val="clear" w:color="auto" w:fill="F2F2F2"/>
            <w:tcBorders>
              <w:bottom w:val="single" w:sz="6" w:space="0" w:color="64A70B"/>
            </w:tcBorders>
          </w:tcPr>
          <w:p>
            <w:r>
              <w:rPr>
                <w:rFonts w:ascii="Arial" w:hAnsi="Arial"/>
                <w:color w:val="444400"/>
                <w:sz w:val="20"/>
              </w:rPr>
              <w:t>⚠  A dosimetria não é mero exercício aritmético. Cada agravante e atenuante traduz, em percentual, o grau de reprovabilidade da conduta à luz desses danos sociais.</w:t>
            </w:r>
          </w:p>
        </w:tc>
      </w:tr>
    </w:tbl>
    <w:p/>
    <w:tbl>
      <w:tblPr>
        <w:tblStyle w:val="TableGrid"/>
        <w:tblW w:type="auto" w:w="0"/>
        <w:jc w:val="left"/>
        <w:tblLook w:firstColumn="1" w:firstRow="1" w:lastColumn="0" w:lastRow="0" w:noHBand="0" w:noVBand="1" w:val="04A0"/>
      </w:tblPr>
      <w:tblGrid>
        <w:gridCol w:w="9405"/>
      </w:tblGrid>
      <w:tr>
        <w:tc>
          <w:tcPr>
            <w:tcW w:type="dxa" w:w="9405"/>
            <w:shd w:val="clear" w:color="auto" w:fill="00205B"/>
            <w:tcBorders>
              <w:top w:val="none"/>
              <w:left w:val="none"/>
              <w:bottom w:val="none"/>
              <w:right w:val="none"/>
              <w:insideH w:val="none"/>
              <w:insideV w:val="none"/>
            </w:tcBorders>
            <w:tcBorders>
              <w:top w:val="none"/>
              <w:left w:val="none"/>
              <w:bottom w:val="none"/>
              <w:right w:val="none"/>
              <w:insideH w:val="none"/>
              <w:insideV w:val="none"/>
            </w:tcBorders>
            <w:tcBorders>
              <w:top w:val="none"/>
              <w:left w:val="none"/>
              <w:bottom w:val="none"/>
              <w:right w:val="none"/>
              <w:insideH w:val="none"/>
              <w:insideV w:val="none"/>
            </w:tcBorders>
            <w:tcBorders>
              <w:top w:val="none"/>
              <w:left w:val="none"/>
              <w:bottom w:val="none"/>
              <w:right w:val="none"/>
              <w:insideH w:val="none"/>
              <w:insideV w:val="none"/>
            </w:tcBorders>
          </w:tcPr>
          <w:p>
            <w:pPr>
              <w:spacing w:before="0" w:after="0"/>
              <w:ind w:left="170"/>
            </w:pPr>
            <w:r>
              <w:rPr>
                <w:rFonts w:ascii="Arial" w:hAnsi="Arial"/>
                <w:b/>
                <w:color w:val="FFFFFF"/>
                <w:sz w:val="26"/>
              </w:rPr>
              <w:t>2. A LEI ANTICORRUPÇÃO: ORIGEM E CARACTERÍSTICAS</w:t>
            </w:r>
          </w:p>
        </w:tc>
      </w:tr>
    </w:tbl>
    <w:p/>
    <w:p>
      <w:pPr>
        <w:spacing w:before="240" w:after="80"/>
        <w:pBdr>
          <w:bottom w:val="single" w:sz="6" w:space="1" w:color="64A70B"/>
        </w:pBdr>
      </w:pPr>
      <w:r>
        <w:rPr>
          <w:rFonts w:ascii="Arial" w:hAnsi="Arial"/>
          <w:b/>
          <w:color w:val="1D3A78"/>
          <w:sz w:val="23"/>
        </w:rPr>
        <w:t>2.1 Contexto Histórico e Pressão Internacional</w:t>
      </w:r>
    </w:p>
    <w:p>
      <w:pPr>
        <w:spacing w:before="0" w:after="80"/>
      </w:pPr>
      <w:r>
        <w:rPr>
          <w:rFonts w:ascii="Arial" w:hAnsi="Arial"/>
          <w:i w:val="0"/>
          <w:sz w:val="22"/>
        </w:rPr>
        <w:t>A Lei nº 12.846/2013 nasceu de compromissos internacionais: a Convenção da OCDE sobre o Combate da Corrupção de Funcionários Públicos Estrangeiros, a Convenção da ONU contra a Corrupção (Convenção de Mérida) e a Convenção da OEA.</w:t>
      </w:r>
    </w:p>
    <w:p>
      <w:pPr>
        <w:spacing w:before="0" w:after="80"/>
      </w:pPr>
      <w:r>
        <w:rPr>
          <w:rFonts w:ascii="Arial" w:hAnsi="Arial"/>
          <w:i w:val="0"/>
          <w:sz w:val="22"/>
        </w:rPr>
        <w:t>Historicamente, o foco criminal punia apenas a pessoa física do corruptor e do corrompido. A Lei Anticorrupção muda o paradigma para responsabilizar diretamente a pessoa jurídica — ou seja, atinge o lado da oferta da corrupção. As manifestações de junho de 2013 aceleraram sua sanção.</w:t>
      </w:r>
    </w:p>
    <w:p>
      <w:pPr>
        <w:spacing w:before="240" w:after="80"/>
        <w:pBdr>
          <w:bottom w:val="single" w:sz="6" w:space="1" w:color="64A70B"/>
        </w:pBdr>
      </w:pPr>
      <w:r>
        <w:rPr>
          <w:rFonts w:ascii="Arial" w:hAnsi="Arial"/>
          <w:b/>
          <w:color w:val="1D3A78"/>
          <w:sz w:val="23"/>
        </w:rPr>
        <w:t>2.2 Características Centrais</w:t>
      </w:r>
    </w:p>
    <w:tbl>
      <w:tblPr>
        <w:tblStyle w:val="TableGrid"/>
        <w:tblW w:type="auto" w:w="0"/>
        <w:jc w:val="left"/>
        <w:tblLook w:firstColumn="1" w:firstRow="1" w:lastColumn="0" w:lastRow="0" w:noHBand="0" w:noVBand="1" w:val="04A0"/>
      </w:tblPr>
      <w:tblGrid>
        <w:gridCol w:w="4702"/>
        <w:gridCol w:w="4702"/>
      </w:tblGrid>
      <w:tr>
        <w:tc>
          <w:tcPr>
            <w:tcW w:type="dxa" w:w="2551"/>
            <w:shd w:val="clear" w:color="auto" w:fill="00205B"/>
          </w:tcPr>
          <w:p>
            <w:pPr>
              <w:jc w:val="center"/>
            </w:pPr>
            <w:r>
              <w:rPr>
                <w:rFonts w:ascii="Arial" w:hAnsi="Arial"/>
                <w:b/>
                <w:color w:val="FFFFFF"/>
                <w:sz w:val="20"/>
              </w:rPr>
              <w:t>Característica</w:t>
            </w:r>
          </w:p>
        </w:tc>
        <w:tc>
          <w:tcPr>
            <w:tcW w:type="dxa" w:w="6803"/>
            <w:shd w:val="clear" w:color="auto" w:fill="00205B"/>
          </w:tcPr>
          <w:p>
            <w:pPr>
              <w:jc w:val="center"/>
            </w:pPr>
            <w:r>
              <w:rPr>
                <w:rFonts w:ascii="Arial" w:hAnsi="Arial"/>
                <w:b/>
                <w:color w:val="FFFFFF"/>
                <w:sz w:val="20"/>
              </w:rPr>
              <w:t>Conteúdo</w:t>
            </w:r>
          </w:p>
        </w:tc>
      </w:tr>
      <w:tr>
        <w:tc>
          <w:tcPr>
            <w:tcW w:type="dxa" w:w="2551"/>
            <w:shd w:val="clear" w:color="auto" w:fill="F2F2F2"/>
          </w:tcPr>
          <w:p>
            <w:pPr>
              <w:jc w:val="left"/>
            </w:pPr>
            <w:r>
              <w:rPr>
                <w:rFonts w:ascii="Arial" w:hAnsi="Arial"/>
                <w:sz w:val="20"/>
              </w:rPr>
              <w:t>Responsabilidade objetiva da PJ</w:t>
            </w:r>
          </w:p>
        </w:tc>
        <w:tc>
          <w:tcPr>
            <w:tcW w:type="dxa" w:w="6803"/>
            <w:shd w:val="clear" w:color="auto" w:fill="F2F2F2"/>
          </w:tcPr>
          <w:p>
            <w:pPr>
              <w:jc w:val="center"/>
            </w:pPr>
            <w:r>
              <w:rPr>
                <w:rFonts w:ascii="Arial" w:hAnsi="Arial"/>
                <w:sz w:val="20"/>
              </w:rPr>
              <w:t>Dispensa dolo ou culpa. Basta o nexo causal entre o ato lesivo e o benefício (direto ou indireto) auferido pela empresa</w:t>
            </w:r>
          </w:p>
        </w:tc>
      </w:tr>
      <w:tr>
        <w:tc>
          <w:tcPr>
            <w:tcW w:type="dxa" w:w="2551"/>
            <w:shd w:val="clear" w:color="auto" w:fill="FFFFFF"/>
          </w:tcPr>
          <w:p>
            <w:pPr>
              <w:jc w:val="left"/>
            </w:pPr>
            <w:r>
              <w:rPr>
                <w:rFonts w:ascii="Arial" w:hAnsi="Arial"/>
                <w:sz w:val="20"/>
              </w:rPr>
              <w:t>Esfera administrativa e cível</w:t>
            </w:r>
          </w:p>
        </w:tc>
        <w:tc>
          <w:tcPr>
            <w:tcW w:type="dxa" w:w="6803"/>
            <w:shd w:val="clear" w:color="auto" w:fill="FFFFFF"/>
          </w:tcPr>
          <w:p>
            <w:pPr>
              <w:jc w:val="center"/>
            </w:pPr>
            <w:r>
              <w:rPr>
                <w:rFonts w:ascii="Arial" w:hAnsi="Arial"/>
                <w:sz w:val="20"/>
              </w:rPr>
              <w:t>A responsabilização ocorre de forma independente e simultânea em ambas as esferas</w:t>
            </w:r>
          </w:p>
        </w:tc>
      </w:tr>
      <w:tr>
        <w:tc>
          <w:tcPr>
            <w:tcW w:type="dxa" w:w="2551"/>
            <w:shd w:val="clear" w:color="auto" w:fill="F2F2F2"/>
          </w:tcPr>
          <w:p>
            <w:pPr>
              <w:jc w:val="left"/>
            </w:pPr>
            <w:r>
              <w:rPr>
                <w:rFonts w:ascii="Arial" w:hAnsi="Arial"/>
                <w:sz w:val="20"/>
              </w:rPr>
              <w:t>Independência das instâncias</w:t>
            </w:r>
          </w:p>
        </w:tc>
        <w:tc>
          <w:tcPr>
            <w:tcW w:type="dxa" w:w="6803"/>
            <w:shd w:val="clear" w:color="auto" w:fill="F2F2F2"/>
          </w:tcPr>
          <w:p>
            <w:pPr>
              <w:jc w:val="center"/>
            </w:pPr>
            <w:r>
              <w:rPr>
                <w:rFonts w:ascii="Arial" w:hAnsi="Arial"/>
                <w:sz w:val="20"/>
              </w:rPr>
              <w:t>A punição da PJ não exclui a responsabilidade individual de dirigentes, administradores ou de qualquer pessoa física</w:t>
            </w:r>
          </w:p>
        </w:tc>
      </w:tr>
    </w:tbl>
    <w:p/>
    <w:tbl>
      <w:tblPr>
        <w:tblStyle w:val="TableGrid"/>
        <w:tblW w:type="auto" w:w="0"/>
        <w:tblLook w:firstColumn="1" w:firstRow="1" w:lastColumn="0" w:lastRow="0" w:noHBand="0" w:noVBand="1" w:val="04A0"/>
      </w:tblPr>
      <w:tblGrid>
        <w:gridCol w:w="9405"/>
      </w:tblGrid>
      <w:tr>
        <w:tc>
          <w:tcPr>
            <w:tcW w:type="dxa" w:w="9405"/>
            <w:shd w:val="clear" w:color="auto" w:fill="F2F2F2"/>
            <w:tcBorders>
              <w:bottom w:val="single" w:sz="6" w:space="0" w:color="64A70B"/>
            </w:tcBorders>
          </w:tcPr>
          <w:p>
            <w:r>
              <w:rPr>
                <w:rFonts w:ascii="Arial" w:hAnsi="Arial"/>
                <w:color w:val="444400"/>
                <w:sz w:val="20"/>
              </w:rPr>
              <w:t>⚠  Como a responsabilidade é objetiva, o PAR não discute a "intenção" da empresa. A Parte II pressupõe que o mérito (ato lesivo + nexo causal) já foi reconhecido; a dosimetria apenas quantifica a sanção.</w:t>
            </w:r>
          </w:p>
        </w:tc>
      </w:tr>
    </w:tbl>
    <w:p/>
    <w:tbl>
      <w:tblPr>
        <w:tblStyle w:val="TableGrid"/>
        <w:tblW w:type="auto" w:w="0"/>
        <w:jc w:val="left"/>
        <w:tblLook w:firstColumn="1" w:firstRow="1" w:lastColumn="0" w:lastRow="0" w:noHBand="0" w:noVBand="1" w:val="04A0"/>
      </w:tblPr>
      <w:tblGrid>
        <w:gridCol w:w="9405"/>
      </w:tblGrid>
      <w:tr>
        <w:tc>
          <w:tcPr>
            <w:tcW w:type="dxa" w:w="9405"/>
            <w:shd w:val="clear" w:color="auto" w:fill="00205B"/>
            <w:tcBorders>
              <w:top w:val="none"/>
              <w:left w:val="none"/>
              <w:bottom w:val="none"/>
              <w:right w:val="none"/>
              <w:insideH w:val="none"/>
              <w:insideV w:val="none"/>
            </w:tcBorders>
            <w:tcBorders>
              <w:top w:val="none"/>
              <w:left w:val="none"/>
              <w:bottom w:val="none"/>
              <w:right w:val="none"/>
              <w:insideH w:val="none"/>
              <w:insideV w:val="none"/>
            </w:tcBorders>
            <w:tcBorders>
              <w:top w:val="none"/>
              <w:left w:val="none"/>
              <w:bottom w:val="none"/>
              <w:right w:val="none"/>
              <w:insideH w:val="none"/>
              <w:insideV w:val="none"/>
            </w:tcBorders>
            <w:tcBorders>
              <w:top w:val="none"/>
              <w:left w:val="none"/>
              <w:bottom w:val="none"/>
              <w:right w:val="none"/>
              <w:insideH w:val="none"/>
              <w:insideV w:val="none"/>
            </w:tcBorders>
          </w:tcPr>
          <w:p>
            <w:pPr>
              <w:spacing w:before="0" w:after="0"/>
              <w:ind w:left="170"/>
            </w:pPr>
            <w:r>
              <w:rPr>
                <w:rFonts w:ascii="Arial" w:hAnsi="Arial"/>
                <w:b/>
                <w:color w:val="FFFFFF"/>
                <w:sz w:val="26"/>
              </w:rPr>
              <w:t>3. SUJEITOS PASSIVOS E ALCANCE DA LEI</w:t>
            </w:r>
          </w:p>
        </w:tc>
      </w:tr>
    </w:tbl>
    <w:p/>
    <w:p>
      <w:pPr>
        <w:spacing w:before="240" w:after="80"/>
        <w:pBdr>
          <w:bottom w:val="single" w:sz="6" w:space="1" w:color="64A70B"/>
        </w:pBdr>
      </w:pPr>
      <w:r>
        <w:rPr>
          <w:rFonts w:ascii="Arial" w:hAnsi="Arial"/>
          <w:b/>
          <w:color w:val="1D3A78"/>
          <w:sz w:val="23"/>
        </w:rPr>
        <w:t>3.1 A Quem se Aplica (Art. 1º, parágrafo único, da LAC)</w:t>
      </w:r>
    </w:p>
    <w:p>
      <w:pPr>
        <w:spacing w:before="0" w:after="80"/>
      </w:pPr>
      <w:r>
        <w:rPr>
          <w:rFonts w:ascii="Arial" w:hAnsi="Arial"/>
          <w:i w:val="0"/>
          <w:sz w:val="22"/>
        </w:rPr>
        <w:t>A lei alcança as seguintes entidades, personificadas ou não, de direito ou de fato:</w:t>
      </w:r>
    </w:p>
    <w:p>
      <w:pPr>
        <w:pStyle w:val="ListBullet"/>
        <w:spacing w:before="0" w:after="40"/>
        <w:ind w:left="283"/>
      </w:pPr>
      <w:r>
        <w:rPr>
          <w:rFonts w:ascii="Arial" w:hAnsi="Arial"/>
          <w:sz w:val="22"/>
        </w:rPr>
        <w:t>Sociedades empresárias e sociedades simples;</w:t>
      </w:r>
    </w:p>
    <w:p>
      <w:pPr>
        <w:pStyle w:val="ListBullet"/>
        <w:spacing w:before="0" w:after="40"/>
        <w:ind w:left="283"/>
      </w:pPr>
      <w:r>
        <w:rPr>
          <w:rFonts w:ascii="Arial" w:hAnsi="Arial"/>
          <w:sz w:val="22"/>
        </w:rPr>
        <w:t>Fundações e associações;</w:t>
      </w:r>
    </w:p>
    <w:p>
      <w:pPr>
        <w:pStyle w:val="ListBullet"/>
        <w:spacing w:before="0" w:after="40"/>
        <w:ind w:left="283"/>
      </w:pPr>
      <w:r>
        <w:rPr>
          <w:rFonts w:ascii="Arial" w:hAnsi="Arial"/>
          <w:sz w:val="22"/>
        </w:rPr>
        <w:t>Sociedades estrangeiras com sede, filial ou representação no território brasileiro.</w:t>
      </w:r>
    </w:p>
    <w:p>
      <w:pPr>
        <w:spacing w:before="240" w:after="80"/>
        <w:pBdr>
          <w:bottom w:val="single" w:sz="6" w:space="1" w:color="64A70B"/>
        </w:pBdr>
      </w:pPr>
      <w:r>
        <w:rPr>
          <w:rFonts w:ascii="Arial" w:hAnsi="Arial"/>
          <w:b/>
          <w:color w:val="1D3A78"/>
          <w:sz w:val="23"/>
        </w:rPr>
        <w:t>3.2 Sucessão Empresarial (Art. 4º)</w:t>
      </w:r>
    </w:p>
    <w:p>
      <w:pPr>
        <w:spacing w:before="0" w:after="80"/>
      </w:pPr>
      <w:r>
        <w:rPr>
          <w:rFonts w:ascii="Arial" w:hAnsi="Arial"/>
          <w:i w:val="0"/>
          <w:sz w:val="22"/>
        </w:rPr>
        <w:t>A responsabilidade subsiste em caso de alteração contratual, transformação, incorporação, fusão ou cisão.</w:t>
      </w:r>
    </w:p>
    <w:tbl>
      <w:tblPr>
        <w:tblStyle w:val="TableGrid"/>
        <w:tblW w:type="auto" w:w="0"/>
        <w:jc w:val="left"/>
        <w:tblLook w:firstColumn="1" w:firstRow="1" w:lastColumn="0" w:lastRow="0" w:noHBand="0" w:noVBand="1" w:val="04A0"/>
      </w:tblPr>
      <w:tblGrid>
        <w:gridCol w:w="4702"/>
        <w:gridCol w:w="4702"/>
      </w:tblGrid>
      <w:tr>
        <w:tc>
          <w:tcPr>
            <w:tcW w:type="dxa" w:w="2835"/>
            <w:shd w:val="clear" w:color="auto" w:fill="00205B"/>
          </w:tcPr>
          <w:p>
            <w:pPr>
              <w:jc w:val="center"/>
            </w:pPr>
            <w:r>
              <w:rPr>
                <w:rFonts w:ascii="Arial" w:hAnsi="Arial"/>
                <w:b/>
                <w:color w:val="FFFFFF"/>
                <w:sz w:val="20"/>
              </w:rPr>
              <w:t>Evento</w:t>
            </w:r>
          </w:p>
        </w:tc>
        <w:tc>
          <w:tcPr>
            <w:tcW w:type="dxa" w:w="6803"/>
            <w:shd w:val="clear" w:color="auto" w:fill="00205B"/>
          </w:tcPr>
          <w:p>
            <w:pPr>
              <w:jc w:val="center"/>
            </w:pPr>
            <w:r>
              <w:rPr>
                <w:rFonts w:ascii="Arial" w:hAnsi="Arial"/>
                <w:b/>
                <w:color w:val="FFFFFF"/>
                <w:sz w:val="20"/>
              </w:rPr>
              <w:t>Efeito na responsabilidade</w:t>
            </w:r>
          </w:p>
        </w:tc>
      </w:tr>
      <w:tr>
        <w:tc>
          <w:tcPr>
            <w:tcW w:type="dxa" w:w="2835"/>
            <w:shd w:val="clear" w:color="auto" w:fill="F2F2F2"/>
          </w:tcPr>
          <w:p>
            <w:pPr>
              <w:jc w:val="left"/>
            </w:pPr>
            <w:r>
              <w:rPr>
                <w:rFonts w:ascii="Arial" w:hAnsi="Arial"/>
                <w:sz w:val="20"/>
              </w:rPr>
              <w:t>Alteração contratual / transformação</w:t>
            </w:r>
          </w:p>
        </w:tc>
        <w:tc>
          <w:tcPr>
            <w:tcW w:type="dxa" w:w="6803"/>
            <w:shd w:val="clear" w:color="auto" w:fill="F2F2F2"/>
          </w:tcPr>
          <w:p>
            <w:pPr>
              <w:jc w:val="center"/>
            </w:pPr>
            <w:r>
              <w:rPr>
                <w:rFonts w:ascii="Arial" w:hAnsi="Arial"/>
                <w:sz w:val="20"/>
              </w:rPr>
              <w:t>A PJ é a mesma — responsabilidade inalterada</w:t>
            </w:r>
          </w:p>
        </w:tc>
      </w:tr>
      <w:tr>
        <w:tc>
          <w:tcPr>
            <w:tcW w:type="dxa" w:w="2835"/>
            <w:shd w:val="clear" w:color="auto" w:fill="FFFFFF"/>
          </w:tcPr>
          <w:p>
            <w:pPr>
              <w:jc w:val="left"/>
            </w:pPr>
            <w:r>
              <w:rPr>
                <w:rFonts w:ascii="Arial" w:hAnsi="Arial"/>
                <w:sz w:val="20"/>
              </w:rPr>
              <w:t>Incorporação / fusão</w:t>
            </w:r>
          </w:p>
        </w:tc>
        <w:tc>
          <w:tcPr>
            <w:tcW w:type="dxa" w:w="6803"/>
            <w:shd w:val="clear" w:color="auto" w:fill="FFFFFF"/>
          </w:tcPr>
          <w:p>
            <w:pPr>
              <w:jc w:val="center"/>
            </w:pPr>
            <w:r>
              <w:rPr>
                <w:rFonts w:ascii="Arial" w:hAnsi="Arial"/>
                <w:sz w:val="20"/>
              </w:rPr>
              <w:t>Responsabilidade da sucessora restrita ao limite do patrimônio transferido, salvo simulação ou fraude evidente</w:t>
            </w:r>
          </w:p>
        </w:tc>
      </w:tr>
    </w:tbl>
    <w:p/>
    <w:p>
      <w:pPr>
        <w:spacing w:before="240" w:after="80"/>
        <w:pBdr>
          <w:bottom w:val="single" w:sz="6" w:space="1" w:color="64A70B"/>
        </w:pBdr>
      </w:pPr>
      <w:r>
        <w:rPr>
          <w:rFonts w:ascii="Arial" w:hAnsi="Arial"/>
          <w:b/>
          <w:color w:val="1D3A78"/>
          <w:sz w:val="23"/>
        </w:rPr>
        <w:t>3.3 Desconsideração da Personalidade Jurídica (Art. 14)</w:t>
      </w:r>
    </w:p>
    <w:p>
      <w:pPr>
        <w:spacing w:before="0" w:after="80"/>
      </w:pPr>
      <w:r>
        <w:rPr>
          <w:rFonts w:ascii="Arial" w:hAnsi="Arial"/>
          <w:i w:val="0"/>
          <w:sz w:val="22"/>
        </w:rPr>
        <w:t>A personalidade jurídica pode ser desconsiderada quando usada com abuso de direito para facilitar, encobrir ou dissimular o ato lesivo, ou quando houver confusão patrimonial. Os efeitos das sanções estendem-se aos sócios e administradores com poderes de gerência.</w:t>
      </w:r>
    </w:p>
    <w:tbl>
      <w:tblPr>
        <w:tblStyle w:val="TableGrid"/>
        <w:tblW w:type="auto" w:w="0"/>
        <w:jc w:val="left"/>
        <w:tblLook w:firstColumn="1" w:firstRow="1" w:lastColumn="0" w:lastRow="0" w:noHBand="0" w:noVBand="1" w:val="04A0"/>
      </w:tblPr>
      <w:tblGrid>
        <w:gridCol w:w="9405"/>
      </w:tblGrid>
      <w:tr>
        <w:tc>
          <w:tcPr>
            <w:tcW w:type="dxa" w:w="9405"/>
            <w:shd w:val="clear" w:color="auto" w:fill="00205B"/>
            <w:tcBorders>
              <w:top w:val="none"/>
              <w:left w:val="none"/>
              <w:bottom w:val="none"/>
              <w:right w:val="none"/>
              <w:insideH w:val="none"/>
              <w:insideV w:val="none"/>
            </w:tcBorders>
            <w:tcBorders>
              <w:top w:val="none"/>
              <w:left w:val="none"/>
              <w:bottom w:val="none"/>
              <w:right w:val="none"/>
              <w:insideH w:val="none"/>
              <w:insideV w:val="none"/>
            </w:tcBorders>
            <w:tcBorders>
              <w:top w:val="none"/>
              <w:left w:val="none"/>
              <w:bottom w:val="none"/>
              <w:right w:val="none"/>
              <w:insideH w:val="none"/>
              <w:insideV w:val="none"/>
            </w:tcBorders>
            <w:tcBorders>
              <w:top w:val="none"/>
              <w:left w:val="none"/>
              <w:bottom w:val="none"/>
              <w:right w:val="none"/>
              <w:insideH w:val="none"/>
              <w:insideV w:val="none"/>
            </w:tcBorders>
          </w:tcPr>
          <w:p>
            <w:pPr>
              <w:spacing w:before="0" w:after="0"/>
              <w:ind w:left="170"/>
            </w:pPr>
            <w:r>
              <w:rPr>
                <w:rFonts w:ascii="Arial" w:hAnsi="Arial"/>
                <w:b/>
                <w:color w:val="FFFFFF"/>
                <w:sz w:val="26"/>
              </w:rPr>
              <w:t>4. OS ATOS LESIVOS À ADMINISTRAÇÃO PÚBLICA (Art. 5º)</w:t>
            </w:r>
          </w:p>
        </w:tc>
      </w:tr>
    </w:tbl>
    <w:p/>
    <w:p>
      <w:pPr>
        <w:spacing w:before="0" w:after="80"/>
      </w:pPr>
      <w:r>
        <w:rPr>
          <w:rFonts w:ascii="Arial" w:hAnsi="Arial"/>
          <w:i w:val="0"/>
          <w:sz w:val="22"/>
        </w:rPr>
        <w:t>A correta identificação da espécie e do número de condutas é essencial para o agravante de concurso de atos lesivos (Art. 22, I).</w:t>
      </w:r>
    </w:p>
    <w:p>
      <w:pPr>
        <w:spacing w:before="240" w:after="80"/>
        <w:pBdr>
          <w:bottom w:val="single" w:sz="6" w:space="1" w:color="64A70B"/>
        </w:pBdr>
      </w:pPr>
      <w:r>
        <w:rPr>
          <w:rFonts w:ascii="Arial" w:hAnsi="Arial"/>
          <w:b/>
          <w:color w:val="1D3A78"/>
          <w:sz w:val="23"/>
        </w:rPr>
        <w:t>4.1 Vantagens Indevidas e Fraudes Gerais</w:t>
      </w:r>
    </w:p>
    <w:p>
      <w:pPr>
        <w:pStyle w:val="ListBullet"/>
        <w:spacing w:before="0" w:after="40"/>
        <w:ind w:left="283"/>
      </w:pPr>
      <w:r>
        <w:rPr>
          <w:rFonts w:ascii="Arial" w:hAnsi="Arial"/>
          <w:sz w:val="22"/>
        </w:rPr>
        <w:t>Art. 5º, I — Prometer, oferecer ou dar vantagem indevida a agente público ou a terceiro a ele relacionado;</w:t>
      </w:r>
    </w:p>
    <w:p>
      <w:pPr>
        <w:pStyle w:val="ListBullet"/>
        <w:spacing w:before="0" w:after="40"/>
        <w:ind w:left="283"/>
      </w:pPr>
      <w:r>
        <w:rPr>
          <w:rFonts w:ascii="Arial" w:hAnsi="Arial"/>
          <w:sz w:val="22"/>
        </w:rPr>
        <w:t>Art. 5º, II — Financiar, custear, patrocinar ou subvencionar a prática dos atos ilícitos;</w:t>
      </w:r>
    </w:p>
    <w:p>
      <w:pPr>
        <w:pStyle w:val="ListBullet"/>
        <w:spacing w:before="0" w:after="40"/>
        <w:ind w:left="283"/>
      </w:pPr>
      <w:r>
        <w:rPr>
          <w:rFonts w:ascii="Arial" w:hAnsi="Arial"/>
          <w:sz w:val="22"/>
        </w:rPr>
        <w:t>Art. 5º, III — Utilizar interposta pessoa para ocultar interesses ou identidade dos beneficiários.</w:t>
      </w:r>
    </w:p>
    <w:p>
      <w:pPr>
        <w:spacing w:before="240" w:after="80"/>
        <w:pBdr>
          <w:bottom w:val="single" w:sz="6" w:space="1" w:color="64A70B"/>
        </w:pBdr>
      </w:pPr>
      <w:r>
        <w:rPr>
          <w:rFonts w:ascii="Arial" w:hAnsi="Arial"/>
          <w:b/>
          <w:color w:val="1D3A78"/>
          <w:sz w:val="23"/>
        </w:rPr>
        <w:t>4.2 Licitações e Contratos (Art. 5º, IV)</w:t>
      </w:r>
    </w:p>
    <w:p>
      <w:pPr>
        <w:pStyle w:val="ListBullet"/>
        <w:spacing w:before="0" w:after="40"/>
        <w:ind w:left="283"/>
      </w:pPr>
      <w:r>
        <w:rPr>
          <w:rFonts w:ascii="Arial" w:hAnsi="Arial"/>
          <w:sz w:val="22"/>
        </w:rPr>
        <w:t>Fraudar ou frustrar o caráter competitivo de licitação;</w:t>
      </w:r>
    </w:p>
    <w:p>
      <w:pPr>
        <w:pStyle w:val="ListBullet"/>
        <w:spacing w:before="0" w:after="40"/>
        <w:ind w:left="283"/>
      </w:pPr>
      <w:r>
        <w:rPr>
          <w:rFonts w:ascii="Arial" w:hAnsi="Arial"/>
          <w:sz w:val="22"/>
        </w:rPr>
        <w:t>Impedir, perturbar ou fraudar atos do procedimento licitatório;</w:t>
      </w:r>
    </w:p>
    <w:p>
      <w:pPr>
        <w:pStyle w:val="ListBullet"/>
        <w:spacing w:before="0" w:after="40"/>
        <w:ind w:left="283"/>
      </w:pPr>
      <w:r>
        <w:rPr>
          <w:rFonts w:ascii="Arial" w:hAnsi="Arial"/>
          <w:sz w:val="22"/>
        </w:rPr>
        <w:t>Afastar licitante por fraude ou vantagem; fraudar licitação ou contrato dela decorrente;</w:t>
      </w:r>
    </w:p>
    <w:p>
      <w:pPr>
        <w:pStyle w:val="ListBullet"/>
        <w:spacing w:before="0" w:after="40"/>
        <w:ind w:left="283"/>
      </w:pPr>
      <w:r>
        <w:rPr>
          <w:rFonts w:ascii="Arial" w:hAnsi="Arial"/>
          <w:sz w:val="22"/>
        </w:rPr>
        <w:t>Criar PJ de modo fraudulento para participar de licitação ou contrato;</w:t>
      </w:r>
    </w:p>
    <w:p>
      <w:pPr>
        <w:pStyle w:val="ListBullet"/>
        <w:spacing w:before="0" w:after="40"/>
        <w:ind w:left="283"/>
      </w:pPr>
      <w:r>
        <w:rPr>
          <w:rFonts w:ascii="Arial" w:hAnsi="Arial"/>
          <w:sz w:val="22"/>
        </w:rPr>
        <w:t>Obter vantagem indevida de modificações/prorrogações; manipular o equilíbrio econômico-financeiro.</w:t>
      </w:r>
    </w:p>
    <w:p>
      <w:pPr>
        <w:spacing w:before="240" w:after="80"/>
        <w:pBdr>
          <w:bottom w:val="single" w:sz="6" w:space="1" w:color="64A70B"/>
        </w:pBdr>
      </w:pPr>
      <w:r>
        <w:rPr>
          <w:rFonts w:ascii="Arial" w:hAnsi="Arial"/>
          <w:b/>
          <w:color w:val="1D3A78"/>
          <w:sz w:val="23"/>
        </w:rPr>
        <w:t>4.3 Obstrução à Fiscalização (Art. 5º, V)</w:t>
      </w:r>
    </w:p>
    <w:p>
      <w:pPr>
        <w:spacing w:before="0" w:after="80"/>
      </w:pPr>
      <w:r>
        <w:rPr>
          <w:rFonts w:ascii="Arial" w:hAnsi="Arial"/>
          <w:i w:val="0"/>
          <w:sz w:val="22"/>
        </w:rPr>
        <w:t>Dificultar investigação ou fiscalização de órgãos, entidades ou agentes públicos, ou intervir em sua atuação — inclusive agências reguladoras e órgãos de fiscalização do sistema financeiro.</w:t>
      </w:r>
    </w:p>
    <w:tbl>
      <w:tblPr>
        <w:tblStyle w:val="TableGrid"/>
        <w:tblW w:type="auto" w:w="0"/>
        <w:tblLook w:firstColumn="1" w:firstRow="1" w:lastColumn="0" w:lastRow="0" w:noHBand="0" w:noVBand="1" w:val="04A0"/>
      </w:tblPr>
      <w:tblGrid>
        <w:gridCol w:w="9405"/>
      </w:tblGrid>
      <w:tr>
        <w:tc>
          <w:tcPr>
            <w:tcW w:type="dxa" w:w="9405"/>
            <w:shd w:val="clear" w:color="auto" w:fill="F2F2F2"/>
            <w:tcBorders>
              <w:bottom w:val="single" w:sz="6" w:space="0" w:color="64A70B"/>
            </w:tcBorders>
          </w:tcPr>
          <w:p>
            <w:r>
              <w:rPr>
                <w:rFonts w:ascii="Arial" w:hAnsi="Arial"/>
                <w:color w:val="444400"/>
                <w:sz w:val="20"/>
              </w:rPr>
              <w:t>⚠  No Art. 22, I, as colunas representam o número de espécies distintas de atos do Art. 5º; as linhas, o número de condutas. Oferta de vantagem (inc. I) + obstrução (inc. V) = duas espécies distintas.</w:t>
            </w:r>
          </w:p>
        </w:tc>
      </w:tr>
    </w:tbl>
    <w:p/>
    <w:tbl>
      <w:tblPr>
        <w:tblStyle w:val="TableGrid"/>
        <w:tblW w:type="auto" w:w="0"/>
        <w:jc w:val="left"/>
        <w:tblLook w:firstColumn="1" w:firstRow="1" w:lastColumn="0" w:lastRow="0" w:noHBand="0" w:noVBand="1" w:val="04A0"/>
      </w:tblPr>
      <w:tblGrid>
        <w:gridCol w:w="9405"/>
      </w:tblGrid>
      <w:tr>
        <w:tc>
          <w:tcPr>
            <w:tcW w:type="dxa" w:w="9405"/>
            <w:shd w:val="clear" w:color="auto" w:fill="00205B"/>
            <w:tcBorders>
              <w:top w:val="none"/>
              <w:left w:val="none"/>
              <w:bottom w:val="none"/>
              <w:right w:val="none"/>
              <w:insideH w:val="none"/>
              <w:insideV w:val="none"/>
            </w:tcBorders>
            <w:tcBorders>
              <w:top w:val="none"/>
              <w:left w:val="none"/>
              <w:bottom w:val="none"/>
              <w:right w:val="none"/>
              <w:insideH w:val="none"/>
              <w:insideV w:val="none"/>
            </w:tcBorders>
            <w:tcBorders>
              <w:top w:val="none"/>
              <w:left w:val="none"/>
              <w:bottom w:val="none"/>
              <w:right w:val="none"/>
              <w:insideH w:val="none"/>
              <w:insideV w:val="none"/>
            </w:tcBorders>
            <w:tcBorders>
              <w:top w:val="none"/>
              <w:left w:val="none"/>
              <w:bottom w:val="none"/>
              <w:right w:val="none"/>
              <w:insideH w:val="none"/>
              <w:insideV w:val="none"/>
            </w:tcBorders>
          </w:tcPr>
          <w:p>
            <w:pPr>
              <w:spacing w:before="0" w:after="0"/>
              <w:ind w:left="170"/>
            </w:pPr>
            <w:r>
              <w:rPr>
                <w:rFonts w:ascii="Arial" w:hAnsi="Arial"/>
                <w:b/>
                <w:color w:val="FFFFFF"/>
                <w:sz w:val="26"/>
              </w:rPr>
              <w:t>5. O PROCESSO ADMINISTRATIVO DE RESPONSABILIZAÇÃO — RITO</w:t>
            </w:r>
          </w:p>
        </w:tc>
      </w:tr>
    </w:tbl>
    <w:p/>
    <w:p>
      <w:pPr>
        <w:spacing w:before="0" w:after="80"/>
      </w:pPr>
      <w:r>
        <w:rPr>
          <w:rFonts w:ascii="Arial" w:hAnsi="Arial"/>
          <w:i w:val="0"/>
          <w:sz w:val="22"/>
        </w:rPr>
        <w:t>O PAR divide-se em duas macrofases: a Fase Interna (admissibilidade e investigação) e a Fase Externa (contraditório e julgamento).</w:t>
      </w:r>
    </w:p>
    <w:p>
      <w:pPr>
        <w:spacing w:before="240" w:after="80"/>
        <w:pBdr>
          <w:bottom w:val="single" w:sz="6" w:space="1" w:color="64A70B"/>
        </w:pBdr>
      </w:pPr>
      <w:r>
        <w:rPr>
          <w:rFonts w:ascii="Arial" w:hAnsi="Arial"/>
          <w:b/>
          <w:color w:val="1D3A78"/>
          <w:sz w:val="23"/>
        </w:rPr>
        <w:t>5.1 Macrofase I — Admissibilidade e Investigação Preliminar</w:t>
      </w:r>
    </w:p>
    <w:p>
      <w:pPr>
        <w:pStyle w:val="ListBullet"/>
        <w:spacing w:before="0" w:after="40"/>
        <w:ind w:left="283"/>
      </w:pPr>
      <w:r>
        <w:rPr>
          <w:rFonts w:ascii="Arial" w:hAnsi="Arial"/>
          <w:sz w:val="22"/>
        </w:rPr>
        <w:t>Notícia do fato: denúncias, auditorias, representações fiscais ou operações policiais;</w:t>
      </w:r>
    </w:p>
    <w:p>
      <w:pPr>
        <w:pStyle w:val="ListBullet"/>
        <w:spacing w:before="0" w:after="40"/>
        <w:ind w:left="283"/>
      </w:pPr>
      <w:r>
        <w:rPr>
          <w:rFonts w:ascii="Arial" w:hAnsi="Arial"/>
          <w:sz w:val="22"/>
        </w:rPr>
        <w:t>Investigação Preliminar (IP): inquisitorial e sigilosa; busca indícios de autoria e materialidade;</w:t>
      </w:r>
    </w:p>
    <w:p>
      <w:pPr>
        <w:pStyle w:val="ListBullet"/>
        <w:spacing w:before="0" w:after="40"/>
        <w:ind w:left="283"/>
      </w:pPr>
      <w:r>
        <w:rPr>
          <w:rFonts w:ascii="Arial" w:hAnsi="Arial"/>
          <w:sz w:val="22"/>
        </w:rPr>
        <w:t>Juízo de admissibilidade: arquivamento fundamentado, diligências/IP complementar, ou instauração do PAR.</w:t>
      </w:r>
    </w:p>
    <w:p>
      <w:pPr>
        <w:spacing w:before="240" w:after="80"/>
        <w:pBdr>
          <w:bottom w:val="single" w:sz="6" w:space="1" w:color="64A70B"/>
        </w:pBdr>
      </w:pPr>
      <w:r>
        <w:rPr>
          <w:rFonts w:ascii="Arial" w:hAnsi="Arial"/>
          <w:b/>
          <w:color w:val="1D3A78"/>
          <w:sz w:val="23"/>
        </w:rPr>
        <w:t>5.2 Macrofase II — Fase Externa e Comissão</w:t>
      </w:r>
    </w:p>
    <w:p>
      <w:pPr>
        <w:pStyle w:val="ListBullet"/>
        <w:spacing w:before="0" w:after="40"/>
        <w:ind w:left="283"/>
      </w:pPr>
      <w:r>
        <w:rPr>
          <w:rFonts w:ascii="Arial" w:hAnsi="Arial"/>
          <w:sz w:val="22"/>
        </w:rPr>
        <w:t>Instauração por Portaria publicada no DOU; comissão de 2 ou mais servidores estáveis;</w:t>
      </w:r>
    </w:p>
    <w:p>
      <w:pPr>
        <w:pStyle w:val="ListBullet"/>
        <w:spacing w:before="0" w:after="40"/>
        <w:ind w:left="283"/>
      </w:pPr>
      <w:r>
        <w:rPr>
          <w:rFonts w:ascii="Arial" w:hAnsi="Arial"/>
          <w:sz w:val="22"/>
        </w:rPr>
        <w:t>Prazo padrão de 180 dias, prorrogável mais de uma vez (Enunciado CGU nº 24/2019);</w:t>
      </w:r>
    </w:p>
    <w:p>
      <w:pPr>
        <w:pStyle w:val="ListBullet"/>
        <w:spacing w:before="0" w:after="40"/>
        <w:ind w:left="283"/>
      </w:pPr>
      <w:r>
        <w:rPr>
          <w:rFonts w:ascii="Arial" w:hAnsi="Arial"/>
          <w:sz w:val="22"/>
        </w:rPr>
        <w:t>Instrução: provas documentais, testemunhais, perícias e requisição de informações.</w:t>
      </w:r>
    </w:p>
    <w:p>
      <w:pPr>
        <w:spacing w:before="240" w:after="80"/>
        <w:pBdr>
          <w:bottom w:val="single" w:sz="6" w:space="1" w:color="64A70B"/>
        </w:pBdr>
      </w:pPr>
      <w:r>
        <w:rPr>
          <w:rFonts w:ascii="Arial" w:hAnsi="Arial"/>
          <w:b/>
          <w:color w:val="1D3A78"/>
          <w:sz w:val="23"/>
        </w:rPr>
        <w:t>5.3 Indiciação, Citação e Defesa</w:t>
      </w:r>
    </w:p>
    <w:tbl>
      <w:tblPr>
        <w:tblStyle w:val="TableGrid"/>
        <w:tblW w:type="auto" w:w="0"/>
        <w:jc w:val="left"/>
        <w:tblLook w:firstColumn="1" w:firstRow="1" w:lastColumn="0" w:lastRow="0" w:noHBand="0" w:noVBand="1" w:val="04A0"/>
      </w:tblPr>
      <w:tblGrid>
        <w:gridCol w:w="4702"/>
        <w:gridCol w:w="4702"/>
      </w:tblGrid>
      <w:tr>
        <w:tc>
          <w:tcPr>
            <w:tcW w:type="dxa" w:w="2268"/>
            <w:shd w:val="clear" w:color="auto" w:fill="00205B"/>
          </w:tcPr>
          <w:p>
            <w:pPr>
              <w:jc w:val="center"/>
            </w:pPr>
            <w:r>
              <w:rPr>
                <w:rFonts w:ascii="Arial" w:hAnsi="Arial"/>
                <w:b/>
                <w:color w:val="FFFFFF"/>
                <w:sz w:val="20"/>
              </w:rPr>
              <w:t>Ato</w:t>
            </w:r>
          </w:p>
        </w:tc>
        <w:tc>
          <w:tcPr>
            <w:tcW w:type="dxa" w:w="7370"/>
            <w:shd w:val="clear" w:color="auto" w:fill="00205B"/>
          </w:tcPr>
          <w:p>
            <w:pPr>
              <w:jc w:val="center"/>
            </w:pPr>
            <w:r>
              <w:rPr>
                <w:rFonts w:ascii="Arial" w:hAnsi="Arial"/>
                <w:b/>
                <w:color w:val="FFFFFF"/>
                <w:sz w:val="20"/>
              </w:rPr>
              <w:t>Descrição</w:t>
            </w:r>
          </w:p>
        </w:tc>
      </w:tr>
      <w:tr>
        <w:tc>
          <w:tcPr>
            <w:tcW w:type="dxa" w:w="2268"/>
            <w:shd w:val="clear" w:color="auto" w:fill="F2F2F2"/>
          </w:tcPr>
          <w:p>
            <w:pPr>
              <w:jc w:val="left"/>
            </w:pPr>
            <w:r>
              <w:rPr>
                <w:rFonts w:ascii="Arial" w:hAnsi="Arial"/>
                <w:sz w:val="20"/>
              </w:rPr>
              <w:t>Nota de Indiciação</w:t>
            </w:r>
          </w:p>
        </w:tc>
        <w:tc>
          <w:tcPr>
            <w:tcW w:type="dxa" w:w="7370"/>
            <w:shd w:val="clear" w:color="auto" w:fill="F2F2F2"/>
          </w:tcPr>
          <w:p>
            <w:pPr>
              <w:jc w:val="center"/>
            </w:pPr>
            <w:r>
              <w:rPr>
                <w:rFonts w:ascii="Arial" w:hAnsi="Arial"/>
                <w:sz w:val="20"/>
              </w:rPr>
              <w:t>Peça técnica que individualiza e descreve as condutas, capitulando os atos lesivos com base nas provas</w:t>
            </w:r>
          </w:p>
        </w:tc>
      </w:tr>
      <w:tr>
        <w:tc>
          <w:tcPr>
            <w:tcW w:type="dxa" w:w="2268"/>
            <w:shd w:val="clear" w:color="auto" w:fill="FFFFFF"/>
          </w:tcPr>
          <w:p>
            <w:pPr>
              <w:jc w:val="left"/>
            </w:pPr>
            <w:r>
              <w:rPr>
                <w:rFonts w:ascii="Arial" w:hAnsi="Arial"/>
                <w:sz w:val="20"/>
              </w:rPr>
              <w:t>Citação</w:t>
            </w:r>
          </w:p>
        </w:tc>
        <w:tc>
          <w:tcPr>
            <w:tcW w:type="dxa" w:w="7370"/>
            <w:shd w:val="clear" w:color="auto" w:fill="FFFFFF"/>
          </w:tcPr>
          <w:p>
            <w:pPr>
              <w:jc w:val="center"/>
            </w:pPr>
            <w:r>
              <w:rPr>
                <w:rFonts w:ascii="Arial" w:hAnsi="Arial"/>
                <w:sz w:val="20"/>
              </w:rPr>
              <w:t>Intimação formal para defesa; prazo de Defesa Escrita de 30 dias da citação</w:t>
            </w:r>
          </w:p>
        </w:tc>
      </w:tr>
      <w:tr>
        <w:tc>
          <w:tcPr>
            <w:tcW w:type="dxa" w:w="2268"/>
            <w:shd w:val="clear" w:color="auto" w:fill="F2F2F2"/>
          </w:tcPr>
          <w:p>
            <w:pPr>
              <w:jc w:val="left"/>
            </w:pPr>
            <w:r>
              <w:rPr>
                <w:rFonts w:ascii="Arial" w:hAnsi="Arial"/>
                <w:sz w:val="20"/>
              </w:rPr>
              <w:t>Revelia</w:t>
            </w:r>
          </w:p>
        </w:tc>
        <w:tc>
          <w:tcPr>
            <w:tcW w:type="dxa" w:w="7370"/>
            <w:shd w:val="clear" w:color="auto" w:fill="F2F2F2"/>
          </w:tcPr>
          <w:p>
            <w:pPr>
              <w:jc w:val="center"/>
            </w:pPr>
            <w:r>
              <w:rPr>
                <w:rFonts w:ascii="Arial" w:hAnsi="Arial"/>
                <w:sz w:val="20"/>
              </w:rPr>
              <w:t>Se a PJ citada não se defende, prossegue o processo, assegurado o direito de intervir depois</w:t>
            </w:r>
          </w:p>
        </w:tc>
      </w:tr>
    </w:tbl>
    <w:p/>
    <w:tbl>
      <w:tblPr>
        <w:tblStyle w:val="TableGrid"/>
        <w:tblW w:type="auto" w:w="0"/>
        <w:tblLook w:firstColumn="1" w:firstRow="1" w:lastColumn="0" w:lastRow="0" w:noHBand="0" w:noVBand="1" w:val="04A0"/>
      </w:tblPr>
      <w:tblGrid>
        <w:gridCol w:w="9405"/>
      </w:tblGrid>
      <w:tr>
        <w:tc>
          <w:tcPr>
            <w:tcW w:type="dxa" w:w="9405"/>
            <w:shd w:val="clear" w:color="auto" w:fill="F2F2F2"/>
            <w:tcBorders>
              <w:bottom w:val="single" w:sz="6" w:space="0" w:color="64A70B"/>
            </w:tcBorders>
          </w:tcPr>
          <w:p>
            <w:r>
              <w:rPr>
                <w:rFonts w:ascii="Arial" w:hAnsi="Arial"/>
                <w:color w:val="444400"/>
                <w:sz w:val="20"/>
              </w:rPr>
              <w:t>⚠  A tempestividade da admissão de responsabilidade (Art. 23, IV) é medida em relação a esses marcos: antes da instauração, no prazo de defesa (30 dias), nas alegações finais, ou após.</w:t>
            </w:r>
          </w:p>
        </w:tc>
      </w:tr>
    </w:tbl>
    <w:p/>
    <w:tbl>
      <w:tblPr>
        <w:tblStyle w:val="TableGrid"/>
        <w:tblW w:type="auto" w:w="0"/>
        <w:jc w:val="left"/>
        <w:tblLook w:firstColumn="1" w:firstRow="1" w:lastColumn="0" w:lastRow="0" w:noHBand="0" w:noVBand="1" w:val="04A0"/>
      </w:tblPr>
      <w:tblGrid>
        <w:gridCol w:w="9405"/>
      </w:tblGrid>
      <w:tr>
        <w:tc>
          <w:tcPr>
            <w:tcW w:type="dxa" w:w="9405"/>
            <w:shd w:val="clear" w:color="auto" w:fill="00205B"/>
            <w:tcBorders>
              <w:top w:val="none"/>
              <w:left w:val="none"/>
              <w:bottom w:val="none"/>
              <w:right w:val="none"/>
              <w:insideH w:val="none"/>
              <w:insideV w:val="none"/>
            </w:tcBorders>
            <w:tcBorders>
              <w:top w:val="none"/>
              <w:left w:val="none"/>
              <w:bottom w:val="none"/>
              <w:right w:val="none"/>
              <w:insideH w:val="none"/>
              <w:insideV w:val="none"/>
            </w:tcBorders>
            <w:tcBorders>
              <w:top w:val="none"/>
              <w:left w:val="none"/>
              <w:bottom w:val="none"/>
              <w:right w:val="none"/>
              <w:insideH w:val="none"/>
              <w:insideV w:val="none"/>
            </w:tcBorders>
            <w:tcBorders>
              <w:top w:val="none"/>
              <w:left w:val="none"/>
              <w:bottom w:val="none"/>
              <w:right w:val="none"/>
              <w:insideH w:val="none"/>
              <w:insideV w:val="none"/>
            </w:tcBorders>
          </w:tcPr>
          <w:p>
            <w:pPr>
              <w:spacing w:before="0" w:after="0"/>
              <w:ind w:left="170"/>
            </w:pPr>
            <w:r>
              <w:rPr>
                <w:rFonts w:ascii="Arial" w:hAnsi="Arial"/>
                <w:b/>
                <w:color w:val="FFFFFF"/>
                <w:sz w:val="26"/>
              </w:rPr>
              <w:t>6. JULGAMENTO, SANÇÕES E FASE RECURSAL</w:t>
            </w:r>
          </w:p>
        </w:tc>
      </w:tr>
    </w:tbl>
    <w:p/>
    <w:p>
      <w:pPr>
        <w:spacing w:before="240" w:after="80"/>
        <w:pBdr>
          <w:bottom w:val="single" w:sz="6" w:space="1" w:color="64A70B"/>
        </w:pBdr>
      </w:pPr>
      <w:r>
        <w:rPr>
          <w:rFonts w:ascii="Arial" w:hAnsi="Arial"/>
          <w:b/>
          <w:color w:val="1D3A78"/>
          <w:sz w:val="23"/>
        </w:rPr>
        <w:t>6.1 Relatório Final e Julgamento</w:t>
      </w:r>
    </w:p>
    <w:p>
      <w:pPr>
        <w:spacing w:before="0" w:after="80"/>
      </w:pPr>
      <w:r>
        <w:rPr>
          <w:rFonts w:ascii="Arial" w:hAnsi="Arial"/>
          <w:i w:val="0"/>
          <w:sz w:val="22"/>
        </w:rPr>
        <w:t>Concluída a instrução, a comissão elabora Relatório Final, opinando sobre a ocorrência do ato lesivo, a responsabilidade da PJ e a proposta de dosimetria — é aqui que a Calculadora é instrumental. O processo segue para parecer jurídico obrigatório (controle de legalidade) e julgamento.</w:t>
      </w:r>
    </w:p>
    <w:tbl>
      <w:tblPr>
        <w:tblStyle w:val="TableGrid"/>
        <w:tblW w:type="auto" w:w="0"/>
        <w:tblLook w:firstColumn="1" w:firstRow="1" w:lastColumn="0" w:lastRow="0" w:noHBand="0" w:noVBand="1" w:val="04A0"/>
      </w:tblPr>
      <w:tblGrid>
        <w:gridCol w:w="9405"/>
      </w:tblGrid>
      <w:tr>
        <w:tc>
          <w:tcPr>
            <w:tcW w:type="dxa" w:w="9405"/>
            <w:shd w:val="clear" w:color="auto" w:fill="F2F2F2"/>
            <w:tcBorders>
              <w:bottom w:val="single" w:sz="6" w:space="0" w:color="64A70B"/>
            </w:tcBorders>
          </w:tcPr>
          <w:p>
            <w:r>
              <w:rPr>
                <w:rFonts w:ascii="Arial" w:hAnsi="Arial"/>
                <w:color w:val="444400"/>
                <w:sz w:val="20"/>
              </w:rPr>
              <w:t>⚠  No âmbito da Receita Federal, a competência para julgar o PAR é delegada ao Corregedor da RFB (no âmbito federal geral, a competência máxima é do Ministro de Estado).</w:t>
            </w:r>
          </w:p>
        </w:tc>
      </w:tr>
    </w:tbl>
    <w:p/>
    <w:p>
      <w:pPr>
        <w:spacing w:before="240" w:after="80"/>
        <w:pBdr>
          <w:bottom w:val="single" w:sz="6" w:space="1" w:color="64A70B"/>
        </w:pBdr>
      </w:pPr>
      <w:r>
        <w:rPr>
          <w:rFonts w:ascii="Arial" w:hAnsi="Arial"/>
          <w:b/>
          <w:color w:val="1D3A78"/>
          <w:sz w:val="23"/>
        </w:rPr>
        <w:t>6.2 Sanções Aplicáveis (cumulativas)</w:t>
      </w:r>
    </w:p>
    <w:p>
      <w:pPr>
        <w:pStyle w:val="ListBullet"/>
        <w:spacing w:before="0" w:after="40"/>
        <w:ind w:left="283"/>
      </w:pPr>
      <w:r>
        <w:rPr>
          <w:rFonts w:ascii="Arial" w:hAnsi="Arial"/>
          <w:sz w:val="22"/>
        </w:rPr>
        <w:t>Multa pecuniária — conforme a dosimetria (Parte II);</w:t>
      </w:r>
    </w:p>
    <w:p>
      <w:pPr>
        <w:pStyle w:val="ListBullet"/>
        <w:spacing w:before="0" w:after="40"/>
        <w:ind w:left="283"/>
      </w:pPr>
      <w:r>
        <w:rPr>
          <w:rFonts w:ascii="Arial" w:hAnsi="Arial"/>
          <w:sz w:val="22"/>
        </w:rPr>
        <w:t>Publicação extraordinária da decisão condenatória — a expensas da PJ: DOU, sítio do órgão lesado, mídia de grande circulação (mín. 1 dia) e painel no estabelecimento (30 a 120 dias).</w:t>
      </w:r>
    </w:p>
    <w:p>
      <w:pPr>
        <w:spacing w:before="240" w:after="80"/>
        <w:pBdr>
          <w:bottom w:val="single" w:sz="6" w:space="1" w:color="64A70B"/>
        </w:pBdr>
      </w:pPr>
      <w:r>
        <w:rPr>
          <w:rFonts w:ascii="Arial" w:hAnsi="Arial"/>
          <w:b/>
          <w:color w:val="1D3A78"/>
          <w:sz w:val="23"/>
        </w:rPr>
        <w:t>6.3 Fase Recursal</w:t>
      </w:r>
    </w:p>
    <w:tbl>
      <w:tblPr>
        <w:tblStyle w:val="TableGrid"/>
        <w:tblW w:type="auto" w:w="0"/>
        <w:jc w:val="left"/>
        <w:tblLook w:firstColumn="1" w:firstRow="1" w:lastColumn="0" w:lastRow="0" w:noHBand="0" w:noVBand="1" w:val="04A0"/>
      </w:tblPr>
      <w:tblGrid>
        <w:gridCol w:w="4702"/>
        <w:gridCol w:w="4702"/>
      </w:tblGrid>
      <w:tr>
        <w:tc>
          <w:tcPr>
            <w:tcW w:type="dxa" w:w="2835"/>
            <w:shd w:val="clear" w:color="auto" w:fill="00205B"/>
          </w:tcPr>
          <w:p>
            <w:pPr>
              <w:jc w:val="center"/>
            </w:pPr>
            <w:r>
              <w:rPr>
                <w:rFonts w:ascii="Arial" w:hAnsi="Arial"/>
                <w:b/>
                <w:color w:val="FFFFFF"/>
                <w:sz w:val="20"/>
              </w:rPr>
              <w:t>Item</w:t>
            </w:r>
          </w:p>
        </w:tc>
        <w:tc>
          <w:tcPr>
            <w:tcW w:type="dxa" w:w="6803"/>
            <w:shd w:val="clear" w:color="auto" w:fill="00205B"/>
          </w:tcPr>
          <w:p>
            <w:pPr>
              <w:jc w:val="center"/>
            </w:pPr>
            <w:r>
              <w:rPr>
                <w:rFonts w:ascii="Arial" w:hAnsi="Arial"/>
                <w:b/>
                <w:color w:val="FFFFFF"/>
                <w:sz w:val="20"/>
              </w:rPr>
              <w:t>Regra</w:t>
            </w:r>
          </w:p>
        </w:tc>
      </w:tr>
      <w:tr>
        <w:tc>
          <w:tcPr>
            <w:tcW w:type="dxa" w:w="2835"/>
            <w:shd w:val="clear" w:color="auto" w:fill="F2F2F2"/>
          </w:tcPr>
          <w:p>
            <w:pPr>
              <w:jc w:val="left"/>
            </w:pPr>
            <w:r>
              <w:rPr>
                <w:rFonts w:ascii="Arial" w:hAnsi="Arial"/>
                <w:sz w:val="20"/>
              </w:rPr>
              <w:t>Pedido de Reconsideração</w:t>
            </w:r>
          </w:p>
        </w:tc>
        <w:tc>
          <w:tcPr>
            <w:tcW w:type="dxa" w:w="6803"/>
            <w:shd w:val="clear" w:color="auto" w:fill="F2F2F2"/>
          </w:tcPr>
          <w:p>
            <w:pPr>
              <w:jc w:val="center"/>
            </w:pPr>
            <w:r>
              <w:rPr>
                <w:rFonts w:ascii="Arial" w:hAnsi="Arial"/>
                <w:sz w:val="20"/>
              </w:rPr>
              <w:t>Prazo de 10 dias da publicação no DOU</w:t>
            </w:r>
          </w:p>
        </w:tc>
      </w:tr>
      <w:tr>
        <w:tc>
          <w:tcPr>
            <w:tcW w:type="dxa" w:w="2835"/>
            <w:shd w:val="clear" w:color="auto" w:fill="FFFFFF"/>
          </w:tcPr>
          <w:p>
            <w:pPr>
              <w:jc w:val="left"/>
            </w:pPr>
            <w:r>
              <w:rPr>
                <w:rFonts w:ascii="Arial" w:hAnsi="Arial"/>
                <w:sz w:val="20"/>
              </w:rPr>
              <w:t>Efeito</w:t>
            </w:r>
          </w:p>
        </w:tc>
        <w:tc>
          <w:tcPr>
            <w:tcW w:type="dxa" w:w="6803"/>
            <w:shd w:val="clear" w:color="auto" w:fill="FFFFFF"/>
          </w:tcPr>
          <w:p>
            <w:pPr>
              <w:jc w:val="center"/>
            </w:pPr>
            <w:r>
              <w:rPr>
                <w:rFonts w:ascii="Arial" w:hAnsi="Arial"/>
                <w:sz w:val="20"/>
              </w:rPr>
              <w:t>Suspensivo — suspende os efeitos da decisão</w:t>
            </w:r>
          </w:p>
        </w:tc>
      </w:tr>
      <w:tr>
        <w:tc>
          <w:tcPr>
            <w:tcW w:type="dxa" w:w="2835"/>
            <w:shd w:val="clear" w:color="auto" w:fill="F2F2F2"/>
          </w:tcPr>
          <w:p>
            <w:pPr>
              <w:jc w:val="left"/>
            </w:pPr>
            <w:r>
              <w:rPr>
                <w:rFonts w:ascii="Arial" w:hAnsi="Arial"/>
                <w:sz w:val="20"/>
              </w:rPr>
              <w:t>Cumprimento</w:t>
            </w:r>
          </w:p>
        </w:tc>
        <w:tc>
          <w:tcPr>
            <w:tcW w:type="dxa" w:w="6803"/>
            <w:shd w:val="clear" w:color="auto" w:fill="F2F2F2"/>
          </w:tcPr>
          <w:p>
            <w:pPr>
              <w:jc w:val="center"/>
            </w:pPr>
            <w:r>
              <w:rPr>
                <w:rFonts w:ascii="Arial" w:hAnsi="Arial"/>
                <w:sz w:val="20"/>
              </w:rPr>
              <w:t>Confirmada a condenação, 30 dias para pagar a multa e comprovar a publicação</w:t>
            </w:r>
          </w:p>
        </w:tc>
      </w:tr>
    </w:tbl>
    <w:p/>
    <w:tbl>
      <w:tblPr>
        <w:tblStyle w:val="TableGrid"/>
        <w:tblW w:type="auto" w:w="0"/>
        <w:jc w:val="left"/>
        <w:tblLook w:firstColumn="1" w:firstRow="1" w:lastColumn="0" w:lastRow="0" w:noHBand="0" w:noVBand="1" w:val="04A0"/>
      </w:tblPr>
      <w:tblGrid>
        <w:gridCol w:w="9405"/>
      </w:tblGrid>
      <w:tr>
        <w:tc>
          <w:tcPr>
            <w:tcW w:type="dxa" w:w="9405"/>
            <w:shd w:val="clear" w:color="auto" w:fill="00205B"/>
            <w:tcBorders>
              <w:top w:val="none"/>
              <w:left w:val="none"/>
              <w:bottom w:val="none"/>
              <w:right w:val="none"/>
              <w:insideH w:val="none"/>
              <w:insideV w:val="none"/>
            </w:tcBorders>
            <w:tcBorders>
              <w:top w:val="none"/>
              <w:left w:val="none"/>
              <w:bottom w:val="none"/>
              <w:right w:val="none"/>
              <w:insideH w:val="none"/>
              <w:insideV w:val="none"/>
            </w:tcBorders>
            <w:tcBorders>
              <w:top w:val="none"/>
              <w:left w:val="none"/>
              <w:bottom w:val="none"/>
              <w:right w:val="none"/>
              <w:insideH w:val="none"/>
              <w:insideV w:val="none"/>
            </w:tcBorders>
            <w:tcBorders>
              <w:top w:val="none"/>
              <w:left w:val="none"/>
              <w:bottom w:val="none"/>
              <w:right w:val="none"/>
              <w:insideH w:val="none"/>
              <w:insideV w:val="none"/>
            </w:tcBorders>
          </w:tcPr>
          <w:p>
            <w:pPr>
              <w:spacing w:before="0" w:after="0"/>
              <w:ind w:left="170"/>
            </w:pPr>
            <w:r>
              <w:rPr>
                <w:rFonts w:ascii="Arial" w:hAnsi="Arial"/>
                <w:b/>
                <w:color w:val="FFFFFF"/>
                <w:sz w:val="26"/>
              </w:rPr>
              <w:t>7. ACORDO DE LENIÊNCIA E CADASTROS DE SANÇÕES</w:t>
            </w:r>
          </w:p>
        </w:tc>
      </w:tr>
    </w:tbl>
    <w:p/>
    <w:p>
      <w:pPr>
        <w:spacing w:before="240" w:after="80"/>
        <w:pBdr>
          <w:bottom w:val="single" w:sz="6" w:space="1" w:color="64A70B"/>
        </w:pBdr>
      </w:pPr>
      <w:r>
        <w:rPr>
          <w:rFonts w:ascii="Arial" w:hAnsi="Arial"/>
          <w:b/>
          <w:color w:val="1D3A78"/>
          <w:sz w:val="23"/>
        </w:rPr>
        <w:t>7.1 Acordo de Leniência (Art. 16)</w:t>
      </w:r>
    </w:p>
    <w:p>
      <w:pPr>
        <w:spacing w:before="0" w:after="80"/>
      </w:pPr>
      <w:r>
        <w:rPr>
          <w:rFonts w:ascii="Arial" w:hAnsi="Arial"/>
          <w:i w:val="0"/>
          <w:sz w:val="22"/>
        </w:rPr>
        <w:t>A autoridade máxima do órgão pode celebrar acordo com a PJ que colabore efetivamente. Requisitos cumulativos:</w:t>
      </w:r>
    </w:p>
    <w:p>
      <w:pPr>
        <w:pStyle w:val="ListBullet"/>
        <w:spacing w:before="0" w:after="40"/>
        <w:ind w:left="283"/>
      </w:pPr>
      <w:r>
        <w:rPr>
          <w:rFonts w:ascii="Arial" w:hAnsi="Arial"/>
          <w:sz w:val="22"/>
        </w:rPr>
        <w:t>Ser a primeira a manifestar interesse em cooperar (quando aplicável o critério de precedência);</w:t>
      </w:r>
    </w:p>
    <w:p>
      <w:pPr>
        <w:pStyle w:val="ListBullet"/>
        <w:spacing w:before="0" w:after="40"/>
        <w:ind w:left="283"/>
      </w:pPr>
      <w:r>
        <w:rPr>
          <w:rFonts w:ascii="Arial" w:hAnsi="Arial"/>
          <w:sz w:val="22"/>
        </w:rPr>
        <w:t>Cessação completa do envolvimento na infração a partir da propositura;</w:t>
      </w:r>
    </w:p>
    <w:p>
      <w:pPr>
        <w:pStyle w:val="ListBullet"/>
        <w:spacing w:before="0" w:after="40"/>
        <w:ind w:left="283"/>
      </w:pPr>
      <w:r>
        <w:rPr>
          <w:rFonts w:ascii="Arial" w:hAnsi="Arial"/>
          <w:sz w:val="22"/>
        </w:rPr>
        <w:t>Admissão integral da responsabilidade objetiva;</w:t>
      </w:r>
    </w:p>
    <w:p>
      <w:pPr>
        <w:pStyle w:val="ListBullet"/>
        <w:spacing w:before="0" w:after="40"/>
        <w:ind w:left="283"/>
      </w:pPr>
      <w:r>
        <w:rPr>
          <w:rFonts w:ascii="Arial" w:hAnsi="Arial"/>
          <w:sz w:val="22"/>
        </w:rPr>
        <w:t>Cooperação plena, contínua e de boa-fé.</w:t>
      </w:r>
    </w:p>
    <w:p>
      <w:pPr>
        <w:spacing w:before="0" w:after="80"/>
      </w:pPr>
      <w:r>
        <w:rPr>
          <w:rFonts w:ascii="Arial" w:hAnsi="Arial"/>
          <w:i w:val="0"/>
          <w:sz w:val="22"/>
        </w:rPr>
        <w:t>Benefícios:</w:t>
      </w:r>
    </w:p>
    <w:p>
      <w:pPr>
        <w:pStyle w:val="ListBullet"/>
        <w:spacing w:before="0" w:after="40"/>
        <w:ind w:left="283"/>
      </w:pPr>
      <w:r>
        <w:rPr>
          <w:rFonts w:ascii="Arial" w:hAnsi="Arial"/>
          <w:sz w:val="22"/>
        </w:rPr>
        <w:t>Redução de até 2/3 do valor da multa aplicável;</w:t>
      </w:r>
    </w:p>
    <w:p>
      <w:pPr>
        <w:pStyle w:val="ListBullet"/>
        <w:spacing w:before="0" w:after="40"/>
        <w:ind w:left="283"/>
      </w:pPr>
      <w:r>
        <w:rPr>
          <w:rFonts w:ascii="Arial" w:hAnsi="Arial"/>
          <w:sz w:val="22"/>
        </w:rPr>
        <w:t>Isenção da publicação extraordinária;</w:t>
      </w:r>
    </w:p>
    <w:p>
      <w:pPr>
        <w:pStyle w:val="ListBullet"/>
        <w:spacing w:before="0" w:after="40"/>
        <w:ind w:left="283"/>
      </w:pPr>
      <w:r>
        <w:rPr>
          <w:rFonts w:ascii="Arial" w:hAnsi="Arial"/>
          <w:sz w:val="22"/>
        </w:rPr>
        <w:t>Isenção da proibição de receber incentivos, subsídios, subvenções, doações ou empréstimos públicos.</w:t>
      </w:r>
    </w:p>
    <w:tbl>
      <w:tblPr>
        <w:tblStyle w:val="TableGrid"/>
        <w:tblW w:type="auto" w:w="0"/>
        <w:tblLook w:firstColumn="1" w:firstRow="1" w:lastColumn="0" w:lastRow="0" w:noHBand="0" w:noVBand="1" w:val="04A0"/>
      </w:tblPr>
      <w:tblGrid>
        <w:gridCol w:w="9405"/>
      </w:tblGrid>
      <w:tr>
        <w:tc>
          <w:tcPr>
            <w:tcW w:type="dxa" w:w="9405"/>
            <w:shd w:val="clear" w:color="auto" w:fill="F2F2F2"/>
            <w:tcBorders>
              <w:bottom w:val="single" w:sz="6" w:space="0" w:color="64A70B"/>
            </w:tcBorders>
          </w:tcPr>
          <w:p>
            <w:r>
              <w:rPr>
                <w:rFonts w:ascii="Arial" w:hAnsi="Arial"/>
                <w:color w:val="444400"/>
                <w:sz w:val="20"/>
              </w:rPr>
              <w:t>⚠  Na leniência, o prazo de 5 anos da reincidência (Art. 22, V) conta da celebração do acordo até cinco anos após a declaração de seu cumprimento.</w:t>
            </w:r>
          </w:p>
        </w:tc>
      </w:tr>
    </w:tbl>
    <w:p/>
    <w:p>
      <w:pPr>
        <w:spacing w:before="240" w:after="80"/>
        <w:pBdr>
          <w:bottom w:val="single" w:sz="6" w:space="1" w:color="64A70B"/>
        </w:pBdr>
      </w:pPr>
      <w:r>
        <w:rPr>
          <w:rFonts w:ascii="Arial" w:hAnsi="Arial"/>
          <w:b/>
          <w:color w:val="1D3A78"/>
          <w:sz w:val="23"/>
        </w:rPr>
        <w:t>7.2 Cadastros Nacionais de Sanções</w:t>
      </w:r>
    </w:p>
    <w:tbl>
      <w:tblPr>
        <w:tblStyle w:val="TableGrid"/>
        <w:tblW w:type="auto" w:w="0"/>
        <w:jc w:val="left"/>
        <w:tblLook w:firstColumn="1" w:firstRow="1" w:lastColumn="0" w:lastRow="0" w:noHBand="0" w:noVBand="1" w:val="04A0"/>
      </w:tblPr>
      <w:tblGrid>
        <w:gridCol w:w="4702"/>
        <w:gridCol w:w="4702"/>
      </w:tblGrid>
      <w:tr>
        <w:tc>
          <w:tcPr>
            <w:tcW w:type="dxa" w:w="3118"/>
            <w:shd w:val="clear" w:color="auto" w:fill="00205B"/>
          </w:tcPr>
          <w:p>
            <w:pPr>
              <w:jc w:val="center"/>
            </w:pPr>
            <w:r>
              <w:rPr>
                <w:rFonts w:ascii="Arial" w:hAnsi="Arial"/>
                <w:b/>
                <w:color w:val="FFFFFF"/>
                <w:sz w:val="20"/>
              </w:rPr>
              <w:t>Cadastro</w:t>
            </w:r>
          </w:p>
        </w:tc>
        <w:tc>
          <w:tcPr>
            <w:tcW w:type="dxa" w:w="6236"/>
            <w:shd w:val="clear" w:color="auto" w:fill="00205B"/>
          </w:tcPr>
          <w:p>
            <w:pPr>
              <w:jc w:val="center"/>
            </w:pPr>
            <w:r>
              <w:rPr>
                <w:rFonts w:ascii="Arial" w:hAnsi="Arial"/>
                <w:b/>
                <w:color w:val="FFFFFF"/>
                <w:sz w:val="20"/>
              </w:rPr>
              <w:t>Finalidade</w:t>
            </w:r>
          </w:p>
        </w:tc>
      </w:tr>
      <w:tr>
        <w:tc>
          <w:tcPr>
            <w:tcW w:type="dxa" w:w="3118"/>
            <w:shd w:val="clear" w:color="auto" w:fill="F2F2F2"/>
          </w:tcPr>
          <w:p>
            <w:pPr>
              <w:jc w:val="left"/>
            </w:pPr>
            <w:r>
              <w:rPr>
                <w:rFonts w:ascii="Arial" w:hAnsi="Arial"/>
                <w:sz w:val="20"/>
              </w:rPr>
              <w:t>CGU-PJ / Siasg</w:t>
            </w:r>
          </w:p>
        </w:tc>
        <w:tc>
          <w:tcPr>
            <w:tcW w:type="dxa" w:w="6236"/>
            <w:shd w:val="clear" w:color="auto" w:fill="F2F2F2"/>
          </w:tcPr>
          <w:p>
            <w:pPr>
              <w:jc w:val="center"/>
            </w:pPr>
            <w:r>
              <w:rPr>
                <w:rFonts w:ascii="Arial" w:hAnsi="Arial"/>
                <w:sz w:val="20"/>
              </w:rPr>
              <w:t>Controle interno dos processos de responsabilização de entes privados</w:t>
            </w:r>
          </w:p>
        </w:tc>
      </w:tr>
      <w:tr>
        <w:tc>
          <w:tcPr>
            <w:tcW w:type="dxa" w:w="3118"/>
            <w:shd w:val="clear" w:color="auto" w:fill="FFFFFF"/>
          </w:tcPr>
          <w:p>
            <w:pPr>
              <w:jc w:val="left"/>
            </w:pPr>
            <w:r>
              <w:rPr>
                <w:rFonts w:ascii="Arial" w:hAnsi="Arial"/>
                <w:sz w:val="20"/>
              </w:rPr>
              <w:t>CEIS — Empresas Inidôneas e Suspensas</w:t>
            </w:r>
          </w:p>
        </w:tc>
        <w:tc>
          <w:tcPr>
            <w:tcW w:type="dxa" w:w="6236"/>
            <w:shd w:val="clear" w:color="auto" w:fill="FFFFFF"/>
          </w:tcPr>
          <w:p>
            <w:pPr>
              <w:jc w:val="center"/>
            </w:pPr>
            <w:r>
              <w:rPr>
                <w:rFonts w:ascii="Arial" w:hAnsi="Arial"/>
                <w:sz w:val="20"/>
              </w:rPr>
              <w:t>Consolida sanções de restrição ao direito de licitar e contratar de todos os entes federativos</w:t>
            </w:r>
          </w:p>
        </w:tc>
      </w:tr>
      <w:tr>
        <w:tc>
          <w:tcPr>
            <w:tcW w:type="dxa" w:w="3118"/>
            <w:shd w:val="clear" w:color="auto" w:fill="F2F2F2"/>
          </w:tcPr>
          <w:p>
            <w:pPr>
              <w:jc w:val="left"/>
            </w:pPr>
            <w:r>
              <w:rPr>
                <w:rFonts w:ascii="Arial" w:hAnsi="Arial"/>
                <w:sz w:val="20"/>
              </w:rPr>
              <w:t>CNEP — Empresas Punidas</w:t>
            </w:r>
          </w:p>
        </w:tc>
        <w:tc>
          <w:tcPr>
            <w:tcW w:type="dxa" w:w="6236"/>
            <w:shd w:val="clear" w:color="auto" w:fill="F2F2F2"/>
          </w:tcPr>
          <w:p>
            <w:pPr>
              <w:jc w:val="center"/>
            </w:pPr>
            <w:r>
              <w:rPr>
                <w:rFonts w:ascii="Arial" w:hAnsi="Arial"/>
                <w:sz w:val="20"/>
              </w:rPr>
              <w:t>Dá publicidade às sanções aplicadas com base na Lei nº 12.846/2013</w:t>
            </w:r>
          </w:p>
        </w:tc>
      </w:tr>
    </w:tbl>
    <w:p/>
    <w:p>
      <w:pPr>
        <w:spacing w:before="2400"/>
        <w:jc w:val="center"/>
      </w:pPr>
      <w:r>
        <w:rPr>
          <w:rFonts w:ascii="Arial" w:hAnsi="Arial"/>
          <w:b/>
          <w:color w:val="00205B"/>
          <w:sz w:val="52"/>
        </w:rPr>
        <w:t>PARTE II</w:t>
      </w:r>
    </w:p>
    <w:tbl>
      <w:tblPr>
        <w:tblW w:type="auto" w:w="0"/>
        <w:jc w:val="center"/>
        <w:tblLook w:firstColumn="1" w:firstRow="1" w:lastColumn="0" w:lastRow="0" w:noHBand="0" w:noVBand="1" w:val="04A0"/>
      </w:tblPr>
      <w:tblGrid>
        <w:gridCol w:w="9405"/>
      </w:tblGrid>
      <w:tr>
        <w:tc>
          <w:tcPr>
            <w:tcW w:type="dxa" w:w="5669"/>
            <w:shd w:val="clear" w:color="auto" w:fill="64A70B"/>
          </w:tcPr>
          <w:p>
            <w:r>
              <w:t xml:space="preserve"> </w:t>
            </w:r>
          </w:p>
        </w:tc>
      </w:tr>
    </w:tbl>
    <w:p>
      <w:pPr>
        <w:spacing w:before="400"/>
        <w:jc w:val="center"/>
      </w:pPr>
      <w:r>
        <w:rPr>
          <w:rFonts w:ascii="Arial" w:hAnsi="Arial"/>
          <w:i/>
          <w:color w:val="1D3A78"/>
          <w:sz w:val="26"/>
        </w:rPr>
        <w:t>Dosimetria e Uso da Calculadora</w:t>
      </w:r>
    </w:p>
    <w:p>
      <w:r>
        <w:br w:type="page"/>
      </w:r>
    </w:p>
    <w:tbl>
      <w:tblPr>
        <w:tblStyle w:val="TableGrid"/>
        <w:tblW w:type="auto" w:w="0"/>
        <w:jc w:val="left"/>
        <w:tblLook w:firstColumn="1" w:firstRow="1" w:lastColumn="0" w:lastRow="0" w:noHBand="0" w:noVBand="1" w:val="04A0"/>
      </w:tblPr>
      <w:tblGrid>
        <w:gridCol w:w="9405"/>
      </w:tblGrid>
      <w:tr>
        <w:tc>
          <w:tcPr>
            <w:tcW w:type="dxa" w:w="9405"/>
            <w:shd w:val="clear" w:color="auto" w:fill="00205B"/>
            <w:tcBorders>
              <w:top w:val="none"/>
              <w:left w:val="none"/>
              <w:bottom w:val="none"/>
              <w:right w:val="none"/>
              <w:insideH w:val="none"/>
              <w:insideV w:val="none"/>
            </w:tcBorders>
            <w:tcBorders>
              <w:top w:val="none"/>
              <w:left w:val="none"/>
              <w:bottom w:val="none"/>
              <w:right w:val="none"/>
              <w:insideH w:val="none"/>
              <w:insideV w:val="none"/>
            </w:tcBorders>
            <w:tcBorders>
              <w:top w:val="none"/>
              <w:left w:val="none"/>
              <w:bottom w:val="none"/>
              <w:right w:val="none"/>
              <w:insideH w:val="none"/>
              <w:insideV w:val="none"/>
            </w:tcBorders>
            <w:tcBorders>
              <w:top w:val="none"/>
              <w:left w:val="none"/>
              <w:bottom w:val="none"/>
              <w:right w:val="none"/>
              <w:insideH w:val="none"/>
              <w:insideV w:val="none"/>
            </w:tcBorders>
          </w:tcPr>
          <w:p>
            <w:pPr>
              <w:spacing w:before="0" w:after="0"/>
              <w:ind w:left="170"/>
            </w:pPr>
            <w:r>
              <w:rPr>
                <w:rFonts w:ascii="Arial" w:hAnsi="Arial"/>
                <w:b/>
                <w:color w:val="FFFFFF"/>
                <w:sz w:val="26"/>
              </w:rPr>
              <w:t>1. INTRODUÇÃO E FINALIDADE</w:t>
            </w:r>
          </w:p>
        </w:tc>
      </w:tr>
    </w:tbl>
    <w:p/>
    <w:p>
      <w:pPr>
        <w:spacing w:before="0" w:after="80"/>
      </w:pPr>
      <w:r>
        <w:rPr>
          <w:rFonts w:ascii="Arial" w:hAnsi="Arial"/>
          <w:i w:val="0"/>
          <w:sz w:val="22"/>
        </w:rPr>
        <w:t>A Calculadora de Multa PAR é uma ferramenta de apoio à decisão desenvolvida pela Corregedoria da Receita Federal do Brasil para uso nos Processos Administrativos de Responsabilização (PAR) instaurados com base na Lei Anticorrupção (Lei nº 12.846/2013) e seu decreto regulamentador (Decreto nº 11.129/2022).</w:t>
      </w:r>
    </w:p>
    <w:p>
      <w:pPr>
        <w:spacing w:before="0" w:after="80"/>
      </w:pPr>
      <w:r>
        <w:rPr>
          <w:rFonts w:ascii="Arial" w:hAnsi="Arial"/>
          <w:i w:val="0"/>
          <w:sz w:val="22"/>
        </w:rPr>
        <w:t>A ferramenta tem como objetivos:</w:t>
      </w:r>
    </w:p>
    <w:p>
      <w:pPr>
        <w:pStyle w:val="ListBullet"/>
        <w:spacing w:before="0" w:after="40"/>
        <w:ind w:left="283"/>
      </w:pPr>
      <w:r>
        <w:rPr>
          <w:rFonts w:ascii="Arial" w:hAnsi="Arial"/>
          <w:sz w:val="22"/>
        </w:rPr>
        <w:t>Padronizar a dosimetria das sanções pecuniárias aplicadas às pessoas jurídicas;</w:t>
      </w:r>
    </w:p>
    <w:p>
      <w:pPr>
        <w:pStyle w:val="ListBullet"/>
        <w:spacing w:before="0" w:after="40"/>
        <w:ind w:left="283"/>
      </w:pPr>
      <w:r>
        <w:rPr>
          <w:rFonts w:ascii="Arial" w:hAnsi="Arial"/>
          <w:sz w:val="22"/>
        </w:rPr>
        <w:t>Transparência — cada percentual aplicado está vinculado a um dispositivo legal específico;</w:t>
      </w:r>
    </w:p>
    <w:p>
      <w:pPr>
        <w:pStyle w:val="ListBullet"/>
        <w:spacing w:before="0" w:after="40"/>
        <w:ind w:left="283"/>
      </w:pPr>
      <w:r>
        <w:rPr>
          <w:rFonts w:ascii="Arial" w:hAnsi="Arial"/>
          <w:sz w:val="22"/>
        </w:rPr>
        <w:t>Rastreabilidade — o relatório final gerado documenta todos os parâmetros utilizados, servindo como instrumento de instrução processual;</w:t>
      </w:r>
    </w:p>
    <w:p>
      <w:pPr>
        <w:pStyle w:val="ListBullet"/>
        <w:spacing w:before="0" w:after="40"/>
        <w:ind w:left="283"/>
      </w:pPr>
      <w:r>
        <w:rPr>
          <w:rFonts w:ascii="Arial" w:hAnsi="Arial"/>
          <w:sz w:val="22"/>
        </w:rPr>
        <w:t>Reduzir erros de cálculo, especialmente nas interações entre os limites mínimo, máximo, vantagem auferida e alíquota preliminar.</w:t>
      </w:r>
    </w:p>
    <w:p>
      <w:pPr>
        <w:spacing w:before="0" w:after="80"/>
      </w:pPr>
      <w:r>
        <w:rPr>
          <w:rFonts w:ascii="Arial" w:hAnsi="Arial"/>
          <w:i w:val="0"/>
          <w:sz w:val="22"/>
        </w:rPr>
        <w:t>A calculadora funciona integralmente offline (sem dependência de servidores externos), sendo adequada para uso em ambientes com restrições de conectividade.</w:t>
      </w:r>
    </w:p>
    <w:tbl>
      <w:tblPr>
        <w:tblStyle w:val="TableGrid"/>
        <w:tblW w:type="auto" w:w="0"/>
        <w:jc w:val="left"/>
        <w:tblLook w:firstColumn="1" w:firstRow="1" w:lastColumn="0" w:lastRow="0" w:noHBand="0" w:noVBand="1" w:val="04A0"/>
      </w:tblPr>
      <w:tblGrid>
        <w:gridCol w:w="9405"/>
      </w:tblGrid>
      <w:tr>
        <w:tc>
          <w:tcPr>
            <w:tcW w:type="dxa" w:w="9405"/>
            <w:shd w:val="clear" w:color="auto" w:fill="00205B"/>
            <w:tcBorders>
              <w:top w:val="none"/>
              <w:left w:val="none"/>
              <w:bottom w:val="none"/>
              <w:right w:val="none"/>
              <w:insideH w:val="none"/>
              <w:insideV w:val="none"/>
            </w:tcBorders>
            <w:tcBorders>
              <w:top w:val="none"/>
              <w:left w:val="none"/>
              <w:bottom w:val="none"/>
              <w:right w:val="none"/>
              <w:insideH w:val="none"/>
              <w:insideV w:val="none"/>
            </w:tcBorders>
            <w:tcBorders>
              <w:top w:val="none"/>
              <w:left w:val="none"/>
              <w:bottom w:val="none"/>
              <w:right w:val="none"/>
              <w:insideH w:val="none"/>
              <w:insideV w:val="none"/>
            </w:tcBorders>
            <w:tcBorders>
              <w:top w:val="none"/>
              <w:left w:val="none"/>
              <w:bottom w:val="none"/>
              <w:right w:val="none"/>
              <w:insideH w:val="none"/>
              <w:insideV w:val="none"/>
            </w:tcBorders>
          </w:tcPr>
          <w:p>
            <w:pPr>
              <w:spacing w:before="0" w:after="0"/>
              <w:ind w:left="170"/>
            </w:pPr>
            <w:r>
              <w:rPr>
                <w:rFonts w:ascii="Arial" w:hAnsi="Arial"/>
                <w:b/>
                <w:color w:val="FFFFFF"/>
                <w:sz w:val="26"/>
              </w:rPr>
              <w:t>2. FUNDAMENTO LEGAL</w:t>
            </w:r>
          </w:p>
        </w:tc>
      </w:tr>
    </w:tbl>
    <w:p/>
    <w:p>
      <w:pPr>
        <w:spacing w:before="240" w:after="80"/>
        <w:pBdr>
          <w:bottom w:val="single" w:sz="6" w:space="1" w:color="64A70B"/>
        </w:pBdr>
      </w:pPr>
      <w:r>
        <w:rPr>
          <w:rFonts w:ascii="Arial" w:hAnsi="Arial"/>
          <w:b/>
          <w:color w:val="1D3A78"/>
          <w:sz w:val="23"/>
        </w:rPr>
        <w:t>2.1 Lei nº 12.846/2013 — Lei Anticorrupção (LAC)</w:t>
      </w:r>
    </w:p>
    <w:tbl>
      <w:tblPr>
        <w:tblStyle w:val="TableGrid"/>
        <w:tblW w:type="auto" w:w="0"/>
        <w:jc w:val="left"/>
        <w:tblLook w:firstColumn="1" w:firstRow="1" w:lastColumn="0" w:lastRow="0" w:noHBand="0" w:noVBand="1" w:val="04A0"/>
      </w:tblPr>
      <w:tblGrid>
        <w:gridCol w:w="4702"/>
        <w:gridCol w:w="4702"/>
      </w:tblGrid>
      <w:tr>
        <w:tc>
          <w:tcPr>
            <w:tcW w:type="dxa" w:w="2268"/>
            <w:shd w:val="clear" w:color="auto" w:fill="00205B"/>
          </w:tcPr>
          <w:p>
            <w:pPr>
              <w:jc w:val="center"/>
            </w:pPr>
            <w:r>
              <w:rPr>
                <w:rFonts w:ascii="Arial" w:hAnsi="Arial"/>
                <w:b/>
                <w:color w:val="FFFFFF"/>
                <w:sz w:val="20"/>
              </w:rPr>
              <w:t>Dispositivo</w:t>
            </w:r>
          </w:p>
        </w:tc>
        <w:tc>
          <w:tcPr>
            <w:tcW w:type="dxa" w:w="6803"/>
            <w:shd w:val="clear" w:color="auto" w:fill="00205B"/>
          </w:tcPr>
          <w:p>
            <w:pPr>
              <w:jc w:val="center"/>
            </w:pPr>
            <w:r>
              <w:rPr>
                <w:rFonts w:ascii="Arial" w:hAnsi="Arial"/>
                <w:b/>
                <w:color w:val="FFFFFF"/>
                <w:sz w:val="20"/>
              </w:rPr>
              <w:t>Conteúdo</w:t>
            </w:r>
          </w:p>
        </w:tc>
      </w:tr>
      <w:tr>
        <w:tc>
          <w:tcPr>
            <w:tcW w:type="dxa" w:w="2268"/>
            <w:shd w:val="clear" w:color="auto" w:fill="F2F2F2"/>
          </w:tcPr>
          <w:p>
            <w:pPr>
              <w:jc w:val="left"/>
            </w:pPr>
            <w:r>
              <w:rPr>
                <w:rFonts w:ascii="Arial" w:hAnsi="Arial"/>
                <w:sz w:val="20"/>
              </w:rPr>
              <w:t>Art. 5º</w:t>
            </w:r>
          </w:p>
        </w:tc>
        <w:tc>
          <w:tcPr>
            <w:tcW w:type="dxa" w:w="6803"/>
            <w:shd w:val="clear" w:color="auto" w:fill="F2F2F2"/>
          </w:tcPr>
          <w:p>
            <w:pPr>
              <w:jc w:val="center"/>
            </w:pPr>
            <w:r>
              <w:rPr>
                <w:rFonts w:ascii="Arial" w:hAnsi="Arial"/>
                <w:sz w:val="20"/>
              </w:rPr>
              <w:t>Tipificação dos atos lesivos à administração pública</w:t>
            </w:r>
          </w:p>
        </w:tc>
      </w:tr>
      <w:tr>
        <w:tc>
          <w:tcPr>
            <w:tcW w:type="dxa" w:w="2268"/>
            <w:shd w:val="clear" w:color="auto" w:fill="FFFFFF"/>
          </w:tcPr>
          <w:p>
            <w:pPr>
              <w:jc w:val="left"/>
            </w:pPr>
            <w:r>
              <w:rPr>
                <w:rFonts w:ascii="Arial" w:hAnsi="Arial"/>
                <w:sz w:val="20"/>
              </w:rPr>
              <w:t>Art. 6º, I</w:t>
            </w:r>
          </w:p>
        </w:tc>
        <w:tc>
          <w:tcPr>
            <w:tcW w:type="dxa" w:w="6803"/>
            <w:shd w:val="clear" w:color="auto" w:fill="FFFFFF"/>
          </w:tcPr>
          <w:p>
            <w:pPr>
              <w:jc w:val="center"/>
            </w:pPr>
            <w:r>
              <w:rPr>
                <w:rFonts w:ascii="Arial" w:hAnsi="Arial"/>
                <w:sz w:val="20"/>
              </w:rPr>
              <w:t>Multa de 0,1% a 20% do faturamento bruto da pessoa jurídica</w:t>
            </w:r>
          </w:p>
        </w:tc>
      </w:tr>
      <w:tr>
        <w:tc>
          <w:tcPr>
            <w:tcW w:type="dxa" w:w="2268"/>
            <w:shd w:val="clear" w:color="auto" w:fill="F2F2F2"/>
          </w:tcPr>
          <w:p>
            <w:pPr>
              <w:jc w:val="left"/>
            </w:pPr>
            <w:r>
              <w:rPr>
                <w:rFonts w:ascii="Arial" w:hAnsi="Arial"/>
                <w:sz w:val="20"/>
              </w:rPr>
              <w:t>Art. 6º, II</w:t>
            </w:r>
          </w:p>
        </w:tc>
        <w:tc>
          <w:tcPr>
            <w:tcW w:type="dxa" w:w="6803"/>
            <w:shd w:val="clear" w:color="auto" w:fill="F2F2F2"/>
          </w:tcPr>
          <w:p>
            <w:pPr>
              <w:jc w:val="center"/>
            </w:pPr>
            <w:r>
              <w:rPr>
                <w:rFonts w:ascii="Arial" w:hAnsi="Arial"/>
                <w:sz w:val="20"/>
              </w:rPr>
              <w:t>Publicação extraordinária da decisão condenatória</w:t>
            </w:r>
          </w:p>
        </w:tc>
      </w:tr>
    </w:tbl>
    <w:p/>
    <w:p>
      <w:pPr>
        <w:spacing w:before="240" w:after="80"/>
        <w:pBdr>
          <w:bottom w:val="single" w:sz="6" w:space="1" w:color="64A70B"/>
        </w:pBdr>
      </w:pPr>
      <w:r>
        <w:rPr>
          <w:rFonts w:ascii="Arial" w:hAnsi="Arial"/>
          <w:b/>
          <w:color w:val="1D3A78"/>
          <w:sz w:val="23"/>
        </w:rPr>
        <w:t>2.2 Decreto nº 11.129/2022</w:t>
      </w:r>
    </w:p>
    <w:tbl>
      <w:tblPr>
        <w:tblStyle w:val="TableGrid"/>
        <w:tblW w:type="auto" w:w="0"/>
        <w:jc w:val="left"/>
        <w:tblLook w:firstColumn="1" w:firstRow="1" w:lastColumn="0" w:lastRow="0" w:noHBand="0" w:noVBand="1" w:val="04A0"/>
      </w:tblPr>
      <w:tblGrid>
        <w:gridCol w:w="4702"/>
        <w:gridCol w:w="4702"/>
      </w:tblGrid>
      <w:tr>
        <w:tc>
          <w:tcPr>
            <w:tcW w:type="dxa" w:w="2268"/>
            <w:shd w:val="clear" w:color="auto" w:fill="00205B"/>
          </w:tcPr>
          <w:p>
            <w:pPr>
              <w:jc w:val="center"/>
            </w:pPr>
            <w:r>
              <w:rPr>
                <w:rFonts w:ascii="Arial" w:hAnsi="Arial"/>
                <w:b/>
                <w:color w:val="FFFFFF"/>
                <w:sz w:val="20"/>
              </w:rPr>
              <w:t>Dispositivo</w:t>
            </w:r>
          </w:p>
        </w:tc>
        <w:tc>
          <w:tcPr>
            <w:tcW w:type="dxa" w:w="6803"/>
            <w:shd w:val="clear" w:color="auto" w:fill="00205B"/>
          </w:tcPr>
          <w:p>
            <w:pPr>
              <w:jc w:val="center"/>
            </w:pPr>
            <w:r>
              <w:rPr>
                <w:rFonts w:ascii="Arial" w:hAnsi="Arial"/>
                <w:b/>
                <w:color w:val="FFFFFF"/>
                <w:sz w:val="20"/>
              </w:rPr>
              <w:t>Conteúdo</w:t>
            </w:r>
          </w:p>
        </w:tc>
      </w:tr>
      <w:tr>
        <w:tc>
          <w:tcPr>
            <w:tcW w:type="dxa" w:w="2268"/>
            <w:shd w:val="clear" w:color="auto" w:fill="F2F2F2"/>
          </w:tcPr>
          <w:p>
            <w:pPr>
              <w:jc w:val="left"/>
            </w:pPr>
            <w:r>
              <w:rPr>
                <w:rFonts w:ascii="Arial" w:hAnsi="Arial"/>
                <w:sz w:val="20"/>
              </w:rPr>
              <w:t>Art. 20</w:t>
            </w:r>
          </w:p>
        </w:tc>
        <w:tc>
          <w:tcPr>
            <w:tcW w:type="dxa" w:w="6803"/>
            <w:shd w:val="clear" w:color="auto" w:fill="F2F2F2"/>
          </w:tcPr>
          <w:p>
            <w:pPr>
              <w:jc w:val="center"/>
            </w:pPr>
            <w:r>
              <w:rPr>
                <w:rFonts w:ascii="Arial" w:hAnsi="Arial"/>
                <w:sz w:val="20"/>
              </w:rPr>
              <w:t>Base de cálculo: faturamento bruto do último exercício anterior ao PAR</w:t>
            </w:r>
          </w:p>
        </w:tc>
      </w:tr>
      <w:tr>
        <w:tc>
          <w:tcPr>
            <w:tcW w:type="dxa" w:w="2268"/>
            <w:shd w:val="clear" w:color="auto" w:fill="FFFFFF"/>
          </w:tcPr>
          <w:p>
            <w:pPr>
              <w:jc w:val="left"/>
            </w:pPr>
            <w:r>
              <w:rPr>
                <w:rFonts w:ascii="Arial" w:hAnsi="Arial"/>
                <w:sz w:val="20"/>
              </w:rPr>
              <w:t>Art. 21</w:t>
            </w:r>
          </w:p>
        </w:tc>
        <w:tc>
          <w:tcPr>
            <w:tcW w:type="dxa" w:w="6803"/>
            <w:shd w:val="clear" w:color="auto" w:fill="FFFFFF"/>
          </w:tcPr>
          <w:p>
            <w:pPr>
              <w:jc w:val="center"/>
            </w:pPr>
            <w:r>
              <w:rPr>
                <w:rFonts w:ascii="Arial" w:hAnsi="Arial"/>
                <w:sz w:val="20"/>
              </w:rPr>
              <w:t>Hipótese subsidiária: ausência de faturamento no exercício anterior</w:t>
            </w:r>
          </w:p>
        </w:tc>
      </w:tr>
      <w:tr>
        <w:tc>
          <w:tcPr>
            <w:tcW w:type="dxa" w:w="2268"/>
            <w:shd w:val="clear" w:color="auto" w:fill="F2F2F2"/>
          </w:tcPr>
          <w:p>
            <w:pPr>
              <w:jc w:val="left"/>
            </w:pPr>
            <w:r>
              <w:rPr>
                <w:rFonts w:ascii="Arial" w:hAnsi="Arial"/>
                <w:sz w:val="20"/>
              </w:rPr>
              <w:t>Art. 22</w:t>
            </w:r>
          </w:p>
        </w:tc>
        <w:tc>
          <w:tcPr>
            <w:tcW w:type="dxa" w:w="6803"/>
            <w:shd w:val="clear" w:color="auto" w:fill="F2F2F2"/>
          </w:tcPr>
          <w:p>
            <w:pPr>
              <w:jc w:val="center"/>
            </w:pPr>
            <w:r>
              <w:rPr>
                <w:rFonts w:ascii="Arial" w:hAnsi="Arial"/>
                <w:sz w:val="20"/>
              </w:rPr>
              <w:t>Fatores agravantes (I a VI)</w:t>
            </w:r>
          </w:p>
        </w:tc>
      </w:tr>
      <w:tr>
        <w:tc>
          <w:tcPr>
            <w:tcW w:type="dxa" w:w="2268"/>
            <w:shd w:val="clear" w:color="auto" w:fill="FFFFFF"/>
          </w:tcPr>
          <w:p>
            <w:pPr>
              <w:jc w:val="left"/>
            </w:pPr>
            <w:r>
              <w:rPr>
                <w:rFonts w:ascii="Arial" w:hAnsi="Arial"/>
                <w:sz w:val="20"/>
              </w:rPr>
              <w:t>Art. 23</w:t>
            </w:r>
          </w:p>
        </w:tc>
        <w:tc>
          <w:tcPr>
            <w:tcW w:type="dxa" w:w="6803"/>
            <w:shd w:val="clear" w:color="auto" w:fill="FFFFFF"/>
          </w:tcPr>
          <w:p>
            <w:pPr>
              <w:jc w:val="center"/>
            </w:pPr>
            <w:r>
              <w:rPr>
                <w:rFonts w:ascii="Arial" w:hAnsi="Arial"/>
                <w:sz w:val="20"/>
              </w:rPr>
              <w:t>Fatores atenuantes (I a V)</w:t>
            </w:r>
          </w:p>
        </w:tc>
      </w:tr>
      <w:tr>
        <w:tc>
          <w:tcPr>
            <w:tcW w:type="dxa" w:w="2268"/>
            <w:shd w:val="clear" w:color="auto" w:fill="F2F2F2"/>
          </w:tcPr>
          <w:p>
            <w:pPr>
              <w:jc w:val="left"/>
            </w:pPr>
            <w:r>
              <w:rPr>
                <w:rFonts w:ascii="Arial" w:hAnsi="Arial"/>
                <w:sz w:val="20"/>
              </w:rPr>
              <w:t>Art. 24</w:t>
            </w:r>
          </w:p>
        </w:tc>
        <w:tc>
          <w:tcPr>
            <w:tcW w:type="dxa" w:w="6803"/>
            <w:shd w:val="clear" w:color="auto" w:fill="F2F2F2"/>
          </w:tcPr>
          <w:p>
            <w:pPr>
              <w:jc w:val="center"/>
            </w:pPr>
            <w:r>
              <w:rPr>
                <w:rFonts w:ascii="Arial" w:hAnsi="Arial"/>
                <w:sz w:val="20"/>
              </w:rPr>
              <w:t>Publicação extraordinária e critérios de prazo</w:t>
            </w:r>
          </w:p>
        </w:tc>
      </w:tr>
      <w:tr>
        <w:tc>
          <w:tcPr>
            <w:tcW w:type="dxa" w:w="2268"/>
            <w:shd w:val="clear" w:color="auto" w:fill="FFFFFF"/>
          </w:tcPr>
          <w:p>
            <w:pPr>
              <w:jc w:val="left"/>
            </w:pPr>
            <w:r>
              <w:rPr>
                <w:rFonts w:ascii="Arial" w:hAnsi="Arial"/>
                <w:sz w:val="20"/>
              </w:rPr>
              <w:t>Art. 25</w:t>
            </w:r>
          </w:p>
        </w:tc>
        <w:tc>
          <w:tcPr>
            <w:tcW w:type="dxa" w:w="6803"/>
            <w:shd w:val="clear" w:color="auto" w:fill="FFFFFF"/>
          </w:tcPr>
          <w:p>
            <w:pPr>
              <w:jc w:val="center"/>
            </w:pPr>
            <w:r>
              <w:rPr>
                <w:rFonts w:ascii="Arial" w:hAnsi="Arial"/>
                <w:sz w:val="20"/>
              </w:rPr>
              <w:t>Limites mínimo e máximo da multa</w:t>
            </w:r>
          </w:p>
        </w:tc>
      </w:tr>
      <w:tr>
        <w:tc>
          <w:tcPr>
            <w:tcW w:type="dxa" w:w="2268"/>
            <w:shd w:val="clear" w:color="auto" w:fill="F2F2F2"/>
          </w:tcPr>
          <w:p>
            <w:pPr>
              <w:jc w:val="left"/>
            </w:pPr>
            <w:r>
              <w:rPr>
                <w:rFonts w:ascii="Arial" w:hAnsi="Arial"/>
                <w:sz w:val="20"/>
              </w:rPr>
              <w:t>Art. 26</w:t>
            </w:r>
          </w:p>
        </w:tc>
        <w:tc>
          <w:tcPr>
            <w:tcW w:type="dxa" w:w="6803"/>
            <w:shd w:val="clear" w:color="auto" w:fill="F2F2F2"/>
          </w:tcPr>
          <w:p>
            <w:pPr>
              <w:jc w:val="center"/>
            </w:pPr>
            <w:r>
              <w:rPr>
                <w:rFonts w:ascii="Arial" w:hAnsi="Arial"/>
                <w:sz w:val="20"/>
              </w:rPr>
              <w:t>Métodos de apuração da vantagem auferida (I a III)</w:t>
            </w:r>
          </w:p>
        </w:tc>
      </w:tr>
    </w:tbl>
    <w:p/>
    <w:p>
      <w:pPr>
        <w:spacing w:before="240" w:after="80"/>
        <w:pBdr>
          <w:bottom w:val="single" w:sz="6" w:space="1" w:color="64A70B"/>
        </w:pBdr>
      </w:pPr>
      <w:r>
        <w:rPr>
          <w:rFonts w:ascii="Arial" w:hAnsi="Arial"/>
          <w:b/>
          <w:color w:val="1D3A78"/>
          <w:sz w:val="23"/>
        </w:rPr>
        <w:t>2.3 Orientações complementares</w:t>
      </w:r>
    </w:p>
    <w:p>
      <w:pPr>
        <w:pStyle w:val="ListBullet"/>
        <w:spacing w:before="0" w:after="40"/>
        <w:ind w:left="283"/>
      </w:pPr>
      <w:r>
        <w:rPr>
          <w:rFonts w:ascii="Arial" w:hAnsi="Arial"/>
          <w:sz w:val="22"/>
        </w:rPr>
        <w:t>IN CGU nº 1/2015 — metodologia de avaliação do programa de integridade;</w:t>
      </w:r>
    </w:p>
    <w:p>
      <w:pPr>
        <w:pStyle w:val="ListBullet"/>
        <w:spacing w:before="0" w:after="40"/>
        <w:ind w:left="283"/>
      </w:pPr>
      <w:r>
        <w:rPr>
          <w:rFonts w:ascii="Arial" w:hAnsi="Arial"/>
          <w:sz w:val="22"/>
        </w:rPr>
        <w:t>Manual de Responsabilização de Entes Privados da CGU (3ª ed., jun/2026) — metodologia oficial de dosimetria (Tabela 3.1: interrupção de serviço público; Tabela 6: colaboração);</w:t>
      </w:r>
    </w:p>
    <w:p>
      <w:pPr>
        <w:pStyle w:val="ListBullet"/>
        <w:spacing w:before="0" w:after="40"/>
        <w:ind w:left="283"/>
      </w:pPr>
      <w:r>
        <w:rPr>
          <w:rFonts w:ascii="Arial" w:hAnsi="Arial"/>
          <w:sz w:val="22"/>
        </w:rPr>
        <w:t>Portaria Conjunta CGU nº 6/2022 — Adendo nº 1 ao Manual Prático de Avaliação de Programa de Integridade; fator multiplicador de 1,25 (Art. 23, V);</w:t>
      </w:r>
    </w:p>
    <w:p>
      <w:pPr>
        <w:pStyle w:val="ListBullet"/>
        <w:spacing w:before="0" w:after="40"/>
        <w:ind w:left="283"/>
      </w:pPr>
      <w:r>
        <w:rPr>
          <w:rFonts w:ascii="Arial" w:hAnsi="Arial"/>
          <w:sz w:val="22"/>
        </w:rPr>
        <w:t>Guia CGU de Responsabilização de Pessoas Jurídicas — parâmetros interpretativos e tabelas de referência;</w:t>
      </w:r>
    </w:p>
    <w:p>
      <w:pPr>
        <w:pStyle w:val="ListBullet"/>
        <w:spacing w:before="0" w:after="40"/>
        <w:ind w:left="283"/>
      </w:pPr>
      <w:r>
        <w:rPr>
          <w:rFonts w:ascii="Arial" w:hAnsi="Arial"/>
          <w:sz w:val="22"/>
        </w:rPr>
        <w:t>Tabela 5 do Guia CGU — escalonamento dos percentuais de ressarcimento (Art. 23, II).</w:t>
      </w:r>
    </w:p>
    <w:tbl>
      <w:tblPr>
        <w:tblStyle w:val="TableGrid"/>
        <w:tblW w:type="auto" w:w="0"/>
        <w:jc w:val="left"/>
        <w:tblLook w:firstColumn="1" w:firstRow="1" w:lastColumn="0" w:lastRow="0" w:noHBand="0" w:noVBand="1" w:val="04A0"/>
      </w:tblPr>
      <w:tblGrid>
        <w:gridCol w:w="9405"/>
      </w:tblGrid>
      <w:tr>
        <w:tc>
          <w:tcPr>
            <w:tcW w:type="dxa" w:w="9405"/>
            <w:shd w:val="clear" w:color="auto" w:fill="00205B"/>
            <w:tcBorders>
              <w:top w:val="none"/>
              <w:left w:val="none"/>
              <w:bottom w:val="none"/>
              <w:right w:val="none"/>
              <w:insideH w:val="none"/>
              <w:insideV w:val="none"/>
            </w:tcBorders>
            <w:tcBorders>
              <w:top w:val="none"/>
              <w:left w:val="none"/>
              <w:bottom w:val="none"/>
              <w:right w:val="none"/>
              <w:insideH w:val="none"/>
              <w:insideV w:val="none"/>
            </w:tcBorders>
            <w:tcBorders>
              <w:top w:val="none"/>
              <w:left w:val="none"/>
              <w:bottom w:val="none"/>
              <w:right w:val="none"/>
              <w:insideH w:val="none"/>
              <w:insideV w:val="none"/>
            </w:tcBorders>
            <w:tcBorders>
              <w:top w:val="none"/>
              <w:left w:val="none"/>
              <w:bottom w:val="none"/>
              <w:right w:val="none"/>
              <w:insideH w:val="none"/>
              <w:insideV w:val="none"/>
            </w:tcBorders>
          </w:tcPr>
          <w:p>
            <w:pPr>
              <w:spacing w:before="0" w:after="0"/>
              <w:ind w:left="170"/>
            </w:pPr>
            <w:r>
              <w:rPr>
                <w:rFonts w:ascii="Arial" w:hAnsi="Arial"/>
                <w:b/>
                <w:color w:val="FFFFFF"/>
                <w:sz w:val="26"/>
              </w:rPr>
              <w:t>3. ESTRUTURA GERAL DA CALCULADORA</w:t>
            </w:r>
          </w:p>
        </w:tc>
      </w:tr>
    </w:tbl>
    <w:p/>
    <w:p>
      <w:pPr>
        <w:spacing w:before="0" w:after="80"/>
      </w:pPr>
      <w:r>
        <w:rPr>
          <w:rFonts w:ascii="Arial" w:hAnsi="Arial"/>
          <w:i w:val="0"/>
          <w:sz w:val="22"/>
        </w:rPr>
        <w:t>A calculadora é organizada em 14 etapas sequenciais (Steps 0 a 13), agrupadas em três blocos funcionais:</w:t>
      </w:r>
    </w:p>
    <w:tbl>
      <w:tblPr>
        <w:tblStyle w:val="TableGrid"/>
        <w:tblW w:type="auto" w:w="0"/>
        <w:jc w:val="left"/>
        <w:tblLook w:firstColumn="1" w:firstRow="1" w:lastColumn="0" w:lastRow="0" w:noHBand="0" w:noVBand="1" w:val="04A0"/>
      </w:tblPr>
      <w:tblGrid>
        <w:gridCol w:w="3135"/>
        <w:gridCol w:w="3135"/>
        <w:gridCol w:w="3135"/>
      </w:tblGrid>
      <w:tr>
        <w:tc>
          <w:tcPr>
            <w:tcW w:type="dxa" w:w="2835"/>
            <w:shd w:val="clear" w:color="auto" w:fill="00205B"/>
          </w:tcPr>
          <w:p>
            <w:pPr>
              <w:jc w:val="center"/>
            </w:pPr>
            <w:r>
              <w:rPr>
                <w:rFonts w:ascii="Arial" w:hAnsi="Arial"/>
                <w:b/>
                <w:color w:val="FFFFFF"/>
                <w:sz w:val="20"/>
              </w:rPr>
              <w:t>Bloco</w:t>
            </w:r>
          </w:p>
        </w:tc>
        <w:tc>
          <w:tcPr>
            <w:tcW w:type="dxa" w:w="2268"/>
            <w:shd w:val="clear" w:color="auto" w:fill="00205B"/>
          </w:tcPr>
          <w:p>
            <w:pPr>
              <w:jc w:val="center"/>
            </w:pPr>
            <w:r>
              <w:rPr>
                <w:rFonts w:ascii="Arial" w:hAnsi="Arial"/>
                <w:b/>
                <w:color w:val="FFFFFF"/>
                <w:sz w:val="20"/>
              </w:rPr>
              <w:t>Etapas</w:t>
            </w:r>
          </w:p>
        </w:tc>
        <w:tc>
          <w:tcPr>
            <w:tcW w:type="dxa" w:w="4535"/>
            <w:shd w:val="clear" w:color="auto" w:fill="00205B"/>
          </w:tcPr>
          <w:p>
            <w:pPr>
              <w:jc w:val="center"/>
            </w:pPr>
            <w:r>
              <w:rPr>
                <w:rFonts w:ascii="Arial" w:hAnsi="Arial"/>
                <w:b/>
                <w:color w:val="FFFFFF"/>
                <w:sz w:val="20"/>
              </w:rPr>
              <w:t>Conteúdo</w:t>
            </w:r>
          </w:p>
        </w:tc>
      </w:tr>
      <w:tr>
        <w:tc>
          <w:tcPr>
            <w:tcW w:type="dxa" w:w="2835"/>
            <w:shd w:val="clear" w:color="auto" w:fill="F2F2F2"/>
          </w:tcPr>
          <w:p>
            <w:pPr>
              <w:jc w:val="left"/>
            </w:pPr>
            <w:r>
              <w:rPr>
                <w:rFonts w:ascii="Arial" w:hAnsi="Arial"/>
                <w:sz w:val="20"/>
              </w:rPr>
              <w:t>A — Base de Cálculo</w:t>
            </w:r>
          </w:p>
        </w:tc>
        <w:tc>
          <w:tcPr>
            <w:tcW w:type="dxa" w:w="2268"/>
            <w:shd w:val="clear" w:color="auto" w:fill="F2F2F2"/>
          </w:tcPr>
          <w:p>
            <w:pPr>
              <w:jc w:val="center"/>
            </w:pPr>
            <w:r>
              <w:rPr>
                <w:rFonts w:ascii="Arial" w:hAnsi="Arial"/>
                <w:sz w:val="20"/>
              </w:rPr>
              <w:t>Etapas 0 e 1</w:t>
            </w:r>
          </w:p>
        </w:tc>
        <w:tc>
          <w:tcPr>
            <w:tcW w:type="dxa" w:w="4535"/>
            <w:shd w:val="clear" w:color="auto" w:fill="F2F2F2"/>
          </w:tcPr>
          <w:p>
            <w:pPr>
              <w:jc w:val="center"/>
            </w:pPr>
            <w:r>
              <w:rPr>
                <w:rFonts w:ascii="Arial" w:hAnsi="Arial"/>
                <w:sz w:val="20"/>
              </w:rPr>
              <w:t>Faturamento Bruto e Vantagens Auferida/Pretendida</w:t>
            </w:r>
          </w:p>
        </w:tc>
      </w:tr>
      <w:tr>
        <w:tc>
          <w:tcPr>
            <w:tcW w:type="dxa" w:w="2835"/>
            <w:shd w:val="clear" w:color="auto" w:fill="FFFFFF"/>
          </w:tcPr>
          <w:p>
            <w:pPr>
              <w:jc w:val="left"/>
            </w:pPr>
            <w:r>
              <w:rPr>
                <w:rFonts w:ascii="Arial" w:hAnsi="Arial"/>
                <w:sz w:val="20"/>
              </w:rPr>
              <w:t>B — Dosimetria</w:t>
            </w:r>
          </w:p>
        </w:tc>
        <w:tc>
          <w:tcPr>
            <w:tcW w:type="dxa" w:w="2268"/>
            <w:shd w:val="clear" w:color="auto" w:fill="FFFFFF"/>
          </w:tcPr>
          <w:p>
            <w:pPr>
              <w:jc w:val="center"/>
            </w:pPr>
            <w:r>
              <w:rPr>
                <w:rFonts w:ascii="Arial" w:hAnsi="Arial"/>
                <w:sz w:val="20"/>
              </w:rPr>
              <w:t>Etapas 2 a 12</w:t>
            </w:r>
          </w:p>
        </w:tc>
        <w:tc>
          <w:tcPr>
            <w:tcW w:type="dxa" w:w="4535"/>
            <w:shd w:val="clear" w:color="auto" w:fill="FFFFFF"/>
          </w:tcPr>
          <w:p>
            <w:pPr>
              <w:jc w:val="center"/>
            </w:pPr>
            <w:r>
              <w:rPr>
                <w:rFonts w:ascii="Arial" w:hAnsi="Arial"/>
                <w:sz w:val="20"/>
              </w:rPr>
              <w:t>Agravantes (Art. 22) e Atenuantes (Art. 23)</w:t>
            </w:r>
          </w:p>
        </w:tc>
      </w:tr>
      <w:tr>
        <w:tc>
          <w:tcPr>
            <w:tcW w:type="dxa" w:w="2835"/>
            <w:shd w:val="clear" w:color="auto" w:fill="F2F2F2"/>
          </w:tcPr>
          <w:p>
            <w:pPr>
              <w:jc w:val="left"/>
            </w:pPr>
            <w:r>
              <w:rPr>
                <w:rFonts w:ascii="Arial" w:hAnsi="Arial"/>
                <w:sz w:val="20"/>
              </w:rPr>
              <w:t>C — Resultado</w:t>
            </w:r>
          </w:p>
        </w:tc>
        <w:tc>
          <w:tcPr>
            <w:tcW w:type="dxa" w:w="2268"/>
            <w:shd w:val="clear" w:color="auto" w:fill="F2F2F2"/>
          </w:tcPr>
          <w:p>
            <w:pPr>
              <w:jc w:val="center"/>
            </w:pPr>
            <w:r>
              <w:rPr>
                <w:rFonts w:ascii="Arial" w:hAnsi="Arial"/>
                <w:sz w:val="20"/>
              </w:rPr>
              <w:t>Etapa 13</w:t>
            </w:r>
          </w:p>
        </w:tc>
        <w:tc>
          <w:tcPr>
            <w:tcW w:type="dxa" w:w="4535"/>
            <w:shd w:val="clear" w:color="auto" w:fill="F2F2F2"/>
          </w:tcPr>
          <w:p>
            <w:pPr>
              <w:jc w:val="center"/>
            </w:pPr>
            <w:r>
              <w:rPr>
                <w:rFonts w:ascii="Arial" w:hAnsi="Arial"/>
                <w:sz w:val="20"/>
              </w:rPr>
              <w:t>Publicação Extraordinária e Resultado Final (Art. 25)</w:t>
            </w:r>
          </w:p>
        </w:tc>
      </w:tr>
    </w:tbl>
    <w:p/>
    <w:tbl>
      <w:tblPr>
        <w:tblStyle w:val="TableGrid"/>
        <w:tblW w:type="auto" w:w="0"/>
        <w:jc w:val="left"/>
        <w:tblLook w:firstColumn="1" w:firstRow="1" w:lastColumn="0" w:lastRow="0" w:noHBand="0" w:noVBand="1" w:val="04A0"/>
      </w:tblPr>
      <w:tblGrid>
        <w:gridCol w:w="9405"/>
      </w:tblGrid>
      <w:tr>
        <w:tc>
          <w:tcPr>
            <w:tcW w:type="dxa" w:w="9405"/>
            <w:shd w:val="clear" w:color="auto" w:fill="00205B"/>
            <w:tcBorders>
              <w:top w:val="none"/>
              <w:left w:val="none"/>
              <w:bottom w:val="none"/>
              <w:right w:val="none"/>
              <w:insideH w:val="none"/>
              <w:insideV w:val="none"/>
            </w:tcBorders>
            <w:tcBorders>
              <w:top w:val="none"/>
              <w:left w:val="none"/>
              <w:bottom w:val="none"/>
              <w:right w:val="none"/>
              <w:insideH w:val="none"/>
              <w:insideV w:val="none"/>
            </w:tcBorders>
            <w:tcBorders>
              <w:top w:val="none"/>
              <w:left w:val="none"/>
              <w:bottom w:val="none"/>
              <w:right w:val="none"/>
              <w:insideH w:val="none"/>
              <w:insideV w:val="none"/>
            </w:tcBorders>
            <w:tcBorders>
              <w:top w:val="none"/>
              <w:left w:val="none"/>
              <w:bottom w:val="none"/>
              <w:right w:val="none"/>
              <w:insideH w:val="none"/>
              <w:insideV w:val="none"/>
            </w:tcBorders>
          </w:tcPr>
          <w:p>
            <w:pPr>
              <w:spacing w:before="0" w:after="0"/>
              <w:ind w:left="170"/>
            </w:pPr>
            <w:r>
              <w:rPr>
                <w:rFonts w:ascii="Arial" w:hAnsi="Arial"/>
                <w:b/>
                <w:color w:val="FFFFFF"/>
                <w:sz w:val="26"/>
              </w:rPr>
              <w:t>4. ETAPA 0 — BASE DE CÁLCULO: FATURAMENTO BRUTO</w:t>
            </w:r>
          </w:p>
        </w:tc>
      </w:tr>
    </w:tbl>
    <w:p/>
    <w:p>
      <w:pPr>
        <w:spacing w:before="240" w:after="80"/>
        <w:pBdr>
          <w:bottom w:val="single" w:sz="6" w:space="1" w:color="64A70B"/>
        </w:pBdr>
      </w:pPr>
      <w:r>
        <w:rPr>
          <w:rFonts w:ascii="Arial" w:hAnsi="Arial"/>
          <w:b/>
          <w:color w:val="1D3A78"/>
          <w:sz w:val="23"/>
        </w:rPr>
        <w:t>4.1 Fundamento Legal</w:t>
      </w:r>
    </w:p>
    <w:p>
      <w:pPr>
        <w:spacing w:before="80" w:after="80"/>
        <w:ind w:left="850" w:right="567"/>
      </w:pPr>
      <w:r>
        <w:rPr>
          <w:rFonts w:ascii="Arial" w:hAnsi="Arial"/>
          <w:i/>
          <w:color w:val="333366"/>
          <w:sz w:val="20"/>
        </w:rPr>
        <w:t>Art. 20 do Decreto nº 11.129/2022. A multa prevista no inciso I do caput do art. 6º da Lei nº 12.846/2013 terá como base de cálculo o faturamento bruto da pessoa jurídica no último exercício anterior ao da instauração do PAR, excluídos os tributos.</w:t>
      </w:r>
    </w:p>
    <w:p>
      <w:pPr>
        <w:spacing w:before="80" w:after="80"/>
        <w:ind w:left="850" w:right="567"/>
      </w:pPr>
      <w:r>
        <w:rPr>
          <w:rFonts w:ascii="Arial" w:hAnsi="Arial"/>
          <w:i/>
          <w:color w:val="333366"/>
          <w:sz w:val="20"/>
        </w:rPr>
        <w:t>Art. 21. Caso a pessoa jurídica comprovadamente não tenha tido faturamento no último exercício anterior ao da instauração do PAR, deve-se considerar como base de cálculo da multa o valor do último faturamento bruto apurado pela pessoa jurídica, excluídos os tributos incidentes sobre vendas, que terá seu valor atualizado pelo IPCA até o último dia do exercício anterior ao da instauração do PAR.</w:t>
      </w:r>
    </w:p>
    <w:p>
      <w:pPr>
        <w:spacing w:before="240" w:after="80"/>
        <w:pBdr>
          <w:bottom w:val="single" w:sz="6" w:space="1" w:color="64A70B"/>
        </w:pBdr>
      </w:pPr>
      <w:r>
        <w:rPr>
          <w:rFonts w:ascii="Arial" w:hAnsi="Arial"/>
          <w:b/>
          <w:color w:val="1D3A78"/>
          <w:sz w:val="23"/>
        </w:rPr>
        <w:t>4.2 Fluxo de Decisão</w:t>
      </w:r>
    </w:p>
    <w:tbl>
      <w:tblPr>
        <w:tblStyle w:val="TableGrid"/>
        <w:tblW w:type="auto" w:w="0"/>
        <w:jc w:val="left"/>
        <w:tblLook w:firstColumn="1" w:firstRow="1" w:lastColumn="0" w:lastRow="0" w:noHBand="0" w:noVBand="1" w:val="04A0"/>
      </w:tblPr>
      <w:tblGrid>
        <w:gridCol w:w="3135"/>
        <w:gridCol w:w="3135"/>
        <w:gridCol w:w="3135"/>
      </w:tblGrid>
      <w:tr>
        <w:tc>
          <w:tcPr>
            <w:tcW w:type="dxa" w:w="3402"/>
            <w:shd w:val="clear" w:color="auto" w:fill="00205B"/>
          </w:tcPr>
          <w:p>
            <w:pPr>
              <w:jc w:val="center"/>
            </w:pPr>
            <w:r>
              <w:rPr>
                <w:rFonts w:ascii="Arial" w:hAnsi="Arial"/>
                <w:b/>
                <w:color w:val="FFFFFF"/>
                <w:sz w:val="20"/>
              </w:rPr>
              <w:t>Situação</w:t>
            </w:r>
          </w:p>
        </w:tc>
        <w:tc>
          <w:tcPr>
            <w:tcW w:type="dxa" w:w="3969"/>
            <w:shd w:val="clear" w:color="auto" w:fill="00205B"/>
          </w:tcPr>
          <w:p>
            <w:pPr>
              <w:jc w:val="center"/>
            </w:pPr>
            <w:r>
              <w:rPr>
                <w:rFonts w:ascii="Arial" w:hAnsi="Arial"/>
                <w:b/>
                <w:color w:val="FFFFFF"/>
                <w:sz w:val="20"/>
              </w:rPr>
              <w:t>Regra Aplicável</w:t>
            </w:r>
          </w:p>
        </w:tc>
        <w:tc>
          <w:tcPr>
            <w:tcW w:type="dxa" w:w="2268"/>
            <w:shd w:val="clear" w:color="auto" w:fill="00205B"/>
          </w:tcPr>
          <w:p>
            <w:pPr>
              <w:jc w:val="center"/>
            </w:pPr>
            <w:r>
              <w:rPr>
                <w:rFonts w:ascii="Arial" w:hAnsi="Arial"/>
                <w:b/>
                <w:color w:val="FFFFFF"/>
                <w:sz w:val="20"/>
              </w:rPr>
              <w:t>Fundamento</w:t>
            </w:r>
          </w:p>
        </w:tc>
      </w:tr>
      <w:tr>
        <w:tc>
          <w:tcPr>
            <w:tcW w:type="dxa" w:w="3402"/>
            <w:shd w:val="clear" w:color="auto" w:fill="F2F2F2"/>
          </w:tcPr>
          <w:p>
            <w:pPr>
              <w:jc w:val="left"/>
            </w:pPr>
            <w:r>
              <w:rPr>
                <w:rFonts w:ascii="Arial" w:hAnsi="Arial"/>
                <w:sz w:val="20"/>
              </w:rPr>
              <w:t>PJ teve faturamento no exercício anterior ao PAR</w:t>
            </w:r>
          </w:p>
        </w:tc>
        <w:tc>
          <w:tcPr>
            <w:tcW w:type="dxa" w:w="3969"/>
            <w:shd w:val="clear" w:color="auto" w:fill="F2F2F2"/>
          </w:tcPr>
          <w:p>
            <w:pPr>
              <w:jc w:val="center"/>
            </w:pPr>
            <w:r>
              <w:rPr>
                <w:rFonts w:ascii="Arial" w:hAnsi="Arial"/>
                <w:sz w:val="20"/>
              </w:rPr>
              <w:t>Usar faturamento do exercício de referência (Ano PAR − 1)</w:t>
            </w:r>
          </w:p>
        </w:tc>
        <w:tc>
          <w:tcPr>
            <w:tcW w:type="dxa" w:w="2268"/>
            <w:shd w:val="clear" w:color="auto" w:fill="F2F2F2"/>
          </w:tcPr>
          <w:p>
            <w:pPr>
              <w:jc w:val="center"/>
            </w:pPr>
            <w:r>
              <w:rPr>
                <w:rFonts w:ascii="Arial" w:hAnsi="Arial"/>
                <w:sz w:val="20"/>
              </w:rPr>
              <w:t>Art. 20</w:t>
            </w:r>
          </w:p>
        </w:tc>
      </w:tr>
      <w:tr>
        <w:tc>
          <w:tcPr>
            <w:tcW w:type="dxa" w:w="3402"/>
            <w:shd w:val="clear" w:color="auto" w:fill="FFFFFF"/>
          </w:tcPr>
          <w:p>
            <w:pPr>
              <w:jc w:val="left"/>
            </w:pPr>
            <w:r>
              <w:rPr>
                <w:rFonts w:ascii="Arial" w:hAnsi="Arial"/>
                <w:sz w:val="20"/>
              </w:rPr>
              <w:t>PJ não teve faturamento no exercício anterior</w:t>
            </w:r>
          </w:p>
        </w:tc>
        <w:tc>
          <w:tcPr>
            <w:tcW w:type="dxa" w:w="3969"/>
            <w:shd w:val="clear" w:color="auto" w:fill="FFFFFF"/>
          </w:tcPr>
          <w:p>
            <w:pPr>
              <w:jc w:val="center"/>
            </w:pPr>
            <w:r>
              <w:rPr>
                <w:rFonts w:ascii="Arial" w:hAnsi="Arial"/>
                <w:sz w:val="20"/>
              </w:rPr>
              <w:t>Usar o último faturamento bruto apurado, atualizado pelo IPCA</w:t>
            </w:r>
          </w:p>
        </w:tc>
        <w:tc>
          <w:tcPr>
            <w:tcW w:type="dxa" w:w="2268"/>
            <w:shd w:val="clear" w:color="auto" w:fill="FFFFFF"/>
          </w:tcPr>
          <w:p>
            <w:pPr>
              <w:jc w:val="center"/>
            </w:pPr>
            <w:r>
              <w:rPr>
                <w:rFonts w:ascii="Arial" w:hAnsi="Arial"/>
                <w:sz w:val="20"/>
              </w:rPr>
              <w:t>Art. 21</w:t>
            </w:r>
          </w:p>
        </w:tc>
      </w:tr>
    </w:tbl>
    <w:p/>
    <w:p>
      <w:pPr>
        <w:spacing w:before="240" w:after="80"/>
        <w:pBdr>
          <w:bottom w:val="single" w:sz="6" w:space="1" w:color="64A70B"/>
        </w:pBdr>
      </w:pPr>
      <w:r>
        <w:rPr>
          <w:rFonts w:ascii="Arial" w:hAnsi="Arial"/>
          <w:b/>
          <w:color w:val="1D3A78"/>
          <w:sz w:val="23"/>
        </w:rPr>
        <w:t>4.3 Modos de Apuração</w:t>
      </w:r>
    </w:p>
    <w:tbl>
      <w:tblPr>
        <w:tblStyle w:val="TableGrid"/>
        <w:tblW w:type="auto" w:w="0"/>
        <w:jc w:val="left"/>
        <w:tblLook w:firstColumn="1" w:firstRow="1" w:lastColumn="0" w:lastRow="0" w:noHBand="0" w:noVBand="1" w:val="04A0"/>
      </w:tblPr>
      <w:tblGrid>
        <w:gridCol w:w="3135"/>
        <w:gridCol w:w="3135"/>
        <w:gridCol w:w="3135"/>
      </w:tblGrid>
      <w:tr>
        <w:tc>
          <w:tcPr>
            <w:tcW w:type="dxa" w:w="2835"/>
            <w:shd w:val="clear" w:color="auto" w:fill="00205B"/>
          </w:tcPr>
          <w:p>
            <w:pPr>
              <w:jc w:val="center"/>
            </w:pPr>
            <w:r>
              <w:rPr>
                <w:rFonts w:ascii="Arial" w:hAnsi="Arial"/>
                <w:b/>
                <w:color w:val="FFFFFF"/>
                <w:sz w:val="20"/>
              </w:rPr>
              <w:t>Modo</w:t>
            </w:r>
          </w:p>
        </w:tc>
        <w:tc>
          <w:tcPr>
            <w:tcW w:type="dxa" w:w="4535"/>
            <w:shd w:val="clear" w:color="auto" w:fill="00205B"/>
          </w:tcPr>
          <w:p>
            <w:pPr>
              <w:jc w:val="center"/>
            </w:pPr>
            <w:r>
              <w:rPr>
                <w:rFonts w:ascii="Arial" w:hAnsi="Arial"/>
                <w:b/>
                <w:color w:val="FFFFFF"/>
                <w:sz w:val="20"/>
              </w:rPr>
              <w:t>Descrição</w:t>
            </w:r>
          </w:p>
        </w:tc>
        <w:tc>
          <w:tcPr>
            <w:tcW w:type="dxa" w:w="2268"/>
            <w:shd w:val="clear" w:color="auto" w:fill="00205B"/>
          </w:tcPr>
          <w:p>
            <w:pPr>
              <w:jc w:val="center"/>
            </w:pPr>
            <w:r>
              <w:rPr>
                <w:rFonts w:ascii="Arial" w:hAnsi="Arial"/>
                <w:b/>
                <w:color w:val="FFFFFF"/>
                <w:sz w:val="20"/>
              </w:rPr>
              <w:t>Fundamento</w:t>
            </w:r>
          </w:p>
        </w:tc>
      </w:tr>
      <w:tr>
        <w:tc>
          <w:tcPr>
            <w:tcW w:type="dxa" w:w="2835"/>
            <w:shd w:val="clear" w:color="auto" w:fill="F2F2F2"/>
          </w:tcPr>
          <w:p>
            <w:pPr>
              <w:jc w:val="left"/>
            </w:pPr>
            <w:r>
              <w:rPr>
                <w:rFonts w:ascii="Arial" w:hAnsi="Arial"/>
                <w:sz w:val="20"/>
              </w:rPr>
              <w:t>DRE (Regime Geral)</w:t>
            </w:r>
          </w:p>
        </w:tc>
        <w:tc>
          <w:tcPr>
            <w:tcW w:type="dxa" w:w="4535"/>
            <w:shd w:val="clear" w:color="auto" w:fill="F2F2F2"/>
          </w:tcPr>
          <w:p>
            <w:pPr>
              <w:jc w:val="center"/>
            </w:pPr>
            <w:r>
              <w:rPr>
                <w:rFonts w:ascii="Arial" w:hAnsi="Arial"/>
                <w:sz w:val="20"/>
              </w:rPr>
              <w:t>Receita Bruta − Tributos sobre Vendas</w:t>
            </w:r>
          </w:p>
        </w:tc>
        <w:tc>
          <w:tcPr>
            <w:tcW w:type="dxa" w:w="2268"/>
            <w:shd w:val="clear" w:color="auto" w:fill="F2F2F2"/>
          </w:tcPr>
          <w:p>
            <w:pPr>
              <w:jc w:val="center"/>
            </w:pPr>
            <w:r>
              <w:rPr>
                <w:rFonts w:ascii="Arial" w:hAnsi="Arial"/>
                <w:sz w:val="20"/>
              </w:rPr>
              <w:t>Art. 20, caput</w:t>
            </w:r>
          </w:p>
        </w:tc>
      </w:tr>
      <w:tr>
        <w:tc>
          <w:tcPr>
            <w:tcW w:type="dxa" w:w="2835"/>
            <w:shd w:val="clear" w:color="auto" w:fill="FFFFFF"/>
          </w:tcPr>
          <w:p>
            <w:pPr>
              <w:jc w:val="left"/>
            </w:pPr>
            <w:r>
              <w:rPr>
                <w:rFonts w:ascii="Arial" w:hAnsi="Arial"/>
                <w:sz w:val="20"/>
              </w:rPr>
              <w:t>Simples Nacional (ME/EPP)</w:t>
            </w:r>
          </w:p>
        </w:tc>
        <w:tc>
          <w:tcPr>
            <w:tcW w:type="dxa" w:w="4535"/>
            <w:shd w:val="clear" w:color="auto" w:fill="FFFFFF"/>
          </w:tcPr>
          <w:p>
            <w:pPr>
              <w:jc w:val="center"/>
            </w:pPr>
            <w:r>
              <w:rPr>
                <w:rFonts w:ascii="Arial" w:hAnsi="Arial"/>
                <w:sz w:val="20"/>
              </w:rPr>
              <w:t>Receita bruta total apurada nas declarações do Simples</w:t>
            </w:r>
          </w:p>
        </w:tc>
        <w:tc>
          <w:tcPr>
            <w:tcW w:type="dxa" w:w="2268"/>
            <w:shd w:val="clear" w:color="auto" w:fill="FFFFFF"/>
          </w:tcPr>
          <w:p>
            <w:pPr>
              <w:jc w:val="center"/>
            </w:pPr>
            <w:r>
              <w:rPr>
                <w:rFonts w:ascii="Arial" w:hAnsi="Arial"/>
                <w:sz w:val="20"/>
              </w:rPr>
              <w:t>LC nº 123/2006, art. 3º, §1º</w:t>
            </w:r>
          </w:p>
        </w:tc>
      </w:tr>
      <w:tr>
        <w:tc>
          <w:tcPr>
            <w:tcW w:type="dxa" w:w="2835"/>
            <w:shd w:val="clear" w:color="auto" w:fill="F2F2F2"/>
          </w:tcPr>
          <w:p>
            <w:pPr>
              <w:jc w:val="left"/>
            </w:pPr>
            <w:r>
              <w:rPr>
                <w:rFonts w:ascii="Arial" w:hAnsi="Arial"/>
                <w:sz w:val="20"/>
              </w:rPr>
              <w:t>Estimativa pela autoridade</w:t>
            </w:r>
          </w:p>
        </w:tc>
        <w:tc>
          <w:tcPr>
            <w:tcW w:type="dxa" w:w="4535"/>
            <w:shd w:val="clear" w:color="auto" w:fill="F2F2F2"/>
          </w:tcPr>
          <w:p>
            <w:pPr>
              <w:jc w:val="center"/>
            </w:pPr>
            <w:r>
              <w:rPr>
                <w:rFonts w:ascii="Arial" w:hAnsi="Arial"/>
                <w:sz w:val="20"/>
              </w:rPr>
              <w:t>Hipótese residual — outros elementos quando não há dados contábeis</w:t>
            </w:r>
          </w:p>
        </w:tc>
        <w:tc>
          <w:tcPr>
            <w:tcW w:type="dxa" w:w="2268"/>
            <w:shd w:val="clear" w:color="auto" w:fill="F2F2F2"/>
          </w:tcPr>
          <w:p>
            <w:pPr>
              <w:jc w:val="center"/>
            </w:pPr>
            <w:r>
              <w:rPr>
                <w:rFonts w:ascii="Arial" w:hAnsi="Arial"/>
                <w:sz w:val="20"/>
              </w:rPr>
              <w:t>Art. 20, §1º, III</w:t>
            </w:r>
          </w:p>
        </w:tc>
      </w:tr>
    </w:tbl>
    <w:p/>
    <w:p>
      <w:pPr>
        <w:spacing w:before="240" w:after="80"/>
        <w:pBdr>
          <w:bottom w:val="single" w:sz="6" w:space="1" w:color="64A70B"/>
        </w:pBdr>
      </w:pPr>
      <w:r>
        <w:rPr>
          <w:rFonts w:ascii="Arial" w:hAnsi="Arial"/>
          <w:b/>
          <w:color w:val="1D3A78"/>
          <w:sz w:val="23"/>
        </w:rPr>
        <w:t>4.4 Deduções: Atenção à DRE</w:t>
      </w:r>
    </w:p>
    <w:p>
      <w:pPr>
        <w:spacing w:before="0" w:after="80"/>
      </w:pPr>
      <w:r>
        <w:rPr>
          <w:rFonts w:ascii="Arial" w:hAnsi="Arial"/>
          <w:i w:val="0"/>
          <w:sz w:val="22"/>
        </w:rPr>
        <w:t>São dedutíveis apenas os tributos incidentes sobre as vendas: PIS, COFINS, IPI, ICMS e ISS.</w:t>
      </w:r>
    </w:p>
    <w:tbl>
      <w:tblPr>
        <w:tblStyle w:val="TableGrid"/>
        <w:tblW w:type="auto" w:w="0"/>
        <w:tblLook w:firstColumn="1" w:firstRow="1" w:lastColumn="0" w:lastRow="0" w:noHBand="0" w:noVBand="1" w:val="04A0"/>
      </w:tblPr>
      <w:tblGrid>
        <w:gridCol w:w="9405"/>
      </w:tblGrid>
      <w:tr>
        <w:tc>
          <w:tcPr>
            <w:tcW w:type="dxa" w:w="9405"/>
            <w:shd w:val="clear" w:color="auto" w:fill="F2F2F2"/>
            <w:tcBorders>
              <w:bottom w:val="single" w:sz="6" w:space="0" w:color="64A70B"/>
            </w:tcBorders>
          </w:tcPr>
          <w:p>
            <w:r>
              <w:rPr>
                <w:rFonts w:ascii="Arial" w:hAnsi="Arial"/>
                <w:color w:val="444400"/>
                <w:sz w:val="20"/>
              </w:rPr>
              <w:t>⚠  Ponto crítico: na DRE contábil, a receita bruta é deduzida também de abatimentos, devoluções e vendas canceladas. Para fins de PAR, contudo, APENAS os tributos têm previsão legal de exclusão. Devoluções e vendas canceladas NÃO reduzem a base de cálculo da multa. Atenção redobrada ao importar números diretamente da DRE.</w:t>
            </w:r>
          </w:p>
        </w:tc>
      </w:tr>
    </w:tbl>
    <w:p/>
    <w:p>
      <w:pPr>
        <w:spacing w:before="240" w:after="80"/>
        <w:pBdr>
          <w:bottom w:val="single" w:sz="6" w:space="1" w:color="64A70B"/>
        </w:pBdr>
      </w:pPr>
      <w:r>
        <w:rPr>
          <w:rFonts w:ascii="Arial" w:hAnsi="Arial"/>
          <w:b/>
          <w:color w:val="1D3A78"/>
          <w:sz w:val="23"/>
        </w:rPr>
        <w:t>4.5 Critérios de Exceção (faturamento não apurável)</w:t>
      </w:r>
    </w:p>
    <w:tbl>
      <w:tblPr>
        <w:tblStyle w:val="TableGrid"/>
        <w:tblW w:type="auto" w:w="0"/>
        <w:jc w:val="left"/>
        <w:tblLook w:firstColumn="1" w:firstRow="1" w:lastColumn="0" w:lastRow="0" w:noHBand="0" w:noVBand="1" w:val="04A0"/>
      </w:tblPr>
      <w:tblGrid>
        <w:gridCol w:w="3135"/>
        <w:gridCol w:w="3135"/>
        <w:gridCol w:w="3135"/>
      </w:tblGrid>
      <w:tr>
        <w:tc>
          <w:tcPr>
            <w:tcW w:type="dxa" w:w="1134"/>
            <w:shd w:val="clear" w:color="auto" w:fill="00205B"/>
          </w:tcPr>
          <w:p>
            <w:pPr>
              <w:jc w:val="center"/>
            </w:pPr>
            <w:r>
              <w:rPr>
                <w:rFonts w:ascii="Arial" w:hAnsi="Arial"/>
                <w:b/>
                <w:color w:val="FFFFFF"/>
                <w:sz w:val="20"/>
              </w:rPr>
              <w:t>Ordem</w:t>
            </w:r>
          </w:p>
        </w:tc>
        <w:tc>
          <w:tcPr>
            <w:tcW w:type="dxa" w:w="6236"/>
            <w:shd w:val="clear" w:color="auto" w:fill="00205B"/>
          </w:tcPr>
          <w:p>
            <w:pPr>
              <w:jc w:val="center"/>
            </w:pPr>
            <w:r>
              <w:rPr>
                <w:rFonts w:ascii="Arial" w:hAnsi="Arial"/>
                <w:b/>
                <w:color w:val="FFFFFF"/>
                <w:sz w:val="20"/>
              </w:rPr>
              <w:t>Critério</w:t>
            </w:r>
          </w:p>
        </w:tc>
        <w:tc>
          <w:tcPr>
            <w:tcW w:type="dxa" w:w="2268"/>
            <w:shd w:val="clear" w:color="auto" w:fill="00205B"/>
          </w:tcPr>
          <w:p>
            <w:pPr>
              <w:jc w:val="center"/>
            </w:pPr>
            <w:r>
              <w:rPr>
                <w:rFonts w:ascii="Arial" w:hAnsi="Arial"/>
                <w:b/>
                <w:color w:val="FFFFFF"/>
                <w:sz w:val="20"/>
              </w:rPr>
              <w:t>Fundamento</w:t>
            </w:r>
          </w:p>
        </w:tc>
      </w:tr>
      <w:tr>
        <w:tc>
          <w:tcPr>
            <w:tcW w:type="dxa" w:w="1134"/>
            <w:shd w:val="clear" w:color="auto" w:fill="F2F2F2"/>
          </w:tcPr>
          <w:p>
            <w:pPr>
              <w:jc w:val="left"/>
            </w:pPr>
            <w:r>
              <w:rPr>
                <w:rFonts w:ascii="Arial" w:hAnsi="Arial"/>
                <w:sz w:val="20"/>
              </w:rPr>
              <w:t>1º</w:t>
            </w:r>
          </w:p>
        </w:tc>
        <w:tc>
          <w:tcPr>
            <w:tcW w:type="dxa" w:w="6236"/>
            <w:shd w:val="clear" w:color="auto" w:fill="F2F2F2"/>
          </w:tcPr>
          <w:p>
            <w:pPr>
              <w:jc w:val="center"/>
            </w:pPr>
            <w:r>
              <w:rPr>
                <w:rFonts w:ascii="Arial" w:hAnsi="Arial"/>
                <w:sz w:val="20"/>
              </w:rPr>
              <w:t>Faturamento bruto do último ano com receita, atualizado pelo IPCA</w:t>
            </w:r>
          </w:p>
        </w:tc>
        <w:tc>
          <w:tcPr>
            <w:tcW w:type="dxa" w:w="2268"/>
            <w:shd w:val="clear" w:color="auto" w:fill="F2F2F2"/>
          </w:tcPr>
          <w:p>
            <w:pPr>
              <w:jc w:val="center"/>
            </w:pPr>
            <w:r>
              <w:rPr>
                <w:rFonts w:ascii="Arial" w:hAnsi="Arial"/>
                <w:sz w:val="20"/>
              </w:rPr>
              <w:t>Art. 21</w:t>
            </w:r>
          </w:p>
        </w:tc>
      </w:tr>
      <w:tr>
        <w:tc>
          <w:tcPr>
            <w:tcW w:type="dxa" w:w="1134"/>
            <w:shd w:val="clear" w:color="auto" w:fill="FFFFFF"/>
          </w:tcPr>
          <w:p>
            <w:pPr>
              <w:jc w:val="left"/>
            </w:pPr>
            <w:r>
              <w:rPr>
                <w:rFonts w:ascii="Arial" w:hAnsi="Arial"/>
                <w:sz w:val="20"/>
              </w:rPr>
              <w:t>2º</w:t>
            </w:r>
          </w:p>
        </w:tc>
        <w:tc>
          <w:tcPr>
            <w:tcW w:type="dxa" w:w="6236"/>
            <w:shd w:val="clear" w:color="auto" w:fill="FFFFFF"/>
          </w:tcPr>
          <w:p>
            <w:pPr>
              <w:jc w:val="center"/>
            </w:pPr>
            <w:r>
              <w:rPr>
                <w:rFonts w:ascii="Arial" w:hAnsi="Arial"/>
                <w:sz w:val="20"/>
              </w:rPr>
              <w:t>Faturamento estimado: mercado, capital social, dados setoriais fundamentados</w:t>
            </w:r>
          </w:p>
        </w:tc>
        <w:tc>
          <w:tcPr>
            <w:tcW w:type="dxa" w:w="2268"/>
            <w:shd w:val="clear" w:color="auto" w:fill="FFFFFF"/>
          </w:tcPr>
          <w:p>
            <w:pPr>
              <w:jc w:val="center"/>
            </w:pPr>
            <w:r>
              <w:rPr>
                <w:rFonts w:ascii="Arial" w:hAnsi="Arial"/>
                <w:sz w:val="20"/>
              </w:rPr>
              <w:t>Art. 20, §1º, III</w:t>
            </w:r>
          </w:p>
        </w:tc>
      </w:tr>
      <w:tr>
        <w:tc>
          <w:tcPr>
            <w:tcW w:type="dxa" w:w="1134"/>
            <w:shd w:val="clear" w:color="auto" w:fill="F2F2F2"/>
          </w:tcPr>
          <w:p>
            <w:pPr>
              <w:jc w:val="left"/>
            </w:pPr>
            <w:r>
              <w:rPr>
                <w:rFonts w:ascii="Arial" w:hAnsi="Arial"/>
                <w:sz w:val="20"/>
              </w:rPr>
              <w:t>3º</w:t>
            </w:r>
          </w:p>
        </w:tc>
        <w:tc>
          <w:tcPr>
            <w:tcW w:type="dxa" w:w="6236"/>
            <w:shd w:val="clear" w:color="auto" w:fill="F2F2F2"/>
          </w:tcPr>
          <w:p>
            <w:pPr>
              <w:jc w:val="center"/>
            </w:pPr>
            <w:r>
              <w:rPr>
                <w:rFonts w:ascii="Arial" w:hAnsi="Arial"/>
                <w:sz w:val="20"/>
              </w:rPr>
              <w:t>Valor absoluto fixo legal: multa de R$ 6 mil a R$ 60 milhões</w:t>
            </w:r>
          </w:p>
        </w:tc>
        <w:tc>
          <w:tcPr>
            <w:tcW w:type="dxa" w:w="2268"/>
            <w:shd w:val="clear" w:color="auto" w:fill="F2F2F2"/>
          </w:tcPr>
          <w:p>
            <w:pPr>
              <w:jc w:val="center"/>
            </w:pPr>
            <w:r>
              <w:rPr>
                <w:rFonts w:ascii="Arial" w:hAnsi="Arial"/>
                <w:sz w:val="20"/>
              </w:rPr>
              <w:t>Art. 6º, I, da Lei</w:t>
            </w:r>
          </w:p>
        </w:tc>
      </w:tr>
    </w:tbl>
    <w:p/>
    <w:tbl>
      <w:tblPr>
        <w:tblStyle w:val="TableGrid"/>
        <w:tblW w:type="auto" w:w="0"/>
        <w:tblLook w:firstColumn="1" w:firstRow="1" w:lastColumn="0" w:lastRow="0" w:noHBand="0" w:noVBand="1" w:val="04A0"/>
      </w:tblPr>
      <w:tblGrid>
        <w:gridCol w:w="9405"/>
      </w:tblGrid>
      <w:tr>
        <w:tc>
          <w:tcPr>
            <w:tcW w:type="dxa" w:w="9405"/>
            <w:shd w:val="clear" w:color="auto" w:fill="F2F2F2"/>
            <w:tcBorders>
              <w:bottom w:val="single" w:sz="6" w:space="0" w:color="64A70B"/>
            </w:tcBorders>
          </w:tcPr>
          <w:p>
            <w:r>
              <w:rPr>
                <w:rFonts w:ascii="Arial" w:hAnsi="Arial"/>
                <w:color w:val="444400"/>
                <w:sz w:val="20"/>
              </w:rPr>
              <w:t>⚠  Como a calculadora funciona offline, a atualização pelo IPCA (Art. 21) deve ser realizada previamente na Calculadora do Cidadão (BCB/IPCA) ou na Calculadora de Multa da CGU. Informe o valor já corrigido no campo correspondente.</w:t>
            </w:r>
          </w:p>
        </w:tc>
      </w:tr>
    </w:tbl>
    <w:p/>
    <w:tbl>
      <w:tblPr>
        <w:tblStyle w:val="TableGrid"/>
        <w:tblW w:type="auto" w:w="0"/>
        <w:jc w:val="left"/>
        <w:tblLook w:firstColumn="1" w:firstRow="1" w:lastColumn="0" w:lastRow="0" w:noHBand="0" w:noVBand="1" w:val="04A0"/>
      </w:tblPr>
      <w:tblGrid>
        <w:gridCol w:w="9405"/>
      </w:tblGrid>
      <w:tr>
        <w:tc>
          <w:tcPr>
            <w:tcW w:type="dxa" w:w="9405"/>
            <w:shd w:val="clear" w:color="auto" w:fill="00205B"/>
            <w:tcBorders>
              <w:top w:val="none"/>
              <w:left w:val="none"/>
              <w:bottom w:val="none"/>
              <w:right w:val="none"/>
              <w:insideH w:val="none"/>
              <w:insideV w:val="none"/>
            </w:tcBorders>
            <w:tcBorders>
              <w:top w:val="none"/>
              <w:left w:val="none"/>
              <w:bottom w:val="none"/>
              <w:right w:val="none"/>
              <w:insideH w:val="none"/>
              <w:insideV w:val="none"/>
            </w:tcBorders>
            <w:tcBorders>
              <w:top w:val="none"/>
              <w:left w:val="none"/>
              <w:bottom w:val="none"/>
              <w:right w:val="none"/>
              <w:insideH w:val="none"/>
              <w:insideV w:val="none"/>
            </w:tcBorders>
            <w:tcBorders>
              <w:top w:val="none"/>
              <w:left w:val="none"/>
              <w:bottom w:val="none"/>
              <w:right w:val="none"/>
              <w:insideH w:val="none"/>
              <w:insideV w:val="none"/>
            </w:tcBorders>
          </w:tcPr>
          <w:p>
            <w:pPr>
              <w:spacing w:before="0" w:after="0"/>
              <w:ind w:left="170"/>
            </w:pPr>
            <w:r>
              <w:rPr>
                <w:rFonts w:ascii="Arial" w:hAnsi="Arial"/>
                <w:b/>
                <w:color w:val="FFFFFF"/>
                <w:sz w:val="26"/>
              </w:rPr>
              <w:t>5. ETAPA 1 — VANTAGENS AUFERIDA E PRETENDIDA (Art. 26)</w:t>
            </w:r>
          </w:p>
        </w:tc>
      </w:tr>
    </w:tbl>
    <w:p/>
    <w:p>
      <w:pPr>
        <w:spacing w:before="240" w:after="80"/>
        <w:pBdr>
          <w:bottom w:val="single" w:sz="6" w:space="1" w:color="64A70B"/>
        </w:pBdr>
      </w:pPr>
      <w:r>
        <w:rPr>
          <w:rFonts w:ascii="Arial" w:hAnsi="Arial"/>
          <w:b/>
          <w:color w:val="1D3A78"/>
          <w:sz w:val="23"/>
        </w:rPr>
        <w:t>5.1 Distinção Legal</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551"/>
            <w:shd w:val="clear" w:color="auto" w:fill="00205B"/>
          </w:tcPr>
          <w:p>
            <w:pPr>
              <w:jc w:val="center"/>
            </w:pPr>
            <w:r>
              <w:rPr>
                <w:rFonts w:ascii="Arial" w:hAnsi="Arial"/>
                <w:b/>
                <w:color w:val="FFFFFF"/>
                <w:sz w:val="20"/>
              </w:rPr>
              <w:t>Conceito</w:t>
            </w:r>
          </w:p>
        </w:tc>
        <w:tc>
          <w:tcPr>
            <w:tcW w:type="dxa" w:w="3402"/>
            <w:shd w:val="clear" w:color="auto" w:fill="00205B"/>
          </w:tcPr>
          <w:p>
            <w:pPr>
              <w:jc w:val="center"/>
            </w:pPr>
            <w:r>
              <w:rPr>
                <w:rFonts w:ascii="Arial" w:hAnsi="Arial"/>
                <w:b/>
                <w:color w:val="FFFFFF"/>
                <w:sz w:val="20"/>
              </w:rPr>
              <w:t>Definição</w:t>
            </w:r>
          </w:p>
        </w:tc>
        <w:tc>
          <w:tcPr>
            <w:tcW w:type="dxa" w:w="3118"/>
            <w:shd w:val="clear" w:color="auto" w:fill="00205B"/>
          </w:tcPr>
          <w:p>
            <w:pPr>
              <w:jc w:val="center"/>
            </w:pPr>
            <w:r>
              <w:rPr>
                <w:rFonts w:ascii="Arial" w:hAnsi="Arial"/>
                <w:b/>
                <w:color w:val="FFFFFF"/>
                <w:sz w:val="20"/>
              </w:rPr>
              <w:t>Função na Multa</w:t>
            </w:r>
          </w:p>
        </w:tc>
        <w:tc>
          <w:tcPr>
            <w:tcW w:type="dxa" w:w="1701"/>
            <w:shd w:val="clear" w:color="auto" w:fill="00205B"/>
          </w:tcPr>
          <w:p>
            <w:pPr>
              <w:jc w:val="center"/>
            </w:pPr>
            <w:r>
              <w:rPr>
                <w:rFonts w:ascii="Arial" w:hAnsi="Arial"/>
                <w:b/>
                <w:color w:val="FFFFFF"/>
                <w:sz w:val="20"/>
              </w:rPr>
              <w:t>Fundamento</w:t>
            </w:r>
          </w:p>
        </w:tc>
      </w:tr>
      <w:tr>
        <w:tc>
          <w:tcPr>
            <w:tcW w:type="dxa" w:w="2551"/>
            <w:shd w:val="clear" w:color="auto" w:fill="F2F2F2"/>
          </w:tcPr>
          <w:p>
            <w:pPr>
              <w:jc w:val="left"/>
            </w:pPr>
            <w:r>
              <w:rPr>
                <w:rFonts w:ascii="Arial" w:hAnsi="Arial"/>
                <w:sz w:val="20"/>
              </w:rPr>
              <w:t>Vantagem Auferida</w:t>
            </w:r>
          </w:p>
        </w:tc>
        <w:tc>
          <w:tcPr>
            <w:tcW w:type="dxa" w:w="3402"/>
            <w:shd w:val="clear" w:color="auto" w:fill="F2F2F2"/>
          </w:tcPr>
          <w:p>
            <w:pPr>
              <w:jc w:val="center"/>
            </w:pPr>
            <w:r>
              <w:rPr>
                <w:rFonts w:ascii="Arial" w:hAnsi="Arial"/>
                <w:sz w:val="20"/>
              </w:rPr>
              <w:t>Ganho real e efetivamente obtido com o ato lesivo</w:t>
            </w:r>
          </w:p>
        </w:tc>
        <w:tc>
          <w:tcPr>
            <w:tcW w:type="dxa" w:w="3118"/>
            <w:shd w:val="clear" w:color="auto" w:fill="F2F2F2"/>
          </w:tcPr>
          <w:p>
            <w:pPr>
              <w:jc w:val="center"/>
            </w:pPr>
            <w:r>
              <w:rPr>
                <w:rFonts w:ascii="Arial" w:hAnsi="Arial"/>
                <w:sz w:val="20"/>
              </w:rPr>
              <w:t>Piso mínimo inafastável da multa</w:t>
            </w:r>
          </w:p>
        </w:tc>
        <w:tc>
          <w:tcPr>
            <w:tcW w:type="dxa" w:w="1701"/>
            <w:shd w:val="clear" w:color="auto" w:fill="F2F2F2"/>
          </w:tcPr>
          <w:p>
            <w:pPr>
              <w:jc w:val="center"/>
            </w:pPr>
            <w:r>
              <w:rPr>
                <w:rFonts w:ascii="Arial" w:hAnsi="Arial"/>
                <w:sz w:val="20"/>
              </w:rPr>
              <w:t>Art. 25, I</w:t>
            </w:r>
          </w:p>
        </w:tc>
      </w:tr>
      <w:tr>
        <w:tc>
          <w:tcPr>
            <w:tcW w:type="dxa" w:w="2551"/>
            <w:shd w:val="clear" w:color="auto" w:fill="FFFFFF"/>
          </w:tcPr>
          <w:p>
            <w:pPr>
              <w:jc w:val="left"/>
            </w:pPr>
            <w:r>
              <w:rPr>
                <w:rFonts w:ascii="Arial" w:hAnsi="Arial"/>
                <w:sz w:val="20"/>
              </w:rPr>
              <w:t>Vantagem Pretendida</w:t>
            </w:r>
          </w:p>
        </w:tc>
        <w:tc>
          <w:tcPr>
            <w:tcW w:type="dxa" w:w="3402"/>
            <w:shd w:val="clear" w:color="auto" w:fill="FFFFFF"/>
          </w:tcPr>
          <w:p>
            <w:pPr>
              <w:jc w:val="center"/>
            </w:pPr>
            <w:r>
              <w:rPr>
                <w:rFonts w:ascii="Arial" w:hAnsi="Arial"/>
                <w:sz w:val="20"/>
              </w:rPr>
              <w:t>Ganho planejado/visado, ainda que não concretizado</w:t>
            </w:r>
          </w:p>
        </w:tc>
        <w:tc>
          <w:tcPr>
            <w:tcW w:type="dxa" w:w="3118"/>
            <w:shd w:val="clear" w:color="auto" w:fill="FFFFFF"/>
          </w:tcPr>
          <w:p>
            <w:pPr>
              <w:jc w:val="center"/>
            </w:pPr>
            <w:r>
              <w:rPr>
                <w:rFonts w:ascii="Arial" w:hAnsi="Arial"/>
                <w:sz w:val="20"/>
              </w:rPr>
              <w:t>Referência para o teto máximo (maior entre as duas)</w:t>
            </w:r>
          </w:p>
        </w:tc>
        <w:tc>
          <w:tcPr>
            <w:tcW w:type="dxa" w:w="1701"/>
            <w:shd w:val="clear" w:color="auto" w:fill="FFFFFF"/>
          </w:tcPr>
          <w:p>
            <w:pPr>
              <w:jc w:val="center"/>
            </w:pPr>
            <w:r>
              <w:rPr>
                <w:rFonts w:ascii="Arial" w:hAnsi="Arial"/>
                <w:sz w:val="20"/>
              </w:rPr>
              <w:t>Art. 25, II</w:t>
            </w:r>
          </w:p>
        </w:tc>
      </w:tr>
    </w:tbl>
    <w:p/>
    <w:p>
      <w:pPr>
        <w:spacing w:before="240" w:after="80"/>
        <w:pBdr>
          <w:bottom w:val="single" w:sz="6" w:space="1" w:color="64A70B"/>
        </w:pBdr>
      </w:pPr>
      <w:r>
        <w:rPr>
          <w:rFonts w:ascii="Arial" w:hAnsi="Arial"/>
          <w:b/>
          <w:color w:val="1D3A78"/>
          <w:sz w:val="23"/>
        </w:rPr>
        <w:t>5.2 Métodos de Apuração da Vantagem Auferida</w:t>
      </w:r>
    </w:p>
    <w:p>
      <w:pPr>
        <w:spacing w:before="160" w:after="40"/>
      </w:pPr>
      <w:r>
        <w:rPr>
          <w:rFonts w:ascii="Arial" w:hAnsi="Arial"/>
          <w:b/>
          <w:color w:val="1D3A78"/>
          <w:sz w:val="22"/>
        </w:rPr>
        <w:t>Modo Direto</w:t>
      </w:r>
    </w:p>
    <w:p>
      <w:pPr>
        <w:spacing w:before="0" w:after="80"/>
      </w:pPr>
      <w:r>
        <w:rPr>
          <w:rFonts w:ascii="Arial" w:hAnsi="Arial"/>
          <w:i w:val="0"/>
          <w:sz w:val="22"/>
        </w:rPr>
        <w:t>Informar o valor já apurado externamente. Utilizar zero quando a vantagem não é estimável.</w:t>
      </w:r>
    </w:p>
    <w:p>
      <w:pPr>
        <w:spacing w:before="160" w:after="40"/>
      </w:pPr>
      <w:r>
        <w:rPr>
          <w:rFonts w:ascii="Arial" w:hAnsi="Arial"/>
          <w:b/>
          <w:color w:val="1D3A78"/>
          <w:sz w:val="22"/>
        </w:rPr>
        <w:t>Art. 26, I — Diferença entre receita auferida e custos lícitos</w:t>
      </w:r>
    </w:p>
    <w:p>
      <w:pPr>
        <w:spacing w:before="0" w:after="80"/>
      </w:pPr>
      <w:r>
        <w:rPr>
          <w:rFonts w:ascii="Arial" w:hAnsi="Arial"/>
          <w:i w:val="0"/>
          <w:sz w:val="22"/>
        </w:rPr>
        <w:t>Aplicável quando há receita auferida indevidamente (ex.: contratos obtidos por ato ilícito).</w:t>
      </w:r>
    </w:p>
    <w:p>
      <w:pPr>
        <w:spacing w:before="80" w:after="80"/>
        <w:ind w:left="850" w:right="567"/>
      </w:pPr>
      <w:r>
        <w:rPr>
          <w:rFonts w:ascii="Arial" w:hAnsi="Arial"/>
          <w:i/>
          <w:color w:val="333366"/>
          <w:sz w:val="20"/>
        </w:rPr>
        <w:t>Vantagem = Receita Auferida − CMV/CSP − Despesas Lícitas − IRPJ/CSLL</w:t>
      </w:r>
    </w:p>
    <w:p>
      <w:pPr>
        <w:spacing w:before="0" w:after="80"/>
      </w:pPr>
      <w:r>
        <w:rPr>
          <w:rFonts w:ascii="Arial" w:hAnsi="Arial"/>
          <w:i w:val="0"/>
          <w:sz w:val="22"/>
        </w:rPr>
        <w:t>Suporta múltiplos exercícios com tratamento de prejuízos acumulados.</w:t>
      </w:r>
    </w:p>
    <w:p>
      <w:pPr>
        <w:spacing w:before="160" w:after="40"/>
      </w:pPr>
      <w:r>
        <w:rPr>
          <w:rFonts w:ascii="Arial" w:hAnsi="Arial"/>
          <w:b/>
          <w:color w:val="1D3A78"/>
          <w:sz w:val="22"/>
        </w:rPr>
        <w:t>Art. 26, II — Custos e despesas não suportados</w:t>
      </w:r>
    </w:p>
    <w:p>
      <w:pPr>
        <w:spacing w:before="0" w:after="80"/>
      </w:pPr>
      <w:r>
        <w:rPr>
          <w:rFonts w:ascii="Arial" w:hAnsi="Arial"/>
          <w:i w:val="0"/>
          <w:sz w:val="22"/>
        </w:rPr>
        <w:t>Valor correspondente aos custos e despesas que a PJ deixou de suportar. Exemplos: tributos não recolhidos, multas regulatórias evitadas, encargos não pagos.</w:t>
      </w:r>
    </w:p>
    <w:p>
      <w:pPr>
        <w:spacing w:before="160" w:after="40"/>
      </w:pPr>
      <w:r>
        <w:rPr>
          <w:rFonts w:ascii="Arial" w:hAnsi="Arial"/>
          <w:b/>
          <w:color w:val="1D3A78"/>
          <w:sz w:val="22"/>
        </w:rPr>
        <w:t>Art. 26, III — Acréscimo patrimonial por ação/omissão do Poder Público</w:t>
      </w:r>
    </w:p>
    <w:p>
      <w:pPr>
        <w:spacing w:before="0" w:after="80"/>
      </w:pPr>
      <w:r>
        <w:rPr>
          <w:rFonts w:ascii="Arial" w:hAnsi="Arial"/>
          <w:i w:val="0"/>
          <w:sz w:val="22"/>
        </w:rPr>
        <w:t>Acréscimo patrimonial que não teria ocorrido sem o ato lesivo. Exemplos: juros subsidiados obtidos indevidamente, uso de informação privilegiada.</w:t>
      </w:r>
    </w:p>
    <w:tbl>
      <w:tblPr>
        <w:tblStyle w:val="TableGrid"/>
        <w:tblW w:type="auto" w:w="0"/>
        <w:tblLook w:firstColumn="1" w:firstRow="1" w:lastColumn="0" w:lastRow="0" w:noHBand="0" w:noVBand="1" w:val="04A0"/>
      </w:tblPr>
      <w:tblGrid>
        <w:gridCol w:w="9405"/>
      </w:tblGrid>
      <w:tr>
        <w:tc>
          <w:tcPr>
            <w:tcW w:type="dxa" w:w="9405"/>
            <w:shd w:val="clear" w:color="auto" w:fill="F2F2F2"/>
            <w:tcBorders>
              <w:bottom w:val="single" w:sz="6" w:space="0" w:color="64A70B"/>
            </w:tcBorders>
          </w:tcPr>
          <w:p>
            <w:r>
              <w:rPr>
                <w:rFonts w:ascii="Arial" w:hAnsi="Arial"/>
                <w:color w:val="444400"/>
                <w:sz w:val="20"/>
              </w:rPr>
              <w:t>⚠  Não confundir vantagem auferida com pretendida. Inflar o piso mínimo com a vantagem pretendida é erro metodológico. A calculadora trata cada valor na função legal correta.</w:t>
            </w:r>
          </w:p>
        </w:tc>
      </w:tr>
    </w:tbl>
    <w:p/>
    <w:tbl>
      <w:tblPr>
        <w:tblStyle w:val="TableGrid"/>
        <w:tblW w:type="auto" w:w="0"/>
        <w:jc w:val="left"/>
        <w:tblLook w:firstColumn="1" w:firstRow="1" w:lastColumn="0" w:lastRow="0" w:noHBand="0" w:noVBand="1" w:val="04A0"/>
      </w:tblPr>
      <w:tblGrid>
        <w:gridCol w:w="9405"/>
      </w:tblGrid>
      <w:tr>
        <w:tc>
          <w:tcPr>
            <w:tcW w:type="dxa" w:w="9405"/>
            <w:shd w:val="clear" w:color="auto" w:fill="00205B"/>
            <w:tcBorders>
              <w:top w:val="none"/>
              <w:left w:val="none"/>
              <w:bottom w:val="none"/>
              <w:right w:val="none"/>
              <w:insideH w:val="none"/>
              <w:insideV w:val="none"/>
            </w:tcBorders>
            <w:tcBorders>
              <w:top w:val="none"/>
              <w:left w:val="none"/>
              <w:bottom w:val="none"/>
              <w:right w:val="none"/>
              <w:insideH w:val="none"/>
              <w:insideV w:val="none"/>
            </w:tcBorders>
            <w:tcBorders>
              <w:top w:val="none"/>
              <w:left w:val="none"/>
              <w:bottom w:val="none"/>
              <w:right w:val="none"/>
              <w:insideH w:val="none"/>
              <w:insideV w:val="none"/>
            </w:tcBorders>
            <w:tcBorders>
              <w:top w:val="none"/>
              <w:left w:val="none"/>
              <w:bottom w:val="none"/>
              <w:right w:val="none"/>
              <w:insideH w:val="none"/>
              <w:insideV w:val="none"/>
            </w:tcBorders>
          </w:tcPr>
          <w:p>
            <w:pPr>
              <w:spacing w:before="0" w:after="0"/>
              <w:ind w:left="170"/>
            </w:pPr>
            <w:r>
              <w:rPr>
                <w:rFonts w:ascii="Arial" w:hAnsi="Arial"/>
                <w:b/>
                <w:color w:val="FFFFFF"/>
                <w:sz w:val="26"/>
              </w:rPr>
              <w:t>6. AGRAVANTES — ART. 22, I A VI</w:t>
            </w:r>
          </w:p>
        </w:tc>
      </w:tr>
    </w:tbl>
    <w:p/>
    <w:p>
      <w:pPr>
        <w:spacing w:before="240" w:after="80"/>
        <w:pBdr>
          <w:bottom w:val="single" w:sz="6" w:space="1" w:color="64A70B"/>
        </w:pBdr>
      </w:pPr>
      <w:r>
        <w:rPr>
          <w:rFonts w:ascii="Arial" w:hAnsi="Arial"/>
          <w:b/>
          <w:color w:val="C0392B"/>
          <w:sz w:val="23"/>
        </w:rPr>
        <w:t>6.1 Art. 22, I — Concurso de Atos Lesivos</w:t>
      </w:r>
    </w:p>
    <w:p>
      <w:pPr>
        <w:spacing w:before="0" w:after="80"/>
      </w:pPr>
      <w:r>
        <w:rPr>
          <w:rFonts w:ascii="Arial" w:hAnsi="Arial"/>
          <w:i w:val="0"/>
          <w:sz w:val="22"/>
        </w:rPr>
        <w:t>Cruzamento entre quantidade de condutas ilícitas (linhas) e número de espécies distintas de atos lesivos do art. 5º da LAC (colunas). Aplica-se o percentual da célula correspondente ao caso concreto.</w:t>
      </w:r>
    </w:p>
    <w:tbl>
      <w:tblPr>
        <w:tblStyle w:val="TableGrid"/>
        <w:tblW w:type="auto" w:w="0"/>
        <w:jc w:val="left"/>
        <w:tblLook w:firstColumn="1" w:firstRow="1" w:lastColumn="0" w:lastRow="0" w:noHBand="0" w:noVBand="1" w:val="04A0"/>
      </w:tblPr>
      <w:tblGrid>
        <w:gridCol w:w="1881"/>
        <w:gridCol w:w="1881"/>
        <w:gridCol w:w="1881"/>
        <w:gridCol w:w="1881"/>
        <w:gridCol w:w="1881"/>
      </w:tblGrid>
      <w:tr>
        <w:tc>
          <w:tcPr>
            <w:tcW w:type="dxa" w:w="3118"/>
            <w:shd w:val="clear" w:color="auto" w:fill="C0392B"/>
          </w:tcPr>
          <w:p>
            <w:pPr>
              <w:jc w:val="center"/>
            </w:pPr>
            <w:r>
              <w:rPr>
                <w:rFonts w:ascii="Arial" w:hAnsi="Arial"/>
                <w:b/>
                <w:color w:val="FFFFFF"/>
                <w:sz w:val="20"/>
              </w:rPr>
              <w:t>Condutas ↓ / Espécies →</w:t>
            </w:r>
          </w:p>
        </w:tc>
        <w:tc>
          <w:tcPr>
            <w:tcW w:type="dxa" w:w="1701"/>
            <w:shd w:val="clear" w:color="auto" w:fill="C0392B"/>
          </w:tcPr>
          <w:p>
            <w:pPr>
              <w:jc w:val="center"/>
            </w:pPr>
            <w:r>
              <w:rPr>
                <w:rFonts w:ascii="Arial" w:hAnsi="Arial"/>
                <w:b/>
                <w:color w:val="FFFFFF"/>
                <w:sz w:val="20"/>
              </w:rPr>
              <w:t>1 espécie</w:t>
            </w:r>
          </w:p>
        </w:tc>
        <w:tc>
          <w:tcPr>
            <w:tcW w:type="dxa" w:w="1701"/>
            <w:shd w:val="clear" w:color="auto" w:fill="C0392B"/>
          </w:tcPr>
          <w:p>
            <w:pPr>
              <w:jc w:val="center"/>
            </w:pPr>
            <w:r>
              <w:rPr>
                <w:rFonts w:ascii="Arial" w:hAnsi="Arial"/>
                <w:b/>
                <w:color w:val="FFFFFF"/>
                <w:sz w:val="20"/>
              </w:rPr>
              <w:t>2 espécies</w:t>
            </w:r>
          </w:p>
        </w:tc>
        <w:tc>
          <w:tcPr>
            <w:tcW w:type="dxa" w:w="1701"/>
            <w:shd w:val="clear" w:color="auto" w:fill="C0392B"/>
          </w:tcPr>
          <w:p>
            <w:pPr>
              <w:jc w:val="center"/>
            </w:pPr>
            <w:r>
              <w:rPr>
                <w:rFonts w:ascii="Arial" w:hAnsi="Arial"/>
                <w:b/>
                <w:color w:val="FFFFFF"/>
                <w:sz w:val="20"/>
              </w:rPr>
              <w:t>3 espécies</w:t>
            </w:r>
          </w:p>
        </w:tc>
        <w:tc>
          <w:tcPr>
            <w:tcW w:type="dxa" w:w="1701"/>
            <w:shd w:val="clear" w:color="auto" w:fill="C0392B"/>
          </w:tcPr>
          <w:p>
            <w:pPr>
              <w:jc w:val="center"/>
            </w:pPr>
            <w:r>
              <w:rPr>
                <w:rFonts w:ascii="Arial" w:hAnsi="Arial"/>
                <w:b/>
                <w:color w:val="FFFFFF"/>
                <w:sz w:val="20"/>
              </w:rPr>
              <w:t>4 ou mais</w:t>
            </w:r>
          </w:p>
        </w:tc>
      </w:tr>
      <w:tr>
        <w:tc>
          <w:tcPr>
            <w:tcW w:type="dxa" w:w="3118"/>
            <w:shd w:val="clear" w:color="auto" w:fill="F2F2F2"/>
          </w:tcPr>
          <w:p>
            <w:pPr>
              <w:jc w:val="left"/>
            </w:pPr>
            <w:r>
              <w:rPr>
                <w:rFonts w:ascii="Arial" w:hAnsi="Arial"/>
                <w:sz w:val="20"/>
              </w:rPr>
              <w:t>1 conduta (ato isolado)</w:t>
            </w:r>
          </w:p>
        </w:tc>
        <w:tc>
          <w:tcPr>
            <w:tcW w:type="dxa" w:w="1701"/>
            <w:shd w:val="clear" w:color="auto" w:fill="F2F2F2"/>
          </w:tcPr>
          <w:p>
            <w:pPr>
              <w:jc w:val="center"/>
            </w:pPr>
            <w:r>
              <w:rPr>
                <w:rFonts w:ascii="Arial" w:hAnsi="Arial"/>
                <w:sz w:val="20"/>
              </w:rPr>
              <w:t>—</w:t>
            </w:r>
          </w:p>
        </w:tc>
        <w:tc>
          <w:tcPr>
            <w:tcW w:type="dxa" w:w="1701"/>
            <w:shd w:val="clear" w:color="auto" w:fill="F2F2F2"/>
          </w:tcPr>
          <w:p>
            <w:pPr>
              <w:jc w:val="center"/>
            </w:pPr>
            <w:r>
              <w:rPr>
                <w:rFonts w:ascii="Arial" w:hAnsi="Arial"/>
                <w:sz w:val="20"/>
              </w:rPr>
              <w:t>0,5%</w:t>
            </w:r>
          </w:p>
        </w:tc>
        <w:tc>
          <w:tcPr>
            <w:tcW w:type="dxa" w:w="1701"/>
            <w:shd w:val="clear" w:color="auto" w:fill="F2F2F2"/>
          </w:tcPr>
          <w:p>
            <w:pPr>
              <w:jc w:val="center"/>
            </w:pPr>
            <w:r>
              <w:rPr>
                <w:rFonts w:ascii="Arial" w:hAnsi="Arial"/>
                <w:sz w:val="20"/>
              </w:rPr>
              <w:t>1,0%</w:t>
            </w:r>
          </w:p>
        </w:tc>
        <w:tc>
          <w:tcPr>
            <w:tcW w:type="dxa" w:w="1701"/>
            <w:shd w:val="clear" w:color="auto" w:fill="F2F2F2"/>
          </w:tcPr>
          <w:p>
            <w:pPr>
              <w:jc w:val="center"/>
            </w:pPr>
            <w:r>
              <w:rPr>
                <w:rFonts w:ascii="Arial" w:hAnsi="Arial"/>
                <w:sz w:val="20"/>
              </w:rPr>
              <w:t>1,5%</w:t>
            </w:r>
          </w:p>
        </w:tc>
      </w:tr>
      <w:tr>
        <w:tc>
          <w:tcPr>
            <w:tcW w:type="dxa" w:w="3118"/>
            <w:shd w:val="clear" w:color="auto" w:fill="FFFFFF"/>
          </w:tcPr>
          <w:p>
            <w:pPr>
              <w:jc w:val="left"/>
            </w:pPr>
            <w:r>
              <w:rPr>
                <w:rFonts w:ascii="Arial" w:hAnsi="Arial"/>
                <w:sz w:val="20"/>
              </w:rPr>
              <w:t>2 condutas</w:t>
            </w:r>
          </w:p>
        </w:tc>
        <w:tc>
          <w:tcPr>
            <w:tcW w:type="dxa" w:w="1701"/>
            <w:shd w:val="clear" w:color="auto" w:fill="FFFFFF"/>
          </w:tcPr>
          <w:p>
            <w:pPr>
              <w:jc w:val="center"/>
            </w:pPr>
            <w:r>
              <w:rPr>
                <w:rFonts w:ascii="Arial" w:hAnsi="Arial"/>
                <w:sz w:val="20"/>
              </w:rPr>
              <w:t>0,5%</w:t>
            </w:r>
          </w:p>
        </w:tc>
        <w:tc>
          <w:tcPr>
            <w:tcW w:type="dxa" w:w="1701"/>
            <w:shd w:val="clear" w:color="auto" w:fill="FFFFFF"/>
          </w:tcPr>
          <w:p>
            <w:pPr>
              <w:jc w:val="center"/>
            </w:pPr>
            <w:r>
              <w:rPr>
                <w:rFonts w:ascii="Arial" w:hAnsi="Arial"/>
                <w:sz w:val="20"/>
              </w:rPr>
              <w:t>1,0%</w:t>
            </w:r>
          </w:p>
        </w:tc>
        <w:tc>
          <w:tcPr>
            <w:tcW w:type="dxa" w:w="1701"/>
            <w:shd w:val="clear" w:color="auto" w:fill="FFFFFF"/>
          </w:tcPr>
          <w:p>
            <w:pPr>
              <w:jc w:val="center"/>
            </w:pPr>
            <w:r>
              <w:rPr>
                <w:rFonts w:ascii="Arial" w:hAnsi="Arial"/>
                <w:sz w:val="20"/>
              </w:rPr>
              <w:t>1,5%</w:t>
            </w:r>
          </w:p>
        </w:tc>
        <w:tc>
          <w:tcPr>
            <w:tcW w:type="dxa" w:w="1701"/>
            <w:shd w:val="clear" w:color="auto" w:fill="FFFFFF"/>
          </w:tcPr>
          <w:p>
            <w:pPr>
              <w:jc w:val="center"/>
            </w:pPr>
            <w:r>
              <w:rPr>
                <w:rFonts w:ascii="Arial" w:hAnsi="Arial"/>
                <w:sz w:val="20"/>
              </w:rPr>
              <w:t>2,0%</w:t>
            </w:r>
          </w:p>
        </w:tc>
      </w:tr>
      <w:tr>
        <w:tc>
          <w:tcPr>
            <w:tcW w:type="dxa" w:w="3118"/>
            <w:shd w:val="clear" w:color="auto" w:fill="F2F2F2"/>
          </w:tcPr>
          <w:p>
            <w:pPr>
              <w:jc w:val="left"/>
            </w:pPr>
            <w:r>
              <w:rPr>
                <w:rFonts w:ascii="Arial" w:hAnsi="Arial"/>
                <w:sz w:val="20"/>
              </w:rPr>
              <w:t>3 condutas</w:t>
            </w:r>
          </w:p>
        </w:tc>
        <w:tc>
          <w:tcPr>
            <w:tcW w:type="dxa" w:w="1701"/>
            <w:shd w:val="clear" w:color="auto" w:fill="F2F2F2"/>
          </w:tcPr>
          <w:p>
            <w:pPr>
              <w:jc w:val="center"/>
            </w:pPr>
            <w:r>
              <w:rPr>
                <w:rFonts w:ascii="Arial" w:hAnsi="Arial"/>
                <w:sz w:val="20"/>
              </w:rPr>
              <w:t>1,0%</w:t>
            </w:r>
          </w:p>
        </w:tc>
        <w:tc>
          <w:tcPr>
            <w:tcW w:type="dxa" w:w="1701"/>
            <w:shd w:val="clear" w:color="auto" w:fill="F2F2F2"/>
          </w:tcPr>
          <w:p>
            <w:pPr>
              <w:jc w:val="center"/>
            </w:pPr>
            <w:r>
              <w:rPr>
                <w:rFonts w:ascii="Arial" w:hAnsi="Arial"/>
                <w:sz w:val="20"/>
              </w:rPr>
              <w:t>1,5%</w:t>
            </w:r>
          </w:p>
        </w:tc>
        <w:tc>
          <w:tcPr>
            <w:tcW w:type="dxa" w:w="1701"/>
            <w:shd w:val="clear" w:color="auto" w:fill="F2F2F2"/>
          </w:tcPr>
          <w:p>
            <w:pPr>
              <w:jc w:val="center"/>
            </w:pPr>
            <w:r>
              <w:rPr>
                <w:rFonts w:ascii="Arial" w:hAnsi="Arial"/>
                <w:sz w:val="20"/>
              </w:rPr>
              <w:t>2,0%</w:t>
            </w:r>
          </w:p>
        </w:tc>
        <w:tc>
          <w:tcPr>
            <w:tcW w:type="dxa" w:w="1701"/>
            <w:shd w:val="clear" w:color="auto" w:fill="F2F2F2"/>
          </w:tcPr>
          <w:p>
            <w:pPr>
              <w:jc w:val="center"/>
            </w:pPr>
            <w:r>
              <w:rPr>
                <w:rFonts w:ascii="Arial" w:hAnsi="Arial"/>
                <w:sz w:val="20"/>
              </w:rPr>
              <w:t>2,5%</w:t>
            </w:r>
          </w:p>
        </w:tc>
      </w:tr>
      <w:tr>
        <w:tc>
          <w:tcPr>
            <w:tcW w:type="dxa" w:w="3118"/>
            <w:shd w:val="clear" w:color="auto" w:fill="FFFFFF"/>
          </w:tcPr>
          <w:p>
            <w:pPr>
              <w:jc w:val="left"/>
            </w:pPr>
            <w:r>
              <w:rPr>
                <w:rFonts w:ascii="Arial" w:hAnsi="Arial"/>
                <w:sz w:val="20"/>
              </w:rPr>
              <w:t>4 condutas</w:t>
            </w:r>
          </w:p>
        </w:tc>
        <w:tc>
          <w:tcPr>
            <w:tcW w:type="dxa" w:w="1701"/>
            <w:shd w:val="clear" w:color="auto" w:fill="FFFFFF"/>
          </w:tcPr>
          <w:p>
            <w:pPr>
              <w:jc w:val="center"/>
            </w:pPr>
            <w:r>
              <w:rPr>
                <w:rFonts w:ascii="Arial" w:hAnsi="Arial"/>
                <w:sz w:val="20"/>
              </w:rPr>
              <w:t>1,5%</w:t>
            </w:r>
          </w:p>
        </w:tc>
        <w:tc>
          <w:tcPr>
            <w:tcW w:type="dxa" w:w="1701"/>
            <w:shd w:val="clear" w:color="auto" w:fill="FFFFFF"/>
          </w:tcPr>
          <w:p>
            <w:pPr>
              <w:jc w:val="center"/>
            </w:pPr>
            <w:r>
              <w:rPr>
                <w:rFonts w:ascii="Arial" w:hAnsi="Arial"/>
                <w:sz w:val="20"/>
              </w:rPr>
              <w:t>2,0%</w:t>
            </w:r>
          </w:p>
        </w:tc>
        <w:tc>
          <w:tcPr>
            <w:tcW w:type="dxa" w:w="1701"/>
            <w:shd w:val="clear" w:color="auto" w:fill="FFFFFF"/>
          </w:tcPr>
          <w:p>
            <w:pPr>
              <w:jc w:val="center"/>
            </w:pPr>
            <w:r>
              <w:rPr>
                <w:rFonts w:ascii="Arial" w:hAnsi="Arial"/>
                <w:sz w:val="20"/>
              </w:rPr>
              <w:t>2,5%</w:t>
            </w:r>
          </w:p>
        </w:tc>
        <w:tc>
          <w:tcPr>
            <w:tcW w:type="dxa" w:w="1701"/>
            <w:shd w:val="clear" w:color="auto" w:fill="FFFFFF"/>
          </w:tcPr>
          <w:p>
            <w:pPr>
              <w:jc w:val="center"/>
            </w:pPr>
            <w:r>
              <w:rPr>
                <w:rFonts w:ascii="Arial" w:hAnsi="Arial"/>
                <w:sz w:val="20"/>
              </w:rPr>
              <w:t>3,0%</w:t>
            </w:r>
          </w:p>
        </w:tc>
      </w:tr>
      <w:tr>
        <w:tc>
          <w:tcPr>
            <w:tcW w:type="dxa" w:w="3118"/>
            <w:shd w:val="clear" w:color="auto" w:fill="F2F2F2"/>
          </w:tcPr>
          <w:p>
            <w:pPr>
              <w:jc w:val="left"/>
            </w:pPr>
            <w:r>
              <w:rPr>
                <w:rFonts w:ascii="Arial" w:hAnsi="Arial"/>
                <w:sz w:val="20"/>
              </w:rPr>
              <w:t>5 condutas</w:t>
            </w:r>
          </w:p>
        </w:tc>
        <w:tc>
          <w:tcPr>
            <w:tcW w:type="dxa" w:w="1701"/>
            <w:shd w:val="clear" w:color="auto" w:fill="F2F2F2"/>
          </w:tcPr>
          <w:p>
            <w:pPr>
              <w:jc w:val="center"/>
            </w:pPr>
            <w:r>
              <w:rPr>
                <w:rFonts w:ascii="Arial" w:hAnsi="Arial"/>
                <w:sz w:val="20"/>
              </w:rPr>
              <w:t>2,0%</w:t>
            </w:r>
          </w:p>
        </w:tc>
        <w:tc>
          <w:tcPr>
            <w:tcW w:type="dxa" w:w="1701"/>
            <w:shd w:val="clear" w:color="auto" w:fill="F2F2F2"/>
          </w:tcPr>
          <w:p>
            <w:pPr>
              <w:jc w:val="center"/>
            </w:pPr>
            <w:r>
              <w:rPr>
                <w:rFonts w:ascii="Arial" w:hAnsi="Arial"/>
                <w:sz w:val="20"/>
              </w:rPr>
              <w:t>2,5%</w:t>
            </w:r>
          </w:p>
        </w:tc>
        <w:tc>
          <w:tcPr>
            <w:tcW w:type="dxa" w:w="1701"/>
            <w:shd w:val="clear" w:color="auto" w:fill="F2F2F2"/>
          </w:tcPr>
          <w:p>
            <w:pPr>
              <w:jc w:val="center"/>
            </w:pPr>
            <w:r>
              <w:rPr>
                <w:rFonts w:ascii="Arial" w:hAnsi="Arial"/>
                <w:sz w:val="20"/>
              </w:rPr>
              <w:t>3,0%</w:t>
            </w:r>
          </w:p>
        </w:tc>
        <w:tc>
          <w:tcPr>
            <w:tcW w:type="dxa" w:w="1701"/>
            <w:shd w:val="clear" w:color="auto" w:fill="F2F2F2"/>
          </w:tcPr>
          <w:p>
            <w:pPr>
              <w:jc w:val="center"/>
            </w:pPr>
            <w:r>
              <w:rPr>
                <w:rFonts w:ascii="Arial" w:hAnsi="Arial"/>
                <w:sz w:val="20"/>
              </w:rPr>
              <w:t>3,5%</w:t>
            </w:r>
          </w:p>
        </w:tc>
      </w:tr>
      <w:tr>
        <w:tc>
          <w:tcPr>
            <w:tcW w:type="dxa" w:w="3118"/>
            <w:shd w:val="clear" w:color="auto" w:fill="FFFFFF"/>
          </w:tcPr>
          <w:p>
            <w:pPr>
              <w:jc w:val="left"/>
            </w:pPr>
            <w:r>
              <w:rPr>
                <w:rFonts w:ascii="Arial" w:hAnsi="Arial"/>
                <w:sz w:val="20"/>
              </w:rPr>
              <w:t>6 condutas</w:t>
            </w:r>
          </w:p>
        </w:tc>
        <w:tc>
          <w:tcPr>
            <w:tcW w:type="dxa" w:w="1701"/>
            <w:shd w:val="clear" w:color="auto" w:fill="FFFFFF"/>
          </w:tcPr>
          <w:p>
            <w:pPr>
              <w:jc w:val="center"/>
            </w:pPr>
            <w:r>
              <w:rPr>
                <w:rFonts w:ascii="Arial" w:hAnsi="Arial"/>
                <w:sz w:val="20"/>
              </w:rPr>
              <w:t>2,5%</w:t>
            </w:r>
          </w:p>
        </w:tc>
        <w:tc>
          <w:tcPr>
            <w:tcW w:type="dxa" w:w="1701"/>
            <w:shd w:val="clear" w:color="auto" w:fill="FFFFFF"/>
          </w:tcPr>
          <w:p>
            <w:pPr>
              <w:jc w:val="center"/>
            </w:pPr>
            <w:r>
              <w:rPr>
                <w:rFonts w:ascii="Arial" w:hAnsi="Arial"/>
                <w:sz w:val="20"/>
              </w:rPr>
              <w:t>3,0%</w:t>
            </w:r>
          </w:p>
        </w:tc>
        <w:tc>
          <w:tcPr>
            <w:tcW w:type="dxa" w:w="1701"/>
            <w:shd w:val="clear" w:color="auto" w:fill="FFFFFF"/>
          </w:tcPr>
          <w:p>
            <w:pPr>
              <w:jc w:val="center"/>
            </w:pPr>
            <w:r>
              <w:rPr>
                <w:rFonts w:ascii="Arial" w:hAnsi="Arial"/>
                <w:sz w:val="20"/>
              </w:rPr>
              <w:t>3,5%</w:t>
            </w:r>
          </w:p>
        </w:tc>
        <w:tc>
          <w:tcPr>
            <w:tcW w:type="dxa" w:w="1701"/>
            <w:shd w:val="clear" w:color="auto" w:fill="FFFFFF"/>
          </w:tcPr>
          <w:p>
            <w:pPr>
              <w:jc w:val="center"/>
            </w:pPr>
            <w:r>
              <w:rPr>
                <w:rFonts w:ascii="Arial" w:hAnsi="Arial"/>
                <w:sz w:val="20"/>
              </w:rPr>
              <w:t>4,0%</w:t>
            </w:r>
          </w:p>
        </w:tc>
      </w:tr>
      <w:tr>
        <w:tc>
          <w:tcPr>
            <w:tcW w:type="dxa" w:w="3118"/>
            <w:shd w:val="clear" w:color="auto" w:fill="F2F2F2"/>
          </w:tcPr>
          <w:p>
            <w:pPr>
              <w:jc w:val="left"/>
            </w:pPr>
            <w:r>
              <w:rPr>
                <w:rFonts w:ascii="Arial" w:hAnsi="Arial"/>
                <w:sz w:val="20"/>
              </w:rPr>
              <w:t>7 ou mais</w:t>
            </w:r>
          </w:p>
        </w:tc>
        <w:tc>
          <w:tcPr>
            <w:tcW w:type="dxa" w:w="1701"/>
            <w:shd w:val="clear" w:color="auto" w:fill="F2F2F2"/>
          </w:tcPr>
          <w:p>
            <w:pPr>
              <w:jc w:val="center"/>
            </w:pPr>
            <w:r>
              <w:rPr>
                <w:rFonts w:ascii="Arial" w:hAnsi="Arial"/>
                <w:sz w:val="20"/>
              </w:rPr>
              <w:t>3,0%</w:t>
            </w:r>
          </w:p>
        </w:tc>
        <w:tc>
          <w:tcPr>
            <w:tcW w:type="dxa" w:w="1701"/>
            <w:shd w:val="clear" w:color="auto" w:fill="F2F2F2"/>
          </w:tcPr>
          <w:p>
            <w:pPr>
              <w:jc w:val="center"/>
            </w:pPr>
            <w:r>
              <w:rPr>
                <w:rFonts w:ascii="Arial" w:hAnsi="Arial"/>
                <w:sz w:val="20"/>
              </w:rPr>
              <w:t>3,5%</w:t>
            </w:r>
          </w:p>
        </w:tc>
        <w:tc>
          <w:tcPr>
            <w:tcW w:type="dxa" w:w="1701"/>
            <w:shd w:val="clear" w:color="auto" w:fill="F2F2F2"/>
          </w:tcPr>
          <w:p>
            <w:pPr>
              <w:jc w:val="center"/>
            </w:pPr>
            <w:r>
              <w:rPr>
                <w:rFonts w:ascii="Arial" w:hAnsi="Arial"/>
                <w:sz w:val="20"/>
              </w:rPr>
              <w:t>4,0%</w:t>
            </w:r>
          </w:p>
        </w:tc>
        <w:tc>
          <w:tcPr>
            <w:tcW w:type="dxa" w:w="1701"/>
            <w:shd w:val="clear" w:color="auto" w:fill="F2F2F2"/>
          </w:tcPr>
          <w:p>
            <w:pPr>
              <w:jc w:val="center"/>
            </w:pPr>
            <w:r>
              <w:rPr>
                <w:rFonts w:ascii="Arial" w:hAnsi="Arial"/>
                <w:sz w:val="20"/>
              </w:rPr>
              <w:t>4,0%</w:t>
            </w:r>
          </w:p>
        </w:tc>
      </w:tr>
    </w:tbl>
    <w:p/>
    <w:p>
      <w:pPr>
        <w:spacing w:before="240" w:after="80"/>
        <w:pBdr>
          <w:bottom w:val="single" w:sz="6" w:space="1" w:color="64A70B"/>
        </w:pBdr>
      </w:pPr>
      <w:r>
        <w:rPr>
          <w:rFonts w:ascii="Arial" w:hAnsi="Arial"/>
          <w:b/>
          <w:color w:val="C0392B"/>
          <w:sz w:val="23"/>
        </w:rPr>
        <w:t>6.2 Art. 22, II — Ciência/Tolerância Hierárquica</w:t>
      </w:r>
    </w:p>
    <w:p>
      <w:pPr>
        <w:spacing w:before="0" w:after="80"/>
      </w:pPr>
      <w:r>
        <w:rPr>
          <w:rFonts w:ascii="Arial" w:hAnsi="Arial"/>
          <w:i w:val="0"/>
          <w:sz w:val="22"/>
        </w:rPr>
        <w:t>O percentual varia conforme a posição hierárquica do agente com conhecimento ou tolerância, medida a partir do topo da estrutura.</w:t>
      </w:r>
    </w:p>
    <w:tbl>
      <w:tblPr>
        <w:tblStyle w:val="TableGrid"/>
        <w:tblW w:type="auto" w:w="0"/>
        <w:jc w:val="left"/>
        <w:tblLook w:firstColumn="1" w:firstRow="1" w:lastColumn="0" w:lastRow="0" w:noHBand="0" w:noVBand="1" w:val="04A0"/>
      </w:tblPr>
      <w:tblGrid>
        <w:gridCol w:w="4702"/>
        <w:gridCol w:w="4702"/>
      </w:tblGrid>
      <w:tr>
        <w:tc>
          <w:tcPr>
            <w:tcW w:type="dxa" w:w="7370"/>
            <w:shd w:val="clear" w:color="auto" w:fill="C0392B"/>
          </w:tcPr>
          <w:p>
            <w:pPr>
              <w:jc w:val="center"/>
            </w:pPr>
            <w:r>
              <w:rPr>
                <w:rFonts w:ascii="Arial" w:hAnsi="Arial"/>
                <w:b/>
                <w:color w:val="FFFFFF"/>
                <w:sz w:val="20"/>
              </w:rPr>
              <w:t>Nível hierárquico</w:t>
            </w:r>
          </w:p>
        </w:tc>
        <w:tc>
          <w:tcPr>
            <w:tcW w:type="dxa" w:w="1701"/>
            <w:shd w:val="clear" w:color="auto" w:fill="C0392B"/>
          </w:tcPr>
          <w:p>
            <w:pPr>
              <w:jc w:val="center"/>
            </w:pPr>
            <w:r>
              <w:rPr>
                <w:rFonts w:ascii="Arial" w:hAnsi="Arial"/>
                <w:b/>
                <w:color w:val="FFFFFF"/>
                <w:sz w:val="20"/>
              </w:rPr>
              <w:t>%</w:t>
            </w:r>
          </w:p>
        </w:tc>
      </w:tr>
      <w:tr>
        <w:tc>
          <w:tcPr>
            <w:tcW w:type="dxa" w:w="7370"/>
            <w:shd w:val="clear" w:color="auto" w:fill="F2F2F2"/>
          </w:tcPr>
          <w:p>
            <w:pPr>
              <w:jc w:val="left"/>
            </w:pPr>
            <w:r>
              <w:rPr>
                <w:rFonts w:ascii="Arial" w:hAnsi="Arial"/>
                <w:sz w:val="20"/>
              </w:rPr>
              <w:t>Ausência de conhecimento pelo corpo diretivo e gerencial</w:t>
            </w:r>
          </w:p>
        </w:tc>
        <w:tc>
          <w:tcPr>
            <w:tcW w:type="dxa" w:w="1701"/>
            <w:shd w:val="clear" w:color="auto" w:fill="F2F2F2"/>
          </w:tcPr>
          <w:p>
            <w:pPr>
              <w:jc w:val="center"/>
            </w:pPr>
            <w:r>
              <w:rPr>
                <w:rFonts w:ascii="Arial" w:hAnsi="Arial"/>
                <w:sz w:val="20"/>
              </w:rPr>
              <w:t>0%</w:t>
            </w:r>
          </w:p>
        </w:tc>
      </w:tr>
      <w:tr>
        <w:tc>
          <w:tcPr>
            <w:tcW w:type="dxa" w:w="7370"/>
            <w:shd w:val="clear" w:color="auto" w:fill="FFFFFF"/>
          </w:tcPr>
          <w:p>
            <w:pPr>
              <w:jc w:val="left"/>
            </w:pPr>
            <w:r>
              <w:rPr>
                <w:rFonts w:ascii="Arial" w:hAnsi="Arial"/>
                <w:sz w:val="20"/>
              </w:rPr>
              <w:t>Tolerância/ciência do 5º nível abaixo dos administradores</w:t>
            </w:r>
          </w:p>
        </w:tc>
        <w:tc>
          <w:tcPr>
            <w:tcW w:type="dxa" w:w="1701"/>
            <w:shd w:val="clear" w:color="auto" w:fill="FFFFFF"/>
          </w:tcPr>
          <w:p>
            <w:pPr>
              <w:jc w:val="center"/>
            </w:pPr>
            <w:r>
              <w:rPr>
                <w:rFonts w:ascii="Arial" w:hAnsi="Arial"/>
                <w:sz w:val="20"/>
              </w:rPr>
              <w:t>1,0%</w:t>
            </w:r>
          </w:p>
        </w:tc>
      </w:tr>
      <w:tr>
        <w:tc>
          <w:tcPr>
            <w:tcW w:type="dxa" w:w="7370"/>
            <w:shd w:val="clear" w:color="auto" w:fill="F2F2F2"/>
          </w:tcPr>
          <w:p>
            <w:pPr>
              <w:jc w:val="left"/>
            </w:pPr>
            <w:r>
              <w:rPr>
                <w:rFonts w:ascii="Arial" w:hAnsi="Arial"/>
                <w:sz w:val="20"/>
              </w:rPr>
              <w:t>Tolerância/ciência do 4º nível abaixo dos administradores</w:t>
            </w:r>
          </w:p>
        </w:tc>
        <w:tc>
          <w:tcPr>
            <w:tcW w:type="dxa" w:w="1701"/>
            <w:shd w:val="clear" w:color="auto" w:fill="F2F2F2"/>
          </w:tcPr>
          <w:p>
            <w:pPr>
              <w:jc w:val="center"/>
            </w:pPr>
            <w:r>
              <w:rPr>
                <w:rFonts w:ascii="Arial" w:hAnsi="Arial"/>
                <w:sz w:val="20"/>
              </w:rPr>
              <w:t>1,5%</w:t>
            </w:r>
          </w:p>
        </w:tc>
      </w:tr>
      <w:tr>
        <w:tc>
          <w:tcPr>
            <w:tcW w:type="dxa" w:w="7370"/>
            <w:shd w:val="clear" w:color="auto" w:fill="FFFFFF"/>
          </w:tcPr>
          <w:p>
            <w:pPr>
              <w:jc w:val="left"/>
            </w:pPr>
            <w:r>
              <w:rPr>
                <w:rFonts w:ascii="Arial" w:hAnsi="Arial"/>
                <w:sz w:val="20"/>
              </w:rPr>
              <w:t>Tolerância/ciência do 3º nível abaixo dos administradores</w:t>
            </w:r>
          </w:p>
        </w:tc>
        <w:tc>
          <w:tcPr>
            <w:tcW w:type="dxa" w:w="1701"/>
            <w:shd w:val="clear" w:color="auto" w:fill="FFFFFF"/>
          </w:tcPr>
          <w:p>
            <w:pPr>
              <w:jc w:val="center"/>
            </w:pPr>
            <w:r>
              <w:rPr>
                <w:rFonts w:ascii="Arial" w:hAnsi="Arial"/>
                <w:sz w:val="20"/>
              </w:rPr>
              <w:t>2,0%</w:t>
            </w:r>
          </w:p>
        </w:tc>
      </w:tr>
      <w:tr>
        <w:tc>
          <w:tcPr>
            <w:tcW w:type="dxa" w:w="7370"/>
            <w:shd w:val="clear" w:color="auto" w:fill="F2F2F2"/>
          </w:tcPr>
          <w:p>
            <w:pPr>
              <w:jc w:val="left"/>
            </w:pPr>
            <w:r>
              <w:rPr>
                <w:rFonts w:ascii="Arial" w:hAnsi="Arial"/>
                <w:sz w:val="20"/>
              </w:rPr>
              <w:t>Tolerância/ciência do 2º nível (imediatamente abaixo)</w:t>
            </w:r>
          </w:p>
        </w:tc>
        <w:tc>
          <w:tcPr>
            <w:tcW w:type="dxa" w:w="1701"/>
            <w:shd w:val="clear" w:color="auto" w:fill="F2F2F2"/>
          </w:tcPr>
          <w:p>
            <w:pPr>
              <w:jc w:val="center"/>
            </w:pPr>
            <w:r>
              <w:rPr>
                <w:rFonts w:ascii="Arial" w:hAnsi="Arial"/>
                <w:sz w:val="20"/>
              </w:rPr>
              <w:t>2,5%</w:t>
            </w:r>
          </w:p>
        </w:tc>
      </w:tr>
      <w:tr>
        <w:tc>
          <w:tcPr>
            <w:tcW w:type="dxa" w:w="7370"/>
            <w:shd w:val="clear" w:color="auto" w:fill="FFFFFF"/>
          </w:tcPr>
          <w:p>
            <w:pPr>
              <w:jc w:val="left"/>
            </w:pPr>
            <w:r>
              <w:rPr>
                <w:rFonts w:ascii="Arial" w:hAnsi="Arial"/>
                <w:sz w:val="20"/>
              </w:rPr>
              <w:t>Tolerância/ciência dos sócios, acionistas ou administradores</w:t>
            </w:r>
          </w:p>
        </w:tc>
        <w:tc>
          <w:tcPr>
            <w:tcW w:type="dxa" w:w="1701"/>
            <w:shd w:val="clear" w:color="auto" w:fill="FFFFFF"/>
          </w:tcPr>
          <w:p>
            <w:pPr>
              <w:jc w:val="center"/>
            </w:pPr>
            <w:r>
              <w:rPr>
                <w:rFonts w:ascii="Arial" w:hAnsi="Arial"/>
                <w:sz w:val="20"/>
              </w:rPr>
              <w:t>3,0%</w:t>
            </w:r>
          </w:p>
        </w:tc>
      </w:tr>
    </w:tbl>
    <w:p/>
    <w:p>
      <w:pPr>
        <w:spacing w:before="240" w:after="80"/>
        <w:pBdr>
          <w:bottom w:val="single" w:sz="6" w:space="1" w:color="64A70B"/>
        </w:pBdr>
      </w:pPr>
      <w:r>
        <w:rPr>
          <w:rFonts w:ascii="Arial" w:hAnsi="Arial"/>
          <w:b/>
          <w:color w:val="C0392B"/>
          <w:sz w:val="23"/>
        </w:rPr>
        <w:t>6.3 Art. 22, III — Interrupção/Descumprimento (três hipóteses)</w:t>
      </w:r>
    </w:p>
    <w:p>
      <w:pPr>
        <w:spacing w:before="0" w:after="80"/>
      </w:pPr>
      <w:r>
        <w:rPr>
          <w:rFonts w:ascii="Arial" w:hAnsi="Arial"/>
          <w:i w:val="0"/>
          <w:sz w:val="22"/>
        </w:rPr>
        <w:t>Avalie cada uma das três hipóteses abaixo. Aplica-se automaticamente o maior percentual entre elas.</w:t>
      </w:r>
    </w:p>
    <w:p>
      <w:pPr>
        <w:spacing w:before="160" w:after="40"/>
      </w:pPr>
      <w:r>
        <w:rPr>
          <w:rFonts w:ascii="Arial" w:hAnsi="Arial"/>
          <w:b/>
          <w:color w:val="1D3A78"/>
          <w:sz w:val="22"/>
        </w:rPr>
        <w:t>a) Interrupção no Fornecimento de Serviço Público</w:t>
      </w:r>
    </w:p>
    <w:tbl>
      <w:tblPr>
        <w:tblStyle w:val="TableGrid"/>
        <w:tblW w:type="auto" w:w="0"/>
        <w:jc w:val="left"/>
        <w:tblLook w:firstColumn="1" w:firstRow="1" w:lastColumn="0" w:lastRow="0" w:noHBand="0" w:noVBand="1" w:val="04A0"/>
      </w:tblPr>
      <w:tblGrid>
        <w:gridCol w:w="4702"/>
        <w:gridCol w:w="4702"/>
      </w:tblGrid>
      <w:tr>
        <w:tc>
          <w:tcPr>
            <w:tcW w:type="dxa" w:w="7370"/>
            <w:shd w:val="clear" w:color="auto" w:fill="C0392B"/>
          </w:tcPr>
          <w:p>
            <w:pPr>
              <w:jc w:val="center"/>
            </w:pPr>
            <w:r>
              <w:rPr>
                <w:rFonts w:ascii="Arial" w:hAnsi="Arial"/>
                <w:b/>
                <w:color w:val="FFFFFF"/>
                <w:sz w:val="20"/>
              </w:rPr>
              <w:t>Situação</w:t>
            </w:r>
          </w:p>
        </w:tc>
        <w:tc>
          <w:tcPr>
            <w:tcW w:type="dxa" w:w="1701"/>
            <w:shd w:val="clear" w:color="auto" w:fill="C0392B"/>
          </w:tcPr>
          <w:p>
            <w:pPr>
              <w:jc w:val="center"/>
            </w:pPr>
            <w:r>
              <w:rPr>
                <w:rFonts w:ascii="Arial" w:hAnsi="Arial"/>
                <w:b/>
                <w:color w:val="FFFFFF"/>
                <w:sz w:val="20"/>
              </w:rPr>
              <w:t>%</w:t>
            </w:r>
          </w:p>
        </w:tc>
      </w:tr>
      <w:tr>
        <w:tc>
          <w:tcPr>
            <w:tcW w:type="dxa" w:w="7370"/>
            <w:shd w:val="clear" w:color="auto" w:fill="F2F2F2"/>
          </w:tcPr>
          <w:p>
            <w:pPr>
              <w:jc w:val="left"/>
            </w:pPr>
            <w:r>
              <w:rPr>
                <w:rFonts w:ascii="Arial" w:hAnsi="Arial"/>
                <w:sz w:val="20"/>
              </w:rPr>
              <w:t>Ausência de interrupção no fornecimento de serviço público</w:t>
            </w:r>
          </w:p>
        </w:tc>
        <w:tc>
          <w:tcPr>
            <w:tcW w:type="dxa" w:w="1701"/>
            <w:shd w:val="clear" w:color="auto" w:fill="F2F2F2"/>
          </w:tcPr>
          <w:p>
            <w:pPr>
              <w:jc w:val="center"/>
            </w:pPr>
            <w:r>
              <w:rPr>
                <w:rFonts w:ascii="Arial" w:hAnsi="Arial"/>
                <w:sz w:val="20"/>
              </w:rPr>
              <w:t>0%</w:t>
            </w:r>
          </w:p>
        </w:tc>
      </w:tr>
      <w:tr>
        <w:tc>
          <w:tcPr>
            <w:tcW w:type="dxa" w:w="7370"/>
            <w:shd w:val="clear" w:color="auto" w:fill="FFFFFF"/>
          </w:tcPr>
          <w:p>
            <w:pPr>
              <w:jc w:val="left"/>
            </w:pPr>
            <w:r>
              <w:rPr>
                <w:rFonts w:ascii="Arial" w:hAnsi="Arial"/>
                <w:sz w:val="20"/>
              </w:rPr>
              <w:t>Até 1 semana, ou impacto em município com até 100 mil habitantes</w:t>
            </w:r>
          </w:p>
        </w:tc>
        <w:tc>
          <w:tcPr>
            <w:tcW w:type="dxa" w:w="1701"/>
            <w:shd w:val="clear" w:color="auto" w:fill="FFFFFF"/>
          </w:tcPr>
          <w:p>
            <w:pPr>
              <w:jc w:val="center"/>
            </w:pPr>
            <w:r>
              <w:rPr>
                <w:rFonts w:ascii="Arial" w:hAnsi="Arial"/>
                <w:sz w:val="20"/>
              </w:rPr>
              <w:t>1,0%</w:t>
            </w:r>
          </w:p>
        </w:tc>
      </w:tr>
      <w:tr>
        <w:tc>
          <w:tcPr>
            <w:tcW w:type="dxa" w:w="7370"/>
            <w:shd w:val="clear" w:color="auto" w:fill="F2F2F2"/>
          </w:tcPr>
          <w:p>
            <w:pPr>
              <w:jc w:val="left"/>
            </w:pPr>
            <w:r>
              <w:rPr>
                <w:rFonts w:ascii="Arial" w:hAnsi="Arial"/>
                <w:sz w:val="20"/>
              </w:rPr>
              <w:t>Até 2 semanas, ou impacto em município com até 400 mil habitantes</w:t>
            </w:r>
          </w:p>
        </w:tc>
        <w:tc>
          <w:tcPr>
            <w:tcW w:type="dxa" w:w="1701"/>
            <w:shd w:val="clear" w:color="auto" w:fill="F2F2F2"/>
          </w:tcPr>
          <w:p>
            <w:pPr>
              <w:jc w:val="center"/>
            </w:pPr>
            <w:r>
              <w:rPr>
                <w:rFonts w:ascii="Arial" w:hAnsi="Arial"/>
                <w:sz w:val="20"/>
              </w:rPr>
              <w:t>2,0%</w:t>
            </w:r>
          </w:p>
        </w:tc>
      </w:tr>
      <w:tr>
        <w:tc>
          <w:tcPr>
            <w:tcW w:type="dxa" w:w="7370"/>
            <w:shd w:val="clear" w:color="auto" w:fill="FFFFFF"/>
          </w:tcPr>
          <w:p>
            <w:pPr>
              <w:jc w:val="left"/>
            </w:pPr>
            <w:r>
              <w:rPr>
                <w:rFonts w:ascii="Arial" w:hAnsi="Arial"/>
                <w:sz w:val="20"/>
              </w:rPr>
              <w:t>Até 3 semanas, ou município com mais de 400 mil hab., ou mais de um município do mesmo Estado</w:t>
            </w:r>
          </w:p>
        </w:tc>
        <w:tc>
          <w:tcPr>
            <w:tcW w:type="dxa" w:w="1701"/>
            <w:shd w:val="clear" w:color="auto" w:fill="FFFFFF"/>
          </w:tcPr>
          <w:p>
            <w:pPr>
              <w:jc w:val="center"/>
            </w:pPr>
            <w:r>
              <w:rPr>
                <w:rFonts w:ascii="Arial" w:hAnsi="Arial"/>
                <w:sz w:val="20"/>
              </w:rPr>
              <w:t>3,0%</w:t>
            </w:r>
          </w:p>
        </w:tc>
      </w:tr>
      <w:tr>
        <w:tc>
          <w:tcPr>
            <w:tcW w:type="dxa" w:w="7370"/>
            <w:shd w:val="clear" w:color="auto" w:fill="F2F2F2"/>
          </w:tcPr>
          <w:p>
            <w:pPr>
              <w:jc w:val="left"/>
            </w:pPr>
            <w:r>
              <w:rPr>
                <w:rFonts w:ascii="Arial" w:hAnsi="Arial"/>
                <w:sz w:val="20"/>
              </w:rPr>
              <w:t>Superior a 4 semanas, ou dois ou mais Estados, ou dois ou mais municípios com +400 mil hab.</w:t>
            </w:r>
          </w:p>
        </w:tc>
        <w:tc>
          <w:tcPr>
            <w:tcW w:type="dxa" w:w="1701"/>
            <w:shd w:val="clear" w:color="auto" w:fill="F2F2F2"/>
          </w:tcPr>
          <w:p>
            <w:pPr>
              <w:jc w:val="center"/>
            </w:pPr>
            <w:r>
              <w:rPr>
                <w:rFonts w:ascii="Arial" w:hAnsi="Arial"/>
                <w:sz w:val="20"/>
              </w:rPr>
              <w:t>4,0%</w:t>
            </w:r>
          </w:p>
        </w:tc>
      </w:tr>
    </w:tbl>
    <w:p/>
    <w:tbl>
      <w:tblPr>
        <w:tblStyle w:val="TableGrid"/>
        <w:tblW w:type="auto" w:w="0"/>
        <w:tblLook w:firstColumn="1" w:firstRow="1" w:lastColumn="0" w:lastRow="0" w:noHBand="0" w:noVBand="1" w:val="04A0"/>
      </w:tblPr>
      <w:tblGrid>
        <w:gridCol w:w="9405"/>
      </w:tblGrid>
      <w:tr>
        <w:tc>
          <w:tcPr>
            <w:tcW w:type="dxa" w:w="9405"/>
            <w:shd w:val="clear" w:color="auto" w:fill="F2F2F2"/>
            <w:tcBorders>
              <w:bottom w:val="single" w:sz="6" w:space="0" w:color="64A70B"/>
            </w:tcBorders>
          </w:tcPr>
          <w:p>
            <w:r>
              <w:rPr>
                <w:rFonts w:ascii="Arial" w:hAnsi="Arial"/>
                <w:color w:val="444400"/>
                <w:sz w:val="20"/>
              </w:rPr>
              <w:t>⚠  Atualização do Manual CGU (3ª ed., jun/2026), Tabela 3.1: os limiares de porte de município passam a ser 100 mil e 400 mil habitantes, substituindo os antigos critérios "vila/povoado" e de 500 mil habitantes.</w:t>
            </w:r>
          </w:p>
        </w:tc>
      </w:tr>
    </w:tbl>
    <w:p/>
    <w:p>
      <w:pPr>
        <w:spacing w:before="160" w:after="40"/>
      </w:pPr>
      <w:r>
        <w:rPr>
          <w:rFonts w:ascii="Arial" w:hAnsi="Arial"/>
          <w:b/>
          <w:color w:val="1D3A78"/>
          <w:sz w:val="22"/>
        </w:rPr>
        <w:t>b) Interrupção na Execução de Obra Contratada</w:t>
      </w:r>
    </w:p>
    <w:tbl>
      <w:tblPr>
        <w:tblStyle w:val="TableGrid"/>
        <w:tblW w:type="auto" w:w="0"/>
        <w:jc w:val="left"/>
        <w:tblLook w:firstColumn="1" w:firstRow="1" w:lastColumn="0" w:lastRow="0" w:noHBand="0" w:noVBand="1" w:val="04A0"/>
      </w:tblPr>
      <w:tblGrid>
        <w:gridCol w:w="1567"/>
        <w:gridCol w:w="1567"/>
        <w:gridCol w:w="1567"/>
        <w:gridCol w:w="1567"/>
        <w:gridCol w:w="1567"/>
        <w:gridCol w:w="1567"/>
      </w:tblGrid>
      <w:tr>
        <w:tc>
          <w:tcPr>
            <w:tcW w:type="dxa" w:w="2551"/>
            <w:shd w:val="clear" w:color="auto" w:fill="C0392B"/>
          </w:tcPr>
          <w:p>
            <w:pPr>
              <w:jc w:val="center"/>
            </w:pPr>
            <w:r>
              <w:rPr>
                <w:rFonts w:ascii="Arial" w:hAnsi="Arial"/>
                <w:b/>
                <w:color w:val="FFFFFF"/>
                <w:sz w:val="20"/>
              </w:rPr>
              <w:t>Período ↓ / Residual →</w:t>
            </w:r>
          </w:p>
        </w:tc>
        <w:tc>
          <w:tcPr>
            <w:tcW w:type="dxa" w:w="1417"/>
            <w:shd w:val="clear" w:color="auto" w:fill="C0392B"/>
          </w:tcPr>
          <w:p>
            <w:pPr>
              <w:jc w:val="center"/>
            </w:pPr>
            <w:r>
              <w:rPr>
                <w:rFonts w:ascii="Arial" w:hAnsi="Arial"/>
                <w:b/>
                <w:color w:val="FFFFFF"/>
                <w:sz w:val="20"/>
              </w:rPr>
              <w:t>&lt; 10%</w:t>
            </w:r>
          </w:p>
        </w:tc>
        <w:tc>
          <w:tcPr>
            <w:tcW w:type="dxa" w:w="1417"/>
            <w:shd w:val="clear" w:color="auto" w:fill="C0392B"/>
          </w:tcPr>
          <w:p>
            <w:pPr>
              <w:jc w:val="center"/>
            </w:pPr>
            <w:r>
              <w:rPr>
                <w:rFonts w:ascii="Arial" w:hAnsi="Arial"/>
                <w:b/>
                <w:color w:val="FFFFFF"/>
                <w:sz w:val="20"/>
              </w:rPr>
              <w:t>Até 30%</w:t>
            </w:r>
          </w:p>
        </w:tc>
        <w:tc>
          <w:tcPr>
            <w:tcW w:type="dxa" w:w="1417"/>
            <w:shd w:val="clear" w:color="auto" w:fill="C0392B"/>
          </w:tcPr>
          <w:p>
            <w:pPr>
              <w:jc w:val="center"/>
            </w:pPr>
            <w:r>
              <w:rPr>
                <w:rFonts w:ascii="Arial" w:hAnsi="Arial"/>
                <w:b/>
                <w:color w:val="FFFFFF"/>
                <w:sz w:val="20"/>
              </w:rPr>
              <w:t>Até 50%</w:t>
            </w:r>
          </w:p>
        </w:tc>
        <w:tc>
          <w:tcPr>
            <w:tcW w:type="dxa" w:w="1417"/>
            <w:shd w:val="clear" w:color="auto" w:fill="C0392B"/>
          </w:tcPr>
          <w:p>
            <w:pPr>
              <w:jc w:val="center"/>
            </w:pPr>
            <w:r>
              <w:rPr>
                <w:rFonts w:ascii="Arial" w:hAnsi="Arial"/>
                <w:b/>
                <w:color w:val="FFFFFF"/>
                <w:sz w:val="20"/>
              </w:rPr>
              <w:t>Até 70%</w:t>
            </w:r>
          </w:p>
        </w:tc>
        <w:tc>
          <w:tcPr>
            <w:tcW w:type="dxa" w:w="1417"/>
            <w:shd w:val="clear" w:color="auto" w:fill="C0392B"/>
          </w:tcPr>
          <w:p>
            <w:pPr>
              <w:jc w:val="center"/>
            </w:pPr>
            <w:r>
              <w:rPr>
                <w:rFonts w:ascii="Arial" w:hAnsi="Arial"/>
                <w:b/>
                <w:color w:val="FFFFFF"/>
                <w:sz w:val="20"/>
              </w:rPr>
              <w:t>&gt; 70%</w:t>
            </w:r>
          </w:p>
        </w:tc>
      </w:tr>
      <w:tr>
        <w:tc>
          <w:tcPr>
            <w:tcW w:type="dxa" w:w="2551"/>
            <w:shd w:val="clear" w:color="auto" w:fill="F2F2F2"/>
          </w:tcPr>
          <w:p>
            <w:pPr>
              <w:jc w:val="left"/>
            </w:pPr>
            <w:r>
              <w:rPr>
                <w:rFonts w:ascii="Arial" w:hAnsi="Arial"/>
                <w:sz w:val="20"/>
              </w:rPr>
              <w:t>Até 6 meses</w:t>
            </w:r>
          </w:p>
        </w:tc>
        <w:tc>
          <w:tcPr>
            <w:tcW w:type="dxa" w:w="1417"/>
            <w:shd w:val="clear" w:color="auto" w:fill="F2F2F2"/>
          </w:tcPr>
          <w:p>
            <w:pPr>
              <w:jc w:val="center"/>
            </w:pPr>
            <w:r>
              <w:rPr>
                <w:rFonts w:ascii="Arial" w:hAnsi="Arial"/>
                <w:sz w:val="20"/>
              </w:rPr>
              <w:t>0,5%</w:t>
            </w:r>
          </w:p>
        </w:tc>
        <w:tc>
          <w:tcPr>
            <w:tcW w:type="dxa" w:w="1417"/>
            <w:shd w:val="clear" w:color="auto" w:fill="F2F2F2"/>
          </w:tcPr>
          <w:p>
            <w:pPr>
              <w:jc w:val="center"/>
            </w:pPr>
            <w:r>
              <w:rPr>
                <w:rFonts w:ascii="Arial" w:hAnsi="Arial"/>
                <w:sz w:val="20"/>
              </w:rPr>
              <w:t>1,0%</w:t>
            </w:r>
          </w:p>
        </w:tc>
        <w:tc>
          <w:tcPr>
            <w:tcW w:type="dxa" w:w="1417"/>
            <w:shd w:val="clear" w:color="auto" w:fill="F2F2F2"/>
          </w:tcPr>
          <w:p>
            <w:pPr>
              <w:jc w:val="center"/>
            </w:pPr>
            <w:r>
              <w:rPr>
                <w:rFonts w:ascii="Arial" w:hAnsi="Arial"/>
                <w:sz w:val="20"/>
              </w:rPr>
              <w:t>1,5%</w:t>
            </w:r>
          </w:p>
        </w:tc>
        <w:tc>
          <w:tcPr>
            <w:tcW w:type="dxa" w:w="1417"/>
            <w:shd w:val="clear" w:color="auto" w:fill="F2F2F2"/>
          </w:tcPr>
          <w:p>
            <w:pPr>
              <w:jc w:val="center"/>
            </w:pPr>
            <w:r>
              <w:rPr>
                <w:rFonts w:ascii="Arial" w:hAnsi="Arial"/>
                <w:sz w:val="20"/>
              </w:rPr>
              <w:t>2,0%</w:t>
            </w:r>
          </w:p>
        </w:tc>
        <w:tc>
          <w:tcPr>
            <w:tcW w:type="dxa" w:w="1417"/>
            <w:shd w:val="clear" w:color="auto" w:fill="F2F2F2"/>
          </w:tcPr>
          <w:p>
            <w:pPr>
              <w:jc w:val="center"/>
            </w:pPr>
            <w:r>
              <w:rPr>
                <w:rFonts w:ascii="Arial" w:hAnsi="Arial"/>
                <w:sz w:val="20"/>
              </w:rPr>
              <w:t>2,5%</w:t>
            </w:r>
          </w:p>
        </w:tc>
      </w:tr>
      <w:tr>
        <w:tc>
          <w:tcPr>
            <w:tcW w:type="dxa" w:w="2551"/>
            <w:shd w:val="clear" w:color="auto" w:fill="FFFFFF"/>
          </w:tcPr>
          <w:p>
            <w:pPr>
              <w:jc w:val="left"/>
            </w:pPr>
            <w:r>
              <w:rPr>
                <w:rFonts w:ascii="Arial" w:hAnsi="Arial"/>
                <w:sz w:val="20"/>
              </w:rPr>
              <w:t>Até 1 ano</w:t>
            </w:r>
          </w:p>
        </w:tc>
        <w:tc>
          <w:tcPr>
            <w:tcW w:type="dxa" w:w="1417"/>
            <w:shd w:val="clear" w:color="auto" w:fill="FFFFFF"/>
          </w:tcPr>
          <w:p>
            <w:pPr>
              <w:jc w:val="center"/>
            </w:pPr>
            <w:r>
              <w:rPr>
                <w:rFonts w:ascii="Arial" w:hAnsi="Arial"/>
                <w:sz w:val="20"/>
              </w:rPr>
              <w:t>1,0%</w:t>
            </w:r>
          </w:p>
        </w:tc>
        <w:tc>
          <w:tcPr>
            <w:tcW w:type="dxa" w:w="1417"/>
            <w:shd w:val="clear" w:color="auto" w:fill="FFFFFF"/>
          </w:tcPr>
          <w:p>
            <w:pPr>
              <w:jc w:val="center"/>
            </w:pPr>
            <w:r>
              <w:rPr>
                <w:rFonts w:ascii="Arial" w:hAnsi="Arial"/>
                <w:sz w:val="20"/>
              </w:rPr>
              <w:t>1,5%</w:t>
            </w:r>
          </w:p>
        </w:tc>
        <w:tc>
          <w:tcPr>
            <w:tcW w:type="dxa" w:w="1417"/>
            <w:shd w:val="clear" w:color="auto" w:fill="FFFFFF"/>
          </w:tcPr>
          <w:p>
            <w:pPr>
              <w:jc w:val="center"/>
            </w:pPr>
            <w:r>
              <w:rPr>
                <w:rFonts w:ascii="Arial" w:hAnsi="Arial"/>
                <w:sz w:val="20"/>
              </w:rPr>
              <w:t>2,0%</w:t>
            </w:r>
          </w:p>
        </w:tc>
        <w:tc>
          <w:tcPr>
            <w:tcW w:type="dxa" w:w="1417"/>
            <w:shd w:val="clear" w:color="auto" w:fill="FFFFFF"/>
          </w:tcPr>
          <w:p>
            <w:pPr>
              <w:jc w:val="center"/>
            </w:pPr>
            <w:r>
              <w:rPr>
                <w:rFonts w:ascii="Arial" w:hAnsi="Arial"/>
                <w:sz w:val="20"/>
              </w:rPr>
              <w:t>2,5%</w:t>
            </w:r>
          </w:p>
        </w:tc>
        <w:tc>
          <w:tcPr>
            <w:tcW w:type="dxa" w:w="1417"/>
            <w:shd w:val="clear" w:color="auto" w:fill="FFFFFF"/>
          </w:tcPr>
          <w:p>
            <w:pPr>
              <w:jc w:val="center"/>
            </w:pPr>
            <w:r>
              <w:rPr>
                <w:rFonts w:ascii="Arial" w:hAnsi="Arial"/>
                <w:sz w:val="20"/>
              </w:rPr>
              <w:t>3,0%</w:t>
            </w:r>
          </w:p>
        </w:tc>
      </w:tr>
      <w:tr>
        <w:tc>
          <w:tcPr>
            <w:tcW w:type="dxa" w:w="2551"/>
            <w:shd w:val="clear" w:color="auto" w:fill="F2F2F2"/>
          </w:tcPr>
          <w:p>
            <w:pPr>
              <w:jc w:val="left"/>
            </w:pPr>
            <w:r>
              <w:rPr>
                <w:rFonts w:ascii="Arial" w:hAnsi="Arial"/>
                <w:sz w:val="20"/>
              </w:rPr>
              <w:t>Até 2 anos</w:t>
            </w:r>
          </w:p>
        </w:tc>
        <w:tc>
          <w:tcPr>
            <w:tcW w:type="dxa" w:w="1417"/>
            <w:shd w:val="clear" w:color="auto" w:fill="F2F2F2"/>
          </w:tcPr>
          <w:p>
            <w:pPr>
              <w:jc w:val="center"/>
            </w:pPr>
            <w:r>
              <w:rPr>
                <w:rFonts w:ascii="Arial" w:hAnsi="Arial"/>
                <w:sz w:val="20"/>
              </w:rPr>
              <w:t>1,5%</w:t>
            </w:r>
          </w:p>
        </w:tc>
        <w:tc>
          <w:tcPr>
            <w:tcW w:type="dxa" w:w="1417"/>
            <w:shd w:val="clear" w:color="auto" w:fill="F2F2F2"/>
          </w:tcPr>
          <w:p>
            <w:pPr>
              <w:jc w:val="center"/>
            </w:pPr>
            <w:r>
              <w:rPr>
                <w:rFonts w:ascii="Arial" w:hAnsi="Arial"/>
                <w:sz w:val="20"/>
              </w:rPr>
              <w:t>2,0%</w:t>
            </w:r>
          </w:p>
        </w:tc>
        <w:tc>
          <w:tcPr>
            <w:tcW w:type="dxa" w:w="1417"/>
            <w:shd w:val="clear" w:color="auto" w:fill="F2F2F2"/>
          </w:tcPr>
          <w:p>
            <w:pPr>
              <w:jc w:val="center"/>
            </w:pPr>
            <w:r>
              <w:rPr>
                <w:rFonts w:ascii="Arial" w:hAnsi="Arial"/>
                <w:sz w:val="20"/>
              </w:rPr>
              <w:t>2,5%</w:t>
            </w:r>
          </w:p>
        </w:tc>
        <w:tc>
          <w:tcPr>
            <w:tcW w:type="dxa" w:w="1417"/>
            <w:shd w:val="clear" w:color="auto" w:fill="F2F2F2"/>
          </w:tcPr>
          <w:p>
            <w:pPr>
              <w:jc w:val="center"/>
            </w:pPr>
            <w:r>
              <w:rPr>
                <w:rFonts w:ascii="Arial" w:hAnsi="Arial"/>
                <w:sz w:val="20"/>
              </w:rPr>
              <w:t>3,0%</w:t>
            </w:r>
          </w:p>
        </w:tc>
        <w:tc>
          <w:tcPr>
            <w:tcW w:type="dxa" w:w="1417"/>
            <w:shd w:val="clear" w:color="auto" w:fill="F2F2F2"/>
          </w:tcPr>
          <w:p>
            <w:pPr>
              <w:jc w:val="center"/>
            </w:pPr>
            <w:r>
              <w:rPr>
                <w:rFonts w:ascii="Arial" w:hAnsi="Arial"/>
                <w:sz w:val="20"/>
              </w:rPr>
              <w:t>3,5%</w:t>
            </w:r>
          </w:p>
        </w:tc>
      </w:tr>
      <w:tr>
        <w:tc>
          <w:tcPr>
            <w:tcW w:type="dxa" w:w="2551"/>
            <w:shd w:val="clear" w:color="auto" w:fill="FFFFFF"/>
          </w:tcPr>
          <w:p>
            <w:pPr>
              <w:jc w:val="left"/>
            </w:pPr>
            <w:r>
              <w:rPr>
                <w:rFonts w:ascii="Arial" w:hAnsi="Arial"/>
                <w:sz w:val="20"/>
              </w:rPr>
              <w:t>+ 2 anos</w:t>
            </w:r>
          </w:p>
        </w:tc>
        <w:tc>
          <w:tcPr>
            <w:tcW w:type="dxa" w:w="1417"/>
            <w:shd w:val="clear" w:color="auto" w:fill="FFFFFF"/>
          </w:tcPr>
          <w:p>
            <w:pPr>
              <w:jc w:val="center"/>
            </w:pPr>
            <w:r>
              <w:rPr>
                <w:rFonts w:ascii="Arial" w:hAnsi="Arial"/>
                <w:sz w:val="20"/>
              </w:rPr>
              <w:t>2,0%</w:t>
            </w:r>
          </w:p>
        </w:tc>
        <w:tc>
          <w:tcPr>
            <w:tcW w:type="dxa" w:w="1417"/>
            <w:shd w:val="clear" w:color="auto" w:fill="FFFFFF"/>
          </w:tcPr>
          <w:p>
            <w:pPr>
              <w:jc w:val="center"/>
            </w:pPr>
            <w:r>
              <w:rPr>
                <w:rFonts w:ascii="Arial" w:hAnsi="Arial"/>
                <w:sz w:val="20"/>
              </w:rPr>
              <w:t>2,5%</w:t>
            </w:r>
          </w:p>
        </w:tc>
        <w:tc>
          <w:tcPr>
            <w:tcW w:type="dxa" w:w="1417"/>
            <w:shd w:val="clear" w:color="auto" w:fill="FFFFFF"/>
          </w:tcPr>
          <w:p>
            <w:pPr>
              <w:jc w:val="center"/>
            </w:pPr>
            <w:r>
              <w:rPr>
                <w:rFonts w:ascii="Arial" w:hAnsi="Arial"/>
                <w:sz w:val="20"/>
              </w:rPr>
              <w:t>3,0%</w:t>
            </w:r>
          </w:p>
        </w:tc>
        <w:tc>
          <w:tcPr>
            <w:tcW w:type="dxa" w:w="1417"/>
            <w:shd w:val="clear" w:color="auto" w:fill="FFFFFF"/>
          </w:tcPr>
          <w:p>
            <w:pPr>
              <w:jc w:val="center"/>
            </w:pPr>
            <w:r>
              <w:rPr>
                <w:rFonts w:ascii="Arial" w:hAnsi="Arial"/>
                <w:sz w:val="20"/>
              </w:rPr>
              <w:t>3,5%</w:t>
            </w:r>
          </w:p>
        </w:tc>
        <w:tc>
          <w:tcPr>
            <w:tcW w:type="dxa" w:w="1417"/>
            <w:shd w:val="clear" w:color="auto" w:fill="FFFFFF"/>
          </w:tcPr>
          <w:p>
            <w:pPr>
              <w:jc w:val="center"/>
            </w:pPr>
            <w:r>
              <w:rPr>
                <w:rFonts w:ascii="Arial" w:hAnsi="Arial"/>
                <w:sz w:val="20"/>
              </w:rPr>
              <w:t>4,0%</w:t>
            </w:r>
          </w:p>
        </w:tc>
      </w:tr>
    </w:tbl>
    <w:p/>
    <w:p>
      <w:pPr>
        <w:spacing w:before="160" w:after="40"/>
      </w:pPr>
      <w:r>
        <w:rPr>
          <w:rFonts w:ascii="Arial" w:hAnsi="Arial"/>
          <w:b/>
          <w:color w:val="1D3A78"/>
          <w:sz w:val="22"/>
        </w:rPr>
        <w:t>c) Descumprimento de Requisitos Regulatórios</w:t>
      </w:r>
    </w:p>
    <w:tbl>
      <w:tblPr>
        <w:tblStyle w:val="TableGrid"/>
        <w:tblW w:type="auto" w:w="0"/>
        <w:jc w:val="left"/>
        <w:tblLook w:firstColumn="1" w:firstRow="1" w:lastColumn="0" w:lastRow="0" w:noHBand="0" w:noVBand="1" w:val="04A0"/>
      </w:tblPr>
      <w:tblGrid>
        <w:gridCol w:w="4702"/>
        <w:gridCol w:w="4702"/>
      </w:tblGrid>
      <w:tr>
        <w:tc>
          <w:tcPr>
            <w:tcW w:type="dxa" w:w="7370"/>
            <w:shd w:val="clear" w:color="auto" w:fill="C0392B"/>
          </w:tcPr>
          <w:p>
            <w:pPr>
              <w:jc w:val="center"/>
            </w:pPr>
            <w:r>
              <w:rPr>
                <w:rFonts w:ascii="Arial" w:hAnsi="Arial"/>
                <w:b/>
                <w:color w:val="FFFFFF"/>
                <w:sz w:val="20"/>
              </w:rPr>
              <w:t>Situação</w:t>
            </w:r>
          </w:p>
        </w:tc>
        <w:tc>
          <w:tcPr>
            <w:tcW w:type="dxa" w:w="1701"/>
            <w:shd w:val="clear" w:color="auto" w:fill="C0392B"/>
          </w:tcPr>
          <w:p>
            <w:pPr>
              <w:jc w:val="center"/>
            </w:pPr>
            <w:r>
              <w:rPr>
                <w:rFonts w:ascii="Arial" w:hAnsi="Arial"/>
                <w:b/>
                <w:color w:val="FFFFFF"/>
                <w:sz w:val="20"/>
              </w:rPr>
              <w:t>%</w:t>
            </w:r>
          </w:p>
        </w:tc>
      </w:tr>
      <w:tr>
        <w:tc>
          <w:tcPr>
            <w:tcW w:type="dxa" w:w="7370"/>
            <w:shd w:val="clear" w:color="auto" w:fill="F2F2F2"/>
          </w:tcPr>
          <w:p>
            <w:pPr>
              <w:jc w:val="left"/>
            </w:pPr>
            <w:r>
              <w:rPr>
                <w:rFonts w:ascii="Arial" w:hAnsi="Arial"/>
                <w:sz w:val="20"/>
              </w:rPr>
              <w:t>Ausência de descumprimento</w:t>
            </w:r>
          </w:p>
        </w:tc>
        <w:tc>
          <w:tcPr>
            <w:tcW w:type="dxa" w:w="1701"/>
            <w:shd w:val="clear" w:color="auto" w:fill="F2F2F2"/>
          </w:tcPr>
          <w:p>
            <w:pPr>
              <w:jc w:val="center"/>
            </w:pPr>
            <w:r>
              <w:rPr>
                <w:rFonts w:ascii="Arial" w:hAnsi="Arial"/>
                <w:sz w:val="20"/>
              </w:rPr>
              <w:t>0%</w:t>
            </w:r>
          </w:p>
        </w:tc>
      </w:tr>
      <w:tr>
        <w:tc>
          <w:tcPr>
            <w:tcW w:type="dxa" w:w="7370"/>
            <w:shd w:val="clear" w:color="auto" w:fill="FFFFFF"/>
          </w:tcPr>
          <w:p>
            <w:pPr>
              <w:jc w:val="left"/>
            </w:pPr>
            <w:r>
              <w:rPr>
                <w:rFonts w:ascii="Arial" w:hAnsi="Arial"/>
                <w:sz w:val="20"/>
              </w:rPr>
              <w:t>Parcial, com prestação do serviço</w:t>
            </w:r>
          </w:p>
        </w:tc>
        <w:tc>
          <w:tcPr>
            <w:tcW w:type="dxa" w:w="1701"/>
            <w:shd w:val="clear" w:color="auto" w:fill="FFFFFF"/>
          </w:tcPr>
          <w:p>
            <w:pPr>
              <w:jc w:val="center"/>
            </w:pPr>
            <w:r>
              <w:rPr>
                <w:rFonts w:ascii="Arial" w:hAnsi="Arial"/>
                <w:sz w:val="20"/>
              </w:rPr>
              <w:t>1,0%</w:t>
            </w:r>
          </w:p>
        </w:tc>
      </w:tr>
      <w:tr>
        <w:tc>
          <w:tcPr>
            <w:tcW w:type="dxa" w:w="7370"/>
            <w:shd w:val="clear" w:color="auto" w:fill="F2F2F2"/>
          </w:tcPr>
          <w:p>
            <w:pPr>
              <w:jc w:val="left"/>
            </w:pPr>
            <w:r>
              <w:rPr>
                <w:rFonts w:ascii="Arial" w:hAnsi="Arial"/>
                <w:sz w:val="20"/>
              </w:rPr>
              <w:t>Total, com prestação do serviço</w:t>
            </w:r>
          </w:p>
        </w:tc>
        <w:tc>
          <w:tcPr>
            <w:tcW w:type="dxa" w:w="1701"/>
            <w:shd w:val="clear" w:color="auto" w:fill="F2F2F2"/>
          </w:tcPr>
          <w:p>
            <w:pPr>
              <w:jc w:val="center"/>
            </w:pPr>
            <w:r>
              <w:rPr>
                <w:rFonts w:ascii="Arial" w:hAnsi="Arial"/>
                <w:sz w:val="20"/>
              </w:rPr>
              <w:t>2,0%</w:t>
            </w:r>
          </w:p>
        </w:tc>
      </w:tr>
      <w:tr>
        <w:tc>
          <w:tcPr>
            <w:tcW w:type="dxa" w:w="7370"/>
            <w:shd w:val="clear" w:color="auto" w:fill="FFFFFF"/>
          </w:tcPr>
          <w:p>
            <w:pPr>
              <w:jc w:val="left"/>
            </w:pPr>
            <w:r>
              <w:rPr>
                <w:rFonts w:ascii="Arial" w:hAnsi="Arial"/>
                <w:sz w:val="20"/>
              </w:rPr>
              <w:t>Parcial, sem prestação do serviço</w:t>
            </w:r>
          </w:p>
        </w:tc>
        <w:tc>
          <w:tcPr>
            <w:tcW w:type="dxa" w:w="1701"/>
            <w:shd w:val="clear" w:color="auto" w:fill="FFFFFF"/>
          </w:tcPr>
          <w:p>
            <w:pPr>
              <w:jc w:val="center"/>
            </w:pPr>
            <w:r>
              <w:rPr>
                <w:rFonts w:ascii="Arial" w:hAnsi="Arial"/>
                <w:sz w:val="20"/>
              </w:rPr>
              <w:t>3,0%</w:t>
            </w:r>
          </w:p>
        </w:tc>
      </w:tr>
      <w:tr>
        <w:tc>
          <w:tcPr>
            <w:tcW w:type="dxa" w:w="7370"/>
            <w:shd w:val="clear" w:color="auto" w:fill="F2F2F2"/>
          </w:tcPr>
          <w:p>
            <w:pPr>
              <w:jc w:val="left"/>
            </w:pPr>
            <w:r>
              <w:rPr>
                <w:rFonts w:ascii="Arial" w:hAnsi="Arial"/>
                <w:sz w:val="20"/>
              </w:rPr>
              <w:t>Total, sem prestação do serviço</w:t>
            </w:r>
          </w:p>
        </w:tc>
        <w:tc>
          <w:tcPr>
            <w:tcW w:type="dxa" w:w="1701"/>
            <w:shd w:val="clear" w:color="auto" w:fill="F2F2F2"/>
          </w:tcPr>
          <w:p>
            <w:pPr>
              <w:jc w:val="center"/>
            </w:pPr>
            <w:r>
              <w:rPr>
                <w:rFonts w:ascii="Arial" w:hAnsi="Arial"/>
                <w:sz w:val="20"/>
              </w:rPr>
              <w:t>4,0%</w:t>
            </w:r>
          </w:p>
        </w:tc>
      </w:tr>
    </w:tbl>
    <w:p/>
    <w:p>
      <w:pPr>
        <w:spacing w:before="240" w:after="80"/>
        <w:pBdr>
          <w:bottom w:val="single" w:sz="6" w:space="1" w:color="64A70B"/>
        </w:pBdr>
      </w:pPr>
      <w:r>
        <w:rPr>
          <w:rFonts w:ascii="Arial" w:hAnsi="Arial"/>
          <w:b/>
          <w:color w:val="C0392B"/>
          <w:sz w:val="23"/>
        </w:rPr>
        <w:t>6.4 Art. 22, IV — Situação Econômica do Infrator</w:t>
      </w:r>
    </w:p>
    <w:p>
      <w:pPr>
        <w:spacing w:before="0" w:after="80"/>
      </w:pPr>
      <w:r>
        <w:rPr>
          <w:rFonts w:ascii="Arial" w:hAnsi="Arial"/>
          <w:i w:val="0"/>
          <w:sz w:val="22"/>
        </w:rPr>
        <w:t>Aplica-se 1% fixo quando a PJ apresenta, cumulativamente, os três indicadores:</w:t>
      </w:r>
    </w:p>
    <w:tbl>
      <w:tblPr>
        <w:tblStyle w:val="TableGrid"/>
        <w:tblW w:type="auto" w:w="0"/>
        <w:jc w:val="left"/>
        <w:tblLook w:firstColumn="1" w:firstRow="1" w:lastColumn="0" w:lastRow="0" w:noHBand="0" w:noVBand="1" w:val="04A0"/>
      </w:tblPr>
      <w:tblGrid>
        <w:gridCol w:w="4702"/>
        <w:gridCol w:w="4702"/>
      </w:tblGrid>
      <w:tr>
        <w:tc>
          <w:tcPr>
            <w:tcW w:type="dxa" w:w="2835"/>
            <w:shd w:val="clear" w:color="auto" w:fill="00205B"/>
          </w:tcPr>
          <w:p>
            <w:pPr>
              <w:jc w:val="center"/>
            </w:pPr>
            <w:r>
              <w:rPr>
                <w:rFonts w:ascii="Arial" w:hAnsi="Arial"/>
                <w:b/>
                <w:color w:val="FFFFFF"/>
                <w:sz w:val="20"/>
              </w:rPr>
              <w:t>Indicador</w:t>
            </w:r>
          </w:p>
        </w:tc>
        <w:tc>
          <w:tcPr>
            <w:tcW w:type="dxa" w:w="6803"/>
            <w:shd w:val="clear" w:color="auto" w:fill="00205B"/>
          </w:tcPr>
          <w:p>
            <w:pPr>
              <w:jc w:val="center"/>
            </w:pPr>
            <w:r>
              <w:rPr>
                <w:rFonts w:ascii="Arial" w:hAnsi="Arial"/>
                <w:b/>
                <w:color w:val="FFFFFF"/>
                <w:sz w:val="20"/>
              </w:rPr>
              <w:t>Fórmula</w:t>
            </w:r>
          </w:p>
        </w:tc>
      </w:tr>
      <w:tr>
        <w:tc>
          <w:tcPr>
            <w:tcW w:type="dxa" w:w="2835"/>
            <w:shd w:val="clear" w:color="auto" w:fill="F2F2F2"/>
          </w:tcPr>
          <w:p>
            <w:pPr>
              <w:jc w:val="left"/>
            </w:pPr>
            <w:r>
              <w:rPr>
                <w:rFonts w:ascii="Arial" w:hAnsi="Arial"/>
                <w:sz w:val="20"/>
              </w:rPr>
              <w:t>Solvência geral &gt; 1</w:t>
            </w:r>
          </w:p>
        </w:tc>
        <w:tc>
          <w:tcPr>
            <w:tcW w:type="dxa" w:w="6803"/>
            <w:shd w:val="clear" w:color="auto" w:fill="F2F2F2"/>
          </w:tcPr>
          <w:p>
            <w:pPr>
              <w:jc w:val="center"/>
            </w:pPr>
            <w:r>
              <w:rPr>
                <w:rFonts w:ascii="Arial" w:hAnsi="Arial"/>
                <w:sz w:val="20"/>
              </w:rPr>
              <w:t>(Ativo Circulante + Ativo Não Circulante) ÷ (Passivo Circulante + Passivo Não Circulante)</w:t>
            </w:r>
          </w:p>
        </w:tc>
      </w:tr>
      <w:tr>
        <w:tc>
          <w:tcPr>
            <w:tcW w:type="dxa" w:w="2835"/>
            <w:shd w:val="clear" w:color="auto" w:fill="FFFFFF"/>
          </w:tcPr>
          <w:p>
            <w:pPr>
              <w:jc w:val="left"/>
            </w:pPr>
            <w:r>
              <w:rPr>
                <w:rFonts w:ascii="Arial" w:hAnsi="Arial"/>
                <w:sz w:val="20"/>
              </w:rPr>
              <w:t>Liquidez geral &gt; 1</w:t>
            </w:r>
          </w:p>
        </w:tc>
        <w:tc>
          <w:tcPr>
            <w:tcW w:type="dxa" w:w="6803"/>
            <w:shd w:val="clear" w:color="auto" w:fill="FFFFFF"/>
          </w:tcPr>
          <w:p>
            <w:pPr>
              <w:jc w:val="center"/>
            </w:pPr>
            <w:r>
              <w:rPr>
                <w:rFonts w:ascii="Arial" w:hAnsi="Arial"/>
                <w:sz w:val="20"/>
              </w:rPr>
              <w:t>(Ativo Circulante + Ativo Realizável a LP) ÷ (Passivo Circulante + Passivo Não Circulante)</w:t>
            </w:r>
          </w:p>
        </w:tc>
      </w:tr>
      <w:tr>
        <w:tc>
          <w:tcPr>
            <w:tcW w:type="dxa" w:w="2835"/>
            <w:shd w:val="clear" w:color="auto" w:fill="F2F2F2"/>
          </w:tcPr>
          <w:p>
            <w:pPr>
              <w:jc w:val="left"/>
            </w:pPr>
            <w:r>
              <w:rPr>
                <w:rFonts w:ascii="Arial" w:hAnsi="Arial"/>
                <w:sz w:val="20"/>
              </w:rPr>
              <w:t>Lucro líquido positivo</w:t>
            </w:r>
          </w:p>
        </w:tc>
        <w:tc>
          <w:tcPr>
            <w:tcW w:type="dxa" w:w="6803"/>
            <w:shd w:val="clear" w:color="auto" w:fill="F2F2F2"/>
          </w:tcPr>
          <w:p>
            <w:pPr>
              <w:jc w:val="center"/>
            </w:pPr>
            <w:r>
              <w:rPr>
                <w:rFonts w:ascii="Arial" w:hAnsi="Arial"/>
                <w:sz w:val="20"/>
              </w:rPr>
              <w:t>Último exercício anterior ao PAR</w:t>
            </w:r>
          </w:p>
        </w:tc>
      </w:tr>
    </w:tbl>
    <w:p/>
    <w:tbl>
      <w:tblPr>
        <w:tblStyle w:val="TableGrid"/>
        <w:tblW w:type="auto" w:w="0"/>
        <w:jc w:val="left"/>
        <w:tblLook w:firstColumn="1" w:firstRow="1" w:lastColumn="0" w:lastRow="0" w:noHBand="0" w:noVBand="1" w:val="04A0"/>
      </w:tblPr>
      <w:tblGrid>
        <w:gridCol w:w="4702"/>
        <w:gridCol w:w="4702"/>
      </w:tblGrid>
      <w:tr>
        <w:tc>
          <w:tcPr>
            <w:tcW w:type="dxa" w:w="7370"/>
            <w:shd w:val="clear" w:color="auto" w:fill="C0392B"/>
          </w:tcPr>
          <w:p>
            <w:pPr>
              <w:jc w:val="center"/>
            </w:pPr>
            <w:r>
              <w:rPr>
                <w:rFonts w:ascii="Arial" w:hAnsi="Arial"/>
                <w:b/>
                <w:color w:val="FFFFFF"/>
                <w:sz w:val="20"/>
              </w:rPr>
              <w:t>Situação</w:t>
            </w:r>
          </w:p>
        </w:tc>
        <w:tc>
          <w:tcPr>
            <w:tcW w:type="dxa" w:w="1701"/>
            <w:shd w:val="clear" w:color="auto" w:fill="C0392B"/>
          </w:tcPr>
          <w:p>
            <w:pPr>
              <w:jc w:val="center"/>
            </w:pPr>
            <w:r>
              <w:rPr>
                <w:rFonts w:ascii="Arial" w:hAnsi="Arial"/>
                <w:b/>
                <w:color w:val="FFFFFF"/>
                <w:sz w:val="20"/>
              </w:rPr>
              <w:t>%</w:t>
            </w:r>
          </w:p>
        </w:tc>
      </w:tr>
      <w:tr>
        <w:tc>
          <w:tcPr>
            <w:tcW w:type="dxa" w:w="7370"/>
            <w:shd w:val="clear" w:color="auto" w:fill="F2F2F2"/>
          </w:tcPr>
          <w:p>
            <w:pPr>
              <w:jc w:val="left"/>
            </w:pPr>
            <w:r>
              <w:rPr>
                <w:rFonts w:ascii="Arial" w:hAnsi="Arial"/>
                <w:sz w:val="20"/>
              </w:rPr>
              <w:t>Algum indicador não atendido</w:t>
            </w:r>
          </w:p>
        </w:tc>
        <w:tc>
          <w:tcPr>
            <w:tcW w:type="dxa" w:w="1701"/>
            <w:shd w:val="clear" w:color="auto" w:fill="F2F2F2"/>
          </w:tcPr>
          <w:p>
            <w:pPr>
              <w:jc w:val="center"/>
            </w:pPr>
            <w:r>
              <w:rPr>
                <w:rFonts w:ascii="Arial" w:hAnsi="Arial"/>
                <w:sz w:val="20"/>
              </w:rPr>
              <w:t>0%</w:t>
            </w:r>
          </w:p>
        </w:tc>
      </w:tr>
      <w:tr>
        <w:tc>
          <w:tcPr>
            <w:tcW w:type="dxa" w:w="7370"/>
            <w:shd w:val="clear" w:color="auto" w:fill="FFFFFF"/>
          </w:tcPr>
          <w:p>
            <w:pPr>
              <w:jc w:val="left"/>
            </w:pPr>
            <w:r>
              <w:rPr>
                <w:rFonts w:ascii="Arial" w:hAnsi="Arial"/>
                <w:sz w:val="20"/>
              </w:rPr>
              <w:t>Todos os três atendidos cumulativamente</w:t>
            </w:r>
          </w:p>
        </w:tc>
        <w:tc>
          <w:tcPr>
            <w:tcW w:type="dxa" w:w="1701"/>
            <w:shd w:val="clear" w:color="auto" w:fill="FFFFFF"/>
          </w:tcPr>
          <w:p>
            <w:pPr>
              <w:jc w:val="center"/>
            </w:pPr>
            <w:r>
              <w:rPr>
                <w:rFonts w:ascii="Arial" w:hAnsi="Arial"/>
                <w:sz w:val="20"/>
              </w:rPr>
              <w:t>1,0%</w:t>
            </w:r>
          </w:p>
        </w:tc>
      </w:tr>
    </w:tbl>
    <w:p/>
    <w:p>
      <w:pPr>
        <w:spacing w:before="240" w:after="80"/>
        <w:pBdr>
          <w:bottom w:val="single" w:sz="6" w:space="1" w:color="64A70B"/>
        </w:pBdr>
      </w:pPr>
      <w:r>
        <w:rPr>
          <w:rFonts w:ascii="Arial" w:hAnsi="Arial"/>
          <w:b/>
          <w:color w:val="C0392B"/>
          <w:sz w:val="23"/>
        </w:rPr>
        <w:t>6.5 Art. 22, V — Reincidência</w:t>
      </w:r>
    </w:p>
    <w:p>
      <w:pPr>
        <w:spacing w:before="0" w:after="80"/>
      </w:pPr>
      <w:r>
        <w:rPr>
          <w:rFonts w:ascii="Arial" w:hAnsi="Arial"/>
          <w:i w:val="0"/>
          <w:sz w:val="22"/>
        </w:rPr>
        <w:t>Ocorrência de nova infração tipificada como ato lesivo (art. 5º da LAC), idêntica ou não, em menos de cinco anos contados da publicação do julgamento anterior. No caso de acordo de leniência, o prazo conta da data da celebração até cinco anos após a declaração de cumprimento.</w:t>
      </w:r>
    </w:p>
    <w:tbl>
      <w:tblPr>
        <w:tblStyle w:val="TableGrid"/>
        <w:tblW w:type="auto" w:w="0"/>
        <w:jc w:val="left"/>
        <w:tblLook w:firstColumn="1" w:firstRow="1" w:lastColumn="0" w:lastRow="0" w:noHBand="0" w:noVBand="1" w:val="04A0"/>
      </w:tblPr>
      <w:tblGrid>
        <w:gridCol w:w="4702"/>
        <w:gridCol w:w="4702"/>
      </w:tblGrid>
      <w:tr>
        <w:tc>
          <w:tcPr>
            <w:tcW w:type="dxa" w:w="7370"/>
            <w:shd w:val="clear" w:color="auto" w:fill="C0392B"/>
          </w:tcPr>
          <w:p>
            <w:pPr>
              <w:jc w:val="center"/>
            </w:pPr>
            <w:r>
              <w:rPr>
                <w:rFonts w:ascii="Arial" w:hAnsi="Arial"/>
                <w:b/>
                <w:color w:val="FFFFFF"/>
                <w:sz w:val="20"/>
              </w:rPr>
              <w:t>Situação</w:t>
            </w:r>
          </w:p>
        </w:tc>
        <w:tc>
          <w:tcPr>
            <w:tcW w:type="dxa" w:w="1701"/>
            <w:shd w:val="clear" w:color="auto" w:fill="C0392B"/>
          </w:tcPr>
          <w:p>
            <w:pPr>
              <w:jc w:val="center"/>
            </w:pPr>
            <w:r>
              <w:rPr>
                <w:rFonts w:ascii="Arial" w:hAnsi="Arial"/>
                <w:b/>
                <w:color w:val="FFFFFF"/>
                <w:sz w:val="20"/>
              </w:rPr>
              <w:t>%</w:t>
            </w:r>
          </w:p>
        </w:tc>
      </w:tr>
      <w:tr>
        <w:tc>
          <w:tcPr>
            <w:tcW w:type="dxa" w:w="7370"/>
            <w:shd w:val="clear" w:color="auto" w:fill="F2F2F2"/>
          </w:tcPr>
          <w:p>
            <w:pPr>
              <w:jc w:val="left"/>
            </w:pPr>
            <w:r>
              <w:rPr>
                <w:rFonts w:ascii="Arial" w:hAnsi="Arial"/>
                <w:sz w:val="20"/>
              </w:rPr>
              <w:t>Não reincidente</w:t>
            </w:r>
          </w:p>
        </w:tc>
        <w:tc>
          <w:tcPr>
            <w:tcW w:type="dxa" w:w="1701"/>
            <w:shd w:val="clear" w:color="auto" w:fill="F2F2F2"/>
          </w:tcPr>
          <w:p>
            <w:pPr>
              <w:jc w:val="center"/>
            </w:pPr>
            <w:r>
              <w:rPr>
                <w:rFonts w:ascii="Arial" w:hAnsi="Arial"/>
                <w:sz w:val="20"/>
              </w:rPr>
              <w:t>0%</w:t>
            </w:r>
          </w:p>
        </w:tc>
      </w:tr>
      <w:tr>
        <w:tc>
          <w:tcPr>
            <w:tcW w:type="dxa" w:w="7370"/>
            <w:shd w:val="clear" w:color="auto" w:fill="FFFFFF"/>
          </w:tcPr>
          <w:p>
            <w:pPr>
              <w:jc w:val="left"/>
            </w:pPr>
            <w:r>
              <w:rPr>
                <w:rFonts w:ascii="Arial" w:hAnsi="Arial"/>
                <w:sz w:val="20"/>
              </w:rPr>
              <w:t>Sim — nova infração em menos de 5 anos</w:t>
            </w:r>
          </w:p>
        </w:tc>
        <w:tc>
          <w:tcPr>
            <w:tcW w:type="dxa" w:w="1701"/>
            <w:shd w:val="clear" w:color="auto" w:fill="FFFFFF"/>
          </w:tcPr>
          <w:p>
            <w:pPr>
              <w:jc w:val="center"/>
            </w:pPr>
            <w:r>
              <w:rPr>
                <w:rFonts w:ascii="Arial" w:hAnsi="Arial"/>
                <w:sz w:val="20"/>
              </w:rPr>
              <w:t>3,0%</w:t>
            </w:r>
          </w:p>
        </w:tc>
      </w:tr>
    </w:tbl>
    <w:p/>
    <w:p>
      <w:pPr>
        <w:spacing w:before="240" w:after="80"/>
        <w:pBdr>
          <w:bottom w:val="single" w:sz="6" w:space="1" w:color="64A70B"/>
        </w:pBdr>
      </w:pPr>
      <w:r>
        <w:rPr>
          <w:rFonts w:ascii="Arial" w:hAnsi="Arial"/>
          <w:b/>
          <w:color w:val="C0392B"/>
          <w:sz w:val="23"/>
        </w:rPr>
        <w:t>6.6 Art. 22, VI — Valor dos Contratos com o Ente Lesado</w:t>
      </w:r>
    </w:p>
    <w:p>
      <w:pPr>
        <w:spacing w:before="0" w:after="80"/>
      </w:pPr>
      <w:r>
        <w:rPr>
          <w:rFonts w:ascii="Arial" w:hAnsi="Arial"/>
          <w:i w:val="0"/>
          <w:sz w:val="22"/>
        </w:rPr>
        <w:t>Somatório dos contratos, convênios, acordos e demais instrumentos mantidos ou pretendidos com o órgão/entidade lesado nos anos da prática do ato lesivo.</w:t>
      </w:r>
    </w:p>
    <w:tbl>
      <w:tblPr>
        <w:tblStyle w:val="TableGrid"/>
        <w:tblW w:type="auto" w:w="0"/>
        <w:jc w:val="left"/>
        <w:tblLook w:firstColumn="1" w:firstRow="1" w:lastColumn="0" w:lastRow="0" w:noHBand="0" w:noVBand="1" w:val="04A0"/>
      </w:tblPr>
      <w:tblGrid>
        <w:gridCol w:w="4702"/>
        <w:gridCol w:w="4702"/>
      </w:tblGrid>
      <w:tr>
        <w:tc>
          <w:tcPr>
            <w:tcW w:type="dxa" w:w="7370"/>
            <w:shd w:val="clear" w:color="auto" w:fill="C0392B"/>
          </w:tcPr>
          <w:p>
            <w:pPr>
              <w:jc w:val="center"/>
            </w:pPr>
            <w:r>
              <w:rPr>
                <w:rFonts w:ascii="Arial" w:hAnsi="Arial"/>
                <w:b/>
                <w:color w:val="FFFFFF"/>
                <w:sz w:val="20"/>
              </w:rPr>
              <w:t>Somatório dos instrumentos</w:t>
            </w:r>
          </w:p>
        </w:tc>
        <w:tc>
          <w:tcPr>
            <w:tcW w:type="dxa" w:w="1701"/>
            <w:shd w:val="clear" w:color="auto" w:fill="C0392B"/>
          </w:tcPr>
          <w:p>
            <w:pPr>
              <w:jc w:val="center"/>
            </w:pPr>
            <w:r>
              <w:rPr>
                <w:rFonts w:ascii="Arial" w:hAnsi="Arial"/>
                <w:b/>
                <w:color w:val="FFFFFF"/>
                <w:sz w:val="20"/>
              </w:rPr>
              <w:t>%</w:t>
            </w:r>
          </w:p>
        </w:tc>
      </w:tr>
      <w:tr>
        <w:tc>
          <w:tcPr>
            <w:tcW w:type="dxa" w:w="7370"/>
            <w:shd w:val="clear" w:color="auto" w:fill="F2F2F2"/>
          </w:tcPr>
          <w:p>
            <w:pPr>
              <w:jc w:val="left"/>
            </w:pPr>
            <w:r>
              <w:rPr>
                <w:rFonts w:ascii="Arial" w:hAnsi="Arial"/>
                <w:sz w:val="20"/>
              </w:rPr>
              <w:t>Até R$ 500 mil</w:t>
            </w:r>
          </w:p>
        </w:tc>
        <w:tc>
          <w:tcPr>
            <w:tcW w:type="dxa" w:w="1701"/>
            <w:shd w:val="clear" w:color="auto" w:fill="F2F2F2"/>
          </w:tcPr>
          <w:p>
            <w:pPr>
              <w:jc w:val="center"/>
            </w:pPr>
            <w:r>
              <w:rPr>
                <w:rFonts w:ascii="Arial" w:hAnsi="Arial"/>
                <w:sz w:val="20"/>
              </w:rPr>
              <w:t>0%</w:t>
            </w:r>
          </w:p>
        </w:tc>
      </w:tr>
      <w:tr>
        <w:tc>
          <w:tcPr>
            <w:tcW w:type="dxa" w:w="7370"/>
            <w:shd w:val="clear" w:color="auto" w:fill="FFFFFF"/>
          </w:tcPr>
          <w:p>
            <w:pPr>
              <w:jc w:val="left"/>
            </w:pPr>
            <w:r>
              <w:rPr>
                <w:rFonts w:ascii="Arial" w:hAnsi="Arial"/>
                <w:sz w:val="20"/>
              </w:rPr>
              <w:t>Superior a R$ 500 mil até R$ 1,5 milhão</w:t>
            </w:r>
          </w:p>
        </w:tc>
        <w:tc>
          <w:tcPr>
            <w:tcW w:type="dxa" w:w="1701"/>
            <w:shd w:val="clear" w:color="auto" w:fill="FFFFFF"/>
          </w:tcPr>
          <w:p>
            <w:pPr>
              <w:jc w:val="center"/>
            </w:pPr>
            <w:r>
              <w:rPr>
                <w:rFonts w:ascii="Arial" w:hAnsi="Arial"/>
                <w:sz w:val="20"/>
              </w:rPr>
              <w:t>1,0%</w:t>
            </w:r>
          </w:p>
        </w:tc>
      </w:tr>
      <w:tr>
        <w:tc>
          <w:tcPr>
            <w:tcW w:type="dxa" w:w="7370"/>
            <w:shd w:val="clear" w:color="auto" w:fill="F2F2F2"/>
          </w:tcPr>
          <w:p>
            <w:pPr>
              <w:jc w:val="left"/>
            </w:pPr>
            <w:r>
              <w:rPr>
                <w:rFonts w:ascii="Arial" w:hAnsi="Arial"/>
                <w:sz w:val="20"/>
              </w:rPr>
              <w:t>Superior a R$ 1,5 milhão até R$ 10 milhões</w:t>
            </w:r>
          </w:p>
        </w:tc>
        <w:tc>
          <w:tcPr>
            <w:tcW w:type="dxa" w:w="1701"/>
            <w:shd w:val="clear" w:color="auto" w:fill="F2F2F2"/>
          </w:tcPr>
          <w:p>
            <w:pPr>
              <w:jc w:val="center"/>
            </w:pPr>
            <w:r>
              <w:rPr>
                <w:rFonts w:ascii="Arial" w:hAnsi="Arial"/>
                <w:sz w:val="20"/>
              </w:rPr>
              <w:t>2,0%</w:t>
            </w:r>
          </w:p>
        </w:tc>
      </w:tr>
      <w:tr>
        <w:tc>
          <w:tcPr>
            <w:tcW w:type="dxa" w:w="7370"/>
            <w:shd w:val="clear" w:color="auto" w:fill="FFFFFF"/>
          </w:tcPr>
          <w:p>
            <w:pPr>
              <w:jc w:val="left"/>
            </w:pPr>
            <w:r>
              <w:rPr>
                <w:rFonts w:ascii="Arial" w:hAnsi="Arial"/>
                <w:sz w:val="20"/>
              </w:rPr>
              <w:t>Superior a R$ 10 milhões até R$ 50 milhões</w:t>
            </w:r>
          </w:p>
        </w:tc>
        <w:tc>
          <w:tcPr>
            <w:tcW w:type="dxa" w:w="1701"/>
            <w:shd w:val="clear" w:color="auto" w:fill="FFFFFF"/>
          </w:tcPr>
          <w:p>
            <w:pPr>
              <w:jc w:val="center"/>
            </w:pPr>
            <w:r>
              <w:rPr>
                <w:rFonts w:ascii="Arial" w:hAnsi="Arial"/>
                <w:sz w:val="20"/>
              </w:rPr>
              <w:t>3,0%</w:t>
            </w:r>
          </w:p>
        </w:tc>
      </w:tr>
      <w:tr>
        <w:tc>
          <w:tcPr>
            <w:tcW w:type="dxa" w:w="7370"/>
            <w:shd w:val="clear" w:color="auto" w:fill="F2F2F2"/>
          </w:tcPr>
          <w:p>
            <w:pPr>
              <w:jc w:val="left"/>
            </w:pPr>
            <w:r>
              <w:rPr>
                <w:rFonts w:ascii="Arial" w:hAnsi="Arial"/>
                <w:sz w:val="20"/>
              </w:rPr>
              <w:t>Superior a R$ 50 milhões até R$ 250 milhões</w:t>
            </w:r>
          </w:p>
        </w:tc>
        <w:tc>
          <w:tcPr>
            <w:tcW w:type="dxa" w:w="1701"/>
            <w:shd w:val="clear" w:color="auto" w:fill="F2F2F2"/>
          </w:tcPr>
          <w:p>
            <w:pPr>
              <w:jc w:val="center"/>
            </w:pPr>
            <w:r>
              <w:rPr>
                <w:rFonts w:ascii="Arial" w:hAnsi="Arial"/>
                <w:sz w:val="20"/>
              </w:rPr>
              <w:t>4,0%</w:t>
            </w:r>
          </w:p>
        </w:tc>
      </w:tr>
      <w:tr>
        <w:tc>
          <w:tcPr>
            <w:tcW w:type="dxa" w:w="7370"/>
            <w:shd w:val="clear" w:color="auto" w:fill="FFFFFF"/>
          </w:tcPr>
          <w:p>
            <w:pPr>
              <w:jc w:val="left"/>
            </w:pPr>
            <w:r>
              <w:rPr>
                <w:rFonts w:ascii="Arial" w:hAnsi="Arial"/>
                <w:sz w:val="20"/>
              </w:rPr>
              <w:t>Superior a R$ 250 milhões</w:t>
            </w:r>
          </w:p>
        </w:tc>
        <w:tc>
          <w:tcPr>
            <w:tcW w:type="dxa" w:w="1701"/>
            <w:shd w:val="clear" w:color="auto" w:fill="FFFFFF"/>
          </w:tcPr>
          <w:p>
            <w:pPr>
              <w:jc w:val="center"/>
            </w:pPr>
            <w:r>
              <w:rPr>
                <w:rFonts w:ascii="Arial" w:hAnsi="Arial"/>
                <w:sz w:val="20"/>
              </w:rPr>
              <w:t>5,0%</w:t>
            </w:r>
          </w:p>
        </w:tc>
      </w:tr>
    </w:tbl>
    <w:p/>
    <w:tbl>
      <w:tblPr>
        <w:tblStyle w:val="TableGrid"/>
        <w:tblW w:type="auto" w:w="0"/>
        <w:jc w:val="left"/>
        <w:tblLook w:firstColumn="1" w:firstRow="1" w:lastColumn="0" w:lastRow="0" w:noHBand="0" w:noVBand="1" w:val="04A0"/>
      </w:tblPr>
      <w:tblGrid>
        <w:gridCol w:w="9405"/>
      </w:tblGrid>
      <w:tr>
        <w:tc>
          <w:tcPr>
            <w:tcW w:type="dxa" w:w="9405"/>
            <w:shd w:val="clear" w:color="auto" w:fill="00205B"/>
            <w:tcBorders>
              <w:top w:val="none"/>
              <w:left w:val="none"/>
              <w:bottom w:val="none"/>
              <w:right w:val="none"/>
              <w:insideH w:val="none"/>
              <w:insideV w:val="none"/>
            </w:tcBorders>
            <w:tcBorders>
              <w:top w:val="none"/>
              <w:left w:val="none"/>
              <w:bottom w:val="none"/>
              <w:right w:val="none"/>
              <w:insideH w:val="none"/>
              <w:insideV w:val="none"/>
            </w:tcBorders>
            <w:tcBorders>
              <w:top w:val="none"/>
              <w:left w:val="none"/>
              <w:bottom w:val="none"/>
              <w:right w:val="none"/>
              <w:insideH w:val="none"/>
              <w:insideV w:val="none"/>
            </w:tcBorders>
            <w:tcBorders>
              <w:top w:val="none"/>
              <w:left w:val="none"/>
              <w:bottom w:val="none"/>
              <w:right w:val="none"/>
              <w:insideH w:val="none"/>
              <w:insideV w:val="none"/>
            </w:tcBorders>
          </w:tcPr>
          <w:p>
            <w:pPr>
              <w:spacing w:before="0" w:after="0"/>
              <w:ind w:left="170"/>
            </w:pPr>
            <w:r>
              <w:rPr>
                <w:rFonts w:ascii="Arial" w:hAnsi="Arial"/>
                <w:b/>
                <w:color w:val="FFFFFF"/>
                <w:sz w:val="26"/>
              </w:rPr>
              <w:t>7. ATENUANTES — ART. 23, I A V</w:t>
            </w:r>
          </w:p>
        </w:tc>
      </w:tr>
    </w:tbl>
    <w:p/>
    <w:p>
      <w:pPr>
        <w:spacing w:before="240" w:after="80"/>
        <w:pBdr>
          <w:bottom w:val="single" w:sz="6" w:space="1" w:color="64A70B"/>
        </w:pBdr>
      </w:pPr>
      <w:r>
        <w:rPr>
          <w:rFonts w:ascii="Arial" w:hAnsi="Arial"/>
          <w:b/>
          <w:color w:val="27AE60"/>
          <w:sz w:val="23"/>
        </w:rPr>
        <w:t>7.1 Art. 23, I — Não Consumação</w:t>
      </w:r>
    </w:p>
    <w:p>
      <w:pPr>
        <w:spacing w:before="0" w:after="80"/>
      </w:pPr>
      <w:r>
        <w:rPr>
          <w:rFonts w:ascii="Arial" w:hAnsi="Arial"/>
          <w:i w:val="0"/>
          <w:sz w:val="22"/>
        </w:rPr>
        <w:t>Aplica-se quando o ato lesivo não chegou a produzir seus efeitos plenos (tentativa).</w:t>
      </w:r>
    </w:p>
    <w:tbl>
      <w:tblPr>
        <w:tblStyle w:val="TableGrid"/>
        <w:tblW w:type="auto" w:w="0"/>
        <w:jc w:val="left"/>
        <w:tblLook w:firstColumn="1" w:firstRow="1" w:lastColumn="0" w:lastRow="0" w:noHBand="0" w:noVBand="1" w:val="04A0"/>
      </w:tblPr>
      <w:tblGrid>
        <w:gridCol w:w="4702"/>
        <w:gridCol w:w="4702"/>
      </w:tblGrid>
      <w:tr>
        <w:tc>
          <w:tcPr>
            <w:tcW w:type="dxa" w:w="7370"/>
            <w:shd w:val="clear" w:color="auto" w:fill="27AE60"/>
          </w:tcPr>
          <w:p>
            <w:pPr>
              <w:jc w:val="center"/>
            </w:pPr>
            <w:r>
              <w:rPr>
                <w:rFonts w:ascii="Arial" w:hAnsi="Arial"/>
                <w:b/>
                <w:color w:val="FFFFFF"/>
                <w:sz w:val="20"/>
              </w:rPr>
              <w:t>Situação</w:t>
            </w:r>
          </w:p>
        </w:tc>
        <w:tc>
          <w:tcPr>
            <w:tcW w:type="dxa" w:w="1701"/>
            <w:shd w:val="clear" w:color="auto" w:fill="27AE60"/>
          </w:tcPr>
          <w:p>
            <w:pPr>
              <w:jc w:val="center"/>
            </w:pPr>
            <w:r>
              <w:rPr>
                <w:rFonts w:ascii="Arial" w:hAnsi="Arial"/>
                <w:b/>
                <w:color w:val="FFFFFF"/>
                <w:sz w:val="20"/>
              </w:rPr>
              <w:t>%</w:t>
            </w:r>
          </w:p>
        </w:tc>
      </w:tr>
      <w:tr>
        <w:tc>
          <w:tcPr>
            <w:tcW w:type="dxa" w:w="7370"/>
            <w:shd w:val="clear" w:color="auto" w:fill="F2F2F2"/>
          </w:tcPr>
          <w:p>
            <w:pPr>
              <w:jc w:val="left"/>
            </w:pPr>
            <w:r>
              <w:rPr>
                <w:rFonts w:ascii="Arial" w:hAnsi="Arial"/>
                <w:sz w:val="20"/>
              </w:rPr>
              <w:t>Ato lesivo consumado</w:t>
            </w:r>
          </w:p>
        </w:tc>
        <w:tc>
          <w:tcPr>
            <w:tcW w:type="dxa" w:w="1701"/>
            <w:shd w:val="clear" w:color="auto" w:fill="F2F2F2"/>
          </w:tcPr>
          <w:p>
            <w:pPr>
              <w:jc w:val="center"/>
            </w:pPr>
            <w:r>
              <w:rPr>
                <w:rFonts w:ascii="Arial" w:hAnsi="Arial"/>
                <w:sz w:val="20"/>
              </w:rPr>
              <w:t>0%</w:t>
            </w:r>
          </w:p>
        </w:tc>
      </w:tr>
      <w:tr>
        <w:tc>
          <w:tcPr>
            <w:tcW w:type="dxa" w:w="7370"/>
            <w:shd w:val="clear" w:color="auto" w:fill="FFFFFF"/>
          </w:tcPr>
          <w:p>
            <w:pPr>
              <w:jc w:val="left"/>
            </w:pPr>
            <w:r>
              <w:rPr>
                <w:rFonts w:ascii="Arial" w:hAnsi="Arial"/>
                <w:sz w:val="20"/>
              </w:rPr>
              <w:t>Ato lesivo não consumado (tentativa)</w:t>
            </w:r>
          </w:p>
        </w:tc>
        <w:tc>
          <w:tcPr>
            <w:tcW w:type="dxa" w:w="1701"/>
            <w:shd w:val="clear" w:color="auto" w:fill="FFFFFF"/>
          </w:tcPr>
          <w:p>
            <w:pPr>
              <w:jc w:val="center"/>
            </w:pPr>
            <w:r>
              <w:rPr>
                <w:rFonts w:ascii="Arial" w:hAnsi="Arial"/>
                <w:sz w:val="20"/>
              </w:rPr>
              <w:t>−0,5%</w:t>
            </w:r>
          </w:p>
        </w:tc>
      </w:tr>
    </w:tbl>
    <w:p/>
    <w:p>
      <w:pPr>
        <w:spacing w:before="240" w:after="80"/>
        <w:pBdr>
          <w:bottom w:val="single" w:sz="6" w:space="1" w:color="64A70B"/>
        </w:pBdr>
      </w:pPr>
      <w:r>
        <w:rPr>
          <w:rFonts w:ascii="Arial" w:hAnsi="Arial"/>
          <w:b/>
          <w:color w:val="27AE60"/>
          <w:sz w:val="23"/>
        </w:rPr>
        <w:t>7.2 Art. 23, II — Ressarcimento e Devolução Espontânea</w:t>
      </w:r>
    </w:p>
    <w:p>
      <w:pPr>
        <w:spacing w:before="0" w:after="80"/>
      </w:pPr>
      <w:r>
        <w:rPr>
          <w:rFonts w:ascii="Arial" w:hAnsi="Arial"/>
          <w:i w:val="0"/>
          <w:sz w:val="22"/>
        </w:rPr>
        <w:t>Atenuante de até 1,0% pela devolução espontânea da vantagem auferida e/ou ressarcimento dos danos, conforme Tabela 5 do Guia CGU.</w:t>
      </w:r>
    </w:p>
    <w:tbl>
      <w:tblPr>
        <w:tblStyle w:val="TableGrid"/>
        <w:tblW w:type="auto" w:w="0"/>
        <w:jc w:val="left"/>
        <w:tblLook w:firstColumn="1" w:firstRow="1" w:lastColumn="0" w:lastRow="0" w:noHBand="0" w:noVBand="1" w:val="04A0"/>
      </w:tblPr>
      <w:tblGrid>
        <w:gridCol w:w="4702"/>
        <w:gridCol w:w="4702"/>
      </w:tblGrid>
      <w:tr>
        <w:tc>
          <w:tcPr>
            <w:tcW w:type="dxa" w:w="7370"/>
            <w:shd w:val="clear" w:color="auto" w:fill="27AE60"/>
          </w:tcPr>
          <w:p>
            <w:pPr>
              <w:jc w:val="center"/>
            </w:pPr>
            <w:r>
              <w:rPr>
                <w:rFonts w:ascii="Arial" w:hAnsi="Arial"/>
                <w:b/>
                <w:color w:val="FFFFFF"/>
                <w:sz w:val="20"/>
              </w:rPr>
              <w:t>Situação</w:t>
            </w:r>
          </w:p>
        </w:tc>
        <w:tc>
          <w:tcPr>
            <w:tcW w:type="dxa" w:w="1701"/>
            <w:shd w:val="clear" w:color="auto" w:fill="27AE60"/>
          </w:tcPr>
          <w:p>
            <w:pPr>
              <w:jc w:val="center"/>
            </w:pPr>
            <w:r>
              <w:rPr>
                <w:rFonts w:ascii="Arial" w:hAnsi="Arial"/>
                <w:b/>
                <w:color w:val="FFFFFF"/>
                <w:sz w:val="20"/>
              </w:rPr>
              <w:t>%</w:t>
            </w:r>
          </w:p>
        </w:tc>
      </w:tr>
      <w:tr>
        <w:tc>
          <w:tcPr>
            <w:tcW w:type="dxa" w:w="7370"/>
            <w:shd w:val="clear" w:color="auto" w:fill="F2F2F2"/>
          </w:tcPr>
          <w:p>
            <w:pPr>
              <w:jc w:val="left"/>
            </w:pPr>
            <w:r>
              <w:rPr>
                <w:rFonts w:ascii="Arial" w:hAnsi="Arial"/>
                <w:sz w:val="20"/>
              </w:rPr>
              <w:t>Ausência de devolução e de ressarcimento</w:t>
            </w:r>
          </w:p>
        </w:tc>
        <w:tc>
          <w:tcPr>
            <w:tcW w:type="dxa" w:w="1701"/>
            <w:shd w:val="clear" w:color="auto" w:fill="F2F2F2"/>
          </w:tcPr>
          <w:p>
            <w:pPr>
              <w:jc w:val="center"/>
            </w:pPr>
            <w:r>
              <w:rPr>
                <w:rFonts w:ascii="Arial" w:hAnsi="Arial"/>
                <w:sz w:val="20"/>
              </w:rPr>
              <w:t>0%</w:t>
            </w:r>
          </w:p>
        </w:tc>
      </w:tr>
      <w:tr>
        <w:tc>
          <w:tcPr>
            <w:tcW w:type="dxa" w:w="7370"/>
            <w:shd w:val="clear" w:color="auto" w:fill="FFFFFF"/>
          </w:tcPr>
          <w:p>
            <w:pPr>
              <w:jc w:val="left"/>
            </w:pPr>
            <w:r>
              <w:rPr>
                <w:rFonts w:ascii="Arial" w:hAnsi="Arial"/>
                <w:sz w:val="20"/>
              </w:rPr>
              <w:t>Devolução da vantagem sem ressarcimento dos danos; ou ressarcimento sem devolução da vantagem</w:t>
            </w:r>
          </w:p>
        </w:tc>
        <w:tc>
          <w:tcPr>
            <w:tcW w:type="dxa" w:w="1701"/>
            <w:shd w:val="clear" w:color="auto" w:fill="FFFFFF"/>
          </w:tcPr>
          <w:p>
            <w:pPr>
              <w:jc w:val="center"/>
            </w:pPr>
            <w:r>
              <w:rPr>
                <w:rFonts w:ascii="Arial" w:hAnsi="Arial"/>
                <w:sz w:val="20"/>
              </w:rPr>
              <w:t>−0,5%</w:t>
            </w:r>
          </w:p>
        </w:tc>
      </w:tr>
      <w:tr>
        <w:tc>
          <w:tcPr>
            <w:tcW w:type="dxa" w:w="7370"/>
            <w:shd w:val="clear" w:color="auto" w:fill="F2F2F2"/>
          </w:tcPr>
          <w:p>
            <w:pPr>
              <w:jc w:val="left"/>
            </w:pPr>
            <w:r>
              <w:rPr>
                <w:rFonts w:ascii="Arial" w:hAnsi="Arial"/>
                <w:sz w:val="20"/>
              </w:rPr>
              <w:t>Devolução da vantagem e ressarcimento dos danos</w:t>
            </w:r>
          </w:p>
        </w:tc>
        <w:tc>
          <w:tcPr>
            <w:tcW w:type="dxa" w:w="1701"/>
            <w:shd w:val="clear" w:color="auto" w:fill="F2F2F2"/>
          </w:tcPr>
          <w:p>
            <w:pPr>
              <w:jc w:val="center"/>
            </w:pPr>
            <w:r>
              <w:rPr>
                <w:rFonts w:ascii="Arial" w:hAnsi="Arial"/>
                <w:sz w:val="20"/>
              </w:rPr>
              <w:t>−1,0%</w:t>
            </w:r>
          </w:p>
        </w:tc>
      </w:tr>
      <w:tr>
        <w:tc>
          <w:tcPr>
            <w:tcW w:type="dxa" w:w="7370"/>
            <w:shd w:val="clear" w:color="auto" w:fill="FFFFFF"/>
          </w:tcPr>
          <w:p>
            <w:pPr>
              <w:jc w:val="left"/>
            </w:pPr>
            <w:r>
              <w:rPr>
                <w:rFonts w:ascii="Arial" w:hAnsi="Arial"/>
                <w:sz w:val="20"/>
              </w:rPr>
              <w:t>Devolução e inexistência/falta de comprovação de danos; ou ressarcimento e ausência de estimativa da vantagem</w:t>
            </w:r>
          </w:p>
        </w:tc>
        <w:tc>
          <w:tcPr>
            <w:tcW w:type="dxa" w:w="1701"/>
            <w:shd w:val="clear" w:color="auto" w:fill="FFFFFF"/>
          </w:tcPr>
          <w:p>
            <w:pPr>
              <w:jc w:val="center"/>
            </w:pPr>
            <w:r>
              <w:rPr>
                <w:rFonts w:ascii="Arial" w:hAnsi="Arial"/>
                <w:sz w:val="20"/>
              </w:rPr>
              <w:t>−1,0%</w:t>
            </w:r>
          </w:p>
        </w:tc>
      </w:tr>
      <w:tr>
        <w:tc>
          <w:tcPr>
            <w:tcW w:type="dxa" w:w="7370"/>
            <w:shd w:val="clear" w:color="auto" w:fill="F2F2F2"/>
          </w:tcPr>
          <w:p>
            <w:pPr>
              <w:jc w:val="left"/>
            </w:pPr>
            <w:r>
              <w:rPr>
                <w:rFonts w:ascii="Arial" w:hAnsi="Arial"/>
                <w:sz w:val="20"/>
              </w:rPr>
              <w:t>Inexistência ou falta de comprovação de vantagem e de danos</w:t>
            </w:r>
          </w:p>
        </w:tc>
        <w:tc>
          <w:tcPr>
            <w:tcW w:type="dxa" w:w="1701"/>
            <w:shd w:val="clear" w:color="auto" w:fill="F2F2F2"/>
          </w:tcPr>
          <w:p>
            <w:pPr>
              <w:jc w:val="center"/>
            </w:pPr>
            <w:r>
              <w:rPr>
                <w:rFonts w:ascii="Arial" w:hAnsi="Arial"/>
                <w:sz w:val="20"/>
              </w:rPr>
              <w:t>−1,0%</w:t>
            </w:r>
          </w:p>
        </w:tc>
      </w:tr>
    </w:tbl>
    <w:p/>
    <w:tbl>
      <w:tblPr>
        <w:tblStyle w:val="TableGrid"/>
        <w:tblW w:type="auto" w:w="0"/>
        <w:tblLook w:firstColumn="1" w:firstRow="1" w:lastColumn="0" w:lastRow="0" w:noHBand="0" w:noVBand="1" w:val="04A0"/>
      </w:tblPr>
      <w:tblGrid>
        <w:gridCol w:w="9405"/>
      </w:tblGrid>
      <w:tr>
        <w:tc>
          <w:tcPr>
            <w:tcW w:type="dxa" w:w="9405"/>
            <w:shd w:val="clear" w:color="auto" w:fill="F2F2F2"/>
            <w:tcBorders>
              <w:bottom w:val="single" w:sz="6" w:space="0" w:color="64A70B"/>
            </w:tcBorders>
          </w:tcPr>
          <w:p>
            <w:r>
              <w:rPr>
                <w:rFonts w:ascii="Arial" w:hAnsi="Arial"/>
                <w:color w:val="444400"/>
                <w:sz w:val="20"/>
              </w:rPr>
              <w:t>⚠  O percentual máximo de 1,0% exige confirmação expressa de devolução integral. Devolução parcial reduz o percentual para 0,5%.</w:t>
            </w:r>
          </w:p>
        </w:tc>
      </w:tr>
    </w:tbl>
    <w:p/>
    <w:p>
      <w:pPr>
        <w:spacing w:before="240" w:after="80"/>
        <w:pBdr>
          <w:bottom w:val="single" w:sz="6" w:space="1" w:color="64A70B"/>
        </w:pBdr>
      </w:pPr>
      <w:r>
        <w:rPr>
          <w:rFonts w:ascii="Arial" w:hAnsi="Arial"/>
          <w:b/>
          <w:color w:val="27AE60"/>
          <w:sz w:val="23"/>
        </w:rPr>
        <w:t>7.3 Art. 23, III — Colaboração</w:t>
      </w:r>
    </w:p>
    <w:p>
      <w:pPr>
        <w:spacing w:before="0" w:after="80"/>
      </w:pPr>
      <w:r>
        <w:rPr>
          <w:rFonts w:ascii="Arial" w:hAnsi="Arial"/>
          <w:i w:val="0"/>
          <w:sz w:val="22"/>
        </w:rPr>
        <w:t>Reconhecida ainda que não haja admissão de responsabilidade. Conforme a Tabela 6 do Manual CGU (3ª ed., jun/2026), a colaboração NÃO é soma fixa de 0,5% por condição, mas valoração por faixa:</w:t>
      </w:r>
    </w:p>
    <w:tbl>
      <w:tblPr>
        <w:tblStyle w:val="TableGrid"/>
        <w:tblW w:type="auto" w:w="0"/>
        <w:jc w:val="left"/>
        <w:tblLook w:firstColumn="1" w:firstRow="1" w:lastColumn="0" w:lastRow="0" w:noHBand="0" w:noVBand="1" w:val="04A0"/>
      </w:tblPr>
      <w:tblGrid>
        <w:gridCol w:w="4702"/>
        <w:gridCol w:w="4702"/>
      </w:tblGrid>
      <w:tr>
        <w:tc>
          <w:tcPr>
            <w:tcW w:type="dxa" w:w="2835"/>
            <w:shd w:val="clear" w:color="auto" w:fill="27AE60"/>
          </w:tcPr>
          <w:p>
            <w:pPr>
              <w:jc w:val="center"/>
            </w:pPr>
            <w:r>
              <w:rPr>
                <w:rFonts w:ascii="Arial" w:hAnsi="Arial"/>
                <w:b/>
                <w:color w:val="FFFFFF"/>
                <w:sz w:val="20"/>
              </w:rPr>
              <w:t>Condições factualmente presentes</w:t>
            </w:r>
          </w:p>
        </w:tc>
        <w:tc>
          <w:tcPr>
            <w:tcW w:type="dxa" w:w="6236"/>
            <w:shd w:val="clear" w:color="auto" w:fill="27AE60"/>
          </w:tcPr>
          <w:p>
            <w:pPr>
              <w:jc w:val="center"/>
            </w:pPr>
            <w:r>
              <w:rPr>
                <w:rFonts w:ascii="Arial" w:hAnsi="Arial"/>
                <w:b/>
                <w:color w:val="FFFFFF"/>
                <w:sz w:val="20"/>
              </w:rPr>
              <w:t>Percentual</w:t>
            </w:r>
          </w:p>
        </w:tc>
      </w:tr>
      <w:tr>
        <w:tc>
          <w:tcPr>
            <w:tcW w:type="dxa" w:w="2835"/>
            <w:shd w:val="clear" w:color="auto" w:fill="F2F2F2"/>
          </w:tcPr>
          <w:p>
            <w:pPr>
              <w:jc w:val="left"/>
            </w:pPr>
            <w:r>
              <w:rPr>
                <w:rFonts w:ascii="Arial" w:hAnsi="Arial"/>
                <w:sz w:val="20"/>
              </w:rPr>
              <w:t>Nenhuma condição</w:t>
            </w:r>
          </w:p>
        </w:tc>
        <w:tc>
          <w:tcPr>
            <w:tcW w:type="dxa" w:w="6236"/>
            <w:shd w:val="clear" w:color="auto" w:fill="F2F2F2"/>
          </w:tcPr>
          <w:p>
            <w:pPr>
              <w:jc w:val="center"/>
            </w:pPr>
            <w:r>
              <w:rPr>
                <w:rFonts w:ascii="Arial" w:hAnsi="Arial"/>
                <w:sz w:val="20"/>
              </w:rPr>
              <w:t>0%</w:t>
            </w:r>
          </w:p>
        </w:tc>
      </w:tr>
      <w:tr>
        <w:tc>
          <w:tcPr>
            <w:tcW w:type="dxa" w:w="2835"/>
            <w:shd w:val="clear" w:color="auto" w:fill="FFFFFF"/>
          </w:tcPr>
          <w:p>
            <w:pPr>
              <w:jc w:val="left"/>
            </w:pPr>
            <w:r>
              <w:rPr>
                <w:rFonts w:ascii="Arial" w:hAnsi="Arial"/>
                <w:sz w:val="20"/>
              </w:rPr>
              <w:t>Uma ou duas condições</w:t>
            </w:r>
          </w:p>
        </w:tc>
        <w:tc>
          <w:tcPr>
            <w:tcW w:type="dxa" w:w="6236"/>
            <w:shd w:val="clear" w:color="auto" w:fill="FFFFFF"/>
          </w:tcPr>
          <w:p>
            <w:pPr>
              <w:jc w:val="center"/>
            </w:pPr>
            <w:r>
              <w:rPr>
                <w:rFonts w:ascii="Arial" w:hAnsi="Arial"/>
                <w:sz w:val="20"/>
              </w:rPr>
              <w:t>Faixa discricionária de 0,5% a 1,0% (fixada pela autoridade conforme a utilidade e relevância da colaboração)</w:t>
            </w:r>
          </w:p>
        </w:tc>
      </w:tr>
      <w:tr>
        <w:tc>
          <w:tcPr>
            <w:tcW w:type="dxa" w:w="2835"/>
            <w:shd w:val="clear" w:color="auto" w:fill="F2F2F2"/>
          </w:tcPr>
          <w:p>
            <w:pPr>
              <w:jc w:val="left"/>
            </w:pPr>
            <w:r>
              <w:rPr>
                <w:rFonts w:ascii="Arial" w:hAnsi="Arial"/>
                <w:sz w:val="20"/>
              </w:rPr>
              <w:t>As três condições, simultaneamente</w:t>
            </w:r>
          </w:p>
        </w:tc>
        <w:tc>
          <w:tcPr>
            <w:tcW w:type="dxa" w:w="6236"/>
            <w:shd w:val="clear" w:color="auto" w:fill="F2F2F2"/>
          </w:tcPr>
          <w:p>
            <w:pPr>
              <w:jc w:val="center"/>
            </w:pPr>
            <w:r>
              <w:rPr>
                <w:rFonts w:ascii="Arial" w:hAnsi="Arial"/>
                <w:sz w:val="20"/>
              </w:rPr>
              <w:t>1,5% fixo (sem discricionariedade)</w:t>
            </w:r>
          </w:p>
        </w:tc>
      </w:tr>
    </w:tbl>
    <w:p/>
    <w:p>
      <w:pPr>
        <w:spacing w:before="0" w:after="80"/>
      </w:pPr>
      <w:r>
        <w:rPr>
          <w:rFonts w:ascii="Arial" w:hAnsi="Arial"/>
          <w:i w:val="0"/>
          <w:sz w:val="22"/>
        </w:rPr>
        <w:t>As três condições que se registram (fato objetivo): (i) admitiu a prática do ato; (ii) forneceu elementos para a apuração; (iii) renunciou aos prazos processuais.</w:t>
      </w:r>
    </w:p>
    <w:tbl>
      <w:tblPr>
        <w:tblStyle w:val="TableGrid"/>
        <w:tblW w:type="auto" w:w="0"/>
        <w:tblLook w:firstColumn="1" w:firstRow="1" w:lastColumn="0" w:lastRow="0" w:noHBand="0" w:noVBand="1" w:val="04A0"/>
      </w:tblPr>
      <w:tblGrid>
        <w:gridCol w:w="9405"/>
      </w:tblGrid>
      <w:tr>
        <w:tc>
          <w:tcPr>
            <w:tcW w:type="dxa" w:w="9405"/>
            <w:shd w:val="clear" w:color="auto" w:fill="F2F2F2"/>
            <w:tcBorders>
              <w:bottom w:val="single" w:sz="6" w:space="0" w:color="64A70B"/>
            </w:tcBorders>
          </w:tcPr>
          <w:p>
            <w:r>
              <w:rPr>
                <w:rFonts w:ascii="Arial" w:hAnsi="Arial"/>
                <w:color w:val="444400"/>
                <w:sz w:val="20"/>
              </w:rPr>
              <w:t>⚠  Mudança de metodologia: a calculadora deixou de somar 0,5% por condição e passou a abrir um campo editável (faixa 0,5%–1,0%) quando há 1 ou 2 condições, travando em 1,5% quando há 3. A mera entrega de documentos exigidos por lei NÃO configura colaboração — conta a utilidade de informações e provas adicionais e inéditas. Admitir o ato sem assumir a responsabilidade jurídica enquadra-se neste inciso (III); o inciso IV exige reconhecimento formal da responsabilidade objetiva.</w:t>
            </w:r>
          </w:p>
        </w:tc>
      </w:tr>
    </w:tbl>
    <w:p/>
    <w:p>
      <w:pPr>
        <w:spacing w:before="240" w:after="80"/>
        <w:pBdr>
          <w:bottom w:val="single" w:sz="6" w:space="1" w:color="64A70B"/>
        </w:pBdr>
      </w:pPr>
      <w:r>
        <w:rPr>
          <w:rFonts w:ascii="Arial" w:hAnsi="Arial"/>
          <w:b/>
          <w:color w:val="27AE60"/>
          <w:sz w:val="23"/>
        </w:rPr>
        <w:t>7.4 Art. 23, IV — Admissão Voluntária da Responsabilidade</w:t>
      </w:r>
    </w:p>
    <w:p>
      <w:pPr>
        <w:spacing w:before="0" w:after="80"/>
      </w:pPr>
      <w:r>
        <w:rPr>
          <w:rFonts w:ascii="Arial" w:hAnsi="Arial"/>
          <w:i w:val="0"/>
          <w:sz w:val="22"/>
        </w:rPr>
        <w:t>Avaliada em dois eixos: conteúdo (parcial/total) × tempestividade (4 momentos processuais).</w:t>
      </w:r>
    </w:p>
    <w:tbl>
      <w:tblPr>
        <w:tblStyle w:val="TableGrid"/>
        <w:tblW w:type="auto" w:w="0"/>
        <w:jc w:val="left"/>
        <w:tblLook w:firstColumn="1" w:firstRow="1" w:lastColumn="0" w:lastRow="0" w:noHBand="0" w:noVBand="1" w:val="04A0"/>
      </w:tblPr>
      <w:tblGrid>
        <w:gridCol w:w="4702"/>
        <w:gridCol w:w="4702"/>
      </w:tblGrid>
      <w:tr>
        <w:tc>
          <w:tcPr>
            <w:tcW w:type="dxa" w:w="7370"/>
            <w:shd w:val="clear" w:color="auto" w:fill="27AE60"/>
          </w:tcPr>
          <w:p>
            <w:pPr>
              <w:jc w:val="center"/>
            </w:pPr>
            <w:r>
              <w:rPr>
                <w:rFonts w:ascii="Arial" w:hAnsi="Arial"/>
                <w:b/>
                <w:color w:val="FFFFFF"/>
                <w:sz w:val="20"/>
              </w:rPr>
              <w:t>Condição</w:t>
            </w:r>
          </w:p>
        </w:tc>
        <w:tc>
          <w:tcPr>
            <w:tcW w:type="dxa" w:w="1701"/>
            <w:shd w:val="clear" w:color="auto" w:fill="27AE60"/>
          </w:tcPr>
          <w:p>
            <w:pPr>
              <w:jc w:val="center"/>
            </w:pPr>
            <w:r>
              <w:rPr>
                <w:rFonts w:ascii="Arial" w:hAnsi="Arial"/>
                <w:b/>
                <w:color w:val="FFFFFF"/>
                <w:sz w:val="20"/>
              </w:rPr>
              <w:t>%</w:t>
            </w:r>
          </w:p>
        </w:tc>
      </w:tr>
      <w:tr>
        <w:tc>
          <w:tcPr>
            <w:tcW w:type="dxa" w:w="7370"/>
            <w:shd w:val="clear" w:color="auto" w:fill="F2F2F2"/>
          </w:tcPr>
          <w:p>
            <w:pPr>
              <w:jc w:val="left"/>
            </w:pPr>
            <w:r>
              <w:rPr>
                <w:rFonts w:ascii="Arial" w:hAnsi="Arial"/>
                <w:sz w:val="20"/>
              </w:rPr>
              <w:t>Sem admissão</w:t>
            </w:r>
          </w:p>
        </w:tc>
        <w:tc>
          <w:tcPr>
            <w:tcW w:type="dxa" w:w="1701"/>
            <w:shd w:val="clear" w:color="auto" w:fill="F2F2F2"/>
          </w:tcPr>
          <w:p>
            <w:pPr>
              <w:jc w:val="center"/>
            </w:pPr>
            <w:r>
              <w:rPr>
                <w:rFonts w:ascii="Arial" w:hAnsi="Arial"/>
                <w:sz w:val="20"/>
              </w:rPr>
              <w:t>0%</w:t>
            </w:r>
          </w:p>
        </w:tc>
      </w:tr>
      <w:tr>
        <w:tc>
          <w:tcPr>
            <w:tcW w:type="dxa" w:w="7370"/>
            <w:shd w:val="clear" w:color="auto" w:fill="FFFFFF"/>
          </w:tcPr>
          <w:p>
            <w:pPr>
              <w:jc w:val="left"/>
            </w:pPr>
            <w:r>
              <w:rPr>
                <w:rFonts w:ascii="Arial" w:hAnsi="Arial"/>
                <w:sz w:val="20"/>
              </w:rPr>
              <w:t>Parcial — após alegações finais</w:t>
            </w:r>
          </w:p>
        </w:tc>
        <w:tc>
          <w:tcPr>
            <w:tcW w:type="dxa" w:w="1701"/>
            <w:shd w:val="clear" w:color="auto" w:fill="FFFFFF"/>
          </w:tcPr>
          <w:p>
            <w:pPr>
              <w:jc w:val="center"/>
            </w:pPr>
            <w:r>
              <w:rPr>
                <w:rFonts w:ascii="Arial" w:hAnsi="Arial"/>
                <w:sz w:val="20"/>
              </w:rPr>
              <w:t>−0,25%</w:t>
            </w:r>
          </w:p>
        </w:tc>
      </w:tr>
      <w:tr>
        <w:tc>
          <w:tcPr>
            <w:tcW w:type="dxa" w:w="7370"/>
            <w:shd w:val="clear" w:color="auto" w:fill="F2F2F2"/>
          </w:tcPr>
          <w:p>
            <w:pPr>
              <w:jc w:val="left"/>
            </w:pPr>
            <w:r>
              <w:rPr>
                <w:rFonts w:ascii="Arial" w:hAnsi="Arial"/>
                <w:sz w:val="20"/>
              </w:rPr>
              <w:t>Total — após alegações finais</w:t>
            </w:r>
          </w:p>
        </w:tc>
        <w:tc>
          <w:tcPr>
            <w:tcW w:type="dxa" w:w="1701"/>
            <w:shd w:val="clear" w:color="auto" w:fill="F2F2F2"/>
          </w:tcPr>
          <w:p>
            <w:pPr>
              <w:jc w:val="center"/>
            </w:pPr>
            <w:r>
              <w:rPr>
                <w:rFonts w:ascii="Arial" w:hAnsi="Arial"/>
                <w:sz w:val="20"/>
              </w:rPr>
              <w:t>−0,5%</w:t>
            </w:r>
          </w:p>
        </w:tc>
      </w:tr>
      <w:tr>
        <w:tc>
          <w:tcPr>
            <w:tcW w:type="dxa" w:w="7370"/>
            <w:shd w:val="clear" w:color="auto" w:fill="FFFFFF"/>
          </w:tcPr>
          <w:p>
            <w:pPr>
              <w:jc w:val="left"/>
            </w:pPr>
            <w:r>
              <w:rPr>
                <w:rFonts w:ascii="Arial" w:hAnsi="Arial"/>
                <w:sz w:val="20"/>
              </w:rPr>
              <w:t>Parcial — no prazo das alegações finais</w:t>
            </w:r>
          </w:p>
        </w:tc>
        <w:tc>
          <w:tcPr>
            <w:tcW w:type="dxa" w:w="1701"/>
            <w:shd w:val="clear" w:color="auto" w:fill="FFFFFF"/>
          </w:tcPr>
          <w:p>
            <w:pPr>
              <w:jc w:val="center"/>
            </w:pPr>
            <w:r>
              <w:rPr>
                <w:rFonts w:ascii="Arial" w:hAnsi="Arial"/>
                <w:sz w:val="20"/>
              </w:rPr>
              <w:t>−0,5%</w:t>
            </w:r>
          </w:p>
        </w:tc>
      </w:tr>
      <w:tr>
        <w:tc>
          <w:tcPr>
            <w:tcW w:type="dxa" w:w="7370"/>
            <w:shd w:val="clear" w:color="auto" w:fill="F2F2F2"/>
          </w:tcPr>
          <w:p>
            <w:pPr>
              <w:jc w:val="left"/>
            </w:pPr>
            <w:r>
              <w:rPr>
                <w:rFonts w:ascii="Arial" w:hAnsi="Arial"/>
                <w:sz w:val="20"/>
              </w:rPr>
              <w:t>Total — no prazo das alegações finais</w:t>
            </w:r>
          </w:p>
        </w:tc>
        <w:tc>
          <w:tcPr>
            <w:tcW w:type="dxa" w:w="1701"/>
            <w:shd w:val="clear" w:color="auto" w:fill="F2F2F2"/>
          </w:tcPr>
          <w:p>
            <w:pPr>
              <w:jc w:val="center"/>
            </w:pPr>
            <w:r>
              <w:rPr>
                <w:rFonts w:ascii="Arial" w:hAnsi="Arial"/>
                <w:sz w:val="20"/>
              </w:rPr>
              <w:t>−1,0%</w:t>
            </w:r>
          </w:p>
        </w:tc>
      </w:tr>
      <w:tr>
        <w:tc>
          <w:tcPr>
            <w:tcW w:type="dxa" w:w="7370"/>
            <w:shd w:val="clear" w:color="auto" w:fill="FFFFFF"/>
          </w:tcPr>
          <w:p>
            <w:pPr>
              <w:jc w:val="left"/>
            </w:pPr>
            <w:r>
              <w:rPr>
                <w:rFonts w:ascii="Arial" w:hAnsi="Arial"/>
                <w:sz w:val="20"/>
              </w:rPr>
              <w:t>Parcial — no prazo de defesa</w:t>
            </w:r>
          </w:p>
        </w:tc>
        <w:tc>
          <w:tcPr>
            <w:tcW w:type="dxa" w:w="1701"/>
            <w:shd w:val="clear" w:color="auto" w:fill="FFFFFF"/>
          </w:tcPr>
          <w:p>
            <w:pPr>
              <w:jc w:val="center"/>
            </w:pPr>
            <w:r>
              <w:rPr>
                <w:rFonts w:ascii="Arial" w:hAnsi="Arial"/>
                <w:sz w:val="20"/>
              </w:rPr>
              <w:t>−1,0%</w:t>
            </w:r>
          </w:p>
        </w:tc>
      </w:tr>
      <w:tr>
        <w:tc>
          <w:tcPr>
            <w:tcW w:type="dxa" w:w="7370"/>
            <w:shd w:val="clear" w:color="auto" w:fill="F2F2F2"/>
          </w:tcPr>
          <w:p>
            <w:pPr>
              <w:jc w:val="left"/>
            </w:pPr>
            <w:r>
              <w:rPr>
                <w:rFonts w:ascii="Arial" w:hAnsi="Arial"/>
                <w:sz w:val="20"/>
              </w:rPr>
              <w:t>Total — no prazo de defesa</w:t>
            </w:r>
          </w:p>
        </w:tc>
        <w:tc>
          <w:tcPr>
            <w:tcW w:type="dxa" w:w="1701"/>
            <w:shd w:val="clear" w:color="auto" w:fill="F2F2F2"/>
          </w:tcPr>
          <w:p>
            <w:pPr>
              <w:jc w:val="center"/>
            </w:pPr>
            <w:r>
              <w:rPr>
                <w:rFonts w:ascii="Arial" w:hAnsi="Arial"/>
                <w:sz w:val="20"/>
              </w:rPr>
              <w:t>−1,5%</w:t>
            </w:r>
          </w:p>
        </w:tc>
      </w:tr>
      <w:tr>
        <w:tc>
          <w:tcPr>
            <w:tcW w:type="dxa" w:w="7370"/>
            <w:shd w:val="clear" w:color="auto" w:fill="FFFFFF"/>
          </w:tcPr>
          <w:p>
            <w:pPr>
              <w:jc w:val="left"/>
            </w:pPr>
            <w:r>
              <w:rPr>
                <w:rFonts w:ascii="Arial" w:hAnsi="Arial"/>
                <w:sz w:val="20"/>
              </w:rPr>
              <w:t>Parcial — antes da instauração do PAR</w:t>
            </w:r>
          </w:p>
        </w:tc>
        <w:tc>
          <w:tcPr>
            <w:tcW w:type="dxa" w:w="1701"/>
            <w:shd w:val="clear" w:color="auto" w:fill="FFFFFF"/>
          </w:tcPr>
          <w:p>
            <w:pPr>
              <w:jc w:val="center"/>
            </w:pPr>
            <w:r>
              <w:rPr>
                <w:rFonts w:ascii="Arial" w:hAnsi="Arial"/>
                <w:sz w:val="20"/>
              </w:rPr>
              <w:t>−1,5%</w:t>
            </w:r>
          </w:p>
        </w:tc>
      </w:tr>
      <w:tr>
        <w:tc>
          <w:tcPr>
            <w:tcW w:type="dxa" w:w="7370"/>
            <w:shd w:val="clear" w:color="auto" w:fill="F2F2F2"/>
          </w:tcPr>
          <w:p>
            <w:pPr>
              <w:jc w:val="left"/>
            </w:pPr>
            <w:r>
              <w:rPr>
                <w:rFonts w:ascii="Arial" w:hAnsi="Arial"/>
                <w:sz w:val="20"/>
              </w:rPr>
              <w:t>Total — antes da instauração do PAR</w:t>
            </w:r>
          </w:p>
        </w:tc>
        <w:tc>
          <w:tcPr>
            <w:tcW w:type="dxa" w:w="1701"/>
            <w:shd w:val="clear" w:color="auto" w:fill="F2F2F2"/>
          </w:tcPr>
          <w:p>
            <w:pPr>
              <w:jc w:val="center"/>
            </w:pPr>
            <w:r>
              <w:rPr>
                <w:rFonts w:ascii="Arial" w:hAnsi="Arial"/>
                <w:sz w:val="20"/>
              </w:rPr>
              <w:t>−2,0%</w:t>
            </w:r>
          </w:p>
        </w:tc>
      </w:tr>
    </w:tbl>
    <w:p/>
    <w:p>
      <w:pPr>
        <w:spacing w:before="240" w:after="80"/>
        <w:pBdr>
          <w:bottom w:val="single" w:sz="6" w:space="1" w:color="64A70B"/>
        </w:pBdr>
      </w:pPr>
      <w:r>
        <w:rPr>
          <w:rFonts w:ascii="Arial" w:hAnsi="Arial"/>
          <w:b/>
          <w:color w:val="27AE60"/>
          <w:sz w:val="23"/>
        </w:rPr>
        <w:t>7.5 Art. 23, V — Programa de Integridade</w:t>
      </w:r>
    </w:p>
    <w:p>
      <w:pPr>
        <w:spacing w:before="0" w:after="80"/>
      </w:pPr>
      <w:r>
        <w:rPr>
          <w:rFonts w:ascii="Arial" w:hAnsi="Arial"/>
          <w:i w:val="0"/>
          <w:sz w:val="22"/>
        </w:rPr>
        <w:t>Atenuante de até 5% pela comprovada existência e efetiva aplicação de programa de integridade. O percentual máximo somente é atribuível quando o programa for anterior à prática do ato lesivo (Art. 23, parágrafo único, III).</w:t>
      </w:r>
    </w:p>
    <w:p>
      <w:pPr>
        <w:spacing w:before="80" w:after="80"/>
        <w:ind w:left="850" w:right="567"/>
      </w:pPr>
      <w:r>
        <w:rPr>
          <w:rFonts w:ascii="Arial" w:hAnsi="Arial"/>
          <w:i/>
          <w:color w:val="333366"/>
          <w:sz w:val="20"/>
        </w:rPr>
        <w:t>Resultado da planilha = [COI × MPI] + APJ   →   se ≥ 1%, aplica-se × 1,25   →   Atenuante = min(resultado, 5%)</w:t>
      </w:r>
    </w:p>
    <w:p>
      <w:pPr>
        <w:spacing w:before="0" w:after="80"/>
      </w:pPr>
      <w:r>
        <w:rPr>
          <w:rFonts w:ascii="Arial" w:hAnsi="Arial"/>
          <w:i w:val="0"/>
          <w:sz w:val="22"/>
        </w:rPr>
        <w:t>Onde: COI = Cultura Organizacional e Instâncias de Governança; MPI = Mecanismos, Políticas e Procedimentos de Integridade; APJ = Atuação da Pessoa Jurídica em relação ao ato lesivo.</w:t>
      </w:r>
    </w:p>
    <w:p>
      <w:pPr>
        <w:spacing w:before="0" w:after="80"/>
      </w:pPr>
      <w:r>
        <w:rPr>
          <w:rFonts w:ascii="Arial" w:hAnsi="Arial"/>
          <w:i w:val="0"/>
          <w:sz w:val="22"/>
        </w:rPr>
        <w:t>Fator multiplicador de 1,25 (Portaria Conjunta CGU nº 6/2022 — Adendo nº 1 ao Manual Prático de Avaliação de PI): incide sobre o resultado da planilha sempre que este for igual ou superior a 1%. O teto de 5% é aplicado DEPOIS do multiplicador.</w:t>
      </w:r>
    </w:p>
    <w:tbl>
      <w:tblPr>
        <w:tblStyle w:val="TableGrid"/>
        <w:tblW w:type="auto" w:w="0"/>
        <w:jc w:val="left"/>
        <w:tblLook w:firstColumn="1" w:firstRow="1" w:lastColumn="0" w:lastRow="0" w:noHBand="0" w:noVBand="1" w:val="04A0"/>
      </w:tblPr>
      <w:tblGrid>
        <w:gridCol w:w="3135"/>
        <w:gridCol w:w="3135"/>
        <w:gridCol w:w="3135"/>
      </w:tblGrid>
      <w:tr>
        <w:tc>
          <w:tcPr>
            <w:tcW w:type="dxa" w:w="3402"/>
            <w:shd w:val="clear" w:color="auto" w:fill="27AE60"/>
          </w:tcPr>
          <w:p>
            <w:pPr>
              <w:jc w:val="center"/>
            </w:pPr>
            <w:r>
              <w:rPr>
                <w:rFonts w:ascii="Arial" w:hAnsi="Arial"/>
                <w:b/>
                <w:color w:val="FFFFFF"/>
                <w:sz w:val="20"/>
              </w:rPr>
              <w:t>Resultado da planilha</w:t>
            </w:r>
          </w:p>
        </w:tc>
        <w:tc>
          <w:tcPr>
            <w:tcW w:type="dxa" w:w="2835"/>
            <w:shd w:val="clear" w:color="auto" w:fill="27AE60"/>
          </w:tcPr>
          <w:p>
            <w:pPr>
              <w:jc w:val="center"/>
            </w:pPr>
            <w:r>
              <w:rPr>
                <w:rFonts w:ascii="Arial" w:hAnsi="Arial"/>
                <w:b/>
                <w:color w:val="FFFFFF"/>
                <w:sz w:val="20"/>
              </w:rPr>
              <w:t>Fator 1,25</w:t>
            </w:r>
          </w:p>
        </w:tc>
        <w:tc>
          <w:tcPr>
            <w:tcW w:type="dxa" w:w="3402"/>
            <w:shd w:val="clear" w:color="auto" w:fill="27AE60"/>
          </w:tcPr>
          <w:p>
            <w:pPr>
              <w:jc w:val="center"/>
            </w:pPr>
            <w:r>
              <w:rPr>
                <w:rFonts w:ascii="Arial" w:hAnsi="Arial"/>
                <w:b/>
                <w:color w:val="FFFFFF"/>
                <w:sz w:val="20"/>
              </w:rPr>
              <w:t>Resultado final</w:t>
            </w:r>
          </w:p>
        </w:tc>
      </w:tr>
      <w:tr>
        <w:tc>
          <w:tcPr>
            <w:tcW w:type="dxa" w:w="3402"/>
            <w:shd w:val="clear" w:color="auto" w:fill="F2F2F2"/>
          </w:tcPr>
          <w:p>
            <w:pPr>
              <w:jc w:val="left"/>
            </w:pPr>
            <w:r>
              <w:rPr>
                <w:rFonts w:ascii="Arial" w:hAnsi="Arial"/>
                <w:sz w:val="20"/>
              </w:rPr>
              <w:t>Inferior a 1% (ex.: 0,8%)</w:t>
            </w:r>
          </w:p>
        </w:tc>
        <w:tc>
          <w:tcPr>
            <w:tcW w:type="dxa" w:w="2835"/>
            <w:shd w:val="clear" w:color="auto" w:fill="F2F2F2"/>
          </w:tcPr>
          <w:p>
            <w:pPr>
              <w:jc w:val="center"/>
            </w:pPr>
            <w:r>
              <w:rPr>
                <w:rFonts w:ascii="Arial" w:hAnsi="Arial"/>
                <w:sz w:val="20"/>
              </w:rPr>
              <w:t>Não incide</w:t>
            </w:r>
          </w:p>
        </w:tc>
        <w:tc>
          <w:tcPr>
            <w:tcW w:type="dxa" w:w="3402"/>
            <w:shd w:val="clear" w:color="auto" w:fill="F2F2F2"/>
          </w:tcPr>
          <w:p>
            <w:pPr>
              <w:jc w:val="center"/>
            </w:pPr>
            <w:r>
              <w:rPr>
                <w:rFonts w:ascii="Arial" w:hAnsi="Arial"/>
                <w:sz w:val="20"/>
              </w:rPr>
              <w:t>0,8%</w:t>
            </w:r>
          </w:p>
        </w:tc>
      </w:tr>
      <w:tr>
        <w:tc>
          <w:tcPr>
            <w:tcW w:type="dxa" w:w="3402"/>
            <w:shd w:val="clear" w:color="auto" w:fill="FFFFFF"/>
          </w:tcPr>
          <w:p>
            <w:pPr>
              <w:jc w:val="left"/>
            </w:pPr>
            <w:r>
              <w:rPr>
                <w:rFonts w:ascii="Arial" w:hAnsi="Arial"/>
                <w:sz w:val="20"/>
              </w:rPr>
              <w:t>Igual ou superior a 1% (ex.: 1,0%)</w:t>
            </w:r>
          </w:p>
        </w:tc>
        <w:tc>
          <w:tcPr>
            <w:tcW w:type="dxa" w:w="2835"/>
            <w:shd w:val="clear" w:color="auto" w:fill="FFFFFF"/>
          </w:tcPr>
          <w:p>
            <w:pPr>
              <w:jc w:val="center"/>
            </w:pPr>
            <w:r>
              <w:rPr>
                <w:rFonts w:ascii="Arial" w:hAnsi="Arial"/>
                <w:sz w:val="20"/>
              </w:rPr>
              <w:t>Incide</w:t>
            </w:r>
          </w:p>
        </w:tc>
        <w:tc>
          <w:tcPr>
            <w:tcW w:type="dxa" w:w="3402"/>
            <w:shd w:val="clear" w:color="auto" w:fill="FFFFFF"/>
          </w:tcPr>
          <w:p>
            <w:pPr>
              <w:jc w:val="center"/>
            </w:pPr>
            <w:r>
              <w:rPr>
                <w:rFonts w:ascii="Arial" w:hAnsi="Arial"/>
                <w:sz w:val="20"/>
              </w:rPr>
              <w:t>1,25%</w:t>
            </w:r>
          </w:p>
        </w:tc>
      </w:tr>
      <w:tr>
        <w:tc>
          <w:tcPr>
            <w:tcW w:type="dxa" w:w="3402"/>
            <w:shd w:val="clear" w:color="auto" w:fill="F2F2F2"/>
          </w:tcPr>
          <w:p>
            <w:pPr>
              <w:jc w:val="left"/>
            </w:pPr>
            <w:r>
              <w:rPr>
                <w:rFonts w:ascii="Arial" w:hAnsi="Arial"/>
                <w:sz w:val="20"/>
              </w:rPr>
              <w:t>Próximo ao teto (ex.: 4,2%)</w:t>
            </w:r>
          </w:p>
        </w:tc>
        <w:tc>
          <w:tcPr>
            <w:tcW w:type="dxa" w:w="2835"/>
            <w:shd w:val="clear" w:color="auto" w:fill="F2F2F2"/>
          </w:tcPr>
          <w:p>
            <w:pPr>
              <w:jc w:val="center"/>
            </w:pPr>
            <w:r>
              <w:rPr>
                <w:rFonts w:ascii="Arial" w:hAnsi="Arial"/>
                <w:sz w:val="20"/>
              </w:rPr>
              <w:t>Incide, mas o teto prevalece</w:t>
            </w:r>
          </w:p>
        </w:tc>
        <w:tc>
          <w:tcPr>
            <w:tcW w:type="dxa" w:w="3402"/>
            <w:shd w:val="clear" w:color="auto" w:fill="F2F2F2"/>
          </w:tcPr>
          <w:p>
            <w:pPr>
              <w:jc w:val="center"/>
            </w:pPr>
            <w:r>
              <w:rPr>
                <w:rFonts w:ascii="Arial" w:hAnsi="Arial"/>
                <w:sz w:val="20"/>
              </w:rPr>
              <w:t>5,0% (4,2 × 1,25 = 5,25 → teto)</w:t>
            </w:r>
          </w:p>
        </w:tc>
      </w:tr>
    </w:tbl>
    <w:p/>
    <w:tbl>
      <w:tblPr>
        <w:tblStyle w:val="TableGrid"/>
        <w:tblW w:type="auto" w:w="0"/>
        <w:jc w:val="left"/>
        <w:tblLook w:firstColumn="1" w:firstRow="1" w:lastColumn="0" w:lastRow="0" w:noHBand="0" w:noVBand="1" w:val="04A0"/>
      </w:tblPr>
      <w:tblGrid>
        <w:gridCol w:w="4702"/>
        <w:gridCol w:w="4702"/>
      </w:tblGrid>
      <w:tr>
        <w:tc>
          <w:tcPr>
            <w:tcW w:type="dxa" w:w="7370"/>
            <w:shd w:val="clear" w:color="auto" w:fill="27AE60"/>
          </w:tcPr>
          <w:p>
            <w:pPr>
              <w:jc w:val="center"/>
            </w:pPr>
            <w:r>
              <w:rPr>
                <w:rFonts w:ascii="Arial" w:hAnsi="Arial"/>
                <w:b/>
                <w:color w:val="FFFFFF"/>
                <w:sz w:val="20"/>
              </w:rPr>
              <w:t>Situação</w:t>
            </w:r>
          </w:p>
        </w:tc>
        <w:tc>
          <w:tcPr>
            <w:tcW w:type="dxa" w:w="1701"/>
            <w:shd w:val="clear" w:color="auto" w:fill="27AE60"/>
          </w:tcPr>
          <w:p>
            <w:pPr>
              <w:jc w:val="center"/>
            </w:pPr>
            <w:r>
              <w:rPr>
                <w:rFonts w:ascii="Arial" w:hAnsi="Arial"/>
                <w:b/>
                <w:color w:val="FFFFFF"/>
                <w:sz w:val="20"/>
              </w:rPr>
              <w:t>%</w:t>
            </w:r>
          </w:p>
        </w:tc>
      </w:tr>
      <w:tr>
        <w:tc>
          <w:tcPr>
            <w:tcW w:type="dxa" w:w="7370"/>
            <w:shd w:val="clear" w:color="auto" w:fill="F2F2F2"/>
          </w:tcPr>
          <w:p>
            <w:pPr>
              <w:jc w:val="left"/>
            </w:pPr>
            <w:r>
              <w:rPr>
                <w:rFonts w:ascii="Arial" w:hAnsi="Arial"/>
                <w:sz w:val="20"/>
              </w:rPr>
              <w:t>Sem programa ou não comprovado</w:t>
            </w:r>
          </w:p>
        </w:tc>
        <w:tc>
          <w:tcPr>
            <w:tcW w:type="dxa" w:w="1701"/>
            <w:shd w:val="clear" w:color="auto" w:fill="F2F2F2"/>
          </w:tcPr>
          <w:p>
            <w:pPr>
              <w:jc w:val="center"/>
            </w:pPr>
            <w:r>
              <w:rPr>
                <w:rFonts w:ascii="Arial" w:hAnsi="Arial"/>
                <w:sz w:val="20"/>
              </w:rPr>
              <w:t>0%</w:t>
            </w:r>
          </w:p>
        </w:tc>
      </w:tr>
      <w:tr>
        <w:tc>
          <w:tcPr>
            <w:tcW w:type="dxa" w:w="7370"/>
            <w:shd w:val="clear" w:color="auto" w:fill="FFFFFF"/>
          </w:tcPr>
          <w:p>
            <w:pPr>
              <w:jc w:val="left"/>
            </w:pPr>
            <w:r>
              <w:rPr>
                <w:rFonts w:ascii="Arial" w:hAnsi="Arial"/>
                <w:sz w:val="20"/>
              </w:rPr>
              <w:t>Programa apresentado e avaliado (bloco APJ-Anterior)</w:t>
            </w:r>
          </w:p>
        </w:tc>
        <w:tc>
          <w:tcPr>
            <w:tcW w:type="dxa" w:w="1701"/>
            <w:shd w:val="clear" w:color="auto" w:fill="FFFFFF"/>
          </w:tcPr>
          <w:p>
            <w:pPr>
              <w:jc w:val="center"/>
            </w:pPr>
            <w:r>
              <w:rPr>
                <w:rFonts w:ascii="Arial" w:hAnsi="Arial"/>
                <w:sz w:val="20"/>
              </w:rPr>
              <w:t>até −5,0%</w:t>
            </w:r>
          </w:p>
        </w:tc>
      </w:tr>
      <w:tr>
        <w:tc>
          <w:tcPr>
            <w:tcW w:type="dxa" w:w="7370"/>
            <w:shd w:val="clear" w:color="auto" w:fill="F2F2F2"/>
          </w:tcPr>
          <w:p>
            <w:pPr>
              <w:jc w:val="left"/>
            </w:pPr>
            <w:r>
              <w:rPr>
                <w:rFonts w:ascii="Arial" w:hAnsi="Arial"/>
                <w:sz w:val="20"/>
              </w:rPr>
              <w:t>Programa instituído após o ato lesivo (bloco APJ-Posterior)</w:t>
            </w:r>
          </w:p>
        </w:tc>
        <w:tc>
          <w:tcPr>
            <w:tcW w:type="dxa" w:w="1701"/>
            <w:shd w:val="clear" w:color="auto" w:fill="F2F2F2"/>
          </w:tcPr>
          <w:p>
            <w:pPr>
              <w:jc w:val="center"/>
            </w:pPr>
            <w:r>
              <w:rPr>
                <w:rFonts w:ascii="Arial" w:hAnsi="Arial"/>
                <w:sz w:val="20"/>
              </w:rPr>
              <w:t>reduzido</w:t>
            </w:r>
          </w:p>
        </w:tc>
      </w:tr>
    </w:tbl>
    <w:p/>
    <w:tbl>
      <w:tblPr>
        <w:tblStyle w:val="TableGrid"/>
        <w:tblW w:type="auto" w:w="0"/>
        <w:tblLook w:firstColumn="1" w:firstRow="1" w:lastColumn="0" w:lastRow="0" w:noHBand="0" w:noVBand="1" w:val="04A0"/>
      </w:tblPr>
      <w:tblGrid>
        <w:gridCol w:w="9405"/>
      </w:tblGrid>
      <w:tr>
        <w:tc>
          <w:tcPr>
            <w:tcW w:type="dxa" w:w="9405"/>
            <w:shd w:val="clear" w:color="auto" w:fill="F2F2F2"/>
            <w:tcBorders>
              <w:bottom w:val="single" w:sz="6" w:space="0" w:color="64A70B"/>
            </w:tcBorders>
          </w:tcPr>
          <w:p>
            <w:r>
              <w:rPr>
                <w:rFonts w:ascii="Arial" w:hAnsi="Arial"/>
                <w:color w:val="444400"/>
                <w:sz w:val="20"/>
              </w:rPr>
              <w:t>⚠  A calculadora exibe o valor pré e pós-multiplicador no painel, no relatório e na minuta, para transparência do cálculo.</w:t>
            </w:r>
          </w:p>
        </w:tc>
      </w:tr>
    </w:tbl>
    <w:p/>
    <w:tbl>
      <w:tblPr>
        <w:tblStyle w:val="TableGrid"/>
        <w:tblW w:type="auto" w:w="0"/>
        <w:jc w:val="left"/>
        <w:tblLook w:firstColumn="1" w:firstRow="1" w:lastColumn="0" w:lastRow="0" w:noHBand="0" w:noVBand="1" w:val="04A0"/>
      </w:tblPr>
      <w:tblGrid>
        <w:gridCol w:w="9405"/>
      </w:tblGrid>
      <w:tr>
        <w:tc>
          <w:tcPr>
            <w:tcW w:type="dxa" w:w="9405"/>
            <w:shd w:val="clear" w:color="auto" w:fill="00205B"/>
            <w:tcBorders>
              <w:top w:val="none"/>
              <w:left w:val="none"/>
              <w:bottom w:val="none"/>
              <w:right w:val="none"/>
              <w:insideH w:val="none"/>
              <w:insideV w:val="none"/>
            </w:tcBorders>
            <w:tcBorders>
              <w:top w:val="none"/>
              <w:left w:val="none"/>
              <w:bottom w:val="none"/>
              <w:right w:val="none"/>
              <w:insideH w:val="none"/>
              <w:insideV w:val="none"/>
            </w:tcBorders>
            <w:tcBorders>
              <w:top w:val="none"/>
              <w:left w:val="none"/>
              <w:bottom w:val="none"/>
              <w:right w:val="none"/>
              <w:insideH w:val="none"/>
              <w:insideV w:val="none"/>
            </w:tcBorders>
            <w:tcBorders>
              <w:top w:val="none"/>
              <w:left w:val="none"/>
              <w:bottom w:val="none"/>
              <w:right w:val="none"/>
              <w:insideH w:val="none"/>
              <w:insideV w:val="none"/>
            </w:tcBorders>
          </w:tcPr>
          <w:p>
            <w:pPr>
              <w:spacing w:before="0" w:after="0"/>
              <w:ind w:left="170"/>
            </w:pPr>
            <w:r>
              <w:rPr>
                <w:rFonts w:ascii="Arial" w:hAnsi="Arial"/>
                <w:b/>
                <w:color w:val="FFFFFF"/>
                <w:sz w:val="26"/>
              </w:rPr>
              <w:t>8. CÁLCULO FINAL E LIMITES LEGAIS (Art. 25)</w:t>
            </w:r>
          </w:p>
        </w:tc>
      </w:tr>
    </w:tbl>
    <w:p/>
    <w:p>
      <w:pPr>
        <w:spacing w:before="240" w:after="80"/>
        <w:pBdr>
          <w:bottom w:val="single" w:sz="6" w:space="1" w:color="64A70B"/>
        </w:pBdr>
      </w:pPr>
      <w:r>
        <w:rPr>
          <w:rFonts w:ascii="Arial" w:hAnsi="Arial"/>
          <w:b/>
          <w:color w:val="1D3A78"/>
          <w:sz w:val="23"/>
        </w:rPr>
        <w:t>8.1 Fórmula da Multa</w:t>
      </w:r>
    </w:p>
    <w:p>
      <w:pPr>
        <w:spacing w:before="80" w:after="80"/>
        <w:ind w:left="850" w:right="567"/>
      </w:pPr>
      <w:r>
        <w:rPr>
          <w:rFonts w:ascii="Arial" w:hAnsi="Arial"/>
          <w:i/>
          <w:color w:val="333366"/>
          <w:sz w:val="20"/>
        </w:rPr>
        <w:t>Índice de Dosimetria  =  Σ Agravantes (Art. 22)  −  Σ Atenuantes (Art. 23)</w:t>
      </w:r>
    </w:p>
    <w:p>
      <w:pPr>
        <w:spacing w:before="80" w:after="80"/>
        <w:ind w:left="850" w:right="567"/>
      </w:pPr>
      <w:r>
        <w:rPr>
          <w:rFonts w:ascii="Arial" w:hAnsi="Arial"/>
          <w:i/>
          <w:color w:val="333366"/>
          <w:sz w:val="20"/>
        </w:rPr>
        <w:t>Multa Bruta  =  Faturamento Bruto  ×  Índice de Dosimetria</w:t>
      </w:r>
    </w:p>
    <w:p>
      <w:pPr>
        <w:spacing w:before="240" w:after="80"/>
        <w:pBdr>
          <w:bottom w:val="single" w:sz="6" w:space="1" w:color="64A70B"/>
        </w:pBdr>
      </w:pPr>
      <w:r>
        <w:rPr>
          <w:rFonts w:ascii="Arial" w:hAnsi="Arial"/>
          <w:b/>
          <w:color w:val="1D3A78"/>
          <w:sz w:val="23"/>
        </w:rPr>
        <w:t>8.2 Verificação dos Limites</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268"/>
            <w:shd w:val="clear" w:color="auto" w:fill="00205B"/>
          </w:tcPr>
          <w:p>
            <w:pPr>
              <w:jc w:val="center"/>
            </w:pPr>
            <w:r>
              <w:rPr>
                <w:rFonts w:ascii="Arial" w:hAnsi="Arial"/>
                <w:b/>
                <w:color w:val="FFFFFF"/>
                <w:sz w:val="20"/>
              </w:rPr>
              <w:t>Limite</w:t>
            </w:r>
          </w:p>
        </w:tc>
        <w:tc>
          <w:tcPr>
            <w:tcW w:type="dxa" w:w="3118"/>
            <w:shd w:val="clear" w:color="auto" w:fill="00205B"/>
          </w:tcPr>
          <w:p>
            <w:pPr>
              <w:jc w:val="center"/>
            </w:pPr>
            <w:r>
              <w:rPr>
                <w:rFonts w:ascii="Arial" w:hAnsi="Arial"/>
                <w:b/>
                <w:color w:val="FFFFFF"/>
                <w:sz w:val="20"/>
              </w:rPr>
              <w:t>Regra</w:t>
            </w:r>
          </w:p>
        </w:tc>
        <w:tc>
          <w:tcPr>
            <w:tcW w:type="dxa" w:w="2835"/>
            <w:shd w:val="clear" w:color="auto" w:fill="00205B"/>
          </w:tcPr>
          <w:p>
            <w:pPr>
              <w:jc w:val="center"/>
            </w:pPr>
            <w:r>
              <w:rPr>
                <w:rFonts w:ascii="Arial" w:hAnsi="Arial"/>
                <w:b/>
                <w:color w:val="FFFFFF"/>
                <w:sz w:val="20"/>
              </w:rPr>
              <w:t>Efeito</w:t>
            </w:r>
          </w:p>
        </w:tc>
        <w:tc>
          <w:tcPr>
            <w:tcW w:type="dxa" w:w="1701"/>
            <w:shd w:val="clear" w:color="auto" w:fill="00205B"/>
          </w:tcPr>
          <w:p>
            <w:pPr>
              <w:jc w:val="center"/>
            </w:pPr>
            <w:r>
              <w:rPr>
                <w:rFonts w:ascii="Arial" w:hAnsi="Arial"/>
                <w:b/>
                <w:color w:val="FFFFFF"/>
                <w:sz w:val="20"/>
              </w:rPr>
              <w:t>Fundamento</w:t>
            </w:r>
          </w:p>
        </w:tc>
      </w:tr>
      <w:tr>
        <w:tc>
          <w:tcPr>
            <w:tcW w:type="dxa" w:w="2268"/>
            <w:shd w:val="clear" w:color="auto" w:fill="F2F2F2"/>
          </w:tcPr>
          <w:p>
            <w:pPr>
              <w:jc w:val="left"/>
            </w:pPr>
            <w:r>
              <w:rPr>
                <w:rFonts w:ascii="Arial" w:hAnsi="Arial"/>
                <w:sz w:val="20"/>
              </w:rPr>
              <w:t>Piso — Vantagem Auferida</w:t>
            </w:r>
          </w:p>
        </w:tc>
        <w:tc>
          <w:tcPr>
            <w:tcW w:type="dxa" w:w="3118"/>
            <w:shd w:val="clear" w:color="auto" w:fill="F2F2F2"/>
          </w:tcPr>
          <w:p>
            <w:pPr>
              <w:jc w:val="center"/>
            </w:pPr>
            <w:r>
              <w:rPr>
                <w:rFonts w:ascii="Arial" w:hAnsi="Arial"/>
                <w:sz w:val="20"/>
              </w:rPr>
              <w:t>Multa não pode ser inferior à vantagem auferida</w:t>
            </w:r>
          </w:p>
        </w:tc>
        <w:tc>
          <w:tcPr>
            <w:tcW w:type="dxa" w:w="2835"/>
            <w:shd w:val="clear" w:color="auto" w:fill="F2F2F2"/>
          </w:tcPr>
          <w:p>
            <w:pPr>
              <w:jc w:val="center"/>
            </w:pPr>
            <w:r>
              <w:rPr>
                <w:rFonts w:ascii="Arial" w:hAnsi="Arial"/>
                <w:sz w:val="20"/>
              </w:rPr>
              <w:t>Se Multa Bruta &lt; VA → Multa = VA</w:t>
            </w:r>
          </w:p>
        </w:tc>
        <w:tc>
          <w:tcPr>
            <w:tcW w:type="dxa" w:w="1701"/>
            <w:shd w:val="clear" w:color="auto" w:fill="F2F2F2"/>
          </w:tcPr>
          <w:p>
            <w:pPr>
              <w:jc w:val="center"/>
            </w:pPr>
            <w:r>
              <w:rPr>
                <w:rFonts w:ascii="Arial" w:hAnsi="Arial"/>
                <w:sz w:val="20"/>
              </w:rPr>
              <w:t>Art. 25, I</w:t>
            </w:r>
          </w:p>
        </w:tc>
      </w:tr>
      <w:tr>
        <w:tc>
          <w:tcPr>
            <w:tcW w:type="dxa" w:w="2268"/>
            <w:shd w:val="clear" w:color="auto" w:fill="FFFFFF"/>
          </w:tcPr>
          <w:p>
            <w:pPr>
              <w:jc w:val="left"/>
            </w:pPr>
            <w:r>
              <w:rPr>
                <w:rFonts w:ascii="Arial" w:hAnsi="Arial"/>
                <w:sz w:val="20"/>
              </w:rPr>
              <w:t>Teto — Maior Vantagem</w:t>
            </w:r>
          </w:p>
        </w:tc>
        <w:tc>
          <w:tcPr>
            <w:tcW w:type="dxa" w:w="3118"/>
            <w:shd w:val="clear" w:color="auto" w:fill="FFFFFF"/>
          </w:tcPr>
          <w:p>
            <w:pPr>
              <w:jc w:val="center"/>
            </w:pPr>
            <w:r>
              <w:rPr>
                <w:rFonts w:ascii="Arial" w:hAnsi="Arial"/>
                <w:sz w:val="20"/>
              </w:rPr>
              <w:t>Multa não pode exceder o maior valor entre VA e VP</w:t>
            </w:r>
          </w:p>
        </w:tc>
        <w:tc>
          <w:tcPr>
            <w:tcW w:type="dxa" w:w="2835"/>
            <w:shd w:val="clear" w:color="auto" w:fill="FFFFFF"/>
          </w:tcPr>
          <w:p>
            <w:pPr>
              <w:jc w:val="center"/>
            </w:pPr>
            <w:r>
              <w:rPr>
                <w:rFonts w:ascii="Arial" w:hAnsi="Arial"/>
                <w:sz w:val="20"/>
              </w:rPr>
              <w:t>Se Multa Bruta &gt; max(VA,VP) → Multa = max(VA,VP)</w:t>
            </w:r>
          </w:p>
        </w:tc>
        <w:tc>
          <w:tcPr>
            <w:tcW w:type="dxa" w:w="1701"/>
            <w:shd w:val="clear" w:color="auto" w:fill="FFFFFF"/>
          </w:tcPr>
          <w:p>
            <w:pPr>
              <w:jc w:val="center"/>
            </w:pPr>
            <w:r>
              <w:rPr>
                <w:rFonts w:ascii="Arial" w:hAnsi="Arial"/>
                <w:sz w:val="20"/>
              </w:rPr>
              <w:t>Art. 25, II</w:t>
            </w:r>
          </w:p>
        </w:tc>
      </w:tr>
      <w:tr>
        <w:tc>
          <w:tcPr>
            <w:tcW w:type="dxa" w:w="2268"/>
            <w:shd w:val="clear" w:color="auto" w:fill="F2F2F2"/>
          </w:tcPr>
          <w:p>
            <w:pPr>
              <w:jc w:val="left"/>
            </w:pPr>
            <w:r>
              <w:rPr>
                <w:rFonts w:ascii="Arial" w:hAnsi="Arial"/>
                <w:sz w:val="20"/>
              </w:rPr>
              <w:t>Índice ≤ 0</w:t>
            </w:r>
          </w:p>
        </w:tc>
        <w:tc>
          <w:tcPr>
            <w:tcW w:type="dxa" w:w="3118"/>
            <w:shd w:val="clear" w:color="auto" w:fill="F2F2F2"/>
          </w:tcPr>
          <w:p>
            <w:pPr>
              <w:jc w:val="center"/>
            </w:pPr>
            <w:r>
              <w:rPr>
                <w:rFonts w:ascii="Arial" w:hAnsi="Arial"/>
                <w:sz w:val="20"/>
              </w:rPr>
              <w:t>Resultado negativo ou zero na dosimetria</w:t>
            </w:r>
          </w:p>
        </w:tc>
        <w:tc>
          <w:tcPr>
            <w:tcW w:type="dxa" w:w="2835"/>
            <w:shd w:val="clear" w:color="auto" w:fill="F2F2F2"/>
          </w:tcPr>
          <w:p>
            <w:pPr>
              <w:jc w:val="center"/>
            </w:pPr>
            <w:r>
              <w:rPr>
                <w:rFonts w:ascii="Arial" w:hAnsi="Arial"/>
                <w:sz w:val="20"/>
              </w:rPr>
              <w:t>Multa = valor mínimo (vantagem auferida)</w:t>
            </w:r>
          </w:p>
        </w:tc>
        <w:tc>
          <w:tcPr>
            <w:tcW w:type="dxa" w:w="1701"/>
            <w:shd w:val="clear" w:color="auto" w:fill="F2F2F2"/>
          </w:tcPr>
          <w:p>
            <w:pPr>
              <w:jc w:val="center"/>
            </w:pPr>
            <w:r>
              <w:rPr>
                <w:rFonts w:ascii="Arial" w:hAnsi="Arial"/>
                <w:sz w:val="20"/>
              </w:rPr>
              <w:t>Art. 25, §2º</w:t>
            </w:r>
          </w:p>
        </w:tc>
      </w:tr>
    </w:tbl>
    <w:p/>
    <w:p>
      <w:r>
        <w:br w:type="page"/>
      </w:r>
    </w:p>
    <w:tbl>
      <w:tblPr>
        <w:tblStyle w:val="TableGrid"/>
        <w:tblW w:type="auto" w:w="0"/>
        <w:jc w:val="left"/>
        <w:tblLook w:firstColumn="1" w:firstRow="1" w:lastColumn="0" w:lastRow="0" w:noHBand="0" w:noVBand="1" w:val="04A0"/>
      </w:tblPr>
      <w:tblGrid>
        <w:gridCol w:w="9405"/>
      </w:tblGrid>
      <w:tr>
        <w:tc>
          <w:tcPr>
            <w:tcW w:type="dxa" w:w="9405"/>
            <w:shd w:val="clear" w:color="auto" w:fill="00205B"/>
            <w:tcBorders>
              <w:top w:val="none"/>
              <w:left w:val="none"/>
              <w:bottom w:val="none"/>
              <w:right w:val="none"/>
              <w:insideH w:val="none"/>
              <w:insideV w:val="none"/>
            </w:tcBorders>
            <w:tcBorders>
              <w:top w:val="none"/>
              <w:left w:val="none"/>
              <w:bottom w:val="none"/>
              <w:right w:val="none"/>
              <w:insideH w:val="none"/>
              <w:insideV w:val="none"/>
            </w:tcBorders>
            <w:tcBorders>
              <w:top w:val="none"/>
              <w:left w:val="none"/>
              <w:bottom w:val="none"/>
              <w:right w:val="none"/>
              <w:insideH w:val="none"/>
              <w:insideV w:val="none"/>
            </w:tcBorders>
            <w:tcBorders>
              <w:top w:val="none"/>
              <w:left w:val="none"/>
              <w:bottom w:val="none"/>
              <w:right w:val="none"/>
              <w:insideH w:val="none"/>
              <w:insideV w:val="none"/>
            </w:tcBorders>
          </w:tcPr>
          <w:p>
            <w:pPr>
              <w:spacing w:before="0" w:after="0"/>
              <w:ind w:left="170"/>
            </w:pPr>
            <w:r>
              <w:rPr>
                <w:rFonts w:ascii="Arial" w:hAnsi="Arial"/>
                <w:b/>
                <w:color w:val="FFFFFF"/>
                <w:sz w:val="26"/>
              </w:rPr>
              <w:t>9. PUBLICAÇÃO EXTRAORDINÁRIA DA DECISÃO CONDENATÓRIA</w:t>
            </w:r>
          </w:p>
        </w:tc>
      </w:tr>
    </w:tbl>
    <w:p/>
    <w:p>
      <w:pPr>
        <w:spacing w:before="240" w:after="80"/>
        <w:pBdr>
          <w:bottom w:val="single" w:sz="6" w:space="1" w:color="64A70B"/>
        </w:pBdr>
      </w:pPr>
      <w:r>
        <w:rPr>
          <w:rFonts w:ascii="Arial" w:hAnsi="Arial"/>
          <w:b/>
          <w:color w:val="1D3A78"/>
          <w:sz w:val="23"/>
        </w:rPr>
        <w:t>9.1 Natureza Jurídica e Fundamento</w:t>
      </w:r>
    </w:p>
    <w:p>
      <w:pPr>
        <w:spacing w:before="0" w:after="80"/>
      </w:pPr>
      <w:r>
        <w:rPr>
          <w:rFonts w:ascii="Arial" w:hAnsi="Arial"/>
          <w:i w:val="0"/>
          <w:sz w:val="22"/>
        </w:rPr>
        <w:t>A publicação extraordinária da decisão condenatória é uma sanção autônoma prevista no art. 6º, inciso II, da Lei nº 12.846/2013, aplicada conjuntamente com a multa pecuniária. Não se trata de mera divulgação de ato processual — constitui penalidade independente, com caráter pedagógico e dissuasório, voltada a expor publicamente a conduta ilícita da pessoa jurídica e sua responsabilização formal pelo Estado.</w:t>
      </w:r>
    </w:p>
    <w:p>
      <w:pPr>
        <w:spacing w:before="80" w:after="80"/>
        <w:ind w:left="850" w:right="567"/>
      </w:pPr>
      <w:r>
        <w:rPr>
          <w:rFonts w:ascii="Arial" w:hAnsi="Arial"/>
          <w:i/>
          <w:color w:val="333366"/>
          <w:sz w:val="20"/>
        </w:rPr>
        <w:t>Art. 6º, II, Lei nº 12.846/2013. A publicação extraordinária da decisão condenatória ocorrerá na forma de extrato de sentença, a expensas da pessoa jurídica, em meios de comunicação de grande circulação na área da prática da infração e de atuação da pessoa jurídica ou, na sua falta, em publicação de circulação nacional, bem como por meio de afixação de edital no próprio estabelecimento ou no local de exercício da atividade, de modo visível ao público, e no sítio eletrônico na rede mundial de computadores, respeitando o prazo determinado nesta dosimetria.</w:t>
      </w:r>
    </w:p>
    <w:p>
      <w:pPr>
        <w:spacing w:before="80" w:after="80"/>
        <w:ind w:left="850" w:right="567"/>
      </w:pPr>
      <w:r>
        <w:rPr>
          <w:rFonts w:ascii="Arial" w:hAnsi="Arial"/>
          <w:i/>
          <w:color w:val="333366"/>
          <w:sz w:val="20"/>
        </w:rPr>
        <w:t>Art. 24, Decreto nº 11.129/2022. A publicação extraordinária da decisão condenatória observará o prazo fixado a partir da Alíquota de Referência apurada na dosimetria.</w:t>
      </w:r>
    </w:p>
    <w:p>
      <w:pPr>
        <w:spacing w:before="240" w:after="80"/>
        <w:pBdr>
          <w:bottom w:val="single" w:sz="6" w:space="1" w:color="64A70B"/>
        </w:pBdr>
      </w:pPr>
      <w:r>
        <w:rPr>
          <w:rFonts w:ascii="Arial" w:hAnsi="Arial"/>
          <w:b/>
          <w:color w:val="1D3A78"/>
          <w:sz w:val="23"/>
        </w:rPr>
        <w:t>9.2 Modalidades e Meios de Veiculação</w:t>
      </w:r>
    </w:p>
    <w:p>
      <w:pPr>
        <w:spacing w:before="0" w:after="80"/>
      </w:pPr>
      <w:r>
        <w:rPr>
          <w:rFonts w:ascii="Arial" w:hAnsi="Arial"/>
          <w:i w:val="0"/>
          <w:sz w:val="22"/>
        </w:rPr>
        <w:t>A publicação extraordinária deve ser realizada, cumulativamente, nas seguintes formas:</w:t>
      </w:r>
    </w:p>
    <w:tbl>
      <w:tblPr>
        <w:tblStyle w:val="TableGrid"/>
        <w:tblW w:type="auto" w:w="0"/>
        <w:jc w:val="left"/>
        <w:tblLook w:firstColumn="1" w:firstRow="1" w:lastColumn="0" w:lastRow="0" w:noHBand="0" w:noVBand="1" w:val="04A0"/>
      </w:tblPr>
      <w:tblGrid>
        <w:gridCol w:w="4702"/>
        <w:gridCol w:w="4702"/>
      </w:tblGrid>
      <w:tr>
        <w:tc>
          <w:tcPr>
            <w:tcW w:type="dxa" w:w="3118"/>
            <w:shd w:val="clear" w:color="auto" w:fill="00205B"/>
          </w:tcPr>
          <w:p>
            <w:pPr>
              <w:jc w:val="center"/>
            </w:pPr>
            <w:r>
              <w:rPr>
                <w:rFonts w:ascii="Arial" w:hAnsi="Arial"/>
                <w:b/>
                <w:color w:val="FFFFFF"/>
                <w:sz w:val="20"/>
              </w:rPr>
              <w:t>Modalidade</w:t>
            </w:r>
          </w:p>
        </w:tc>
        <w:tc>
          <w:tcPr>
            <w:tcW w:type="dxa" w:w="6236"/>
            <w:shd w:val="clear" w:color="auto" w:fill="00205B"/>
          </w:tcPr>
          <w:p>
            <w:pPr>
              <w:jc w:val="center"/>
            </w:pPr>
            <w:r>
              <w:rPr>
                <w:rFonts w:ascii="Arial" w:hAnsi="Arial"/>
                <w:b/>
                <w:color w:val="FFFFFF"/>
                <w:sz w:val="20"/>
              </w:rPr>
              <w:t>Descrição</w:t>
            </w:r>
          </w:p>
        </w:tc>
      </w:tr>
      <w:tr>
        <w:tc>
          <w:tcPr>
            <w:tcW w:type="dxa" w:w="3118"/>
            <w:shd w:val="clear" w:color="auto" w:fill="F2F2F2"/>
          </w:tcPr>
          <w:p>
            <w:pPr>
              <w:jc w:val="left"/>
            </w:pPr>
            <w:r>
              <w:rPr>
                <w:rFonts w:ascii="Arial" w:hAnsi="Arial"/>
                <w:sz w:val="20"/>
              </w:rPr>
              <w:t>Extrato de sentença em mídia</w:t>
            </w:r>
          </w:p>
        </w:tc>
        <w:tc>
          <w:tcPr>
            <w:tcW w:type="dxa" w:w="6236"/>
            <w:shd w:val="clear" w:color="auto" w:fill="F2F2F2"/>
          </w:tcPr>
          <w:p>
            <w:pPr>
              <w:jc w:val="center"/>
            </w:pPr>
            <w:r>
              <w:rPr>
                <w:rFonts w:ascii="Arial" w:hAnsi="Arial"/>
                <w:sz w:val="20"/>
              </w:rPr>
              <w:t>Meios de comunicação de grande circulação na área da prática da infração e de atuação da PJ. Na ausência, publicação de circulação nacional</w:t>
            </w:r>
          </w:p>
        </w:tc>
      </w:tr>
      <w:tr>
        <w:tc>
          <w:tcPr>
            <w:tcW w:type="dxa" w:w="3118"/>
            <w:shd w:val="clear" w:color="auto" w:fill="FFFFFF"/>
          </w:tcPr>
          <w:p>
            <w:pPr>
              <w:jc w:val="left"/>
            </w:pPr>
            <w:r>
              <w:rPr>
                <w:rFonts w:ascii="Arial" w:hAnsi="Arial"/>
                <w:sz w:val="20"/>
              </w:rPr>
              <w:t>Edital no estabelecimento</w:t>
            </w:r>
          </w:p>
        </w:tc>
        <w:tc>
          <w:tcPr>
            <w:tcW w:type="dxa" w:w="6236"/>
            <w:shd w:val="clear" w:color="auto" w:fill="FFFFFF"/>
          </w:tcPr>
          <w:p>
            <w:pPr>
              <w:jc w:val="center"/>
            </w:pPr>
            <w:r>
              <w:rPr>
                <w:rFonts w:ascii="Arial" w:hAnsi="Arial"/>
                <w:sz w:val="20"/>
              </w:rPr>
              <w:t>Afixação em local visível ao público no próprio estabelecimento ou no local de exercício da atividade</w:t>
            </w:r>
          </w:p>
        </w:tc>
      </w:tr>
      <w:tr>
        <w:tc>
          <w:tcPr>
            <w:tcW w:type="dxa" w:w="3118"/>
            <w:shd w:val="clear" w:color="auto" w:fill="F2F2F2"/>
          </w:tcPr>
          <w:p>
            <w:pPr>
              <w:jc w:val="left"/>
            </w:pPr>
            <w:r>
              <w:rPr>
                <w:rFonts w:ascii="Arial" w:hAnsi="Arial"/>
                <w:sz w:val="20"/>
              </w:rPr>
              <w:t>Sítio eletrônico</w:t>
            </w:r>
          </w:p>
        </w:tc>
        <w:tc>
          <w:tcPr>
            <w:tcW w:type="dxa" w:w="6236"/>
            <w:shd w:val="clear" w:color="auto" w:fill="F2F2F2"/>
          </w:tcPr>
          <w:p>
            <w:pPr>
              <w:jc w:val="center"/>
            </w:pPr>
            <w:r>
              <w:rPr>
                <w:rFonts w:ascii="Arial" w:hAnsi="Arial"/>
                <w:sz w:val="20"/>
              </w:rPr>
              <w:t>Publicação no site da PJ na rede mundial de computadores (internet)</w:t>
            </w:r>
          </w:p>
        </w:tc>
      </w:tr>
    </w:tbl>
    <w:p/>
    <w:p>
      <w:pPr>
        <w:spacing w:before="0" w:after="80"/>
      </w:pPr>
      <w:r>
        <w:rPr>
          <w:rFonts w:ascii="Arial" w:hAnsi="Arial"/>
          <w:i w:val="0"/>
          <w:sz w:val="22"/>
        </w:rPr>
        <w:t>Todos os custos de publicação correm por conta da pessoa jurídica condenada ("a expensas da PJ"), não gerando ônus ao erário.</w:t>
      </w:r>
    </w:p>
    <w:p>
      <w:pPr>
        <w:spacing w:before="240" w:after="80"/>
        <w:pBdr>
          <w:bottom w:val="single" w:sz="6" w:space="1" w:color="64A70B"/>
        </w:pBdr>
      </w:pPr>
      <w:r>
        <w:rPr>
          <w:rFonts w:ascii="Arial" w:hAnsi="Arial"/>
          <w:b/>
          <w:color w:val="1D3A78"/>
          <w:sz w:val="23"/>
        </w:rPr>
        <w:t>9.3 A Alíquota de Referência</w:t>
      </w:r>
    </w:p>
    <w:p>
      <w:pPr>
        <w:spacing w:before="0" w:after="80"/>
      </w:pPr>
      <w:r>
        <w:rPr>
          <w:rFonts w:ascii="Arial" w:hAnsi="Arial"/>
          <w:i w:val="0"/>
          <w:sz w:val="22"/>
        </w:rPr>
        <w:t>O prazo da publicação extraordinária é dosimetrado a partir de uma grandeza denominada Alíquota de Referência, que traduz em percentual do faturamento bruto o peso efetivo da sanção aplicada. Sua apuração segue dois cenários distintos, conforme o mecanismo que determinou o valor final da multa:</w:t>
      </w:r>
    </w:p>
    <w:p>
      <w:pPr>
        <w:spacing w:before="160" w:after="40"/>
      </w:pPr>
      <w:r>
        <w:rPr>
          <w:rFonts w:ascii="Arial" w:hAnsi="Arial"/>
          <w:b/>
          <w:color w:val="1D3A78"/>
          <w:sz w:val="22"/>
        </w:rPr>
        <w:t>Cenário A — Regra Geral</w:t>
      </w:r>
    </w:p>
    <w:p>
      <w:pPr>
        <w:spacing w:before="0" w:after="80"/>
      </w:pPr>
      <w:r>
        <w:rPr>
          <w:rFonts w:ascii="Arial" w:hAnsi="Arial"/>
          <w:i w:val="0"/>
          <w:sz w:val="22"/>
        </w:rPr>
        <w:t>Aplica-se quando a multa final decorreu diretamente da aplicação da alíquota preliminar resultante da dosimetria dos arts. 22 e 23, sem interferência dos limites do art. 25 (piso, teto ou vantagem auferida). Nesse caso, a Alíquota de Referência é a própria alíquota preliminar da dosimetria.</w:t>
      </w:r>
    </w:p>
    <w:p>
      <w:pPr>
        <w:spacing w:before="80" w:after="80"/>
        <w:ind w:left="850" w:right="567"/>
      </w:pPr>
      <w:r>
        <w:rPr>
          <w:rFonts w:ascii="Arial" w:hAnsi="Arial"/>
          <w:i/>
          <w:color w:val="333366"/>
          <w:sz w:val="20"/>
        </w:rPr>
        <w:t>Alíquota de Referência  =  Índice de Dosimetria  =  Σ Agravantes − Σ Atenuantes</w:t>
      </w:r>
    </w:p>
    <w:p>
      <w:pPr>
        <w:spacing w:before="160" w:after="40"/>
      </w:pPr>
      <w:r>
        <w:rPr>
          <w:rFonts w:ascii="Arial" w:hAnsi="Arial"/>
          <w:b/>
          <w:color w:val="1D3A78"/>
          <w:sz w:val="22"/>
        </w:rPr>
        <w:t>Cenário B — Regra de Exceção (Limites Legais)</w:t>
      </w:r>
    </w:p>
    <w:p>
      <w:pPr>
        <w:spacing w:before="0" w:after="80"/>
      </w:pPr>
      <w:r>
        <w:rPr>
          <w:rFonts w:ascii="Arial" w:hAnsi="Arial"/>
          <w:i w:val="0"/>
          <w:sz w:val="22"/>
        </w:rPr>
        <w:t>Aplica-se quando o valor final da multa foi alterado pelos limites legais — seja porque a dosimetria resultou em índice negativo ou zero (art. 25, §2º), seja porque incidiu o piso da vantagem auferida (art. 25, I) ou o teto da maior vantagem (art. 25, II). Como a alíquota preliminar não corresponde ao valor efetivamente aplicado, ela é substituída pela alíquota recalculada:</w:t>
      </w:r>
    </w:p>
    <w:p>
      <w:pPr>
        <w:spacing w:before="80" w:after="80"/>
        <w:ind w:left="850" w:right="567"/>
      </w:pPr>
      <w:r>
        <w:rPr>
          <w:rFonts w:ascii="Arial" w:hAnsi="Arial"/>
          <w:i/>
          <w:color w:val="333366"/>
          <w:sz w:val="20"/>
        </w:rPr>
        <w:t>Alíquota de Referência  =  (Valor Final da Multa  ÷  Faturamento Bruto)  ×  100</w:t>
      </w:r>
    </w:p>
    <w:tbl>
      <w:tblPr>
        <w:tblStyle w:val="TableGrid"/>
        <w:tblW w:type="auto" w:w="0"/>
        <w:tblLook w:firstColumn="1" w:firstRow="1" w:lastColumn="0" w:lastRow="0" w:noHBand="0" w:noVBand="1" w:val="04A0"/>
      </w:tblPr>
      <w:tblGrid>
        <w:gridCol w:w="9405"/>
      </w:tblGrid>
      <w:tr>
        <w:tc>
          <w:tcPr>
            <w:tcW w:type="dxa" w:w="9405"/>
            <w:shd w:val="clear" w:color="auto" w:fill="F2F2F2"/>
            <w:tcBorders>
              <w:bottom w:val="single" w:sz="6" w:space="0" w:color="64A70B"/>
            </w:tcBorders>
          </w:tcPr>
          <w:p>
            <w:r>
              <w:rPr>
                <w:rFonts w:ascii="Arial" w:hAnsi="Arial"/>
                <w:color w:val="444400"/>
                <w:sz w:val="20"/>
              </w:rPr>
              <w:t>⚠  O sistema identifica automaticamente o cenário aplicável (A ou B) a partir dos dados inseridos nas etapas anteriores. A identificação e o cálculo são transparentes e constam do relatório gerado.</w:t>
            </w:r>
          </w:p>
        </w:tc>
      </w:tr>
    </w:tbl>
    <w:p/>
    <w:p>
      <w:pPr>
        <w:spacing w:before="240" w:after="80"/>
        <w:pBdr>
          <w:bottom w:val="single" w:sz="6" w:space="1" w:color="64A70B"/>
        </w:pBdr>
      </w:pPr>
      <w:r>
        <w:rPr>
          <w:rFonts w:ascii="Arial" w:hAnsi="Arial"/>
          <w:b/>
          <w:color w:val="1D3A78"/>
          <w:sz w:val="23"/>
        </w:rPr>
        <w:t>9.4 Tabela de Escalonamento do Prazo</w:t>
      </w:r>
    </w:p>
    <w:p>
      <w:pPr>
        <w:spacing w:before="0" w:after="80"/>
      </w:pPr>
      <w:r>
        <w:rPr>
          <w:rFonts w:ascii="Arial" w:hAnsi="Arial"/>
          <w:i w:val="0"/>
          <w:sz w:val="22"/>
        </w:rPr>
        <w:t>A partir da Alíquota de Referência apurada, o prazo da publicação extraordinária é determinado pela seguinte tabela de escalonamento, conforme art. 24 do Decreto nº 11.129/2022:</w:t>
      </w:r>
    </w:p>
    <w:tbl>
      <w:tblPr>
        <w:tblStyle w:val="TableGrid"/>
        <w:tblW w:type="auto" w:w="0"/>
        <w:jc w:val="left"/>
        <w:tblLook w:firstColumn="1" w:firstRow="1" w:lastColumn="0" w:lastRow="0" w:noHBand="0" w:noVBand="1" w:val="04A0"/>
      </w:tblPr>
      <w:tblGrid>
        <w:gridCol w:w="3135"/>
        <w:gridCol w:w="3135"/>
        <w:gridCol w:w="3135"/>
      </w:tblGrid>
      <w:tr>
        <w:tc>
          <w:tcPr>
            <w:tcW w:type="dxa" w:w="3402"/>
            <w:shd w:val="clear" w:color="auto" w:fill="00205B"/>
          </w:tcPr>
          <w:p>
            <w:pPr>
              <w:jc w:val="center"/>
            </w:pPr>
            <w:r>
              <w:rPr>
                <w:rFonts w:ascii="Arial" w:hAnsi="Arial"/>
                <w:b/>
                <w:color w:val="FFFFFF"/>
                <w:sz w:val="20"/>
              </w:rPr>
              <w:t>Alíquota de Referência</w:t>
            </w:r>
          </w:p>
        </w:tc>
        <w:tc>
          <w:tcPr>
            <w:tcW w:type="dxa" w:w="2551"/>
            <w:shd w:val="clear" w:color="auto" w:fill="00205B"/>
          </w:tcPr>
          <w:p>
            <w:pPr>
              <w:jc w:val="center"/>
            </w:pPr>
            <w:r>
              <w:rPr>
                <w:rFonts w:ascii="Arial" w:hAnsi="Arial"/>
                <w:b/>
                <w:color w:val="FFFFFF"/>
                <w:sz w:val="20"/>
              </w:rPr>
              <w:t>Prazo (dias corridos)</w:t>
            </w:r>
          </w:p>
        </w:tc>
        <w:tc>
          <w:tcPr>
            <w:tcW w:type="dxa" w:w="3402"/>
            <w:shd w:val="clear" w:color="auto" w:fill="00205B"/>
          </w:tcPr>
          <w:p>
            <w:pPr>
              <w:jc w:val="center"/>
            </w:pPr>
            <w:r>
              <w:rPr>
                <w:rFonts w:ascii="Arial" w:hAnsi="Arial"/>
                <w:b/>
                <w:color w:val="FFFFFF"/>
                <w:sz w:val="20"/>
              </w:rPr>
              <w:t>Prazo por extenso</w:t>
            </w:r>
          </w:p>
        </w:tc>
      </w:tr>
      <w:tr>
        <w:tc>
          <w:tcPr>
            <w:tcW w:type="dxa" w:w="3402"/>
            <w:shd w:val="clear" w:color="auto" w:fill="F2F2F2"/>
          </w:tcPr>
          <w:p>
            <w:pPr>
              <w:jc w:val="left"/>
            </w:pPr>
            <w:r>
              <w:rPr>
                <w:rFonts w:ascii="Arial" w:hAnsi="Arial"/>
                <w:sz w:val="20"/>
              </w:rPr>
              <w:t>Até 2,5%</w:t>
            </w:r>
          </w:p>
        </w:tc>
        <w:tc>
          <w:tcPr>
            <w:tcW w:type="dxa" w:w="2551"/>
            <w:shd w:val="clear" w:color="auto" w:fill="F2F2F2"/>
          </w:tcPr>
          <w:p>
            <w:pPr>
              <w:jc w:val="center"/>
            </w:pPr>
            <w:r>
              <w:rPr>
                <w:rFonts w:ascii="Arial" w:hAnsi="Arial"/>
                <w:sz w:val="20"/>
              </w:rPr>
              <w:t>30</w:t>
            </w:r>
          </w:p>
        </w:tc>
        <w:tc>
          <w:tcPr>
            <w:tcW w:type="dxa" w:w="3402"/>
            <w:shd w:val="clear" w:color="auto" w:fill="F2F2F2"/>
          </w:tcPr>
          <w:p>
            <w:pPr>
              <w:jc w:val="center"/>
            </w:pPr>
            <w:r>
              <w:rPr>
                <w:rFonts w:ascii="Arial" w:hAnsi="Arial"/>
                <w:sz w:val="20"/>
              </w:rPr>
              <w:t>trinta dias</w:t>
            </w:r>
          </w:p>
        </w:tc>
      </w:tr>
      <w:tr>
        <w:tc>
          <w:tcPr>
            <w:tcW w:type="dxa" w:w="3402"/>
            <w:shd w:val="clear" w:color="auto" w:fill="FFFFFF"/>
          </w:tcPr>
          <w:p>
            <w:pPr>
              <w:jc w:val="left"/>
            </w:pPr>
            <w:r>
              <w:rPr>
                <w:rFonts w:ascii="Arial" w:hAnsi="Arial"/>
                <w:sz w:val="20"/>
              </w:rPr>
              <w:t>Maior que 2,5% até 5,0%</w:t>
            </w:r>
          </w:p>
        </w:tc>
        <w:tc>
          <w:tcPr>
            <w:tcW w:type="dxa" w:w="2551"/>
            <w:shd w:val="clear" w:color="auto" w:fill="FFFFFF"/>
          </w:tcPr>
          <w:p>
            <w:pPr>
              <w:jc w:val="center"/>
            </w:pPr>
            <w:r>
              <w:rPr>
                <w:rFonts w:ascii="Arial" w:hAnsi="Arial"/>
                <w:sz w:val="20"/>
              </w:rPr>
              <w:t>45</w:t>
            </w:r>
          </w:p>
        </w:tc>
        <w:tc>
          <w:tcPr>
            <w:tcW w:type="dxa" w:w="3402"/>
            <w:shd w:val="clear" w:color="auto" w:fill="FFFFFF"/>
          </w:tcPr>
          <w:p>
            <w:pPr>
              <w:jc w:val="center"/>
            </w:pPr>
            <w:r>
              <w:rPr>
                <w:rFonts w:ascii="Arial" w:hAnsi="Arial"/>
                <w:sz w:val="20"/>
              </w:rPr>
              <w:t>quarenta e cinco dias</w:t>
            </w:r>
          </w:p>
        </w:tc>
      </w:tr>
      <w:tr>
        <w:tc>
          <w:tcPr>
            <w:tcW w:type="dxa" w:w="3402"/>
            <w:shd w:val="clear" w:color="auto" w:fill="F2F2F2"/>
          </w:tcPr>
          <w:p>
            <w:pPr>
              <w:jc w:val="left"/>
            </w:pPr>
            <w:r>
              <w:rPr>
                <w:rFonts w:ascii="Arial" w:hAnsi="Arial"/>
                <w:sz w:val="20"/>
              </w:rPr>
              <w:t>Maior que 5,0% até 7,5%</w:t>
            </w:r>
          </w:p>
        </w:tc>
        <w:tc>
          <w:tcPr>
            <w:tcW w:type="dxa" w:w="2551"/>
            <w:shd w:val="clear" w:color="auto" w:fill="F2F2F2"/>
          </w:tcPr>
          <w:p>
            <w:pPr>
              <w:jc w:val="center"/>
            </w:pPr>
            <w:r>
              <w:rPr>
                <w:rFonts w:ascii="Arial" w:hAnsi="Arial"/>
                <w:sz w:val="20"/>
              </w:rPr>
              <w:t>60</w:t>
            </w:r>
          </w:p>
        </w:tc>
        <w:tc>
          <w:tcPr>
            <w:tcW w:type="dxa" w:w="3402"/>
            <w:shd w:val="clear" w:color="auto" w:fill="F2F2F2"/>
          </w:tcPr>
          <w:p>
            <w:pPr>
              <w:jc w:val="center"/>
            </w:pPr>
            <w:r>
              <w:rPr>
                <w:rFonts w:ascii="Arial" w:hAnsi="Arial"/>
                <w:sz w:val="20"/>
              </w:rPr>
              <w:t>sessenta dias</w:t>
            </w:r>
          </w:p>
        </w:tc>
      </w:tr>
      <w:tr>
        <w:tc>
          <w:tcPr>
            <w:tcW w:type="dxa" w:w="3402"/>
            <w:shd w:val="clear" w:color="auto" w:fill="FFFFFF"/>
          </w:tcPr>
          <w:p>
            <w:pPr>
              <w:jc w:val="left"/>
            </w:pPr>
            <w:r>
              <w:rPr>
                <w:rFonts w:ascii="Arial" w:hAnsi="Arial"/>
                <w:sz w:val="20"/>
              </w:rPr>
              <w:t>Maior que 7,5% até 10,0%</w:t>
            </w:r>
          </w:p>
        </w:tc>
        <w:tc>
          <w:tcPr>
            <w:tcW w:type="dxa" w:w="2551"/>
            <w:shd w:val="clear" w:color="auto" w:fill="FFFFFF"/>
          </w:tcPr>
          <w:p>
            <w:pPr>
              <w:jc w:val="center"/>
            </w:pPr>
            <w:r>
              <w:rPr>
                <w:rFonts w:ascii="Arial" w:hAnsi="Arial"/>
                <w:sz w:val="20"/>
              </w:rPr>
              <w:t>75</w:t>
            </w:r>
          </w:p>
        </w:tc>
        <w:tc>
          <w:tcPr>
            <w:tcW w:type="dxa" w:w="3402"/>
            <w:shd w:val="clear" w:color="auto" w:fill="FFFFFF"/>
          </w:tcPr>
          <w:p>
            <w:pPr>
              <w:jc w:val="center"/>
            </w:pPr>
            <w:r>
              <w:rPr>
                <w:rFonts w:ascii="Arial" w:hAnsi="Arial"/>
                <w:sz w:val="20"/>
              </w:rPr>
              <w:t>setenta e cinco dias</w:t>
            </w:r>
          </w:p>
        </w:tc>
      </w:tr>
      <w:tr>
        <w:tc>
          <w:tcPr>
            <w:tcW w:type="dxa" w:w="3402"/>
            <w:shd w:val="clear" w:color="auto" w:fill="F2F2F2"/>
          </w:tcPr>
          <w:p>
            <w:pPr>
              <w:jc w:val="left"/>
            </w:pPr>
            <w:r>
              <w:rPr>
                <w:rFonts w:ascii="Arial" w:hAnsi="Arial"/>
                <w:sz w:val="20"/>
              </w:rPr>
              <w:t>Maior que 10,0% até 12,5%</w:t>
            </w:r>
          </w:p>
        </w:tc>
        <w:tc>
          <w:tcPr>
            <w:tcW w:type="dxa" w:w="2551"/>
            <w:shd w:val="clear" w:color="auto" w:fill="F2F2F2"/>
          </w:tcPr>
          <w:p>
            <w:pPr>
              <w:jc w:val="center"/>
            </w:pPr>
            <w:r>
              <w:rPr>
                <w:rFonts w:ascii="Arial" w:hAnsi="Arial"/>
                <w:sz w:val="20"/>
              </w:rPr>
              <w:t>90</w:t>
            </w:r>
          </w:p>
        </w:tc>
        <w:tc>
          <w:tcPr>
            <w:tcW w:type="dxa" w:w="3402"/>
            <w:shd w:val="clear" w:color="auto" w:fill="F2F2F2"/>
          </w:tcPr>
          <w:p>
            <w:pPr>
              <w:jc w:val="center"/>
            </w:pPr>
            <w:r>
              <w:rPr>
                <w:rFonts w:ascii="Arial" w:hAnsi="Arial"/>
                <w:sz w:val="20"/>
              </w:rPr>
              <w:t>noventa dias</w:t>
            </w:r>
          </w:p>
        </w:tc>
      </w:tr>
      <w:tr>
        <w:tc>
          <w:tcPr>
            <w:tcW w:type="dxa" w:w="3402"/>
            <w:shd w:val="clear" w:color="auto" w:fill="FFFFFF"/>
          </w:tcPr>
          <w:p>
            <w:pPr>
              <w:jc w:val="left"/>
            </w:pPr>
            <w:r>
              <w:rPr>
                <w:rFonts w:ascii="Arial" w:hAnsi="Arial"/>
                <w:sz w:val="20"/>
              </w:rPr>
              <w:t>Maior que 12,5% até 15,0%</w:t>
            </w:r>
          </w:p>
        </w:tc>
        <w:tc>
          <w:tcPr>
            <w:tcW w:type="dxa" w:w="2551"/>
            <w:shd w:val="clear" w:color="auto" w:fill="FFFFFF"/>
          </w:tcPr>
          <w:p>
            <w:pPr>
              <w:jc w:val="center"/>
            </w:pPr>
            <w:r>
              <w:rPr>
                <w:rFonts w:ascii="Arial" w:hAnsi="Arial"/>
                <w:sz w:val="20"/>
              </w:rPr>
              <w:t>105</w:t>
            </w:r>
          </w:p>
        </w:tc>
        <w:tc>
          <w:tcPr>
            <w:tcW w:type="dxa" w:w="3402"/>
            <w:shd w:val="clear" w:color="auto" w:fill="FFFFFF"/>
          </w:tcPr>
          <w:p>
            <w:pPr>
              <w:jc w:val="center"/>
            </w:pPr>
            <w:r>
              <w:rPr>
                <w:rFonts w:ascii="Arial" w:hAnsi="Arial"/>
                <w:sz w:val="20"/>
              </w:rPr>
              <w:t>cento e cinco dias</w:t>
            </w:r>
          </w:p>
        </w:tc>
      </w:tr>
      <w:tr>
        <w:tc>
          <w:tcPr>
            <w:tcW w:type="dxa" w:w="3402"/>
            <w:shd w:val="clear" w:color="auto" w:fill="F2F2F2"/>
          </w:tcPr>
          <w:p>
            <w:pPr>
              <w:jc w:val="left"/>
            </w:pPr>
            <w:r>
              <w:rPr>
                <w:rFonts w:ascii="Arial" w:hAnsi="Arial"/>
                <w:sz w:val="20"/>
              </w:rPr>
              <w:t>Maior que 15,0% até 17,5%</w:t>
            </w:r>
          </w:p>
        </w:tc>
        <w:tc>
          <w:tcPr>
            <w:tcW w:type="dxa" w:w="2551"/>
            <w:shd w:val="clear" w:color="auto" w:fill="F2F2F2"/>
          </w:tcPr>
          <w:p>
            <w:pPr>
              <w:jc w:val="center"/>
            </w:pPr>
            <w:r>
              <w:rPr>
                <w:rFonts w:ascii="Arial" w:hAnsi="Arial"/>
                <w:sz w:val="20"/>
              </w:rPr>
              <w:t>120</w:t>
            </w:r>
          </w:p>
        </w:tc>
        <w:tc>
          <w:tcPr>
            <w:tcW w:type="dxa" w:w="3402"/>
            <w:shd w:val="clear" w:color="auto" w:fill="F2F2F2"/>
          </w:tcPr>
          <w:p>
            <w:pPr>
              <w:jc w:val="center"/>
            </w:pPr>
            <w:r>
              <w:rPr>
                <w:rFonts w:ascii="Arial" w:hAnsi="Arial"/>
                <w:sz w:val="20"/>
              </w:rPr>
              <w:t>cento e vinte dias</w:t>
            </w:r>
          </w:p>
        </w:tc>
      </w:tr>
      <w:tr>
        <w:tc>
          <w:tcPr>
            <w:tcW w:type="dxa" w:w="3402"/>
            <w:shd w:val="clear" w:color="auto" w:fill="FFFFFF"/>
          </w:tcPr>
          <w:p>
            <w:pPr>
              <w:jc w:val="left"/>
            </w:pPr>
            <w:r>
              <w:rPr>
                <w:rFonts w:ascii="Arial" w:hAnsi="Arial"/>
                <w:sz w:val="20"/>
              </w:rPr>
              <w:t>Maior que 17,5%</w:t>
            </w:r>
          </w:p>
        </w:tc>
        <w:tc>
          <w:tcPr>
            <w:tcW w:type="dxa" w:w="2551"/>
            <w:shd w:val="clear" w:color="auto" w:fill="FFFFFF"/>
          </w:tcPr>
          <w:p>
            <w:pPr>
              <w:jc w:val="center"/>
            </w:pPr>
            <w:r>
              <w:rPr>
                <w:rFonts w:ascii="Arial" w:hAnsi="Arial"/>
                <w:sz w:val="20"/>
              </w:rPr>
              <w:t>135</w:t>
            </w:r>
          </w:p>
        </w:tc>
        <w:tc>
          <w:tcPr>
            <w:tcW w:type="dxa" w:w="3402"/>
            <w:shd w:val="clear" w:color="auto" w:fill="FFFFFF"/>
          </w:tcPr>
          <w:p>
            <w:pPr>
              <w:jc w:val="center"/>
            </w:pPr>
            <w:r>
              <w:rPr>
                <w:rFonts w:ascii="Arial" w:hAnsi="Arial"/>
                <w:sz w:val="20"/>
              </w:rPr>
              <w:t>cento e trinta e cinco dias</w:t>
            </w:r>
          </w:p>
        </w:tc>
      </w:tr>
    </w:tbl>
    <w:p/>
    <w:p>
      <w:pPr>
        <w:spacing w:before="0" w:after="80"/>
      </w:pPr>
      <w:r>
        <w:rPr>
          <w:rFonts w:ascii="Arial" w:hAnsi="Arial"/>
          <w:i w:val="0"/>
          <w:sz w:val="22"/>
        </w:rPr>
        <w:t>O prazo é contado em dias corridos a partir da publicação da decisão condenatória no órgão oficial correspondente.</w:t>
      </w:r>
    </w:p>
    <w:p>
      <w:pPr>
        <w:spacing w:before="240" w:after="80"/>
        <w:pBdr>
          <w:bottom w:val="single" w:sz="6" w:space="1" w:color="64A70B"/>
        </w:pBdr>
      </w:pPr>
      <w:r>
        <w:rPr>
          <w:rFonts w:ascii="Arial" w:hAnsi="Arial"/>
          <w:b/>
          <w:color w:val="1D3A78"/>
          <w:sz w:val="23"/>
        </w:rPr>
        <w:t>9.5 Casos Especiais na Apuração da Alíquota de Referência</w:t>
      </w:r>
    </w:p>
    <w:p>
      <w:pPr>
        <w:spacing w:before="160" w:after="40"/>
      </w:pPr>
      <w:r>
        <w:rPr>
          <w:rFonts w:ascii="Arial" w:hAnsi="Arial"/>
          <w:b/>
          <w:color w:val="1D3A78"/>
          <w:sz w:val="22"/>
        </w:rPr>
        <w:t>Faturamento igual a zero ou não estimável</w:t>
      </w:r>
    </w:p>
    <w:p>
      <w:pPr>
        <w:spacing w:before="0" w:after="80"/>
      </w:pPr>
      <w:r>
        <w:rPr>
          <w:rFonts w:ascii="Arial" w:hAnsi="Arial"/>
          <w:i w:val="0"/>
          <w:sz w:val="22"/>
        </w:rPr>
        <w:t>Quando a base de cálculo (faturamento bruto) for igual a zero ou não puder ser estimada, o Cenário B não pode ser aplicado pela impossibilidade aritmética da divisão. Nessa hipótese, adota-se como Alíquota de Referência o índice da dosimetria preliminar:</w:t>
      </w:r>
    </w:p>
    <w:p>
      <w:pPr>
        <w:spacing w:before="80" w:after="80"/>
        <w:ind w:left="850" w:right="567"/>
      </w:pPr>
      <w:r>
        <w:rPr>
          <w:rFonts w:ascii="Arial" w:hAnsi="Arial"/>
          <w:i/>
          <w:color w:val="333366"/>
          <w:sz w:val="20"/>
        </w:rPr>
        <w:t>Alíquota de Referência  =  max(Índice de Dosimetria, 0)  ×  100</w:t>
      </w:r>
    </w:p>
    <w:p>
      <w:pPr>
        <w:spacing w:before="160" w:after="40"/>
      </w:pPr>
      <w:r>
        <w:rPr>
          <w:rFonts w:ascii="Arial" w:hAnsi="Arial"/>
          <w:b/>
          <w:color w:val="1D3A78"/>
          <w:sz w:val="22"/>
        </w:rPr>
        <w:t>Índice de Dosimetria negativo ou zero (art. 25, §2º)</w:t>
      </w:r>
    </w:p>
    <w:p>
      <w:pPr>
        <w:spacing w:before="0" w:after="80"/>
      </w:pPr>
      <w:r>
        <w:rPr>
          <w:rFonts w:ascii="Arial" w:hAnsi="Arial"/>
          <w:i w:val="0"/>
          <w:sz w:val="22"/>
        </w:rPr>
        <w:t>Quando a dosimetria resultar em índice negativo ou zero, a multa é fixada no piso mínimo (vantagem auferida). Nessa situação, o Cenário B se aplica necessariamente, pois o valor final da multa difere da aplicação direta da alíquota preliminar. A Alíquota de Referência passa a ser calculada como o quociente entre o valor da vantagem auferida e o faturamento bruto.</w:t>
      </w:r>
    </w:p>
    <w:p>
      <w:pPr>
        <w:spacing w:before="160" w:after="40"/>
      </w:pPr>
      <w:r>
        <w:rPr>
          <w:rFonts w:ascii="Arial" w:hAnsi="Arial"/>
          <w:b/>
          <w:color w:val="1D3A78"/>
          <w:sz w:val="22"/>
        </w:rPr>
        <w:t>Vantagem auferida superior à multa bruta (piso)</w:t>
      </w:r>
    </w:p>
    <w:p>
      <w:pPr>
        <w:spacing w:before="0" w:after="80"/>
      </w:pPr>
      <w:r>
        <w:rPr>
          <w:rFonts w:ascii="Arial" w:hAnsi="Arial"/>
          <w:i w:val="0"/>
          <w:sz w:val="22"/>
        </w:rPr>
        <w:t>Quando a vantagem auferida supera a multa bruta calculada pela dosimetria, a multa é elevada ao valor da vantagem auferida (piso legal, art. 25, I). O Cenário B é aplicado, e a Alíquota de Referência é recalculada pelo valor efetivamente aplicado.</w:t>
      </w:r>
    </w:p>
    <w:p>
      <w:pPr>
        <w:spacing w:before="160" w:after="40"/>
      </w:pPr>
      <w:r>
        <w:rPr>
          <w:rFonts w:ascii="Arial" w:hAnsi="Arial"/>
          <w:b/>
          <w:color w:val="1D3A78"/>
          <w:sz w:val="22"/>
        </w:rPr>
        <w:t>Teto da maior vantagem (art. 25, II)</w:t>
      </w:r>
    </w:p>
    <w:p>
      <w:pPr>
        <w:spacing w:before="0" w:after="80"/>
      </w:pPr>
      <w:r>
        <w:rPr>
          <w:rFonts w:ascii="Arial" w:hAnsi="Arial"/>
          <w:i w:val="0"/>
          <w:sz w:val="22"/>
        </w:rPr>
        <w:t>Quando a multa bruta excede o maior valor entre a vantagem auferida e a pretendida, ela é reduzida a esse teto. O Cenário B é aplicado, e a Alíquota de Referência reflete o valor do teto aplicado.</w:t>
      </w:r>
    </w:p>
    <w:p>
      <w:pPr>
        <w:spacing w:before="240" w:after="80"/>
        <w:pBdr>
          <w:bottom w:val="single" w:sz="6" w:space="1" w:color="64A70B"/>
        </w:pBdr>
      </w:pPr>
      <w:r>
        <w:rPr>
          <w:rFonts w:ascii="Arial" w:hAnsi="Arial"/>
          <w:b/>
          <w:color w:val="1D3A78"/>
          <w:sz w:val="23"/>
        </w:rPr>
        <w:t>9.6 Redação da Decisão — Elementos Obrigatórios</w:t>
      </w:r>
    </w:p>
    <w:p>
      <w:pPr>
        <w:spacing w:before="0" w:after="80"/>
      </w:pPr>
      <w:r>
        <w:rPr>
          <w:rFonts w:ascii="Arial" w:hAnsi="Arial"/>
          <w:i w:val="0"/>
          <w:sz w:val="22"/>
        </w:rPr>
        <w:t>A seção de publicação extraordinária na peça processual deve conter, no mínimo:</w:t>
      </w:r>
    </w:p>
    <w:tbl>
      <w:tblPr>
        <w:tblStyle w:val="TableGrid"/>
        <w:tblW w:type="auto" w:w="0"/>
        <w:jc w:val="left"/>
        <w:tblLook w:firstColumn="1" w:firstRow="1" w:lastColumn="0" w:lastRow="0" w:noHBand="0" w:noVBand="1" w:val="04A0"/>
      </w:tblPr>
      <w:tblGrid>
        <w:gridCol w:w="4702"/>
        <w:gridCol w:w="4702"/>
      </w:tblGrid>
      <w:tr>
        <w:tc>
          <w:tcPr>
            <w:tcW w:type="dxa" w:w="2835"/>
            <w:shd w:val="clear" w:color="auto" w:fill="00205B"/>
          </w:tcPr>
          <w:p>
            <w:pPr>
              <w:jc w:val="center"/>
            </w:pPr>
            <w:r>
              <w:rPr>
                <w:rFonts w:ascii="Arial" w:hAnsi="Arial"/>
                <w:b/>
                <w:color w:val="FFFFFF"/>
                <w:sz w:val="20"/>
              </w:rPr>
              <w:t>Elemento</w:t>
            </w:r>
          </w:p>
        </w:tc>
        <w:tc>
          <w:tcPr>
            <w:tcW w:type="dxa" w:w="6803"/>
            <w:shd w:val="clear" w:color="auto" w:fill="00205B"/>
          </w:tcPr>
          <w:p>
            <w:pPr>
              <w:jc w:val="center"/>
            </w:pPr>
            <w:r>
              <w:rPr>
                <w:rFonts w:ascii="Arial" w:hAnsi="Arial"/>
                <w:b/>
                <w:color w:val="FFFFFF"/>
                <w:sz w:val="20"/>
              </w:rPr>
              <w:t>Conteúdo exigido</w:t>
            </w:r>
          </w:p>
        </w:tc>
      </w:tr>
      <w:tr>
        <w:tc>
          <w:tcPr>
            <w:tcW w:type="dxa" w:w="2835"/>
            <w:shd w:val="clear" w:color="auto" w:fill="F2F2F2"/>
          </w:tcPr>
          <w:p>
            <w:pPr>
              <w:jc w:val="left"/>
            </w:pPr>
            <w:r>
              <w:rPr>
                <w:rFonts w:ascii="Arial" w:hAnsi="Arial"/>
                <w:sz w:val="20"/>
              </w:rPr>
              <w:t>Fundamento legal</w:t>
            </w:r>
          </w:p>
        </w:tc>
        <w:tc>
          <w:tcPr>
            <w:tcW w:type="dxa" w:w="6803"/>
            <w:shd w:val="clear" w:color="auto" w:fill="F2F2F2"/>
          </w:tcPr>
          <w:p>
            <w:pPr>
              <w:jc w:val="center"/>
            </w:pPr>
            <w:r>
              <w:rPr>
                <w:rFonts w:ascii="Arial" w:hAnsi="Arial"/>
                <w:sz w:val="20"/>
              </w:rPr>
              <w:t>Art. 6º, II, da Lei nº 12.846/2013 c/c art. 24 do Decreto nº 11.129/2022</w:t>
            </w:r>
          </w:p>
        </w:tc>
      </w:tr>
      <w:tr>
        <w:tc>
          <w:tcPr>
            <w:tcW w:type="dxa" w:w="2835"/>
            <w:shd w:val="clear" w:color="auto" w:fill="FFFFFF"/>
          </w:tcPr>
          <w:p>
            <w:pPr>
              <w:jc w:val="left"/>
            </w:pPr>
            <w:r>
              <w:rPr>
                <w:rFonts w:ascii="Arial" w:hAnsi="Arial"/>
                <w:sz w:val="20"/>
              </w:rPr>
              <w:t>Cenário adotado</w:t>
            </w:r>
          </w:p>
        </w:tc>
        <w:tc>
          <w:tcPr>
            <w:tcW w:type="dxa" w:w="6803"/>
            <w:shd w:val="clear" w:color="auto" w:fill="FFFFFF"/>
          </w:tcPr>
          <w:p>
            <w:pPr>
              <w:jc w:val="center"/>
            </w:pPr>
            <w:r>
              <w:rPr>
                <w:rFonts w:ascii="Arial" w:hAnsi="Arial"/>
                <w:sz w:val="20"/>
              </w:rPr>
              <w:t>A (regra geral) ou B (regra de exceção), com memória de cálculo</w:t>
            </w:r>
          </w:p>
        </w:tc>
      </w:tr>
      <w:tr>
        <w:tc>
          <w:tcPr>
            <w:tcW w:type="dxa" w:w="2835"/>
            <w:shd w:val="clear" w:color="auto" w:fill="F2F2F2"/>
          </w:tcPr>
          <w:p>
            <w:pPr>
              <w:jc w:val="left"/>
            </w:pPr>
            <w:r>
              <w:rPr>
                <w:rFonts w:ascii="Arial" w:hAnsi="Arial"/>
                <w:sz w:val="20"/>
              </w:rPr>
              <w:t>Alíquota de Referência</w:t>
            </w:r>
          </w:p>
        </w:tc>
        <w:tc>
          <w:tcPr>
            <w:tcW w:type="dxa" w:w="6803"/>
            <w:shd w:val="clear" w:color="auto" w:fill="F2F2F2"/>
          </w:tcPr>
          <w:p>
            <w:pPr>
              <w:jc w:val="center"/>
            </w:pPr>
            <w:r>
              <w:rPr>
                <w:rFonts w:ascii="Arial" w:hAnsi="Arial"/>
                <w:sz w:val="20"/>
              </w:rPr>
              <w:t>Percentual apurado, com 2 casas decimais</w:t>
            </w:r>
          </w:p>
        </w:tc>
      </w:tr>
      <w:tr>
        <w:tc>
          <w:tcPr>
            <w:tcW w:type="dxa" w:w="2835"/>
            <w:shd w:val="clear" w:color="auto" w:fill="FFFFFF"/>
          </w:tcPr>
          <w:p>
            <w:pPr>
              <w:jc w:val="left"/>
            </w:pPr>
            <w:r>
              <w:rPr>
                <w:rFonts w:ascii="Arial" w:hAnsi="Arial"/>
                <w:sz w:val="20"/>
              </w:rPr>
              <w:t>Prazo</w:t>
            </w:r>
          </w:p>
        </w:tc>
        <w:tc>
          <w:tcPr>
            <w:tcW w:type="dxa" w:w="6803"/>
            <w:shd w:val="clear" w:color="auto" w:fill="FFFFFF"/>
          </w:tcPr>
          <w:p>
            <w:pPr>
              <w:jc w:val="center"/>
            </w:pPr>
            <w:r>
              <w:rPr>
                <w:rFonts w:ascii="Arial" w:hAnsi="Arial"/>
                <w:sz w:val="20"/>
              </w:rPr>
              <w:t>Número de dias corridos, por algarismo e por extenso</w:t>
            </w:r>
          </w:p>
        </w:tc>
      </w:tr>
      <w:tr>
        <w:tc>
          <w:tcPr>
            <w:tcW w:type="dxa" w:w="2835"/>
            <w:shd w:val="clear" w:color="auto" w:fill="F2F2F2"/>
          </w:tcPr>
          <w:p>
            <w:pPr>
              <w:jc w:val="left"/>
            </w:pPr>
            <w:r>
              <w:rPr>
                <w:rFonts w:ascii="Arial" w:hAnsi="Arial"/>
                <w:sz w:val="20"/>
              </w:rPr>
              <w:t>Forma de veiculação</w:t>
            </w:r>
          </w:p>
        </w:tc>
        <w:tc>
          <w:tcPr>
            <w:tcW w:type="dxa" w:w="6803"/>
            <w:shd w:val="clear" w:color="auto" w:fill="F2F2F2"/>
          </w:tcPr>
          <w:p>
            <w:pPr>
              <w:jc w:val="center"/>
            </w:pPr>
            <w:r>
              <w:rPr>
                <w:rFonts w:ascii="Arial" w:hAnsi="Arial"/>
                <w:sz w:val="20"/>
              </w:rPr>
              <w:t>Meios de comunicação, edital no estabelecimento e sítio eletrônico</w:t>
            </w:r>
          </w:p>
        </w:tc>
      </w:tr>
      <w:tr>
        <w:tc>
          <w:tcPr>
            <w:tcW w:type="dxa" w:w="2835"/>
            <w:shd w:val="clear" w:color="auto" w:fill="FFFFFF"/>
          </w:tcPr>
          <w:p>
            <w:pPr>
              <w:jc w:val="left"/>
            </w:pPr>
            <w:r>
              <w:rPr>
                <w:rFonts w:ascii="Arial" w:hAnsi="Arial"/>
                <w:sz w:val="20"/>
              </w:rPr>
              <w:t>Ônus financeiro</w:t>
            </w:r>
          </w:p>
        </w:tc>
        <w:tc>
          <w:tcPr>
            <w:tcW w:type="dxa" w:w="6803"/>
            <w:shd w:val="clear" w:color="auto" w:fill="FFFFFF"/>
          </w:tcPr>
          <w:p>
            <w:pPr>
              <w:jc w:val="center"/>
            </w:pPr>
            <w:r>
              <w:rPr>
                <w:rFonts w:ascii="Arial" w:hAnsi="Arial"/>
                <w:sz w:val="20"/>
              </w:rPr>
              <w:t>Expressão de que os custos correm a expensas da pessoa jurídica</w:t>
            </w:r>
          </w:p>
        </w:tc>
      </w:tr>
    </w:tbl>
    <w:p/>
    <w:p>
      <w:pPr>
        <w:spacing w:before="240" w:after="80"/>
        <w:pBdr>
          <w:bottom w:val="single" w:sz="6" w:space="1" w:color="64A70B"/>
        </w:pBdr>
      </w:pPr>
      <w:r>
        <w:rPr>
          <w:rFonts w:ascii="Arial" w:hAnsi="Arial"/>
          <w:b/>
          <w:color w:val="1D3A78"/>
          <w:sz w:val="23"/>
        </w:rPr>
        <w:t>9.7 Geração Automática pela Calculadora</w:t>
      </w:r>
    </w:p>
    <w:p>
      <w:pPr>
        <w:spacing w:before="0" w:after="80"/>
      </w:pPr>
      <w:r>
        <w:rPr>
          <w:rFonts w:ascii="Arial" w:hAnsi="Arial"/>
          <w:i w:val="0"/>
          <w:sz w:val="22"/>
        </w:rPr>
        <w:t>A Etapa 13 da calculadora processa automaticamente todos os dados inseridos nas etapas anteriores e determina: (i) o cenário aplicável (A ou B); (ii) a Alíquota de Referência; (iii) o prazo correspondente na tabela de escalonamento; e (iv) o texto dissertativo da memória de cálculo para integrar a minuta processual.</w:t>
      </w:r>
    </w:p>
    <w:p>
      <w:pPr>
        <w:spacing w:before="0" w:after="80"/>
      </w:pPr>
      <w:r>
        <w:rPr>
          <w:rFonts w:ascii="Arial" w:hAnsi="Arial"/>
          <w:i w:val="0"/>
          <w:sz w:val="22"/>
        </w:rPr>
        <w:t>O relatório final impresso registra:</w:t>
      </w:r>
    </w:p>
    <w:p>
      <w:pPr>
        <w:pStyle w:val="ListBullet"/>
        <w:spacing w:before="0" w:after="40"/>
        <w:ind w:left="283"/>
      </w:pPr>
      <w:r>
        <w:rPr>
          <w:rFonts w:ascii="Arial" w:hAnsi="Arial"/>
          <w:sz w:val="22"/>
        </w:rPr>
        <w:t>Cenário adotado (A ou B) com fundamentação;</w:t>
      </w:r>
    </w:p>
    <w:p>
      <w:pPr>
        <w:pStyle w:val="ListBullet"/>
        <w:spacing w:before="0" w:after="40"/>
        <w:ind w:left="283"/>
      </w:pPr>
      <w:r>
        <w:rPr>
          <w:rFonts w:ascii="Arial" w:hAnsi="Arial"/>
          <w:sz w:val="22"/>
        </w:rPr>
        <w:t>Memória de cálculo da Alíquota de Referência;</w:t>
      </w:r>
    </w:p>
    <w:p>
      <w:pPr>
        <w:pStyle w:val="ListBullet"/>
        <w:spacing w:before="0" w:after="40"/>
        <w:ind w:left="283"/>
      </w:pPr>
      <w:r>
        <w:rPr>
          <w:rFonts w:ascii="Arial" w:hAnsi="Arial"/>
          <w:sz w:val="22"/>
        </w:rPr>
        <w:t>Prazo determinado em dias corridos e por extenso;</w:t>
      </w:r>
    </w:p>
    <w:p>
      <w:pPr>
        <w:pStyle w:val="ListBullet"/>
        <w:spacing w:before="0" w:after="40"/>
        <w:ind w:left="283"/>
      </w:pPr>
      <w:r>
        <w:rPr>
          <w:rFonts w:ascii="Arial" w:hAnsi="Arial"/>
          <w:sz w:val="22"/>
        </w:rPr>
        <w:t>Texto padrão para a cláusula de publicação na decisão condenatória.</w:t>
      </w:r>
    </w:p>
    <w:tbl>
      <w:tblPr>
        <w:tblStyle w:val="TableGrid"/>
        <w:tblW w:type="auto" w:w="0"/>
        <w:tblLook w:firstColumn="1" w:firstRow="1" w:lastColumn="0" w:lastRow="0" w:noHBand="0" w:noVBand="1" w:val="04A0"/>
      </w:tblPr>
      <w:tblGrid>
        <w:gridCol w:w="9405"/>
      </w:tblGrid>
      <w:tr>
        <w:tc>
          <w:tcPr>
            <w:tcW w:type="dxa" w:w="9405"/>
            <w:shd w:val="clear" w:color="auto" w:fill="F2F2F2"/>
            <w:tcBorders>
              <w:bottom w:val="single" w:sz="6" w:space="0" w:color="64A70B"/>
            </w:tcBorders>
          </w:tcPr>
          <w:p>
            <w:r>
              <w:rPr>
                <w:rFonts w:ascii="Arial" w:hAnsi="Arial"/>
                <w:color w:val="444400"/>
                <w:sz w:val="20"/>
              </w:rPr>
              <w:t>⚠  A dosimetria da publicação extraordinária é consequência direta do valor final da multa. Qualquer alteração nos parâmetros de dosimetria (agravantes, atenuantes, limites) afetará automaticamente o prazo da publicação. Por isso, a Etapa 13 deve sempre ser revisada após qualquer modificação nas etapas anteriores.</w:t>
            </w:r>
          </w:p>
        </w:tc>
      </w:tr>
    </w:tbl>
    <w:p/>
    <w:tbl>
      <w:tblPr>
        <w:tblStyle w:val="TableGrid"/>
        <w:tblW w:type="auto" w:w="0"/>
        <w:jc w:val="left"/>
        <w:tblLook w:firstColumn="1" w:firstRow="1" w:lastColumn="0" w:lastRow="0" w:noHBand="0" w:noVBand="1" w:val="04A0"/>
      </w:tblPr>
      <w:tblGrid>
        <w:gridCol w:w="9405"/>
      </w:tblGrid>
      <w:tr>
        <w:tc>
          <w:tcPr>
            <w:tcW w:type="dxa" w:w="9405"/>
            <w:shd w:val="clear" w:color="auto" w:fill="00205B"/>
            <w:tcBorders>
              <w:top w:val="none"/>
              <w:left w:val="none"/>
              <w:bottom w:val="none"/>
              <w:right w:val="none"/>
              <w:insideH w:val="none"/>
              <w:insideV w:val="none"/>
            </w:tcBorders>
            <w:tcBorders>
              <w:top w:val="none"/>
              <w:left w:val="none"/>
              <w:bottom w:val="none"/>
              <w:right w:val="none"/>
              <w:insideH w:val="none"/>
              <w:insideV w:val="none"/>
            </w:tcBorders>
            <w:tcBorders>
              <w:top w:val="none"/>
              <w:left w:val="none"/>
              <w:bottom w:val="none"/>
              <w:right w:val="none"/>
              <w:insideH w:val="none"/>
              <w:insideV w:val="none"/>
            </w:tcBorders>
            <w:tcBorders>
              <w:top w:val="none"/>
              <w:left w:val="none"/>
              <w:bottom w:val="none"/>
              <w:right w:val="none"/>
              <w:insideH w:val="none"/>
              <w:insideV w:val="none"/>
            </w:tcBorders>
          </w:tcPr>
          <w:p>
            <w:pPr>
              <w:spacing w:before="0" w:after="0"/>
              <w:ind w:left="170"/>
            </w:pPr>
            <w:r>
              <w:rPr>
                <w:rFonts w:ascii="Arial" w:hAnsi="Arial"/>
                <w:b/>
                <w:color w:val="FFFFFF"/>
                <w:sz w:val="26"/>
              </w:rPr>
              <w:t>10. RELATÓRIO FINAL E IMPRESSÃO</w:t>
            </w:r>
          </w:p>
        </w:tc>
      </w:tr>
    </w:tbl>
    <w:p/>
    <w:p>
      <w:pPr>
        <w:spacing w:before="240" w:after="80"/>
        <w:pBdr>
          <w:bottom w:val="single" w:sz="6" w:space="1" w:color="64A70B"/>
        </w:pBdr>
      </w:pPr>
      <w:r>
        <w:rPr>
          <w:rFonts w:ascii="Arial" w:hAnsi="Arial"/>
          <w:b/>
          <w:color w:val="1D3A78"/>
          <w:sz w:val="23"/>
        </w:rPr>
        <w:t>10.1 Impressão do Relatório Final (PDF)</w:t>
      </w:r>
    </w:p>
    <w:p>
      <w:pPr>
        <w:spacing w:before="0" w:after="80"/>
      </w:pPr>
      <w:r>
        <w:rPr>
          <w:rFonts w:ascii="Arial" w:hAnsi="Arial"/>
          <w:i w:val="0"/>
          <w:sz w:val="22"/>
        </w:rPr>
        <w:t>O botão "Imprimir Relatório Final (PDF)" aciona o modo de impressão do navegador. O documento gerado tem fundo branco, identidade visual institucional, e reúne todos os parâmetros da dosimetria.</w:t>
      </w:r>
    </w:p>
    <w:p>
      <w:pPr>
        <w:spacing w:before="0" w:after="80"/>
      </w:pPr>
      <w:r>
        <w:rPr>
          <w:rFonts w:ascii="Arial" w:hAnsi="Arial"/>
          <w:i w:val="0"/>
          <w:sz w:val="22"/>
        </w:rPr>
        <w:t>Para gerar o PDF: pressione o botão → selecione "Salvar como PDF" na janela de impressão → ajuste a escala para 80–100% → salve com nome identificador do PAR.</w:t>
      </w:r>
    </w:p>
    <w:p>
      <w:pPr>
        <w:spacing w:before="240" w:after="80"/>
        <w:pBdr>
          <w:bottom w:val="single" w:sz="6" w:space="1" w:color="64A70B"/>
        </w:pBdr>
      </w:pPr>
      <w:r>
        <w:rPr>
          <w:rFonts w:ascii="Arial" w:hAnsi="Arial"/>
          <w:b/>
          <w:color w:val="1D3A78"/>
          <w:sz w:val="23"/>
        </w:rPr>
        <w:t>10.2 Botões Adicionais</w:t>
      </w:r>
    </w:p>
    <w:tbl>
      <w:tblPr>
        <w:tblStyle w:val="TableGrid"/>
        <w:tblW w:type="auto" w:w="0"/>
        <w:jc w:val="left"/>
        <w:tblLook w:firstColumn="1" w:firstRow="1" w:lastColumn="0" w:lastRow="0" w:noHBand="0" w:noVBand="1" w:val="04A0"/>
      </w:tblPr>
      <w:tblGrid>
        <w:gridCol w:w="4702"/>
        <w:gridCol w:w="4702"/>
      </w:tblGrid>
      <w:tr>
        <w:tc>
          <w:tcPr>
            <w:tcW w:type="dxa" w:w="3118"/>
            <w:shd w:val="clear" w:color="auto" w:fill="00205B"/>
          </w:tcPr>
          <w:p>
            <w:pPr>
              <w:jc w:val="center"/>
            </w:pPr>
            <w:r>
              <w:rPr>
                <w:rFonts w:ascii="Arial" w:hAnsi="Arial"/>
                <w:b/>
                <w:color w:val="FFFFFF"/>
                <w:sz w:val="20"/>
              </w:rPr>
              <w:t>Botão</w:t>
            </w:r>
          </w:p>
        </w:tc>
        <w:tc>
          <w:tcPr>
            <w:tcW w:type="dxa" w:w="6236"/>
            <w:shd w:val="clear" w:color="auto" w:fill="00205B"/>
          </w:tcPr>
          <w:p>
            <w:pPr>
              <w:jc w:val="center"/>
            </w:pPr>
            <w:r>
              <w:rPr>
                <w:rFonts w:ascii="Arial" w:hAnsi="Arial"/>
                <w:b/>
                <w:color w:val="FFFFFF"/>
                <w:sz w:val="20"/>
              </w:rPr>
              <w:t>Função</w:t>
            </w:r>
          </w:p>
        </w:tc>
      </w:tr>
      <w:tr>
        <w:tc>
          <w:tcPr>
            <w:tcW w:type="dxa" w:w="3118"/>
            <w:shd w:val="clear" w:color="auto" w:fill="F2F2F2"/>
          </w:tcPr>
          <w:p>
            <w:pPr>
              <w:jc w:val="left"/>
            </w:pPr>
            <w:r>
              <w:rPr>
                <w:rFonts w:ascii="Arial" w:hAnsi="Arial"/>
                <w:sz w:val="20"/>
              </w:rPr>
              <w:t>Imprimir Avaliação PI</w:t>
            </w:r>
          </w:p>
        </w:tc>
        <w:tc>
          <w:tcPr>
            <w:tcW w:type="dxa" w:w="6236"/>
            <w:shd w:val="clear" w:color="auto" w:fill="F2F2F2"/>
          </w:tcPr>
          <w:p>
            <w:pPr>
              <w:jc w:val="center"/>
            </w:pPr>
            <w:r>
              <w:rPr>
                <w:rFonts w:ascii="Arial" w:hAnsi="Arial"/>
                <w:sz w:val="20"/>
              </w:rPr>
              <w:t>Imprime somente a avaliação do programa de integridade (Etapa 12)</w:t>
            </w:r>
          </w:p>
        </w:tc>
      </w:tr>
      <w:tr>
        <w:tc>
          <w:tcPr>
            <w:tcW w:type="dxa" w:w="3118"/>
            <w:shd w:val="clear" w:color="auto" w:fill="FFFFFF"/>
          </w:tcPr>
          <w:p>
            <w:pPr>
              <w:jc w:val="left"/>
            </w:pPr>
            <w:r>
              <w:rPr>
                <w:rFonts w:ascii="Arial" w:hAnsi="Arial"/>
                <w:sz w:val="20"/>
              </w:rPr>
              <w:t>Gerar Minuta de Relatório</w:t>
            </w:r>
          </w:p>
        </w:tc>
        <w:tc>
          <w:tcPr>
            <w:tcW w:type="dxa" w:w="6236"/>
            <w:shd w:val="clear" w:color="auto" w:fill="FFFFFF"/>
          </w:tcPr>
          <w:p>
            <w:pPr>
              <w:jc w:val="center"/>
            </w:pPr>
            <w:r>
              <w:rPr>
                <w:rFonts w:ascii="Arial" w:hAnsi="Arial"/>
                <w:sz w:val="20"/>
              </w:rPr>
              <w:t>Gera texto dissertativo para inserção direta na peça processual</w:t>
            </w:r>
          </w:p>
        </w:tc>
      </w:tr>
      <w:tr>
        <w:tc>
          <w:tcPr>
            <w:tcW w:type="dxa" w:w="3118"/>
            <w:shd w:val="clear" w:color="auto" w:fill="F2F2F2"/>
          </w:tcPr>
          <w:p>
            <w:pPr>
              <w:jc w:val="left"/>
            </w:pPr>
            <w:r>
              <w:rPr>
                <w:rFonts w:ascii="Arial" w:hAnsi="Arial"/>
                <w:sz w:val="20"/>
              </w:rPr>
              <w:t>Recomeçar</w:t>
            </w:r>
          </w:p>
        </w:tc>
        <w:tc>
          <w:tcPr>
            <w:tcW w:type="dxa" w:w="6236"/>
            <w:shd w:val="clear" w:color="auto" w:fill="F2F2F2"/>
          </w:tcPr>
          <w:p>
            <w:pPr>
              <w:jc w:val="center"/>
            </w:pPr>
            <w:r>
              <w:rPr>
                <w:rFonts w:ascii="Arial" w:hAnsi="Arial"/>
                <w:sz w:val="20"/>
              </w:rPr>
              <w:t>Reinicia o formulário (todos os campos são zerados)</w:t>
            </w:r>
          </w:p>
        </w:tc>
      </w:tr>
    </w:tbl>
    <w:p/>
    <w:tbl>
      <w:tblPr>
        <w:tblStyle w:val="TableGrid"/>
        <w:tblW w:type="auto" w:w="0"/>
        <w:jc w:val="left"/>
        <w:tblLook w:firstColumn="1" w:firstRow="1" w:lastColumn="0" w:lastRow="0" w:noHBand="0" w:noVBand="1" w:val="04A0"/>
      </w:tblPr>
      <w:tblGrid>
        <w:gridCol w:w="9405"/>
      </w:tblGrid>
      <w:tr>
        <w:tc>
          <w:tcPr>
            <w:tcW w:type="dxa" w:w="9405"/>
            <w:shd w:val="clear" w:color="auto" w:fill="00205B"/>
            <w:tcBorders>
              <w:top w:val="none"/>
              <w:left w:val="none"/>
              <w:bottom w:val="none"/>
              <w:right w:val="none"/>
              <w:insideH w:val="none"/>
              <w:insideV w:val="none"/>
            </w:tcBorders>
            <w:tcBorders>
              <w:top w:val="none"/>
              <w:left w:val="none"/>
              <w:bottom w:val="none"/>
              <w:right w:val="none"/>
              <w:insideH w:val="none"/>
              <w:insideV w:val="none"/>
            </w:tcBorders>
            <w:tcBorders>
              <w:top w:val="none"/>
              <w:left w:val="none"/>
              <w:bottom w:val="none"/>
              <w:right w:val="none"/>
              <w:insideH w:val="none"/>
              <w:insideV w:val="none"/>
            </w:tcBorders>
            <w:tcBorders>
              <w:top w:val="none"/>
              <w:left w:val="none"/>
              <w:bottom w:val="none"/>
              <w:right w:val="none"/>
              <w:insideH w:val="none"/>
              <w:insideV w:val="none"/>
            </w:tcBorders>
          </w:tcPr>
          <w:p>
            <w:pPr>
              <w:spacing w:before="0" w:after="0"/>
              <w:ind w:left="170"/>
            </w:pPr>
            <w:r>
              <w:rPr>
                <w:rFonts w:ascii="Arial" w:hAnsi="Arial"/>
                <w:b/>
                <w:color w:val="FFFFFF"/>
                <w:sz w:val="26"/>
              </w:rPr>
              <w:t>11. FLUXO RESUMIDO DO CÁLCULO</w:t>
            </w:r>
          </w:p>
        </w:tc>
      </w:tr>
    </w:tbl>
    <w:p/>
    <w:tbl>
      <w:tblPr>
        <w:tblStyle w:val="TableGrid"/>
        <w:tblW w:type="auto" w:w="0"/>
        <w:jc w:val="left"/>
        <w:tblLook w:firstColumn="1" w:firstRow="1" w:lastColumn="0" w:lastRow="0" w:noHBand="0" w:noVBand="1" w:val="04A0"/>
      </w:tblPr>
      <w:tblGrid>
        <w:gridCol w:w="3135"/>
        <w:gridCol w:w="3135"/>
        <w:gridCol w:w="3135"/>
      </w:tblGrid>
      <w:tr>
        <w:tc>
          <w:tcPr>
            <w:tcW w:type="dxa" w:w="850"/>
            <w:shd w:val="clear" w:color="auto" w:fill="00205B"/>
          </w:tcPr>
          <w:p>
            <w:pPr>
              <w:jc w:val="center"/>
            </w:pPr>
            <w:r>
              <w:rPr>
                <w:rFonts w:ascii="Arial" w:hAnsi="Arial"/>
                <w:b/>
                <w:color w:val="FFFFFF"/>
                <w:sz w:val="20"/>
              </w:rPr>
              <w:t>Etapa</w:t>
            </w:r>
          </w:p>
        </w:tc>
        <w:tc>
          <w:tcPr>
            <w:tcW w:type="dxa" w:w="5669"/>
            <w:shd w:val="clear" w:color="auto" w:fill="00205B"/>
          </w:tcPr>
          <w:p>
            <w:pPr>
              <w:jc w:val="center"/>
            </w:pPr>
            <w:r>
              <w:rPr>
                <w:rFonts w:ascii="Arial" w:hAnsi="Arial"/>
                <w:b/>
                <w:color w:val="FFFFFF"/>
                <w:sz w:val="20"/>
              </w:rPr>
              <w:t>Conteúdo</w:t>
            </w:r>
          </w:p>
        </w:tc>
        <w:tc>
          <w:tcPr>
            <w:tcW w:type="dxa" w:w="2835"/>
            <w:shd w:val="clear" w:color="auto" w:fill="00205B"/>
          </w:tcPr>
          <w:p>
            <w:pPr>
              <w:jc w:val="center"/>
            </w:pPr>
            <w:r>
              <w:rPr>
                <w:rFonts w:ascii="Arial" w:hAnsi="Arial"/>
                <w:b/>
                <w:color w:val="FFFFFF"/>
                <w:sz w:val="20"/>
              </w:rPr>
              <w:t>Faixa de %</w:t>
            </w:r>
          </w:p>
        </w:tc>
      </w:tr>
      <w:tr>
        <w:tc>
          <w:tcPr>
            <w:tcW w:type="dxa" w:w="850"/>
            <w:shd w:val="clear" w:color="auto" w:fill="F2F2F2"/>
          </w:tcPr>
          <w:p>
            <w:pPr>
              <w:jc w:val="left"/>
            </w:pPr>
            <w:r>
              <w:rPr>
                <w:rFonts w:ascii="Arial" w:hAnsi="Arial"/>
                <w:sz w:val="20"/>
              </w:rPr>
              <w:t>0</w:t>
            </w:r>
          </w:p>
        </w:tc>
        <w:tc>
          <w:tcPr>
            <w:tcW w:type="dxa" w:w="5669"/>
            <w:shd w:val="clear" w:color="auto" w:fill="F2F2F2"/>
          </w:tcPr>
          <w:p>
            <w:pPr>
              <w:jc w:val="center"/>
            </w:pPr>
            <w:r>
              <w:rPr>
                <w:rFonts w:ascii="Arial" w:hAnsi="Arial"/>
                <w:sz w:val="20"/>
              </w:rPr>
              <w:t>Faturamento Bruto (base de cálculo)</w:t>
            </w:r>
          </w:p>
        </w:tc>
        <w:tc>
          <w:tcPr>
            <w:tcW w:type="dxa" w:w="2835"/>
            <w:shd w:val="clear" w:color="auto" w:fill="F2F2F2"/>
          </w:tcPr>
          <w:p>
            <w:pPr>
              <w:jc w:val="center"/>
            </w:pPr>
            <w:r>
              <w:rPr>
                <w:rFonts w:ascii="Arial" w:hAnsi="Arial"/>
                <w:sz w:val="20"/>
              </w:rPr>
              <w:t>Base R$</w:t>
            </w:r>
          </w:p>
        </w:tc>
      </w:tr>
      <w:tr>
        <w:tc>
          <w:tcPr>
            <w:tcW w:type="dxa" w:w="850"/>
            <w:shd w:val="clear" w:color="auto" w:fill="FFFFFF"/>
          </w:tcPr>
          <w:p>
            <w:pPr>
              <w:jc w:val="left"/>
            </w:pPr>
            <w:r>
              <w:rPr>
                <w:rFonts w:ascii="Arial" w:hAnsi="Arial"/>
                <w:sz w:val="20"/>
              </w:rPr>
              <w:t>1</w:t>
            </w:r>
          </w:p>
        </w:tc>
        <w:tc>
          <w:tcPr>
            <w:tcW w:type="dxa" w:w="5669"/>
            <w:shd w:val="clear" w:color="auto" w:fill="FFFFFF"/>
          </w:tcPr>
          <w:p>
            <w:pPr>
              <w:jc w:val="center"/>
            </w:pPr>
            <w:r>
              <w:rPr>
                <w:rFonts w:ascii="Arial" w:hAnsi="Arial"/>
                <w:sz w:val="20"/>
              </w:rPr>
              <w:t>Vantagens Auferida e Pretendida</w:t>
            </w:r>
          </w:p>
        </w:tc>
        <w:tc>
          <w:tcPr>
            <w:tcW w:type="dxa" w:w="2835"/>
            <w:shd w:val="clear" w:color="auto" w:fill="FFFFFF"/>
          </w:tcPr>
          <w:p>
            <w:pPr>
              <w:jc w:val="center"/>
            </w:pPr>
            <w:r>
              <w:rPr>
                <w:rFonts w:ascii="Arial" w:hAnsi="Arial"/>
                <w:sz w:val="20"/>
              </w:rPr>
              <w:t>Piso e Teto</w:t>
            </w:r>
          </w:p>
        </w:tc>
      </w:tr>
      <w:tr>
        <w:tc>
          <w:tcPr>
            <w:tcW w:type="dxa" w:w="850"/>
            <w:shd w:val="clear" w:color="auto" w:fill="F2F2F2"/>
          </w:tcPr>
          <w:p>
            <w:pPr>
              <w:jc w:val="left"/>
            </w:pPr>
            <w:r>
              <w:rPr>
                <w:rFonts w:ascii="Arial" w:hAnsi="Arial"/>
                <w:sz w:val="20"/>
              </w:rPr>
              <w:t>2</w:t>
            </w:r>
          </w:p>
        </w:tc>
        <w:tc>
          <w:tcPr>
            <w:tcW w:type="dxa" w:w="5669"/>
            <w:shd w:val="clear" w:color="auto" w:fill="F2F2F2"/>
          </w:tcPr>
          <w:p>
            <w:pPr>
              <w:jc w:val="center"/>
            </w:pPr>
            <w:r>
              <w:rPr>
                <w:rFonts w:ascii="Arial" w:hAnsi="Arial"/>
                <w:sz w:val="20"/>
              </w:rPr>
              <w:t>Agrav. I — Concurso de atos lesivos</w:t>
            </w:r>
          </w:p>
        </w:tc>
        <w:tc>
          <w:tcPr>
            <w:tcW w:type="dxa" w:w="2835"/>
            <w:shd w:val="clear" w:color="auto" w:fill="F2F2F2"/>
          </w:tcPr>
          <w:p>
            <w:pPr>
              <w:jc w:val="center"/>
            </w:pPr>
            <w:r>
              <w:rPr>
                <w:rFonts w:ascii="Arial" w:hAnsi="Arial"/>
                <w:sz w:val="20"/>
              </w:rPr>
              <w:t>0% a 4,0%</w:t>
            </w:r>
          </w:p>
        </w:tc>
      </w:tr>
      <w:tr>
        <w:tc>
          <w:tcPr>
            <w:tcW w:type="dxa" w:w="850"/>
            <w:shd w:val="clear" w:color="auto" w:fill="FFFFFF"/>
          </w:tcPr>
          <w:p>
            <w:pPr>
              <w:jc w:val="left"/>
            </w:pPr>
            <w:r>
              <w:rPr>
                <w:rFonts w:ascii="Arial" w:hAnsi="Arial"/>
                <w:sz w:val="20"/>
              </w:rPr>
              <w:t>3</w:t>
            </w:r>
          </w:p>
        </w:tc>
        <w:tc>
          <w:tcPr>
            <w:tcW w:type="dxa" w:w="5669"/>
            <w:shd w:val="clear" w:color="auto" w:fill="FFFFFF"/>
          </w:tcPr>
          <w:p>
            <w:pPr>
              <w:jc w:val="center"/>
            </w:pPr>
            <w:r>
              <w:rPr>
                <w:rFonts w:ascii="Arial" w:hAnsi="Arial"/>
                <w:sz w:val="20"/>
              </w:rPr>
              <w:t>Agrav. II — Ciência/Tolerância hierárquica</w:t>
            </w:r>
          </w:p>
        </w:tc>
        <w:tc>
          <w:tcPr>
            <w:tcW w:type="dxa" w:w="2835"/>
            <w:shd w:val="clear" w:color="auto" w:fill="FFFFFF"/>
          </w:tcPr>
          <w:p>
            <w:pPr>
              <w:jc w:val="center"/>
            </w:pPr>
            <w:r>
              <w:rPr>
                <w:rFonts w:ascii="Arial" w:hAnsi="Arial"/>
                <w:sz w:val="20"/>
              </w:rPr>
              <w:t>0% a 3,0%</w:t>
            </w:r>
          </w:p>
        </w:tc>
      </w:tr>
      <w:tr>
        <w:tc>
          <w:tcPr>
            <w:tcW w:type="dxa" w:w="850"/>
            <w:shd w:val="clear" w:color="auto" w:fill="F2F2F2"/>
          </w:tcPr>
          <w:p>
            <w:pPr>
              <w:jc w:val="left"/>
            </w:pPr>
            <w:r>
              <w:rPr>
                <w:rFonts w:ascii="Arial" w:hAnsi="Arial"/>
                <w:sz w:val="20"/>
              </w:rPr>
              <w:t>4</w:t>
            </w:r>
          </w:p>
        </w:tc>
        <w:tc>
          <w:tcPr>
            <w:tcW w:type="dxa" w:w="5669"/>
            <w:shd w:val="clear" w:color="auto" w:fill="F2F2F2"/>
          </w:tcPr>
          <w:p>
            <w:pPr>
              <w:jc w:val="center"/>
            </w:pPr>
            <w:r>
              <w:rPr>
                <w:rFonts w:ascii="Arial" w:hAnsi="Arial"/>
                <w:sz w:val="20"/>
              </w:rPr>
              <w:t>Agrav. III — Interrupção/Descumprimento (maior das 3)</w:t>
            </w:r>
          </w:p>
        </w:tc>
        <w:tc>
          <w:tcPr>
            <w:tcW w:type="dxa" w:w="2835"/>
            <w:shd w:val="clear" w:color="auto" w:fill="F2F2F2"/>
          </w:tcPr>
          <w:p>
            <w:pPr>
              <w:jc w:val="center"/>
            </w:pPr>
            <w:r>
              <w:rPr>
                <w:rFonts w:ascii="Arial" w:hAnsi="Arial"/>
                <w:sz w:val="20"/>
              </w:rPr>
              <w:t>0% a 4,0%</w:t>
            </w:r>
          </w:p>
        </w:tc>
      </w:tr>
      <w:tr>
        <w:tc>
          <w:tcPr>
            <w:tcW w:type="dxa" w:w="850"/>
            <w:shd w:val="clear" w:color="auto" w:fill="FFFFFF"/>
          </w:tcPr>
          <w:p>
            <w:pPr>
              <w:jc w:val="left"/>
            </w:pPr>
            <w:r>
              <w:rPr>
                <w:rFonts w:ascii="Arial" w:hAnsi="Arial"/>
                <w:sz w:val="20"/>
              </w:rPr>
              <w:t>5</w:t>
            </w:r>
          </w:p>
        </w:tc>
        <w:tc>
          <w:tcPr>
            <w:tcW w:type="dxa" w:w="5669"/>
            <w:shd w:val="clear" w:color="auto" w:fill="FFFFFF"/>
          </w:tcPr>
          <w:p>
            <w:pPr>
              <w:jc w:val="center"/>
            </w:pPr>
            <w:r>
              <w:rPr>
                <w:rFonts w:ascii="Arial" w:hAnsi="Arial"/>
                <w:sz w:val="20"/>
              </w:rPr>
              <w:t>Agrav. IV — Situação econômica</w:t>
            </w:r>
          </w:p>
        </w:tc>
        <w:tc>
          <w:tcPr>
            <w:tcW w:type="dxa" w:w="2835"/>
            <w:shd w:val="clear" w:color="auto" w:fill="FFFFFF"/>
          </w:tcPr>
          <w:p>
            <w:pPr>
              <w:jc w:val="center"/>
            </w:pPr>
            <w:r>
              <w:rPr>
                <w:rFonts w:ascii="Arial" w:hAnsi="Arial"/>
                <w:sz w:val="20"/>
              </w:rPr>
              <w:t>0% ou 1,0%</w:t>
            </w:r>
          </w:p>
        </w:tc>
      </w:tr>
      <w:tr>
        <w:tc>
          <w:tcPr>
            <w:tcW w:type="dxa" w:w="850"/>
            <w:shd w:val="clear" w:color="auto" w:fill="F2F2F2"/>
          </w:tcPr>
          <w:p>
            <w:pPr>
              <w:jc w:val="left"/>
            </w:pPr>
            <w:r>
              <w:rPr>
                <w:rFonts w:ascii="Arial" w:hAnsi="Arial"/>
                <w:sz w:val="20"/>
              </w:rPr>
              <w:t>6</w:t>
            </w:r>
          </w:p>
        </w:tc>
        <w:tc>
          <w:tcPr>
            <w:tcW w:type="dxa" w:w="5669"/>
            <w:shd w:val="clear" w:color="auto" w:fill="F2F2F2"/>
          </w:tcPr>
          <w:p>
            <w:pPr>
              <w:jc w:val="center"/>
            </w:pPr>
            <w:r>
              <w:rPr>
                <w:rFonts w:ascii="Arial" w:hAnsi="Arial"/>
                <w:sz w:val="20"/>
              </w:rPr>
              <w:t>Agrav. V — Reincidência</w:t>
            </w:r>
          </w:p>
        </w:tc>
        <w:tc>
          <w:tcPr>
            <w:tcW w:type="dxa" w:w="2835"/>
            <w:shd w:val="clear" w:color="auto" w:fill="F2F2F2"/>
          </w:tcPr>
          <w:p>
            <w:pPr>
              <w:jc w:val="center"/>
            </w:pPr>
            <w:r>
              <w:rPr>
                <w:rFonts w:ascii="Arial" w:hAnsi="Arial"/>
                <w:sz w:val="20"/>
              </w:rPr>
              <w:t>0% ou 3,0%</w:t>
            </w:r>
          </w:p>
        </w:tc>
      </w:tr>
      <w:tr>
        <w:tc>
          <w:tcPr>
            <w:tcW w:type="dxa" w:w="850"/>
            <w:shd w:val="clear" w:color="auto" w:fill="FFFFFF"/>
          </w:tcPr>
          <w:p>
            <w:pPr>
              <w:jc w:val="left"/>
            </w:pPr>
            <w:r>
              <w:rPr>
                <w:rFonts w:ascii="Arial" w:hAnsi="Arial"/>
                <w:sz w:val="20"/>
              </w:rPr>
              <w:t>7</w:t>
            </w:r>
          </w:p>
        </w:tc>
        <w:tc>
          <w:tcPr>
            <w:tcW w:type="dxa" w:w="5669"/>
            <w:shd w:val="clear" w:color="auto" w:fill="FFFFFF"/>
          </w:tcPr>
          <w:p>
            <w:pPr>
              <w:jc w:val="center"/>
            </w:pPr>
            <w:r>
              <w:rPr>
                <w:rFonts w:ascii="Arial" w:hAnsi="Arial"/>
                <w:sz w:val="20"/>
              </w:rPr>
              <w:t>Agrav. VI — Contratos com o ente lesado</w:t>
            </w:r>
          </w:p>
        </w:tc>
        <w:tc>
          <w:tcPr>
            <w:tcW w:type="dxa" w:w="2835"/>
            <w:shd w:val="clear" w:color="auto" w:fill="FFFFFF"/>
          </w:tcPr>
          <w:p>
            <w:pPr>
              <w:jc w:val="center"/>
            </w:pPr>
            <w:r>
              <w:rPr>
                <w:rFonts w:ascii="Arial" w:hAnsi="Arial"/>
                <w:sz w:val="20"/>
              </w:rPr>
              <w:t>0% a 5,0%</w:t>
            </w:r>
          </w:p>
        </w:tc>
      </w:tr>
      <w:tr>
        <w:tc>
          <w:tcPr>
            <w:tcW w:type="dxa" w:w="850"/>
            <w:shd w:val="clear" w:color="auto" w:fill="F2F2F2"/>
          </w:tcPr>
          <w:p>
            <w:pPr>
              <w:jc w:val="left"/>
            </w:pPr>
            <w:r>
              <w:rPr>
                <w:rFonts w:ascii="Arial" w:hAnsi="Arial"/>
                <w:sz w:val="20"/>
              </w:rPr>
              <w:t>8</w:t>
            </w:r>
          </w:p>
        </w:tc>
        <w:tc>
          <w:tcPr>
            <w:tcW w:type="dxa" w:w="5669"/>
            <w:shd w:val="clear" w:color="auto" w:fill="F2F2F2"/>
          </w:tcPr>
          <w:p>
            <w:pPr>
              <w:jc w:val="center"/>
            </w:pPr>
            <w:r>
              <w:rPr>
                <w:rFonts w:ascii="Arial" w:hAnsi="Arial"/>
                <w:sz w:val="20"/>
              </w:rPr>
              <w:t>Aten. I — Não consumação</w:t>
            </w:r>
          </w:p>
        </w:tc>
        <w:tc>
          <w:tcPr>
            <w:tcW w:type="dxa" w:w="2835"/>
            <w:shd w:val="clear" w:color="auto" w:fill="F2F2F2"/>
          </w:tcPr>
          <w:p>
            <w:pPr>
              <w:jc w:val="center"/>
            </w:pPr>
            <w:r>
              <w:rPr>
                <w:rFonts w:ascii="Arial" w:hAnsi="Arial"/>
                <w:sz w:val="20"/>
              </w:rPr>
              <w:t>0% ou −0,5%</w:t>
            </w:r>
          </w:p>
        </w:tc>
      </w:tr>
      <w:tr>
        <w:tc>
          <w:tcPr>
            <w:tcW w:type="dxa" w:w="850"/>
            <w:shd w:val="clear" w:color="auto" w:fill="FFFFFF"/>
          </w:tcPr>
          <w:p>
            <w:pPr>
              <w:jc w:val="left"/>
            </w:pPr>
            <w:r>
              <w:rPr>
                <w:rFonts w:ascii="Arial" w:hAnsi="Arial"/>
                <w:sz w:val="20"/>
              </w:rPr>
              <w:t>9</w:t>
            </w:r>
          </w:p>
        </w:tc>
        <w:tc>
          <w:tcPr>
            <w:tcW w:type="dxa" w:w="5669"/>
            <w:shd w:val="clear" w:color="auto" w:fill="FFFFFF"/>
          </w:tcPr>
          <w:p>
            <w:pPr>
              <w:jc w:val="center"/>
            </w:pPr>
            <w:r>
              <w:rPr>
                <w:rFonts w:ascii="Arial" w:hAnsi="Arial"/>
                <w:sz w:val="20"/>
              </w:rPr>
              <w:t>Aten. II — Ressarcimento/Devolução</w:t>
            </w:r>
          </w:p>
        </w:tc>
        <w:tc>
          <w:tcPr>
            <w:tcW w:type="dxa" w:w="2835"/>
            <w:shd w:val="clear" w:color="auto" w:fill="FFFFFF"/>
          </w:tcPr>
          <w:p>
            <w:pPr>
              <w:jc w:val="center"/>
            </w:pPr>
            <w:r>
              <w:rPr>
                <w:rFonts w:ascii="Arial" w:hAnsi="Arial"/>
                <w:sz w:val="20"/>
              </w:rPr>
              <w:t>0% a −1,0%</w:t>
            </w:r>
          </w:p>
        </w:tc>
      </w:tr>
      <w:tr>
        <w:tc>
          <w:tcPr>
            <w:tcW w:type="dxa" w:w="850"/>
            <w:shd w:val="clear" w:color="auto" w:fill="F2F2F2"/>
          </w:tcPr>
          <w:p>
            <w:pPr>
              <w:jc w:val="left"/>
            </w:pPr>
            <w:r>
              <w:rPr>
                <w:rFonts w:ascii="Arial" w:hAnsi="Arial"/>
                <w:sz w:val="20"/>
              </w:rPr>
              <w:t>10</w:t>
            </w:r>
          </w:p>
        </w:tc>
        <w:tc>
          <w:tcPr>
            <w:tcW w:type="dxa" w:w="5669"/>
            <w:shd w:val="clear" w:color="auto" w:fill="F2F2F2"/>
          </w:tcPr>
          <w:p>
            <w:pPr>
              <w:jc w:val="center"/>
            </w:pPr>
            <w:r>
              <w:rPr>
                <w:rFonts w:ascii="Arial" w:hAnsi="Arial"/>
                <w:sz w:val="20"/>
              </w:rPr>
              <w:t>Aten. III — Colaboração</w:t>
            </w:r>
          </w:p>
        </w:tc>
        <w:tc>
          <w:tcPr>
            <w:tcW w:type="dxa" w:w="2835"/>
            <w:shd w:val="clear" w:color="auto" w:fill="F2F2F2"/>
          </w:tcPr>
          <w:p>
            <w:pPr>
              <w:jc w:val="center"/>
            </w:pPr>
            <w:r>
              <w:rPr>
                <w:rFonts w:ascii="Arial" w:hAnsi="Arial"/>
                <w:sz w:val="20"/>
              </w:rPr>
              <w:t>0% a −1,5%</w:t>
            </w:r>
          </w:p>
        </w:tc>
      </w:tr>
      <w:tr>
        <w:tc>
          <w:tcPr>
            <w:tcW w:type="dxa" w:w="850"/>
            <w:shd w:val="clear" w:color="auto" w:fill="FFFFFF"/>
          </w:tcPr>
          <w:p>
            <w:pPr>
              <w:jc w:val="left"/>
            </w:pPr>
            <w:r>
              <w:rPr>
                <w:rFonts w:ascii="Arial" w:hAnsi="Arial"/>
                <w:sz w:val="20"/>
              </w:rPr>
              <w:t>11</w:t>
            </w:r>
          </w:p>
        </w:tc>
        <w:tc>
          <w:tcPr>
            <w:tcW w:type="dxa" w:w="5669"/>
            <w:shd w:val="clear" w:color="auto" w:fill="FFFFFF"/>
          </w:tcPr>
          <w:p>
            <w:pPr>
              <w:jc w:val="center"/>
            </w:pPr>
            <w:r>
              <w:rPr>
                <w:rFonts w:ascii="Arial" w:hAnsi="Arial"/>
                <w:sz w:val="20"/>
              </w:rPr>
              <w:t>Aten. IV — Admissão voluntária</w:t>
            </w:r>
          </w:p>
        </w:tc>
        <w:tc>
          <w:tcPr>
            <w:tcW w:type="dxa" w:w="2835"/>
            <w:shd w:val="clear" w:color="auto" w:fill="FFFFFF"/>
          </w:tcPr>
          <w:p>
            <w:pPr>
              <w:jc w:val="center"/>
            </w:pPr>
            <w:r>
              <w:rPr>
                <w:rFonts w:ascii="Arial" w:hAnsi="Arial"/>
                <w:sz w:val="20"/>
              </w:rPr>
              <w:t>0% a −2,0%</w:t>
            </w:r>
          </w:p>
        </w:tc>
      </w:tr>
      <w:tr>
        <w:tc>
          <w:tcPr>
            <w:tcW w:type="dxa" w:w="850"/>
            <w:shd w:val="clear" w:color="auto" w:fill="F2F2F2"/>
          </w:tcPr>
          <w:p>
            <w:pPr>
              <w:jc w:val="left"/>
            </w:pPr>
            <w:r>
              <w:rPr>
                <w:rFonts w:ascii="Arial" w:hAnsi="Arial"/>
                <w:sz w:val="20"/>
              </w:rPr>
              <w:t>12</w:t>
            </w:r>
          </w:p>
        </w:tc>
        <w:tc>
          <w:tcPr>
            <w:tcW w:type="dxa" w:w="5669"/>
            <w:shd w:val="clear" w:color="auto" w:fill="F2F2F2"/>
          </w:tcPr>
          <w:p>
            <w:pPr>
              <w:jc w:val="center"/>
            </w:pPr>
            <w:r>
              <w:rPr>
                <w:rFonts w:ascii="Arial" w:hAnsi="Arial"/>
                <w:sz w:val="20"/>
              </w:rPr>
              <w:t>Aten. V — Programa de integridade</w:t>
            </w:r>
          </w:p>
        </w:tc>
        <w:tc>
          <w:tcPr>
            <w:tcW w:type="dxa" w:w="2835"/>
            <w:shd w:val="clear" w:color="auto" w:fill="F2F2F2"/>
          </w:tcPr>
          <w:p>
            <w:pPr>
              <w:jc w:val="center"/>
            </w:pPr>
            <w:r>
              <w:rPr>
                <w:rFonts w:ascii="Arial" w:hAnsi="Arial"/>
                <w:sz w:val="20"/>
              </w:rPr>
              <w:t>0% a −5,0%</w:t>
            </w:r>
          </w:p>
        </w:tc>
      </w:tr>
      <w:tr>
        <w:tc>
          <w:tcPr>
            <w:tcW w:type="dxa" w:w="850"/>
            <w:shd w:val="clear" w:color="auto" w:fill="FFFFFF"/>
          </w:tcPr>
          <w:p>
            <w:pPr>
              <w:jc w:val="left"/>
            </w:pPr>
            <w:r>
              <w:rPr>
                <w:rFonts w:ascii="Arial" w:hAnsi="Arial"/>
                <w:sz w:val="20"/>
              </w:rPr>
              <w:t>13</w:t>
            </w:r>
          </w:p>
        </w:tc>
        <w:tc>
          <w:tcPr>
            <w:tcW w:type="dxa" w:w="5669"/>
            <w:shd w:val="clear" w:color="auto" w:fill="FFFFFF"/>
          </w:tcPr>
          <w:p>
            <w:pPr>
              <w:jc w:val="center"/>
            </w:pPr>
            <w:r>
              <w:rPr>
                <w:rFonts w:ascii="Arial" w:hAnsi="Arial"/>
                <w:sz w:val="20"/>
              </w:rPr>
              <w:t>Publicação Extraordinária + Resultado Final</w:t>
            </w:r>
          </w:p>
        </w:tc>
        <w:tc>
          <w:tcPr>
            <w:tcW w:type="dxa" w:w="2835"/>
            <w:shd w:val="clear" w:color="auto" w:fill="FFFFFF"/>
          </w:tcPr>
          <w:p>
            <w:pPr>
              <w:jc w:val="center"/>
            </w:pPr>
            <w:r>
              <w:rPr>
                <w:rFonts w:ascii="Arial" w:hAnsi="Arial"/>
                <w:sz w:val="20"/>
              </w:rPr>
              <w:t>Prazo 30–135 dias</w:t>
            </w:r>
          </w:p>
        </w:tc>
      </w:tr>
    </w:tbl>
    <w:p/>
    <w:tbl>
      <w:tblPr>
        <w:tblStyle w:val="TableGrid"/>
        <w:tblW w:type="auto" w:w="0"/>
        <w:jc w:val="left"/>
        <w:tblLook w:firstColumn="1" w:firstRow="1" w:lastColumn="0" w:lastRow="0" w:noHBand="0" w:noVBand="1" w:val="04A0"/>
      </w:tblPr>
      <w:tblGrid>
        <w:gridCol w:w="9405"/>
      </w:tblGrid>
      <w:tr>
        <w:tc>
          <w:tcPr>
            <w:tcW w:type="dxa" w:w="9405"/>
            <w:shd w:val="clear" w:color="auto" w:fill="00205B"/>
            <w:tcBorders>
              <w:top w:val="none"/>
              <w:left w:val="none"/>
              <w:bottom w:val="none"/>
              <w:right w:val="none"/>
              <w:insideH w:val="none"/>
              <w:insideV w:val="none"/>
            </w:tcBorders>
            <w:tcBorders>
              <w:top w:val="none"/>
              <w:left w:val="none"/>
              <w:bottom w:val="none"/>
              <w:right w:val="none"/>
              <w:insideH w:val="none"/>
              <w:insideV w:val="none"/>
            </w:tcBorders>
            <w:tcBorders>
              <w:top w:val="none"/>
              <w:left w:val="none"/>
              <w:bottom w:val="none"/>
              <w:right w:val="none"/>
              <w:insideH w:val="none"/>
              <w:insideV w:val="none"/>
            </w:tcBorders>
            <w:tcBorders>
              <w:top w:val="none"/>
              <w:left w:val="none"/>
              <w:bottom w:val="none"/>
              <w:right w:val="none"/>
              <w:insideH w:val="none"/>
              <w:insideV w:val="none"/>
            </w:tcBorders>
          </w:tcPr>
          <w:p>
            <w:pPr>
              <w:spacing w:before="0" w:after="0"/>
              <w:ind w:left="170"/>
            </w:pPr>
            <w:r>
              <w:rPr>
                <w:rFonts w:ascii="Arial" w:hAnsi="Arial"/>
                <w:b/>
                <w:color w:val="FFFFFF"/>
                <w:sz w:val="26"/>
              </w:rPr>
              <w:t>12. PERGUNTAS FREQUENTES E PONTOS DE ATENÇÃO</w:t>
            </w:r>
          </w:p>
        </w:tc>
      </w:tr>
    </w:tbl>
    <w:p/>
    <w:p>
      <w:pPr>
        <w:spacing w:before="240" w:after="80"/>
        <w:pBdr>
          <w:bottom w:val="single" w:sz="6" w:space="1" w:color="64A70B"/>
        </w:pBdr>
      </w:pPr>
      <w:r>
        <w:rPr>
          <w:rFonts w:ascii="Arial" w:hAnsi="Arial"/>
          <w:b/>
          <w:color w:val="1D3A78"/>
          <w:sz w:val="23"/>
        </w:rPr>
        <w:t>O sistema é validado por órgão oficial?</w:t>
      </w:r>
    </w:p>
    <w:p>
      <w:pPr>
        <w:spacing w:before="0" w:after="80"/>
      </w:pPr>
      <w:r>
        <w:rPr>
          <w:rFonts w:ascii="Arial" w:hAnsi="Arial"/>
          <w:i w:val="0"/>
          <w:sz w:val="22"/>
        </w:rPr>
        <w:t>A calculadora foi desenvolvida pela Corregedoria da RFB como ferramenta de apoio. Os parâmetros refletem o Decreto nº 11.129/2022, a IN CGU nº 1/2015 e o Guia CGU. O resultado é uma proposta fundamentada, sujeita à deliberação da autoridade competente.</w:t>
      </w:r>
    </w:p>
    <w:p>
      <w:pPr>
        <w:spacing w:before="240" w:after="80"/>
        <w:pBdr>
          <w:bottom w:val="single" w:sz="6" w:space="1" w:color="64A70B"/>
        </w:pBdr>
      </w:pPr>
      <w:r>
        <w:rPr>
          <w:rFonts w:ascii="Arial" w:hAnsi="Arial"/>
          <w:b/>
          <w:color w:val="1D3A78"/>
          <w:sz w:val="23"/>
        </w:rPr>
        <w:t>Como tratar a atualização pelo IPCA?</w:t>
      </w:r>
    </w:p>
    <w:p>
      <w:pPr>
        <w:spacing w:before="0" w:after="80"/>
      </w:pPr>
      <w:r>
        <w:rPr>
          <w:rFonts w:ascii="Arial" w:hAnsi="Arial"/>
          <w:i w:val="0"/>
          <w:sz w:val="22"/>
        </w:rPr>
        <w:t>A calculadora não realiza atualização automática pelo IPCA por funcionar offline. Quando necessário (Art. 21), corrija o valor previamente na Calculadora do Cidadão (BCB/IPCA) e informe o resultado corrigido no campo correspondente.</w:t>
      </w:r>
    </w:p>
    <w:p>
      <w:pPr>
        <w:spacing w:before="240" w:after="80"/>
        <w:pBdr>
          <w:bottom w:val="single" w:sz="6" w:space="1" w:color="64A70B"/>
        </w:pBdr>
      </w:pPr>
      <w:r>
        <w:rPr>
          <w:rFonts w:ascii="Arial" w:hAnsi="Arial"/>
          <w:b/>
          <w:color w:val="1D3A78"/>
          <w:sz w:val="23"/>
        </w:rPr>
        <w:t>O que acontece se o índice de dosimetria for negativo?</w:t>
      </w:r>
    </w:p>
    <w:p>
      <w:pPr>
        <w:spacing w:before="0" w:after="80"/>
      </w:pPr>
      <w:r>
        <w:rPr>
          <w:rFonts w:ascii="Arial" w:hAnsi="Arial"/>
          <w:i w:val="0"/>
          <w:sz w:val="22"/>
        </w:rPr>
        <w:t>Nos termos do Art. 25, §2º do Decreto nº 11.129/2022, a multa é fixada no valor mínimo (vantagem auferida). Se a vantagem auferida for zero ou não estimável, aplica-se o piso legal de R$ 6 mil nas hipóteses cabíveis.</w:t>
      </w:r>
    </w:p>
    <w:p>
      <w:pPr>
        <w:spacing w:before="240" w:after="80"/>
        <w:pBdr>
          <w:bottom w:val="single" w:sz="6" w:space="1" w:color="64A70B"/>
        </w:pBdr>
      </w:pPr>
      <w:r>
        <w:rPr>
          <w:rFonts w:ascii="Arial" w:hAnsi="Arial"/>
          <w:b/>
          <w:color w:val="1D3A78"/>
          <w:sz w:val="23"/>
        </w:rPr>
        <w:t>Qual a diferença entre vantagem auferida e pretendida na prática?</w:t>
      </w:r>
    </w:p>
    <w:p>
      <w:pPr>
        <w:spacing w:before="0" w:after="80"/>
      </w:pPr>
      <w:r>
        <w:rPr>
          <w:rFonts w:ascii="Arial" w:hAnsi="Arial"/>
          <w:i w:val="0"/>
          <w:sz w:val="22"/>
        </w:rPr>
        <w:t>Auferida: valor efetivamente recebido, economizado ou patrimonializado pela PJ. Pretendida: valor planejado que seria obtido se o ato ilícito fosse plenamente executado — inferido de proposta, contrato ou estimativa.</w:t>
      </w:r>
    </w:p>
    <w:p>
      <w:pPr>
        <w:spacing w:before="240" w:after="80"/>
        <w:pBdr>
          <w:bottom w:val="single" w:sz="6" w:space="1" w:color="64A70B"/>
        </w:pBdr>
      </w:pPr>
      <w:r>
        <w:rPr>
          <w:rFonts w:ascii="Arial" w:hAnsi="Arial"/>
          <w:b/>
          <w:color w:val="1D3A78"/>
          <w:sz w:val="23"/>
        </w:rPr>
        <w:t>O programa de integridade posterior ao ato lesivo pode atenuar?</w:t>
      </w:r>
    </w:p>
    <w:p>
      <w:pPr>
        <w:spacing w:before="0" w:after="80"/>
      </w:pPr>
      <w:r>
        <w:rPr>
          <w:rFonts w:ascii="Arial" w:hAnsi="Arial"/>
          <w:i w:val="0"/>
          <w:sz w:val="22"/>
        </w:rPr>
        <w:t>Sim, mas com percentual reduzido. O bloco APJ-Posterior avalia medidas corretivas adotadas após a descoberta. O percentual máximo de 5% é exclusivo de programas preexistentes ao ato lesivo.</w:t>
      </w:r>
    </w:p>
    <w:p>
      <w:pPr>
        <w:spacing w:before="240" w:after="80"/>
        <w:pBdr>
          <w:bottom w:val="single" w:sz="6" w:space="1" w:color="64A70B"/>
        </w:pBdr>
      </w:pPr>
      <w:r>
        <w:rPr>
          <w:rFonts w:ascii="Arial" w:hAnsi="Arial"/>
          <w:b/>
          <w:color w:val="1D3A78"/>
          <w:sz w:val="23"/>
        </w:rPr>
        <w:t>Quantos dias tem a publicação extraordinária nos casos mais graves?</w:t>
      </w:r>
    </w:p>
    <w:p>
      <w:pPr>
        <w:spacing w:before="0" w:after="80"/>
      </w:pPr>
      <w:r>
        <w:rPr>
          <w:rFonts w:ascii="Arial" w:hAnsi="Arial"/>
          <w:i w:val="0"/>
          <w:sz w:val="22"/>
        </w:rPr>
        <w:t>O prazo máximo é de 135 dias corridos, aplicável quando a Alíquota de Referência superar 17,5%. Para alíquotas até 2,5%, o prazo mínimo é de 30 dias.</w:t>
      </w:r>
    </w:p>
    <w:p>
      <w:pPr>
        <w:spacing w:before="240" w:after="80"/>
        <w:pBdr>
          <w:bottom w:val="single" w:sz="6" w:space="1" w:color="64A70B"/>
        </w:pBdr>
      </w:pPr>
      <w:r>
        <w:rPr>
          <w:rFonts w:ascii="Arial" w:hAnsi="Arial"/>
          <w:b/>
          <w:color w:val="1D3A78"/>
          <w:sz w:val="23"/>
        </w:rPr>
        <w:t>O Art. 22, IV se aplica quando a Liquidez Geral é 0,98 mas os demais indicadores são favoráveis?</w:t>
      </w:r>
    </w:p>
    <w:p>
      <w:pPr>
        <w:spacing w:before="0" w:after="80"/>
      </w:pPr>
      <w:r>
        <w:rPr>
          <w:rFonts w:ascii="Arial" w:hAnsi="Arial"/>
          <w:i w:val="0"/>
          <w:sz w:val="22"/>
        </w:rPr>
        <w:t>Não. O agravante de situação econômica exige os três indicadores cumulativamente: Solvência Geral &gt; 1, Liquidez Geral &gt; 1 e Lucro Líquido positivo. Qualquer indicador abaixo do limiar — ainda que por margem ínfima — zera o agravante.</w:t>
      </w:r>
    </w:p>
    <w:p>
      <w:pPr>
        <w:spacing w:before="240" w:after="80"/>
        <w:pBdr>
          <w:bottom w:val="single" w:sz="6" w:space="1" w:color="64A70B"/>
        </w:pBdr>
      </w:pPr>
      <w:r>
        <w:rPr>
          <w:rFonts w:ascii="Arial" w:hAnsi="Arial"/>
          <w:b/>
          <w:color w:val="1D3A78"/>
          <w:sz w:val="23"/>
        </w:rPr>
        <w:t>Responder a outro PAR em andamento configura reincidência?</w:t>
      </w:r>
    </w:p>
    <w:p>
      <w:pPr>
        <w:spacing w:before="0" w:after="80"/>
      </w:pPr>
      <w:r>
        <w:rPr>
          <w:rFonts w:ascii="Arial" w:hAnsi="Arial"/>
          <w:i w:val="0"/>
          <w:sz w:val="22"/>
        </w:rPr>
        <w:t>Não. A reincidência (Art. 22, V) exige decisão definitiva anterior. Estar respondendo a outro PAR sem julgamento concluído não configura reincidência, pois o marco legal é a publicação do julgamento anterior, não a instauração de novo processo.</w:t>
      </w:r>
    </w:p>
    <w:p>
      <w:pPr>
        <w:spacing w:before="240" w:after="80"/>
        <w:pBdr>
          <w:bottom w:val="single" w:sz="6" w:space="1" w:color="64A70B"/>
        </w:pBdr>
      </w:pPr>
      <w:r>
        <w:rPr>
          <w:rFonts w:ascii="Arial" w:hAnsi="Arial"/>
          <w:b/>
          <w:color w:val="1D3A78"/>
          <w:sz w:val="23"/>
        </w:rPr>
        <w:t>Como é calculada a publicação quando a multa é ajustada pelo piso legal?</w:t>
      </w:r>
    </w:p>
    <w:p>
      <w:pPr>
        <w:spacing w:before="0" w:after="80"/>
      </w:pPr>
      <w:r>
        <w:rPr>
          <w:rFonts w:ascii="Arial" w:hAnsi="Arial"/>
          <w:i w:val="0"/>
          <w:sz w:val="22"/>
        </w:rPr>
        <w:t>Quando a multa final é elevada ao valor da vantagem auferida (piso), aplica-se o Cenário B: Alíquota de Referência = (Multa Final ÷ Faturamento Bruto) × 100. Isso garante que o prazo de publicação reflita a gravidade proporcional real da sanção.</w:t>
      </w:r>
    </w:p>
    <w:p>
      <w:pPr>
        <w:spacing w:before="240" w:after="80"/>
        <w:pBdr>
          <w:bottom w:val="single" w:sz="6" w:space="1" w:color="64A70B"/>
        </w:pBdr>
      </w:pPr>
      <w:r>
        <w:rPr>
          <w:rFonts w:ascii="Arial" w:hAnsi="Arial"/>
          <w:b/>
          <w:color w:val="1D3A78"/>
          <w:sz w:val="23"/>
        </w:rPr>
        <w:t>Como a colaboração é valorada com 1, 2 ou 3 condições presentes? (atualização CGU 2026)</w:t>
      </w:r>
    </w:p>
    <w:p>
      <w:pPr>
        <w:spacing w:before="0" w:after="80"/>
      </w:pPr>
      <w:r>
        <w:rPr>
          <w:rFonts w:ascii="Arial" w:hAnsi="Arial"/>
          <w:i w:val="0"/>
          <w:sz w:val="22"/>
        </w:rPr>
        <w:t>Conforme a Tabela 6 do Manual CGU, uma ou duas condições ensejam percentual discricionário de 0,5% a 1,0% (fixado pela autoridade conforme a utilidade da colaboração); as três condições, simultaneamente, ensejam 1,5% fixo. A calculadora abre um campo editável (faixa 0,5–1,0%) para 1 ou 2 condições e trava em 1,5% para 3 — não soma mais 0,5% por condição.</w:t>
      </w:r>
    </w:p>
    <w:p>
      <w:pPr>
        <w:spacing w:before="240" w:after="80"/>
        <w:pBdr>
          <w:bottom w:val="single" w:sz="6" w:space="1" w:color="64A70B"/>
        </w:pBdr>
      </w:pPr>
      <w:r>
        <w:rPr>
          <w:rFonts w:ascii="Arial" w:hAnsi="Arial"/>
          <w:b/>
          <w:color w:val="1D3A78"/>
          <w:sz w:val="23"/>
        </w:rPr>
        <w:t>O que é o fator de 1,25 no Programa de Integridade? (atualização CGU 2026)</w:t>
      </w:r>
    </w:p>
    <w:p>
      <w:pPr>
        <w:spacing w:before="0" w:after="80"/>
      </w:pPr>
      <w:r>
        <w:rPr>
          <w:rFonts w:ascii="Arial" w:hAnsi="Arial"/>
          <w:i w:val="0"/>
          <w:sz w:val="22"/>
        </w:rPr>
        <w:t>Conforme a Portaria Conjunta CGU nº 6/2022, ao resultado da planilha [COI × MPI] + APJ aplica-se um fator multiplicador de 1,25 sempre que esse resultado for igual ou superior a 1%, respeitado o teto de 5%. O fator não incide sobre resultados abaixo de 1%, e o teto de 5% é aplicado depois do multiplicador (ex.: 4,2% × 1,25 = 5,25% → limitado a 5,0%).</w:t>
      </w:r>
    </w:p>
    <w:p>
      <w:r>
        <w:br w:type="page"/>
      </w:r>
    </w:p>
    <w:tbl>
      <w:tblPr>
        <w:tblStyle w:val="TableGrid"/>
        <w:tblW w:type="auto" w:w="0"/>
        <w:jc w:val="left"/>
        <w:tblLook w:firstColumn="1" w:firstRow="1" w:lastColumn="0" w:lastRow="0" w:noHBand="0" w:noVBand="1" w:val="04A0"/>
      </w:tblPr>
      <w:tblGrid>
        <w:gridCol w:w="9405"/>
      </w:tblGrid>
      <w:tr>
        <w:tc>
          <w:tcPr>
            <w:tcW w:type="dxa" w:w="9405"/>
            <w:shd w:val="clear" w:color="auto" w:fill="00205B"/>
            <w:tcBorders>
              <w:top w:val="none"/>
              <w:left w:val="none"/>
              <w:bottom w:val="none"/>
              <w:right w:val="none"/>
              <w:insideH w:val="none"/>
              <w:insideV w:val="none"/>
            </w:tcBorders>
            <w:tcBorders>
              <w:top w:val="none"/>
              <w:left w:val="none"/>
              <w:bottom w:val="none"/>
              <w:right w:val="none"/>
              <w:insideH w:val="none"/>
              <w:insideV w:val="none"/>
            </w:tcBorders>
            <w:tcBorders>
              <w:top w:val="none"/>
              <w:left w:val="none"/>
              <w:bottom w:val="none"/>
              <w:right w:val="none"/>
              <w:insideH w:val="none"/>
              <w:insideV w:val="none"/>
            </w:tcBorders>
            <w:tcBorders>
              <w:top w:val="none"/>
              <w:left w:val="none"/>
              <w:bottom w:val="none"/>
              <w:right w:val="none"/>
              <w:insideH w:val="none"/>
              <w:insideV w:val="none"/>
            </w:tcBorders>
          </w:tcPr>
          <w:p>
            <w:pPr>
              <w:spacing w:before="0" w:after="0"/>
              <w:ind w:left="170"/>
            </w:pPr>
            <w:r>
              <w:rPr>
                <w:rFonts w:ascii="Arial" w:hAnsi="Arial"/>
                <w:b/>
                <w:color w:val="FFFFFF"/>
                <w:sz w:val="26"/>
              </w:rPr>
              <w:t>13. CASOS ESPECIAIS E SITUAÇÕES ATÍPICAS</w:t>
            </w:r>
          </w:p>
        </w:tc>
      </w:tr>
    </w:tbl>
    <w:p/>
    <w:p>
      <w:pPr>
        <w:spacing w:before="240" w:after="80"/>
        <w:pBdr>
          <w:bottom w:val="single" w:sz="6" w:space="1" w:color="64A70B"/>
        </w:pBdr>
      </w:pPr>
      <w:r>
        <w:rPr>
          <w:rFonts w:ascii="Arial" w:hAnsi="Arial"/>
          <w:b/>
          <w:color w:val="1D3A78"/>
          <w:sz w:val="23"/>
        </w:rPr>
        <w:t>13.1 Empresa sem Defesa Escrita ou sem Balanço Apresentado</w:t>
      </w:r>
    </w:p>
    <w:p>
      <w:pPr>
        <w:spacing w:before="0" w:after="80"/>
      </w:pPr>
      <w:r>
        <w:rPr>
          <w:rFonts w:ascii="Arial" w:hAnsi="Arial"/>
          <w:i w:val="0"/>
          <w:sz w:val="22"/>
        </w:rPr>
        <w:t>Quando a PJ não apresenta defesa escrita nem documentação contábil, o operador deve buscar dados em sistemas internos antes de qualquer outra medida:</w:t>
      </w:r>
    </w:p>
    <w:tbl>
      <w:tblPr>
        <w:tblStyle w:val="TableGrid"/>
        <w:tblW w:type="auto" w:w="0"/>
        <w:jc w:val="left"/>
        <w:tblLook w:firstColumn="1" w:firstRow="1" w:lastColumn="0" w:lastRow="0" w:noHBand="0" w:noVBand="1" w:val="04A0"/>
      </w:tblPr>
      <w:tblGrid>
        <w:gridCol w:w="4702"/>
        <w:gridCol w:w="4702"/>
      </w:tblGrid>
      <w:tr>
        <w:tc>
          <w:tcPr>
            <w:tcW w:type="dxa" w:w="3402"/>
            <w:shd w:val="clear" w:color="auto" w:fill="00205B"/>
          </w:tcPr>
          <w:p>
            <w:pPr>
              <w:jc w:val="center"/>
            </w:pPr>
            <w:r>
              <w:rPr>
                <w:rFonts w:ascii="Arial" w:hAnsi="Arial"/>
                <w:b/>
                <w:color w:val="FFFFFF"/>
                <w:sz w:val="20"/>
              </w:rPr>
              <w:t>Sistema / Fonte</w:t>
            </w:r>
          </w:p>
        </w:tc>
        <w:tc>
          <w:tcPr>
            <w:tcW w:type="dxa" w:w="6236"/>
            <w:shd w:val="clear" w:color="auto" w:fill="00205B"/>
          </w:tcPr>
          <w:p>
            <w:pPr>
              <w:jc w:val="center"/>
            </w:pPr>
            <w:r>
              <w:rPr>
                <w:rFonts w:ascii="Arial" w:hAnsi="Arial"/>
                <w:b/>
                <w:color w:val="FFFFFF"/>
                <w:sz w:val="20"/>
              </w:rPr>
              <w:t>Informação disponível</w:t>
            </w:r>
          </w:p>
        </w:tc>
      </w:tr>
      <w:tr>
        <w:tc>
          <w:tcPr>
            <w:tcW w:type="dxa" w:w="3402"/>
            <w:shd w:val="clear" w:color="auto" w:fill="F2F2F2"/>
          </w:tcPr>
          <w:p>
            <w:pPr>
              <w:jc w:val="left"/>
            </w:pPr>
            <w:r>
              <w:rPr>
                <w:rFonts w:ascii="Arial" w:hAnsi="Arial"/>
                <w:sz w:val="20"/>
              </w:rPr>
              <w:t>ECF (Escrituração Contábil Fiscal)</w:t>
            </w:r>
          </w:p>
        </w:tc>
        <w:tc>
          <w:tcPr>
            <w:tcW w:type="dxa" w:w="6236"/>
            <w:shd w:val="clear" w:color="auto" w:fill="F2F2F2"/>
          </w:tcPr>
          <w:p>
            <w:pPr>
              <w:jc w:val="center"/>
            </w:pPr>
            <w:r>
              <w:rPr>
                <w:rFonts w:ascii="Arial" w:hAnsi="Arial"/>
                <w:sz w:val="20"/>
              </w:rPr>
              <w:t>Principal fonte para Lucro Real/Presumido — DRE e Balanço</w:t>
            </w:r>
          </w:p>
        </w:tc>
      </w:tr>
      <w:tr>
        <w:tc>
          <w:tcPr>
            <w:tcW w:type="dxa" w:w="3402"/>
            <w:shd w:val="clear" w:color="auto" w:fill="FFFFFF"/>
          </w:tcPr>
          <w:p>
            <w:pPr>
              <w:jc w:val="left"/>
            </w:pPr>
            <w:r>
              <w:rPr>
                <w:rFonts w:ascii="Arial" w:hAnsi="Arial"/>
                <w:sz w:val="20"/>
              </w:rPr>
              <w:t>DIRF / DCTF</w:t>
            </w:r>
          </w:p>
        </w:tc>
        <w:tc>
          <w:tcPr>
            <w:tcW w:type="dxa" w:w="6236"/>
            <w:shd w:val="clear" w:color="auto" w:fill="FFFFFF"/>
          </w:tcPr>
          <w:p>
            <w:pPr>
              <w:jc w:val="center"/>
            </w:pPr>
            <w:r>
              <w:rPr>
                <w:rFonts w:ascii="Arial" w:hAnsi="Arial"/>
                <w:sz w:val="20"/>
              </w:rPr>
              <w:t>Cruzamento de rendimentos e declarações</w:t>
            </w:r>
          </w:p>
        </w:tc>
      </w:tr>
      <w:tr>
        <w:tc>
          <w:tcPr>
            <w:tcW w:type="dxa" w:w="3402"/>
            <w:shd w:val="clear" w:color="auto" w:fill="F2F2F2"/>
          </w:tcPr>
          <w:p>
            <w:pPr>
              <w:jc w:val="left"/>
            </w:pPr>
            <w:r>
              <w:rPr>
                <w:rFonts w:ascii="Arial" w:hAnsi="Arial"/>
                <w:sz w:val="20"/>
              </w:rPr>
              <w:t>SPED</w:t>
            </w:r>
          </w:p>
        </w:tc>
        <w:tc>
          <w:tcPr>
            <w:tcW w:type="dxa" w:w="6236"/>
            <w:shd w:val="clear" w:color="auto" w:fill="F2F2F2"/>
          </w:tcPr>
          <w:p>
            <w:pPr>
              <w:jc w:val="center"/>
            </w:pPr>
            <w:r>
              <w:rPr>
                <w:rFonts w:ascii="Arial" w:hAnsi="Arial"/>
                <w:sz w:val="20"/>
              </w:rPr>
              <w:t>Escrituração contábil e fiscal digital</w:t>
            </w:r>
          </w:p>
        </w:tc>
      </w:tr>
      <w:tr>
        <w:tc>
          <w:tcPr>
            <w:tcW w:type="dxa" w:w="3402"/>
            <w:shd w:val="clear" w:color="auto" w:fill="FFFFFF"/>
          </w:tcPr>
          <w:p>
            <w:pPr>
              <w:jc w:val="left"/>
            </w:pPr>
            <w:r>
              <w:rPr>
                <w:rFonts w:ascii="Arial" w:hAnsi="Arial"/>
                <w:sz w:val="20"/>
              </w:rPr>
              <w:t>DAS / PGDAS</w:t>
            </w:r>
          </w:p>
        </w:tc>
        <w:tc>
          <w:tcPr>
            <w:tcW w:type="dxa" w:w="6236"/>
            <w:shd w:val="clear" w:color="auto" w:fill="FFFFFF"/>
          </w:tcPr>
          <w:p>
            <w:pPr>
              <w:jc w:val="center"/>
            </w:pPr>
            <w:r>
              <w:rPr>
                <w:rFonts w:ascii="Arial" w:hAnsi="Arial"/>
                <w:sz w:val="20"/>
              </w:rPr>
              <w:t>Faturamento para optantes do Simples Nacional</w:t>
            </w:r>
          </w:p>
        </w:tc>
      </w:tr>
      <w:tr>
        <w:tc>
          <w:tcPr>
            <w:tcW w:type="dxa" w:w="3402"/>
            <w:shd w:val="clear" w:color="auto" w:fill="F2F2F2"/>
          </w:tcPr>
          <w:p>
            <w:pPr>
              <w:jc w:val="left"/>
            </w:pPr>
            <w:r>
              <w:rPr>
                <w:rFonts w:ascii="Arial" w:hAnsi="Arial"/>
                <w:sz w:val="20"/>
              </w:rPr>
              <w:t>NF-e / NFS-e</w:t>
            </w:r>
          </w:p>
        </w:tc>
        <w:tc>
          <w:tcPr>
            <w:tcW w:type="dxa" w:w="6236"/>
            <w:shd w:val="clear" w:color="auto" w:fill="F2F2F2"/>
          </w:tcPr>
          <w:p>
            <w:pPr>
              <w:jc w:val="center"/>
            </w:pPr>
            <w:r>
              <w:rPr>
                <w:rFonts w:ascii="Arial" w:hAnsi="Arial"/>
                <w:sz w:val="20"/>
              </w:rPr>
              <w:t>Notas fiscais emitidas — úteis para estimativa</w:t>
            </w:r>
          </w:p>
        </w:tc>
      </w:tr>
    </w:tbl>
    <w:p/>
    <w:tbl>
      <w:tblPr>
        <w:tblStyle w:val="TableGrid"/>
        <w:tblW w:type="auto" w:w="0"/>
        <w:tblLook w:firstColumn="1" w:firstRow="1" w:lastColumn="0" w:lastRow="0" w:noHBand="0" w:noVBand="1" w:val="04A0"/>
      </w:tblPr>
      <w:tblGrid>
        <w:gridCol w:w="9405"/>
      </w:tblGrid>
      <w:tr>
        <w:tc>
          <w:tcPr>
            <w:tcW w:type="dxa" w:w="9405"/>
            <w:shd w:val="clear" w:color="auto" w:fill="F2F2F2"/>
            <w:tcBorders>
              <w:bottom w:val="single" w:sz="6" w:space="0" w:color="64A70B"/>
            </w:tcBorders>
          </w:tcPr>
          <w:p>
            <w:r>
              <w:rPr>
                <w:rFonts w:ascii="Arial" w:hAnsi="Arial"/>
                <w:color w:val="444400"/>
                <w:sz w:val="20"/>
              </w:rPr>
              <w:t>⚠  A ausência de defesa não impede a dosimetria nem desobriga o operador de buscar exaustivamente os dados antes de recorrer à estimativa.</w:t>
            </w:r>
          </w:p>
        </w:tc>
      </w:tr>
    </w:tbl>
    <w:p/>
    <w:p>
      <w:pPr>
        <w:spacing w:before="240" w:after="80"/>
        <w:pBdr>
          <w:bottom w:val="single" w:sz="6" w:space="1" w:color="64A70B"/>
        </w:pBdr>
      </w:pPr>
      <w:r>
        <w:rPr>
          <w:rFonts w:ascii="Arial" w:hAnsi="Arial"/>
          <w:b/>
          <w:color w:val="1D3A78"/>
          <w:sz w:val="23"/>
        </w:rPr>
        <w:t>13.2 Piso Absoluto de R$ 6.000,00 (Empresa Fantasma ou Noteira)</w:t>
      </w:r>
    </w:p>
    <w:p>
      <w:pPr>
        <w:spacing w:before="0" w:after="80"/>
      </w:pPr>
      <w:r>
        <w:rPr>
          <w:rFonts w:ascii="Arial" w:hAnsi="Arial"/>
          <w:i w:val="0"/>
          <w:sz w:val="22"/>
        </w:rPr>
        <w:t>Quando a PJ é uma empresa-fantasma sem faturamento rastreável e a alíquota resultante é zero ou ínfima, aplica-se o piso absoluto de R$ 6.000,00 (Art. 20, §4º da Lei nº 12.846/2013). A multa final não pode ser inferior a esse valor.</w:t>
      </w:r>
    </w:p>
    <w:tbl>
      <w:tblPr>
        <w:tblStyle w:val="TableGrid"/>
        <w:tblW w:type="auto" w:w="0"/>
        <w:jc w:val="left"/>
        <w:tblLook w:firstColumn="1" w:firstRow="1" w:lastColumn="0" w:lastRow="0" w:noHBand="0" w:noVBand="1" w:val="04A0"/>
      </w:tblPr>
      <w:tblGrid>
        <w:gridCol w:w="4702"/>
        <w:gridCol w:w="4702"/>
      </w:tblGrid>
      <w:tr>
        <w:tc>
          <w:tcPr>
            <w:tcW w:type="dxa" w:w="5669"/>
            <w:shd w:val="clear" w:color="auto" w:fill="00205B"/>
          </w:tcPr>
          <w:p>
            <w:pPr>
              <w:jc w:val="center"/>
            </w:pPr>
            <w:r>
              <w:rPr>
                <w:rFonts w:ascii="Arial" w:hAnsi="Arial"/>
                <w:b/>
                <w:color w:val="FFFFFF"/>
                <w:sz w:val="20"/>
              </w:rPr>
              <w:t>Situação</w:t>
            </w:r>
          </w:p>
        </w:tc>
        <w:tc>
          <w:tcPr>
            <w:tcW w:type="dxa" w:w="3969"/>
            <w:shd w:val="clear" w:color="auto" w:fill="00205B"/>
          </w:tcPr>
          <w:p>
            <w:pPr>
              <w:jc w:val="center"/>
            </w:pPr>
            <w:r>
              <w:rPr>
                <w:rFonts w:ascii="Arial" w:hAnsi="Arial"/>
                <w:b/>
                <w:color w:val="FFFFFF"/>
                <w:sz w:val="20"/>
              </w:rPr>
              <w:t>Multa Final</w:t>
            </w:r>
          </w:p>
        </w:tc>
      </w:tr>
      <w:tr>
        <w:tc>
          <w:tcPr>
            <w:tcW w:type="dxa" w:w="5669"/>
            <w:shd w:val="clear" w:color="auto" w:fill="F2F2F2"/>
          </w:tcPr>
          <w:p>
            <w:pPr>
              <w:jc w:val="left"/>
            </w:pPr>
            <w:r>
              <w:rPr>
                <w:rFonts w:ascii="Arial" w:hAnsi="Arial"/>
                <w:sz w:val="20"/>
              </w:rPr>
              <w:t>Alíquota zero por excesso de atenuantes</w:t>
            </w:r>
          </w:p>
        </w:tc>
        <w:tc>
          <w:tcPr>
            <w:tcW w:type="dxa" w:w="3969"/>
            <w:shd w:val="clear" w:color="auto" w:fill="F2F2F2"/>
          </w:tcPr>
          <w:p>
            <w:pPr>
              <w:jc w:val="center"/>
            </w:pPr>
            <w:r>
              <w:rPr>
                <w:rFonts w:ascii="Arial" w:hAnsi="Arial"/>
                <w:sz w:val="20"/>
              </w:rPr>
              <w:t>R$ 6.000,00 (piso absoluto)</w:t>
            </w:r>
          </w:p>
        </w:tc>
      </w:tr>
      <w:tr>
        <w:tc>
          <w:tcPr>
            <w:tcW w:type="dxa" w:w="5669"/>
            <w:shd w:val="clear" w:color="auto" w:fill="FFFFFF"/>
          </w:tcPr>
          <w:p>
            <w:pPr>
              <w:jc w:val="left"/>
            </w:pPr>
            <w:r>
              <w:rPr>
                <w:rFonts w:ascii="Arial" w:hAnsi="Arial"/>
                <w:sz w:val="20"/>
              </w:rPr>
              <w:t>Faturamento ínfimo + alíquota baixa → resultado &lt; R$ 6k</w:t>
            </w:r>
          </w:p>
        </w:tc>
        <w:tc>
          <w:tcPr>
            <w:tcW w:type="dxa" w:w="3969"/>
            <w:shd w:val="clear" w:color="auto" w:fill="FFFFFF"/>
          </w:tcPr>
          <w:p>
            <w:pPr>
              <w:jc w:val="center"/>
            </w:pPr>
            <w:r>
              <w:rPr>
                <w:rFonts w:ascii="Arial" w:hAnsi="Arial"/>
                <w:sz w:val="20"/>
              </w:rPr>
              <w:t>R$ 6.000,00 (piso absoluto)</w:t>
            </w:r>
          </w:p>
        </w:tc>
      </w:tr>
    </w:tbl>
    <w:p/>
    <w:p>
      <w:pPr>
        <w:spacing w:before="240" w:after="80"/>
        <w:pBdr>
          <w:bottom w:val="single" w:sz="6" w:space="1" w:color="64A70B"/>
        </w:pBdr>
      </w:pPr>
      <w:r>
        <w:rPr>
          <w:rFonts w:ascii="Arial" w:hAnsi="Arial"/>
          <w:b/>
          <w:color w:val="1D3A78"/>
          <w:sz w:val="23"/>
        </w:rPr>
        <w:t>13.3 Estimativa Fundamentada (Art. 20, §1º, III)</w:t>
      </w:r>
    </w:p>
    <w:p>
      <w:pPr>
        <w:spacing w:before="0" w:after="80"/>
      </w:pPr>
      <w:r>
        <w:rPr>
          <w:rFonts w:ascii="Arial" w:hAnsi="Arial"/>
          <w:i w:val="0"/>
          <w:sz w:val="22"/>
        </w:rPr>
        <w:t>Quando não há faturamento histórico em nenhum sistema, a autoridade realiza estimativa técnica com base em elementos objetivos. O procedimento é:</w:t>
      </w:r>
    </w:p>
    <w:p>
      <w:pPr>
        <w:pStyle w:val="ListBullet"/>
        <w:spacing w:before="0" w:after="40"/>
        <w:ind w:left="283"/>
      </w:pPr>
      <w:r>
        <w:rPr>
          <w:rFonts w:ascii="Arial" w:hAnsi="Arial"/>
          <w:sz w:val="22"/>
        </w:rPr>
        <w:t>1. Levantar o capital social ou outros indicadores objetivos (GFIP, compras, valor de repasses ilícitos);</w:t>
      </w:r>
    </w:p>
    <w:p>
      <w:pPr>
        <w:pStyle w:val="ListBullet"/>
        <w:spacing w:before="0" w:after="40"/>
        <w:ind w:left="283"/>
      </w:pPr>
      <w:r>
        <w:rPr>
          <w:rFonts w:ascii="Arial" w:hAnsi="Arial"/>
          <w:sz w:val="22"/>
        </w:rPr>
        <w:t>2. Identificar o CNAE e a carga tributária estimada do regime vigente;</w:t>
      </w:r>
    </w:p>
    <w:p>
      <w:pPr>
        <w:pStyle w:val="ListBullet"/>
        <w:spacing w:before="0" w:after="40"/>
        <w:ind w:left="283"/>
      </w:pPr>
      <w:r>
        <w:rPr>
          <w:rFonts w:ascii="Arial" w:hAnsi="Arial"/>
          <w:sz w:val="22"/>
        </w:rPr>
        <w:t>3. Base histórica líquida = indicador bruto − tributos estimados;</w:t>
      </w:r>
    </w:p>
    <w:p>
      <w:pPr>
        <w:pStyle w:val="ListBullet"/>
        <w:spacing w:before="0" w:after="40"/>
        <w:ind w:left="283"/>
      </w:pPr>
      <w:r>
        <w:rPr>
          <w:rFonts w:ascii="Arial" w:hAnsi="Arial"/>
          <w:sz w:val="22"/>
        </w:rPr>
        <w:t>4. Atualizar pelo IPCA até 31/12 do exercício anterior ao PAR.</w:t>
      </w:r>
    </w:p>
    <w:tbl>
      <w:tblPr>
        <w:tblStyle w:val="TableGrid"/>
        <w:tblW w:type="auto" w:w="0"/>
        <w:tblLook w:firstColumn="1" w:firstRow="1" w:lastColumn="0" w:lastRow="0" w:noHBand="0" w:noVBand="1" w:val="04A0"/>
      </w:tblPr>
      <w:tblGrid>
        <w:gridCol w:w="9405"/>
      </w:tblGrid>
      <w:tr>
        <w:tc>
          <w:tcPr>
            <w:tcW w:type="dxa" w:w="9405"/>
            <w:shd w:val="clear" w:color="auto" w:fill="F2F2F2"/>
            <w:tcBorders>
              <w:bottom w:val="single" w:sz="6" w:space="0" w:color="64A70B"/>
            </w:tcBorders>
          </w:tcPr>
          <w:p>
            <w:r>
              <w:rPr>
                <w:rFonts w:ascii="Arial" w:hAnsi="Arial"/>
                <w:color w:val="444400"/>
                <w:sz w:val="20"/>
              </w:rPr>
              <w:t>⚠  Estimativa técnica não é valor arbitrário. Deve ser formalmente fundamentada com os elementos usados. A autoridade documenta cada premissa no processo.</w:t>
            </w:r>
          </w:p>
        </w:tc>
      </w:tr>
    </w:tbl>
    <w:p/>
    <w:p>
      <w:pPr>
        <w:spacing w:before="240" w:after="80"/>
        <w:pBdr>
          <w:bottom w:val="single" w:sz="6" w:space="1" w:color="64A70B"/>
        </w:pBdr>
      </w:pPr>
      <w:r>
        <w:rPr>
          <w:rFonts w:ascii="Arial" w:hAnsi="Arial"/>
          <w:b/>
          <w:color w:val="1D3A78"/>
          <w:sz w:val="23"/>
        </w:rPr>
        <w:t>13.4 Retroação Anual — Art. 21 (Sem Faturamento no Exercício Anterior)</w:t>
      </w:r>
    </w:p>
    <w:p>
      <w:pPr>
        <w:spacing w:before="0" w:after="80"/>
      </w:pPr>
      <w:r>
        <w:rPr>
          <w:rFonts w:ascii="Arial" w:hAnsi="Arial"/>
          <w:i w:val="0"/>
          <w:sz w:val="22"/>
        </w:rPr>
        <w:t>Quando a PJ não teve faturamento no exercício imediatamente anterior ao PAR, recua-se ano a ano até encontrar um período com faturamento válido, e atualiza-se pelo IPCA:</w:t>
      </w:r>
    </w:p>
    <w:tbl>
      <w:tblPr>
        <w:tblStyle w:val="TableGrid"/>
        <w:tblW w:type="auto" w:w="0"/>
        <w:jc w:val="left"/>
        <w:tblLook w:firstColumn="1" w:firstRow="1" w:lastColumn="0" w:lastRow="0" w:noHBand="0" w:noVBand="1" w:val="04A0"/>
      </w:tblPr>
      <w:tblGrid>
        <w:gridCol w:w="3135"/>
        <w:gridCol w:w="3135"/>
        <w:gridCol w:w="3135"/>
      </w:tblGrid>
      <w:tr>
        <w:tc>
          <w:tcPr>
            <w:tcW w:type="dxa" w:w="2835"/>
            <w:shd w:val="clear" w:color="auto" w:fill="00205B"/>
          </w:tcPr>
          <w:p>
            <w:pPr>
              <w:jc w:val="center"/>
            </w:pPr>
            <w:r>
              <w:rPr>
                <w:rFonts w:ascii="Arial" w:hAnsi="Arial"/>
                <w:b/>
                <w:color w:val="FFFFFF"/>
                <w:sz w:val="20"/>
              </w:rPr>
              <w:t>Exercício</w:t>
            </w:r>
          </w:p>
        </w:tc>
        <w:tc>
          <w:tcPr>
            <w:tcW w:type="dxa" w:w="2835"/>
            <w:shd w:val="clear" w:color="auto" w:fill="00205B"/>
          </w:tcPr>
          <w:p>
            <w:pPr>
              <w:jc w:val="center"/>
            </w:pPr>
            <w:r>
              <w:rPr>
                <w:rFonts w:ascii="Arial" w:hAnsi="Arial"/>
                <w:b/>
                <w:color w:val="FFFFFF"/>
                <w:sz w:val="20"/>
              </w:rPr>
              <w:t>Faturamento Bruto</w:t>
            </w:r>
          </w:p>
        </w:tc>
        <w:tc>
          <w:tcPr>
            <w:tcW w:type="dxa" w:w="3969"/>
            <w:shd w:val="clear" w:color="auto" w:fill="00205B"/>
          </w:tcPr>
          <w:p>
            <w:pPr>
              <w:jc w:val="center"/>
            </w:pPr>
            <w:r>
              <w:rPr>
                <w:rFonts w:ascii="Arial" w:hAnsi="Arial"/>
                <w:b/>
                <w:color w:val="FFFFFF"/>
                <w:sz w:val="20"/>
              </w:rPr>
              <w:t>Situação</w:t>
            </w:r>
          </w:p>
        </w:tc>
      </w:tr>
      <w:tr>
        <w:tc>
          <w:tcPr>
            <w:tcW w:type="dxa" w:w="2835"/>
            <w:shd w:val="clear" w:color="auto" w:fill="F2F2F2"/>
          </w:tcPr>
          <w:p>
            <w:pPr>
              <w:jc w:val="left"/>
            </w:pPr>
            <w:r>
              <w:rPr>
                <w:rFonts w:ascii="Arial" w:hAnsi="Arial"/>
                <w:sz w:val="20"/>
              </w:rPr>
              <w:t>Exercício PAR − 1</w:t>
            </w:r>
          </w:p>
        </w:tc>
        <w:tc>
          <w:tcPr>
            <w:tcW w:type="dxa" w:w="2835"/>
            <w:shd w:val="clear" w:color="auto" w:fill="F2F2F2"/>
          </w:tcPr>
          <w:p>
            <w:pPr>
              <w:jc w:val="center"/>
            </w:pPr>
            <w:r>
              <w:rPr>
                <w:rFonts w:ascii="Arial" w:hAnsi="Arial"/>
                <w:sz w:val="20"/>
              </w:rPr>
              <w:t>R$ 0,00</w:t>
            </w:r>
          </w:p>
        </w:tc>
        <w:tc>
          <w:tcPr>
            <w:tcW w:type="dxa" w:w="3969"/>
            <w:shd w:val="clear" w:color="auto" w:fill="F2F2F2"/>
          </w:tcPr>
          <w:p>
            <w:pPr>
              <w:jc w:val="center"/>
            </w:pPr>
            <w:r>
              <w:rPr>
                <w:rFonts w:ascii="Arial" w:hAnsi="Arial"/>
                <w:sz w:val="20"/>
              </w:rPr>
              <w:t>Sem faturamento — retroage</w:t>
            </w:r>
          </w:p>
        </w:tc>
      </w:tr>
      <w:tr>
        <w:tc>
          <w:tcPr>
            <w:tcW w:type="dxa" w:w="2835"/>
            <w:shd w:val="clear" w:color="auto" w:fill="FFFFFF"/>
          </w:tcPr>
          <w:p>
            <w:pPr>
              <w:jc w:val="left"/>
            </w:pPr>
            <w:r>
              <w:rPr>
                <w:rFonts w:ascii="Arial" w:hAnsi="Arial"/>
                <w:sz w:val="20"/>
              </w:rPr>
              <w:t>Exercício PAR − 2</w:t>
            </w:r>
          </w:p>
        </w:tc>
        <w:tc>
          <w:tcPr>
            <w:tcW w:type="dxa" w:w="2835"/>
            <w:shd w:val="clear" w:color="auto" w:fill="FFFFFF"/>
          </w:tcPr>
          <w:p>
            <w:pPr>
              <w:jc w:val="center"/>
            </w:pPr>
            <w:r>
              <w:rPr>
                <w:rFonts w:ascii="Arial" w:hAnsi="Arial"/>
                <w:sz w:val="20"/>
              </w:rPr>
              <w:t>R$ 0,00</w:t>
            </w:r>
          </w:p>
        </w:tc>
        <w:tc>
          <w:tcPr>
            <w:tcW w:type="dxa" w:w="3969"/>
            <w:shd w:val="clear" w:color="auto" w:fill="FFFFFF"/>
          </w:tcPr>
          <w:p>
            <w:pPr>
              <w:jc w:val="center"/>
            </w:pPr>
            <w:r>
              <w:rPr>
                <w:rFonts w:ascii="Arial" w:hAnsi="Arial"/>
                <w:sz w:val="20"/>
              </w:rPr>
              <w:t>Sem faturamento — retroage</w:t>
            </w:r>
          </w:p>
        </w:tc>
      </w:tr>
      <w:tr>
        <w:tc>
          <w:tcPr>
            <w:tcW w:type="dxa" w:w="2835"/>
            <w:shd w:val="clear" w:color="auto" w:fill="F2F2F2"/>
          </w:tcPr>
          <w:p>
            <w:pPr>
              <w:jc w:val="left"/>
            </w:pPr>
            <w:r>
              <w:rPr>
                <w:rFonts w:ascii="Arial" w:hAnsi="Arial"/>
                <w:sz w:val="20"/>
              </w:rPr>
              <w:t>Exercício PAR − N</w:t>
            </w:r>
          </w:p>
        </w:tc>
        <w:tc>
          <w:tcPr>
            <w:tcW w:type="dxa" w:w="2835"/>
            <w:shd w:val="clear" w:color="auto" w:fill="F2F2F2"/>
          </w:tcPr>
          <w:p>
            <w:pPr>
              <w:jc w:val="center"/>
            </w:pPr>
            <w:r>
              <w:rPr>
                <w:rFonts w:ascii="Arial" w:hAnsi="Arial"/>
                <w:sz w:val="20"/>
              </w:rPr>
              <w:t>Valor encontrado</w:t>
            </w:r>
          </w:p>
        </w:tc>
        <w:tc>
          <w:tcPr>
            <w:tcW w:type="dxa" w:w="3969"/>
            <w:shd w:val="clear" w:color="auto" w:fill="F2F2F2"/>
          </w:tcPr>
          <w:p>
            <w:pPr>
              <w:jc w:val="center"/>
            </w:pPr>
            <w:r>
              <w:rPr>
                <w:rFonts w:ascii="Arial" w:hAnsi="Arial"/>
                <w:sz w:val="20"/>
              </w:rPr>
              <w:t>Base histórica → aplicar IPCA</w:t>
            </w:r>
          </w:p>
        </w:tc>
      </w:tr>
    </w:tbl>
    <w:p/>
    <w:p>
      <w:pPr>
        <w:spacing w:before="0" w:after="80"/>
      </w:pPr>
      <w:r>
        <w:rPr>
          <w:rFonts w:ascii="Arial" w:hAnsi="Arial"/>
          <w:i w:val="0"/>
          <w:sz w:val="22"/>
        </w:rPr>
        <w:t>O valor corrigido pelo IPCA passa a ser a base de cálculo oficial para toda a dosimetria.</w:t>
      </w:r>
    </w:p>
    <w:p>
      <w:pPr>
        <w:spacing w:before="240" w:after="80"/>
        <w:pBdr>
          <w:bottom w:val="single" w:sz="6" w:space="1" w:color="64A70B"/>
        </w:pBdr>
      </w:pPr>
      <w:r>
        <w:rPr>
          <w:rFonts w:ascii="Arial" w:hAnsi="Arial"/>
          <w:b/>
          <w:color w:val="1D3A78"/>
          <w:sz w:val="23"/>
        </w:rPr>
        <w:t>13.5 Sucessão Empresarial (Art. 4º, Lei nº 12.846/2013)</w:t>
      </w:r>
    </w:p>
    <w:tbl>
      <w:tblPr>
        <w:tblStyle w:val="TableGrid"/>
        <w:tblW w:type="auto" w:w="0"/>
        <w:jc w:val="left"/>
        <w:tblLook w:firstColumn="1" w:firstRow="1" w:lastColumn="0" w:lastRow="0" w:noHBand="0" w:noVBand="1" w:val="04A0"/>
      </w:tblPr>
      <w:tblGrid>
        <w:gridCol w:w="3135"/>
        <w:gridCol w:w="3135"/>
        <w:gridCol w:w="3135"/>
      </w:tblGrid>
      <w:tr>
        <w:tc>
          <w:tcPr>
            <w:tcW w:type="dxa" w:w="3118"/>
            <w:shd w:val="clear" w:color="auto" w:fill="00205B"/>
          </w:tcPr>
          <w:p>
            <w:pPr>
              <w:jc w:val="center"/>
            </w:pPr>
            <w:r>
              <w:rPr>
                <w:rFonts w:ascii="Arial" w:hAnsi="Arial"/>
                <w:b/>
                <w:color w:val="FFFFFF"/>
                <w:sz w:val="20"/>
              </w:rPr>
              <w:t>Evento Societário</w:t>
            </w:r>
          </w:p>
        </w:tc>
        <w:tc>
          <w:tcPr>
            <w:tcW w:type="dxa" w:w="3402"/>
            <w:shd w:val="clear" w:color="auto" w:fill="00205B"/>
          </w:tcPr>
          <w:p>
            <w:pPr>
              <w:jc w:val="center"/>
            </w:pPr>
            <w:r>
              <w:rPr>
                <w:rFonts w:ascii="Arial" w:hAnsi="Arial"/>
                <w:b/>
                <w:color w:val="FFFFFF"/>
                <w:sz w:val="20"/>
              </w:rPr>
              <w:t>Responsabilidade da Sucessora</w:t>
            </w:r>
          </w:p>
        </w:tc>
        <w:tc>
          <w:tcPr>
            <w:tcW w:type="dxa" w:w="3118"/>
            <w:shd w:val="clear" w:color="auto" w:fill="00205B"/>
          </w:tcPr>
          <w:p>
            <w:pPr>
              <w:jc w:val="center"/>
            </w:pPr>
            <w:r>
              <w:rPr>
                <w:rFonts w:ascii="Arial" w:hAnsi="Arial"/>
                <w:b/>
                <w:color w:val="FFFFFF"/>
                <w:sz w:val="20"/>
              </w:rPr>
              <w:t>Base de Cálculo</w:t>
            </w:r>
          </w:p>
        </w:tc>
      </w:tr>
      <w:tr>
        <w:tc>
          <w:tcPr>
            <w:tcW w:type="dxa" w:w="3118"/>
            <w:shd w:val="clear" w:color="auto" w:fill="F2F2F2"/>
          </w:tcPr>
          <w:p>
            <w:pPr>
              <w:jc w:val="left"/>
            </w:pPr>
            <w:r>
              <w:rPr>
                <w:rFonts w:ascii="Arial" w:hAnsi="Arial"/>
                <w:sz w:val="20"/>
              </w:rPr>
              <w:t>Alteração contratual ou transformação</w:t>
            </w:r>
          </w:p>
        </w:tc>
        <w:tc>
          <w:tcPr>
            <w:tcW w:type="dxa" w:w="3402"/>
            <w:shd w:val="clear" w:color="auto" w:fill="F2F2F2"/>
          </w:tcPr>
          <w:p>
            <w:pPr>
              <w:jc w:val="center"/>
            </w:pPr>
            <w:r>
              <w:rPr>
                <w:rFonts w:ascii="Arial" w:hAnsi="Arial"/>
                <w:sz w:val="20"/>
              </w:rPr>
              <w:t>Mesma PJ — responsabilidade inalterada</w:t>
            </w:r>
          </w:p>
        </w:tc>
        <w:tc>
          <w:tcPr>
            <w:tcW w:type="dxa" w:w="3118"/>
            <w:shd w:val="clear" w:color="auto" w:fill="F2F2F2"/>
          </w:tcPr>
          <w:p>
            <w:pPr>
              <w:jc w:val="center"/>
            </w:pPr>
            <w:r>
              <w:rPr>
                <w:rFonts w:ascii="Arial" w:hAnsi="Arial"/>
                <w:sz w:val="20"/>
              </w:rPr>
              <w:t>Faturamento da própria PJ</w:t>
            </w:r>
          </w:p>
        </w:tc>
      </w:tr>
      <w:tr>
        <w:tc>
          <w:tcPr>
            <w:tcW w:type="dxa" w:w="3118"/>
            <w:shd w:val="clear" w:color="auto" w:fill="FFFFFF"/>
          </w:tcPr>
          <w:p>
            <w:pPr>
              <w:jc w:val="left"/>
            </w:pPr>
            <w:r>
              <w:rPr>
                <w:rFonts w:ascii="Arial" w:hAnsi="Arial"/>
                <w:sz w:val="20"/>
              </w:rPr>
              <w:t>Incorporação ou fusão</w:t>
            </w:r>
          </w:p>
        </w:tc>
        <w:tc>
          <w:tcPr>
            <w:tcW w:type="dxa" w:w="3402"/>
            <w:shd w:val="clear" w:color="auto" w:fill="FFFFFF"/>
          </w:tcPr>
          <w:p>
            <w:pPr>
              <w:jc w:val="center"/>
            </w:pPr>
            <w:r>
              <w:rPr>
                <w:rFonts w:ascii="Arial" w:hAnsi="Arial"/>
                <w:sz w:val="20"/>
              </w:rPr>
              <w:t>Sucessora responde, limitada ao patrimônio transferido</w:t>
            </w:r>
          </w:p>
        </w:tc>
        <w:tc>
          <w:tcPr>
            <w:tcW w:type="dxa" w:w="3118"/>
            <w:shd w:val="clear" w:color="auto" w:fill="FFFFFF"/>
          </w:tcPr>
          <w:p>
            <w:pPr>
              <w:jc w:val="center"/>
            </w:pPr>
            <w:r>
              <w:rPr>
                <w:rFonts w:ascii="Arial" w:hAnsi="Arial"/>
                <w:sz w:val="20"/>
              </w:rPr>
              <w:t>Faturamento da empresa SUCESSORA</w:t>
            </w:r>
          </w:p>
        </w:tc>
      </w:tr>
    </w:tbl>
    <w:p/>
    <w:tbl>
      <w:tblPr>
        <w:tblStyle w:val="TableGrid"/>
        <w:tblW w:type="auto" w:w="0"/>
        <w:tblLook w:firstColumn="1" w:firstRow="1" w:lastColumn="0" w:lastRow="0" w:noHBand="0" w:noVBand="1" w:val="04A0"/>
      </w:tblPr>
      <w:tblGrid>
        <w:gridCol w:w="9405"/>
      </w:tblGrid>
      <w:tr>
        <w:tc>
          <w:tcPr>
            <w:tcW w:type="dxa" w:w="9405"/>
            <w:shd w:val="clear" w:color="auto" w:fill="F2F2F2"/>
            <w:tcBorders>
              <w:bottom w:val="single" w:sz="6" w:space="0" w:color="64A70B"/>
            </w:tcBorders>
          </w:tcPr>
          <w:p>
            <w:r>
              <w:rPr>
                <w:rFonts w:ascii="Arial" w:hAnsi="Arial"/>
                <w:color w:val="444400"/>
                <w:sz w:val="20"/>
              </w:rPr>
              <w:t>⚠  Se o evento sucessório ocorrer durante o andamento do PAR, o polo passivo é redirecionado na Nota de Indiciação para a empresa sucessora.</w:t>
            </w:r>
          </w:p>
        </w:tc>
      </w:tr>
    </w:tbl>
    <w:p/>
    <w:p>
      <w:pPr>
        <w:spacing w:before="240" w:after="80"/>
        <w:pBdr>
          <w:bottom w:val="single" w:sz="6" w:space="1" w:color="64A70B"/>
        </w:pBdr>
      </w:pPr>
      <w:r>
        <w:rPr>
          <w:rFonts w:ascii="Arial" w:hAnsi="Arial"/>
          <w:b/>
          <w:color w:val="1D3A78"/>
          <w:sz w:val="23"/>
        </w:rPr>
        <w:t>13.6 Grupo Econômico (Art. 20, §2º, Decreto nº 11.129/2022)</w:t>
      </w:r>
    </w:p>
    <w:p>
      <w:pPr>
        <w:spacing w:before="0" w:after="80"/>
      </w:pPr>
      <w:r>
        <w:rPr>
          <w:rFonts w:ascii="Arial" w:hAnsi="Arial"/>
          <w:i w:val="0"/>
          <w:sz w:val="22"/>
        </w:rPr>
        <w:t>Quando há prova de que diferentes empresas agiram em conluio ou fraude estruturada como se fossem uma única entidade, configura-se o grupo econômico para fins de dosimetria. Consequências:</w:t>
      </w:r>
    </w:p>
    <w:p>
      <w:pPr>
        <w:pStyle w:val="ListBullet"/>
        <w:spacing w:before="0" w:after="40"/>
        <w:ind w:left="283"/>
      </w:pPr>
      <w:r>
        <w:rPr>
          <w:rFonts w:ascii="Arial" w:hAnsi="Arial"/>
          <w:sz w:val="22"/>
        </w:rPr>
        <w:t>Consolidação dos faturamentos brutos de todas as PJs participantes para compor a base de cálculo;</w:t>
      </w:r>
    </w:p>
    <w:p>
      <w:pPr>
        <w:pStyle w:val="ListBullet"/>
        <w:spacing w:before="0" w:after="40"/>
        <w:ind w:left="283"/>
      </w:pPr>
      <w:r>
        <w:rPr>
          <w:rFonts w:ascii="Arial" w:hAnsi="Arial"/>
          <w:sz w:val="22"/>
        </w:rPr>
        <w:t>Avaliação conjunta de agravantes e atenuantes;</w:t>
      </w:r>
    </w:p>
    <w:p>
      <w:pPr>
        <w:pStyle w:val="ListBullet"/>
        <w:spacing w:before="0" w:after="40"/>
        <w:ind w:left="283"/>
      </w:pPr>
      <w:r>
        <w:rPr>
          <w:rFonts w:ascii="Arial" w:hAnsi="Arial"/>
          <w:sz w:val="22"/>
        </w:rPr>
        <w:t>Consideração da vantagem auferida por todo o esquema ilícito;</w:t>
      </w:r>
    </w:p>
    <w:p>
      <w:pPr>
        <w:pStyle w:val="ListBullet"/>
        <w:spacing w:before="0" w:after="40"/>
        <w:ind w:left="283"/>
      </w:pPr>
      <w:r>
        <w:rPr>
          <w:rFonts w:ascii="Arial" w:hAnsi="Arial"/>
          <w:sz w:val="22"/>
        </w:rPr>
        <w:t>Solidariedade: todas as PJs integrantes respondem integralmente pelo valor total da multa aplicada.</w:t>
      </w:r>
    </w:p>
    <w:p>
      <w:r>
        <w:br w:type="page"/>
      </w:r>
    </w:p>
    <w:tbl>
      <w:tblPr>
        <w:tblStyle w:val="TableGrid"/>
        <w:tblW w:type="auto" w:w="0"/>
        <w:jc w:val="left"/>
        <w:tblLook w:firstColumn="1" w:firstRow="1" w:lastColumn="0" w:lastRow="0" w:noHBand="0" w:noVBand="1" w:val="04A0"/>
      </w:tblPr>
      <w:tblGrid>
        <w:gridCol w:w="9405"/>
      </w:tblGrid>
      <w:tr>
        <w:tc>
          <w:tcPr>
            <w:tcW w:type="dxa" w:w="9405"/>
            <w:shd w:val="clear" w:color="auto" w:fill="00205B"/>
            <w:tcBorders>
              <w:top w:val="none"/>
              <w:left w:val="none"/>
              <w:bottom w:val="none"/>
              <w:right w:val="none"/>
              <w:insideH w:val="none"/>
              <w:insideV w:val="none"/>
            </w:tcBorders>
            <w:tcBorders>
              <w:top w:val="none"/>
              <w:left w:val="none"/>
              <w:bottom w:val="none"/>
              <w:right w:val="none"/>
              <w:insideH w:val="none"/>
              <w:insideV w:val="none"/>
            </w:tcBorders>
            <w:tcBorders>
              <w:top w:val="none"/>
              <w:left w:val="none"/>
              <w:bottom w:val="none"/>
              <w:right w:val="none"/>
              <w:insideH w:val="none"/>
              <w:insideV w:val="none"/>
            </w:tcBorders>
            <w:tcBorders>
              <w:top w:val="none"/>
              <w:left w:val="none"/>
              <w:bottom w:val="none"/>
              <w:right w:val="none"/>
              <w:insideH w:val="none"/>
              <w:insideV w:val="none"/>
            </w:tcBorders>
          </w:tcPr>
          <w:p>
            <w:pPr>
              <w:spacing w:before="0" w:after="0"/>
              <w:ind w:left="170"/>
            </w:pPr>
            <w:r>
              <w:rPr>
                <w:rFonts w:ascii="Arial" w:hAnsi="Arial"/>
                <w:b/>
                <w:color w:val="FFFFFF"/>
                <w:sz w:val="26"/>
              </w:rPr>
              <w:t>14. ESTUDOS DE CASO COMENTADOS</w:t>
            </w:r>
          </w:p>
        </w:tc>
      </w:tr>
    </w:tbl>
    <w:p/>
    <w:p>
      <w:pPr>
        <w:spacing w:before="0" w:after="80"/>
      </w:pPr>
      <w:r>
        <w:rPr>
          <w:rFonts w:ascii="Arial" w:hAnsi="Arial"/>
          <w:i w:val="0"/>
          <w:sz w:val="22"/>
        </w:rPr>
        <w:t>Os casos a seguir ilustram a aplicação concreta da dosimetria, com dados numéricos reais e as decisões metodológicas tomadas em cada etapa.</w:t>
      </w:r>
    </w:p>
    <w:p>
      <w:pPr>
        <w:spacing w:before="240" w:after="80"/>
        <w:pBdr>
          <w:bottom w:val="single" w:sz="6" w:space="1" w:color="64A70B"/>
        </w:pBdr>
      </w:pPr>
      <w:r>
        <w:rPr>
          <w:rFonts w:ascii="Arial" w:hAnsi="Arial"/>
          <w:b/>
          <w:color w:val="1D3A78"/>
          <w:sz w:val="23"/>
        </w:rPr>
        <w:t>14.1 Caso I — Empresa Alimentos Sabor SA: Fraude em Fiscalização Tributária</w:t>
      </w:r>
    </w:p>
    <w:p>
      <w:pPr>
        <w:spacing w:before="160" w:after="40"/>
      </w:pPr>
      <w:r>
        <w:rPr>
          <w:rFonts w:ascii="Arial" w:hAnsi="Arial"/>
          <w:b/>
          <w:color w:val="1D3A78"/>
          <w:sz w:val="22"/>
        </w:rPr>
        <w:t>Cenário</w:t>
      </w:r>
    </w:p>
    <w:p>
      <w:pPr>
        <w:spacing w:before="0" w:after="80"/>
      </w:pPr>
      <w:r>
        <w:rPr>
          <w:rFonts w:ascii="Arial" w:hAnsi="Arial"/>
          <w:i w:val="0"/>
          <w:sz w:val="22"/>
        </w:rPr>
        <w:t>PAR instaurado em 2025. CNPJ 12.345.678/0001-90. Ato lesivo: fraude em fiscalização tributária. Provas: Operação Policial com quebra de sigilos telemático, telefônico e bancário. Benefício econômico estimado: R$ 90.000.000,00.</w:t>
      </w:r>
    </w:p>
    <w:p>
      <w:pPr>
        <w:spacing w:before="160" w:after="40"/>
      </w:pPr>
      <w:r>
        <w:rPr>
          <w:rFonts w:ascii="Arial" w:hAnsi="Arial"/>
          <w:b/>
          <w:color w:val="1D3A78"/>
          <w:sz w:val="22"/>
        </w:rPr>
        <w:t>Passo 1 — Base de Cálculo (ECF/DRE da Matriz, exercício 2024)</w:t>
      </w:r>
    </w:p>
    <w:tbl>
      <w:tblPr>
        <w:tblStyle w:val="TableGrid"/>
        <w:tblW w:type="auto" w:w="0"/>
        <w:jc w:val="left"/>
        <w:tblLook w:firstColumn="1" w:firstRow="1" w:lastColumn="0" w:lastRow="0" w:noHBand="0" w:noVBand="1" w:val="04A0"/>
      </w:tblPr>
      <w:tblGrid>
        <w:gridCol w:w="4702"/>
        <w:gridCol w:w="4702"/>
      </w:tblGrid>
      <w:tr>
        <w:tc>
          <w:tcPr>
            <w:tcW w:type="dxa" w:w="5102"/>
            <w:shd w:val="clear" w:color="auto" w:fill="00205B"/>
          </w:tcPr>
          <w:p>
            <w:pPr>
              <w:jc w:val="center"/>
            </w:pPr>
            <w:r>
              <w:rPr>
                <w:rFonts w:ascii="Arial" w:hAnsi="Arial"/>
                <w:b/>
                <w:color w:val="FFFFFF"/>
                <w:sz w:val="20"/>
              </w:rPr>
              <w:t>Item</w:t>
            </w:r>
          </w:p>
        </w:tc>
        <w:tc>
          <w:tcPr>
            <w:tcW w:type="dxa" w:w="4535"/>
            <w:shd w:val="clear" w:color="auto" w:fill="00205B"/>
          </w:tcPr>
          <w:p>
            <w:pPr>
              <w:jc w:val="center"/>
            </w:pPr>
            <w:r>
              <w:rPr>
                <w:rFonts w:ascii="Arial" w:hAnsi="Arial"/>
                <w:b/>
                <w:color w:val="FFFFFF"/>
                <w:sz w:val="20"/>
              </w:rPr>
              <w:t>Valor</w:t>
            </w:r>
          </w:p>
        </w:tc>
      </w:tr>
      <w:tr>
        <w:tc>
          <w:tcPr>
            <w:tcW w:type="dxa" w:w="5102"/>
            <w:shd w:val="clear" w:color="auto" w:fill="F2F2F2"/>
          </w:tcPr>
          <w:p>
            <w:pPr>
              <w:jc w:val="left"/>
            </w:pPr>
            <w:r>
              <w:rPr>
                <w:rFonts w:ascii="Arial" w:hAnsi="Arial"/>
                <w:sz w:val="20"/>
              </w:rPr>
              <w:t>Faturamento Bruto</w:t>
            </w:r>
          </w:p>
        </w:tc>
        <w:tc>
          <w:tcPr>
            <w:tcW w:type="dxa" w:w="4535"/>
            <w:shd w:val="clear" w:color="auto" w:fill="F2F2F2"/>
          </w:tcPr>
          <w:p>
            <w:pPr>
              <w:jc w:val="center"/>
            </w:pPr>
            <w:r>
              <w:rPr>
                <w:rFonts w:ascii="Arial" w:hAnsi="Arial"/>
                <w:sz w:val="20"/>
              </w:rPr>
              <w:t>R$ 1.248.765.432,00</w:t>
            </w:r>
          </w:p>
        </w:tc>
      </w:tr>
      <w:tr>
        <w:tc>
          <w:tcPr>
            <w:tcW w:type="dxa" w:w="5102"/>
            <w:shd w:val="clear" w:color="auto" w:fill="FFFFFF"/>
          </w:tcPr>
          <w:p>
            <w:pPr>
              <w:jc w:val="left"/>
            </w:pPr>
            <w:r>
              <w:rPr>
                <w:rFonts w:ascii="Arial" w:hAnsi="Arial"/>
                <w:sz w:val="20"/>
              </w:rPr>
              <w:t>(−) Tributos Incidentes</w:t>
            </w:r>
          </w:p>
        </w:tc>
        <w:tc>
          <w:tcPr>
            <w:tcW w:type="dxa" w:w="4535"/>
            <w:shd w:val="clear" w:color="auto" w:fill="FFFFFF"/>
          </w:tcPr>
          <w:p>
            <w:pPr>
              <w:jc w:val="center"/>
            </w:pPr>
            <w:r>
              <w:rPr>
                <w:rFonts w:ascii="Arial" w:hAnsi="Arial"/>
                <w:sz w:val="20"/>
              </w:rPr>
              <w:t>(R$ 188.653.322,00)</w:t>
            </w:r>
          </w:p>
        </w:tc>
      </w:tr>
      <w:tr>
        <w:tc>
          <w:tcPr>
            <w:tcW w:type="dxa" w:w="5102"/>
            <w:shd w:val="clear" w:color="auto" w:fill="F2F2F2"/>
          </w:tcPr>
          <w:p>
            <w:pPr>
              <w:jc w:val="left"/>
            </w:pPr>
            <w:r>
              <w:rPr>
                <w:rFonts w:ascii="Arial" w:hAnsi="Arial"/>
                <w:sz w:val="20"/>
              </w:rPr>
              <w:t>Base de Cálculo Final</w:t>
            </w:r>
          </w:p>
        </w:tc>
        <w:tc>
          <w:tcPr>
            <w:tcW w:type="dxa" w:w="4535"/>
            <w:shd w:val="clear" w:color="auto" w:fill="F2F2F2"/>
          </w:tcPr>
          <w:p>
            <w:pPr>
              <w:jc w:val="center"/>
            </w:pPr>
            <w:r>
              <w:rPr>
                <w:rFonts w:ascii="Arial" w:hAnsi="Arial"/>
                <w:sz w:val="20"/>
              </w:rPr>
              <w:t>R$ 1.060.112.110,00</w:t>
            </w:r>
          </w:p>
        </w:tc>
      </w:tr>
    </w:tbl>
    <w:p/>
    <w:p>
      <w:pPr>
        <w:spacing w:before="160" w:after="40"/>
      </w:pPr>
      <w:r>
        <w:rPr>
          <w:rFonts w:ascii="Arial" w:hAnsi="Arial"/>
          <w:b/>
          <w:color w:val="1D3A78"/>
          <w:sz w:val="22"/>
        </w:rPr>
        <w:t>Passo 2 — Agravantes e Atenuantes</w:t>
      </w:r>
    </w:p>
    <w:tbl>
      <w:tblPr>
        <w:tblStyle w:val="TableGrid"/>
        <w:tblW w:type="auto" w:w="0"/>
        <w:jc w:val="left"/>
        <w:tblLook w:firstColumn="1" w:firstRow="1" w:lastColumn="0" w:lastRow="0" w:noHBand="0" w:noVBand="1" w:val="04A0"/>
      </w:tblPr>
      <w:tblGrid>
        <w:gridCol w:w="3135"/>
        <w:gridCol w:w="3135"/>
        <w:gridCol w:w="3135"/>
      </w:tblGrid>
      <w:tr>
        <w:tc>
          <w:tcPr>
            <w:tcW w:type="dxa" w:w="2835"/>
            <w:shd w:val="clear" w:color="auto" w:fill="00205B"/>
          </w:tcPr>
          <w:p>
            <w:pPr>
              <w:jc w:val="center"/>
            </w:pPr>
            <w:r>
              <w:rPr>
                <w:rFonts w:ascii="Arial" w:hAnsi="Arial"/>
                <w:b/>
                <w:color w:val="FFFFFF"/>
                <w:sz w:val="20"/>
              </w:rPr>
              <w:t>Circunstância</w:t>
            </w:r>
          </w:p>
        </w:tc>
        <w:tc>
          <w:tcPr>
            <w:tcW w:type="dxa" w:w="5386"/>
            <w:shd w:val="clear" w:color="auto" w:fill="00205B"/>
          </w:tcPr>
          <w:p>
            <w:pPr>
              <w:jc w:val="center"/>
            </w:pPr>
            <w:r>
              <w:rPr>
                <w:rFonts w:ascii="Arial" w:hAnsi="Arial"/>
                <w:b/>
                <w:color w:val="FFFFFF"/>
                <w:sz w:val="20"/>
              </w:rPr>
              <w:t>Fundamentação</w:t>
            </w:r>
          </w:p>
        </w:tc>
        <w:tc>
          <w:tcPr>
            <w:tcW w:type="dxa" w:w="1417"/>
            <w:shd w:val="clear" w:color="auto" w:fill="00205B"/>
          </w:tcPr>
          <w:p>
            <w:pPr>
              <w:jc w:val="center"/>
            </w:pPr>
            <w:r>
              <w:rPr>
                <w:rFonts w:ascii="Arial" w:hAnsi="Arial"/>
                <w:b/>
                <w:color w:val="FFFFFF"/>
                <w:sz w:val="20"/>
              </w:rPr>
              <w:t>%</w:t>
            </w:r>
          </w:p>
        </w:tc>
      </w:tr>
      <w:tr>
        <w:tc>
          <w:tcPr>
            <w:tcW w:type="dxa" w:w="2835"/>
            <w:shd w:val="clear" w:color="auto" w:fill="F2F2F2"/>
          </w:tcPr>
          <w:p>
            <w:pPr>
              <w:jc w:val="left"/>
            </w:pPr>
            <w:r>
              <w:rPr>
                <w:rFonts w:ascii="Arial" w:hAnsi="Arial"/>
                <w:sz w:val="20"/>
              </w:rPr>
              <w:t>Art. 22, I — Concurso de atos</w:t>
            </w:r>
          </w:p>
        </w:tc>
        <w:tc>
          <w:tcPr>
            <w:tcW w:type="dxa" w:w="5386"/>
            <w:shd w:val="clear" w:color="auto" w:fill="F2F2F2"/>
          </w:tcPr>
          <w:p>
            <w:pPr>
              <w:jc w:val="center"/>
            </w:pPr>
            <w:r>
              <w:rPr>
                <w:rFonts w:ascii="Arial" w:hAnsi="Arial"/>
                <w:sz w:val="20"/>
              </w:rPr>
              <w:t>Múltiplos pagamentos dissimulados (R$ 450k via empresa B, R$ 250k via empresa C, R$ 180k em móveis para o auditor)</w:t>
            </w:r>
          </w:p>
        </w:tc>
        <w:tc>
          <w:tcPr>
            <w:tcW w:type="dxa" w:w="1417"/>
            <w:shd w:val="clear" w:color="auto" w:fill="F2F2F2"/>
          </w:tcPr>
          <w:p>
            <w:pPr>
              <w:jc w:val="center"/>
            </w:pPr>
            <w:r>
              <w:rPr>
                <w:rFonts w:ascii="Arial" w:hAnsi="Arial"/>
                <w:sz w:val="20"/>
              </w:rPr>
              <w:t>3,5%</w:t>
            </w:r>
          </w:p>
        </w:tc>
      </w:tr>
      <w:tr>
        <w:tc>
          <w:tcPr>
            <w:tcW w:type="dxa" w:w="2835"/>
            <w:shd w:val="clear" w:color="auto" w:fill="FFFFFF"/>
          </w:tcPr>
          <w:p>
            <w:pPr>
              <w:jc w:val="left"/>
            </w:pPr>
            <w:r>
              <w:rPr>
                <w:rFonts w:ascii="Arial" w:hAnsi="Arial"/>
                <w:sz w:val="20"/>
              </w:rPr>
              <w:t>Art. 22, II — Ciência do corpo diretivo</w:t>
            </w:r>
          </w:p>
        </w:tc>
        <w:tc>
          <w:tcPr>
            <w:tcW w:type="dxa" w:w="5386"/>
            <w:shd w:val="clear" w:color="auto" w:fill="FFFFFF"/>
          </w:tcPr>
          <w:p>
            <w:pPr>
              <w:jc w:val="center"/>
            </w:pPr>
            <w:r>
              <w:rPr>
                <w:rFonts w:ascii="Arial" w:hAnsi="Arial"/>
                <w:sz w:val="20"/>
              </w:rPr>
              <w:t>WhatsApp do gerente citando o Administrador; e-mails copiados ao contador e auditor → ciência do Administrador (teto)</w:t>
            </w:r>
          </w:p>
        </w:tc>
        <w:tc>
          <w:tcPr>
            <w:tcW w:type="dxa" w:w="1417"/>
            <w:shd w:val="clear" w:color="auto" w:fill="FFFFFF"/>
          </w:tcPr>
          <w:p>
            <w:pPr>
              <w:jc w:val="center"/>
            </w:pPr>
            <w:r>
              <w:rPr>
                <w:rFonts w:ascii="Arial" w:hAnsi="Arial"/>
                <w:sz w:val="20"/>
              </w:rPr>
              <w:t>3,0%</w:t>
            </w:r>
          </w:p>
        </w:tc>
      </w:tr>
      <w:tr>
        <w:tc>
          <w:tcPr>
            <w:tcW w:type="dxa" w:w="2835"/>
            <w:shd w:val="clear" w:color="auto" w:fill="F2F2F2"/>
          </w:tcPr>
          <w:p>
            <w:pPr>
              <w:jc w:val="left"/>
            </w:pPr>
            <w:r>
              <w:rPr>
                <w:rFonts w:ascii="Arial" w:hAnsi="Arial"/>
                <w:sz w:val="20"/>
              </w:rPr>
              <w:t>Art. 22, III — Interrupção</w:t>
            </w:r>
          </w:p>
        </w:tc>
        <w:tc>
          <w:tcPr>
            <w:tcW w:type="dxa" w:w="5386"/>
            <w:shd w:val="clear" w:color="auto" w:fill="F2F2F2"/>
          </w:tcPr>
          <w:p>
            <w:pPr>
              <w:jc w:val="center"/>
            </w:pPr>
            <w:r>
              <w:rPr>
                <w:rFonts w:ascii="Arial" w:hAnsi="Arial"/>
                <w:sz w:val="20"/>
              </w:rPr>
              <w:t>Não aplicável ao caso</w:t>
            </w:r>
          </w:p>
        </w:tc>
        <w:tc>
          <w:tcPr>
            <w:tcW w:type="dxa" w:w="1417"/>
            <w:shd w:val="clear" w:color="auto" w:fill="F2F2F2"/>
          </w:tcPr>
          <w:p>
            <w:pPr>
              <w:jc w:val="center"/>
            </w:pPr>
            <w:r>
              <w:rPr>
                <w:rFonts w:ascii="Arial" w:hAnsi="Arial"/>
                <w:sz w:val="20"/>
              </w:rPr>
              <w:t>0%</w:t>
            </w:r>
          </w:p>
        </w:tc>
      </w:tr>
      <w:tr>
        <w:tc>
          <w:tcPr>
            <w:tcW w:type="dxa" w:w="2835"/>
            <w:shd w:val="clear" w:color="auto" w:fill="FFFFFF"/>
          </w:tcPr>
          <w:p>
            <w:pPr>
              <w:jc w:val="left"/>
            </w:pPr>
            <w:r>
              <w:rPr>
                <w:rFonts w:ascii="Arial" w:hAnsi="Arial"/>
                <w:sz w:val="20"/>
              </w:rPr>
              <w:t>Art. 22, IV — Situação econômica</w:t>
            </w:r>
          </w:p>
        </w:tc>
        <w:tc>
          <w:tcPr>
            <w:tcW w:type="dxa" w:w="5386"/>
            <w:shd w:val="clear" w:color="auto" w:fill="FFFFFF"/>
          </w:tcPr>
          <w:p>
            <w:pPr>
              <w:jc w:val="center"/>
            </w:pPr>
            <w:r>
              <w:rPr>
                <w:rFonts w:ascii="Arial" w:hAnsi="Arial"/>
                <w:sz w:val="20"/>
              </w:rPr>
              <w:t>SG = 1,67 ✓ / LG = 0,98 ✗ / Lucro ✓ — LG &lt; 1, não se aplica</w:t>
            </w:r>
          </w:p>
        </w:tc>
        <w:tc>
          <w:tcPr>
            <w:tcW w:type="dxa" w:w="1417"/>
            <w:shd w:val="clear" w:color="auto" w:fill="FFFFFF"/>
          </w:tcPr>
          <w:p>
            <w:pPr>
              <w:jc w:val="center"/>
            </w:pPr>
            <w:r>
              <w:rPr>
                <w:rFonts w:ascii="Arial" w:hAnsi="Arial"/>
                <w:sz w:val="20"/>
              </w:rPr>
              <w:t>0%</w:t>
            </w:r>
          </w:p>
        </w:tc>
      </w:tr>
      <w:tr>
        <w:tc>
          <w:tcPr>
            <w:tcW w:type="dxa" w:w="2835"/>
            <w:shd w:val="clear" w:color="auto" w:fill="F2F2F2"/>
          </w:tcPr>
          <w:p>
            <w:pPr>
              <w:jc w:val="left"/>
            </w:pPr>
            <w:r>
              <w:rPr>
                <w:rFonts w:ascii="Arial" w:hAnsi="Arial"/>
                <w:sz w:val="20"/>
              </w:rPr>
              <w:t>Art. 22, V — Reincidência</w:t>
            </w:r>
          </w:p>
        </w:tc>
        <w:tc>
          <w:tcPr>
            <w:tcW w:type="dxa" w:w="5386"/>
            <w:shd w:val="clear" w:color="auto" w:fill="F2F2F2"/>
          </w:tcPr>
          <w:p>
            <w:pPr>
              <w:jc w:val="center"/>
            </w:pPr>
            <w:r>
              <w:rPr>
                <w:rFonts w:ascii="Arial" w:hAnsi="Arial"/>
                <w:sz w:val="20"/>
              </w:rPr>
              <w:t>PAR anterior em andamento sem julgamento definitivo — NÃO configura reincidência</w:t>
            </w:r>
          </w:p>
        </w:tc>
        <w:tc>
          <w:tcPr>
            <w:tcW w:type="dxa" w:w="1417"/>
            <w:shd w:val="clear" w:color="auto" w:fill="F2F2F2"/>
          </w:tcPr>
          <w:p>
            <w:pPr>
              <w:jc w:val="center"/>
            </w:pPr>
            <w:r>
              <w:rPr>
                <w:rFonts w:ascii="Arial" w:hAnsi="Arial"/>
                <w:sz w:val="20"/>
              </w:rPr>
              <w:t>0%</w:t>
            </w:r>
          </w:p>
        </w:tc>
      </w:tr>
      <w:tr>
        <w:tc>
          <w:tcPr>
            <w:tcW w:type="dxa" w:w="2835"/>
            <w:shd w:val="clear" w:color="auto" w:fill="FFFFFF"/>
          </w:tcPr>
          <w:p>
            <w:pPr>
              <w:jc w:val="left"/>
            </w:pPr>
            <w:r>
              <w:rPr>
                <w:rFonts w:ascii="Arial" w:hAnsi="Arial"/>
                <w:sz w:val="20"/>
              </w:rPr>
              <w:t>Art. 22, VI — Contratos</w:t>
            </w:r>
          </w:p>
        </w:tc>
        <w:tc>
          <w:tcPr>
            <w:tcW w:type="dxa" w:w="5386"/>
            <w:shd w:val="clear" w:color="auto" w:fill="FFFFFF"/>
          </w:tcPr>
          <w:p>
            <w:pPr>
              <w:jc w:val="center"/>
            </w:pPr>
            <w:r>
              <w:rPr>
                <w:rFonts w:ascii="Arial" w:hAnsi="Arial"/>
                <w:sz w:val="20"/>
              </w:rPr>
              <w:t>Não pontuado no caso</w:t>
            </w:r>
          </w:p>
        </w:tc>
        <w:tc>
          <w:tcPr>
            <w:tcW w:type="dxa" w:w="1417"/>
            <w:shd w:val="clear" w:color="auto" w:fill="FFFFFF"/>
          </w:tcPr>
          <w:p>
            <w:pPr>
              <w:jc w:val="center"/>
            </w:pPr>
            <w:r>
              <w:rPr>
                <w:rFonts w:ascii="Arial" w:hAnsi="Arial"/>
                <w:sz w:val="20"/>
              </w:rPr>
              <w:t>0%</w:t>
            </w:r>
          </w:p>
        </w:tc>
      </w:tr>
      <w:tr>
        <w:tc>
          <w:tcPr>
            <w:tcW w:type="dxa" w:w="2835"/>
            <w:shd w:val="clear" w:color="auto" w:fill="F2F2F2"/>
          </w:tcPr>
          <w:p>
            <w:pPr>
              <w:jc w:val="left"/>
            </w:pPr>
            <w:r>
              <w:rPr>
                <w:rFonts w:ascii="Arial" w:hAnsi="Arial"/>
                <w:sz w:val="20"/>
              </w:rPr>
              <w:t>TOTAL AGRAVANTES</w:t>
            </w:r>
          </w:p>
        </w:tc>
        <w:tc>
          <w:tcPr>
            <w:tcW w:type="dxa" w:w="5386"/>
            <w:shd w:val="clear" w:color="auto" w:fill="F2F2F2"/>
          </w:tcPr>
          <w:p>
            <w:pPr>
              <w:jc w:val="center"/>
            </w:pPr>
            <w:r>
              <w:rPr>
                <w:rFonts w:ascii="Arial" w:hAnsi="Arial"/>
                <w:sz w:val="20"/>
              </w:rPr>
            </w:r>
          </w:p>
        </w:tc>
        <w:tc>
          <w:tcPr>
            <w:tcW w:type="dxa" w:w="1417"/>
            <w:shd w:val="clear" w:color="auto" w:fill="F2F2F2"/>
          </w:tcPr>
          <w:p>
            <w:pPr>
              <w:jc w:val="center"/>
            </w:pPr>
            <w:r>
              <w:rPr>
                <w:rFonts w:ascii="Arial" w:hAnsi="Arial"/>
                <w:sz w:val="20"/>
              </w:rPr>
              <w:t>6,5%</w:t>
            </w:r>
          </w:p>
        </w:tc>
      </w:tr>
      <w:tr>
        <w:tc>
          <w:tcPr>
            <w:tcW w:type="dxa" w:w="2835"/>
            <w:shd w:val="clear" w:color="auto" w:fill="FFFFFF"/>
          </w:tcPr>
          <w:p>
            <w:pPr>
              <w:jc w:val="left"/>
            </w:pPr>
            <w:r>
              <w:rPr>
                <w:rFonts w:ascii="Arial" w:hAnsi="Arial"/>
                <w:sz w:val="20"/>
              </w:rPr>
              <w:t>Art. 23, II — Ressarcimento</w:t>
            </w:r>
          </w:p>
        </w:tc>
        <w:tc>
          <w:tcPr>
            <w:tcW w:type="dxa" w:w="5386"/>
            <w:shd w:val="clear" w:color="auto" w:fill="FFFFFF"/>
          </w:tcPr>
          <w:p>
            <w:pPr>
              <w:jc w:val="center"/>
            </w:pPr>
            <w:r>
              <w:rPr>
                <w:rFonts w:ascii="Arial" w:hAnsi="Arial"/>
                <w:sz w:val="20"/>
              </w:rPr>
              <w:t>Comprovação parcial de devolução espontânea</w:t>
            </w:r>
          </w:p>
        </w:tc>
        <w:tc>
          <w:tcPr>
            <w:tcW w:type="dxa" w:w="1417"/>
            <w:shd w:val="clear" w:color="auto" w:fill="FFFFFF"/>
          </w:tcPr>
          <w:p>
            <w:pPr>
              <w:jc w:val="center"/>
            </w:pPr>
            <w:r>
              <w:rPr>
                <w:rFonts w:ascii="Arial" w:hAnsi="Arial"/>
                <w:sz w:val="20"/>
              </w:rPr>
              <w:t>−0,5%</w:t>
            </w:r>
          </w:p>
        </w:tc>
      </w:tr>
      <w:tr>
        <w:tc>
          <w:tcPr>
            <w:tcW w:type="dxa" w:w="2835"/>
            <w:shd w:val="clear" w:color="auto" w:fill="F2F2F2"/>
          </w:tcPr>
          <w:p>
            <w:pPr>
              <w:jc w:val="left"/>
            </w:pPr>
            <w:r>
              <w:rPr>
                <w:rFonts w:ascii="Arial" w:hAnsi="Arial"/>
                <w:sz w:val="20"/>
              </w:rPr>
              <w:t>TOTAL ATENUANTES</w:t>
            </w:r>
          </w:p>
        </w:tc>
        <w:tc>
          <w:tcPr>
            <w:tcW w:type="dxa" w:w="5386"/>
            <w:shd w:val="clear" w:color="auto" w:fill="F2F2F2"/>
          </w:tcPr>
          <w:p>
            <w:pPr>
              <w:jc w:val="center"/>
            </w:pPr>
            <w:r>
              <w:rPr>
                <w:rFonts w:ascii="Arial" w:hAnsi="Arial"/>
                <w:sz w:val="20"/>
              </w:rPr>
            </w:r>
          </w:p>
        </w:tc>
        <w:tc>
          <w:tcPr>
            <w:tcW w:type="dxa" w:w="1417"/>
            <w:shd w:val="clear" w:color="auto" w:fill="F2F2F2"/>
          </w:tcPr>
          <w:p>
            <w:pPr>
              <w:jc w:val="center"/>
            </w:pPr>
            <w:r>
              <w:rPr>
                <w:rFonts w:ascii="Arial" w:hAnsi="Arial"/>
                <w:sz w:val="20"/>
              </w:rPr>
              <w:t>−0,5%</w:t>
            </w:r>
          </w:p>
        </w:tc>
      </w:tr>
      <w:tr>
        <w:tc>
          <w:tcPr>
            <w:tcW w:type="dxa" w:w="2835"/>
            <w:shd w:val="clear" w:color="auto" w:fill="FFFFFF"/>
          </w:tcPr>
          <w:p>
            <w:pPr>
              <w:jc w:val="left"/>
            </w:pPr>
            <w:r>
              <w:rPr>
                <w:rFonts w:ascii="Arial" w:hAnsi="Arial"/>
                <w:sz w:val="20"/>
              </w:rPr>
              <w:t>ALÍQUOTA FINAL</w:t>
            </w:r>
          </w:p>
        </w:tc>
        <w:tc>
          <w:tcPr>
            <w:tcW w:type="dxa" w:w="5386"/>
            <w:shd w:val="clear" w:color="auto" w:fill="FFFFFF"/>
          </w:tcPr>
          <w:p>
            <w:pPr>
              <w:jc w:val="center"/>
            </w:pPr>
            <w:r>
              <w:rPr>
                <w:rFonts w:ascii="Arial" w:hAnsi="Arial"/>
                <w:sz w:val="20"/>
              </w:rPr>
              <w:t>6,5% − 0,5%</w:t>
            </w:r>
          </w:p>
        </w:tc>
        <w:tc>
          <w:tcPr>
            <w:tcW w:type="dxa" w:w="1417"/>
            <w:shd w:val="clear" w:color="auto" w:fill="FFFFFF"/>
          </w:tcPr>
          <w:p>
            <w:pPr>
              <w:jc w:val="center"/>
            </w:pPr>
            <w:r>
              <w:rPr>
                <w:rFonts w:ascii="Arial" w:hAnsi="Arial"/>
                <w:sz w:val="20"/>
              </w:rPr>
              <w:t>6,0%</w:t>
            </w:r>
          </w:p>
        </w:tc>
      </w:tr>
    </w:tbl>
    <w:p/>
    <w:p>
      <w:pPr>
        <w:spacing w:before="160" w:after="40"/>
      </w:pPr>
      <w:r>
        <w:rPr>
          <w:rFonts w:ascii="Arial" w:hAnsi="Arial"/>
          <w:b/>
          <w:color w:val="1D3A78"/>
          <w:sz w:val="22"/>
        </w:rPr>
        <w:t>Passo 3 — Multa Preliminar</w:t>
      </w:r>
    </w:p>
    <w:p>
      <w:pPr>
        <w:spacing w:before="80" w:after="80"/>
        <w:ind w:left="850" w:right="567"/>
      </w:pPr>
      <w:r>
        <w:rPr>
          <w:rFonts w:ascii="Arial" w:hAnsi="Arial"/>
          <w:i/>
          <w:color w:val="333366"/>
          <w:sz w:val="20"/>
        </w:rPr>
        <w:t>R$ 1.060.112.110,00 × 6,0%  =  R$ 63.606.726,60</w:t>
      </w:r>
    </w:p>
    <w:p>
      <w:pPr>
        <w:spacing w:before="160" w:after="40"/>
      </w:pPr>
      <w:r>
        <w:rPr>
          <w:rFonts w:ascii="Arial" w:hAnsi="Arial"/>
          <w:b/>
          <w:color w:val="1D3A78"/>
          <w:sz w:val="22"/>
        </w:rPr>
        <w:t>Passo 4 — Limites Legais</w:t>
      </w:r>
    </w:p>
    <w:tbl>
      <w:tblPr>
        <w:tblStyle w:val="TableGrid"/>
        <w:tblW w:type="auto" w:w="0"/>
        <w:jc w:val="left"/>
        <w:tblLook w:firstColumn="1" w:firstRow="1" w:lastColumn="0" w:lastRow="0" w:noHBand="0" w:noVBand="1" w:val="04A0"/>
      </w:tblPr>
      <w:tblGrid>
        <w:gridCol w:w="3135"/>
        <w:gridCol w:w="3135"/>
        <w:gridCol w:w="3135"/>
      </w:tblGrid>
      <w:tr>
        <w:tc>
          <w:tcPr>
            <w:tcW w:type="dxa" w:w="3118"/>
            <w:shd w:val="clear" w:color="auto" w:fill="00205B"/>
          </w:tcPr>
          <w:p>
            <w:pPr>
              <w:jc w:val="center"/>
            </w:pPr>
            <w:r>
              <w:rPr>
                <w:rFonts w:ascii="Arial" w:hAnsi="Arial"/>
                <w:b/>
                <w:color w:val="FFFFFF"/>
                <w:sz w:val="20"/>
              </w:rPr>
              <w:t>Limite</w:t>
            </w:r>
          </w:p>
        </w:tc>
        <w:tc>
          <w:tcPr>
            <w:tcW w:type="dxa" w:w="3969"/>
            <w:shd w:val="clear" w:color="auto" w:fill="00205B"/>
          </w:tcPr>
          <w:p>
            <w:pPr>
              <w:jc w:val="center"/>
            </w:pPr>
            <w:r>
              <w:rPr>
                <w:rFonts w:ascii="Arial" w:hAnsi="Arial"/>
                <w:b/>
                <w:color w:val="FFFFFF"/>
                <w:sz w:val="20"/>
              </w:rPr>
              <w:t>Fórmula</w:t>
            </w:r>
          </w:p>
        </w:tc>
        <w:tc>
          <w:tcPr>
            <w:tcW w:type="dxa" w:w="2835"/>
            <w:shd w:val="clear" w:color="auto" w:fill="00205B"/>
          </w:tcPr>
          <w:p>
            <w:pPr>
              <w:jc w:val="center"/>
            </w:pPr>
            <w:r>
              <w:rPr>
                <w:rFonts w:ascii="Arial" w:hAnsi="Arial"/>
                <w:b/>
                <w:color w:val="FFFFFF"/>
                <w:sz w:val="20"/>
              </w:rPr>
              <w:t>Valor</w:t>
            </w:r>
          </w:p>
        </w:tc>
      </w:tr>
      <w:tr>
        <w:tc>
          <w:tcPr>
            <w:tcW w:type="dxa" w:w="3118"/>
            <w:shd w:val="clear" w:color="auto" w:fill="F2F2F2"/>
          </w:tcPr>
          <w:p>
            <w:pPr>
              <w:jc w:val="left"/>
            </w:pPr>
            <w:r>
              <w:rPr>
                <w:rFonts w:ascii="Arial" w:hAnsi="Arial"/>
                <w:sz w:val="20"/>
              </w:rPr>
              <w:t>Mínimo (maior entre os dois)</w:t>
            </w:r>
          </w:p>
        </w:tc>
        <w:tc>
          <w:tcPr>
            <w:tcW w:type="dxa" w:w="3969"/>
            <w:shd w:val="clear" w:color="auto" w:fill="F2F2F2"/>
          </w:tcPr>
          <w:p>
            <w:pPr>
              <w:jc w:val="center"/>
            </w:pPr>
            <w:r>
              <w:rPr>
                <w:rFonts w:ascii="Arial" w:hAnsi="Arial"/>
                <w:sz w:val="20"/>
              </w:rPr>
              <w:t>Vantagem Auferida (após refiscalização)</w:t>
            </w:r>
          </w:p>
        </w:tc>
        <w:tc>
          <w:tcPr>
            <w:tcW w:type="dxa" w:w="2835"/>
            <w:shd w:val="clear" w:color="auto" w:fill="F2F2F2"/>
          </w:tcPr>
          <w:p>
            <w:pPr>
              <w:jc w:val="center"/>
            </w:pPr>
            <w:r>
              <w:rPr>
                <w:rFonts w:ascii="Arial" w:hAnsi="Arial"/>
                <w:sz w:val="20"/>
              </w:rPr>
              <w:t>R$ 60.000.000,00</w:t>
            </w:r>
          </w:p>
        </w:tc>
      </w:tr>
      <w:tr>
        <w:tc>
          <w:tcPr>
            <w:tcW w:type="dxa" w:w="3118"/>
            <w:shd w:val="clear" w:color="auto" w:fill="FFFFFF"/>
          </w:tcPr>
          <w:p>
            <w:pPr>
              <w:jc w:val="left"/>
            </w:pPr>
            <w:r>
              <w:rPr>
                <w:rFonts w:ascii="Arial" w:hAnsi="Arial"/>
                <w:sz w:val="20"/>
              </w:rPr>
            </w:r>
          </w:p>
        </w:tc>
        <w:tc>
          <w:tcPr>
            <w:tcW w:type="dxa" w:w="3969"/>
            <w:shd w:val="clear" w:color="auto" w:fill="FFFFFF"/>
          </w:tcPr>
          <w:p>
            <w:pPr>
              <w:jc w:val="center"/>
            </w:pPr>
            <w:r>
              <w:rPr>
                <w:rFonts w:ascii="Arial" w:hAnsi="Arial"/>
                <w:sz w:val="20"/>
              </w:rPr>
              <w:t>0,1% do Faturamento</w:t>
            </w:r>
          </w:p>
        </w:tc>
        <w:tc>
          <w:tcPr>
            <w:tcW w:type="dxa" w:w="2835"/>
            <w:shd w:val="clear" w:color="auto" w:fill="FFFFFF"/>
          </w:tcPr>
          <w:p>
            <w:pPr>
              <w:jc w:val="center"/>
            </w:pPr>
            <w:r>
              <w:rPr>
                <w:rFonts w:ascii="Arial" w:hAnsi="Arial"/>
                <w:sz w:val="20"/>
              </w:rPr>
              <w:t>R$ 1.060.112,11</w:t>
            </w:r>
          </w:p>
        </w:tc>
      </w:tr>
      <w:tr>
        <w:tc>
          <w:tcPr>
            <w:tcW w:type="dxa" w:w="3118"/>
            <w:shd w:val="clear" w:color="auto" w:fill="F2F2F2"/>
          </w:tcPr>
          <w:p>
            <w:pPr>
              <w:jc w:val="left"/>
            </w:pPr>
            <w:r>
              <w:rPr>
                <w:rFonts w:ascii="Arial" w:hAnsi="Arial"/>
                <w:sz w:val="20"/>
              </w:rPr>
              <w:t>Máximo (menor entre os dois)</w:t>
            </w:r>
          </w:p>
        </w:tc>
        <w:tc>
          <w:tcPr>
            <w:tcW w:type="dxa" w:w="3969"/>
            <w:shd w:val="clear" w:color="auto" w:fill="F2F2F2"/>
          </w:tcPr>
          <w:p>
            <w:pPr>
              <w:jc w:val="center"/>
            </w:pPr>
            <w:r>
              <w:rPr>
                <w:rFonts w:ascii="Arial" w:hAnsi="Arial"/>
                <w:sz w:val="20"/>
              </w:rPr>
              <w:t>20% do Faturamento</w:t>
            </w:r>
          </w:p>
        </w:tc>
        <w:tc>
          <w:tcPr>
            <w:tcW w:type="dxa" w:w="2835"/>
            <w:shd w:val="clear" w:color="auto" w:fill="F2F2F2"/>
          </w:tcPr>
          <w:p>
            <w:pPr>
              <w:jc w:val="center"/>
            </w:pPr>
            <w:r>
              <w:rPr>
                <w:rFonts w:ascii="Arial" w:hAnsi="Arial"/>
                <w:sz w:val="20"/>
              </w:rPr>
              <w:t>R$ 212.022.422,00</w:t>
            </w:r>
          </w:p>
        </w:tc>
      </w:tr>
      <w:tr>
        <w:tc>
          <w:tcPr>
            <w:tcW w:type="dxa" w:w="3118"/>
            <w:shd w:val="clear" w:color="auto" w:fill="FFFFFF"/>
          </w:tcPr>
          <w:p>
            <w:pPr>
              <w:jc w:val="left"/>
            </w:pPr>
            <w:r>
              <w:rPr>
                <w:rFonts w:ascii="Arial" w:hAnsi="Arial"/>
                <w:sz w:val="20"/>
              </w:rPr>
            </w:r>
          </w:p>
        </w:tc>
        <w:tc>
          <w:tcPr>
            <w:tcW w:type="dxa" w:w="3969"/>
            <w:shd w:val="clear" w:color="auto" w:fill="FFFFFF"/>
          </w:tcPr>
          <w:p>
            <w:pPr>
              <w:jc w:val="center"/>
            </w:pPr>
            <w:r>
              <w:rPr>
                <w:rFonts w:ascii="Arial" w:hAnsi="Arial"/>
                <w:sz w:val="20"/>
              </w:rPr>
              <w:t>3 × Vantagem Pretendida (R$ 90M)</w:t>
            </w:r>
          </w:p>
        </w:tc>
        <w:tc>
          <w:tcPr>
            <w:tcW w:type="dxa" w:w="2835"/>
            <w:shd w:val="clear" w:color="auto" w:fill="FFFFFF"/>
          </w:tcPr>
          <w:p>
            <w:pPr>
              <w:jc w:val="center"/>
            </w:pPr>
            <w:r>
              <w:rPr>
                <w:rFonts w:ascii="Arial" w:hAnsi="Arial"/>
                <w:sz w:val="20"/>
              </w:rPr>
              <w:t>R$ 270.000.000,00</w:t>
            </w:r>
          </w:p>
        </w:tc>
      </w:tr>
    </w:tbl>
    <w:p/>
    <w:p>
      <w:pPr>
        <w:spacing w:before="160" w:after="40"/>
      </w:pPr>
      <w:r>
        <w:rPr>
          <w:rFonts w:ascii="Arial" w:hAnsi="Arial"/>
          <w:b/>
          <w:color w:val="1D3A78"/>
          <w:sz w:val="22"/>
        </w:rPr>
        <w:t>Passo 5 — Multa Final (Caso I)</w:t>
      </w:r>
    </w:p>
    <w:p>
      <w:pPr>
        <w:spacing w:before="0" w:after="80"/>
      </w:pPr>
      <w:r>
        <w:rPr>
          <w:rFonts w:ascii="Arial" w:hAnsi="Arial"/>
          <w:i w:val="0"/>
          <w:sz w:val="22"/>
        </w:rPr>
        <w:t>A Multa Preliminar de R$ 63.606.726,60 está entre o piso (R$ 60M) e o teto (R$ 212M) — não sofre ajuste.</w:t>
      </w:r>
    </w:p>
    <w:p>
      <w:pPr>
        <w:spacing w:before="80" w:after="80"/>
        <w:ind w:left="850" w:right="567"/>
      </w:pPr>
      <w:r>
        <w:rPr>
          <w:rFonts w:ascii="Arial" w:hAnsi="Arial"/>
          <w:i/>
          <w:color w:val="333366"/>
          <w:sz w:val="20"/>
        </w:rPr>
        <w:t>MULTA FINAL (Caso I)  =  R$ 63.606.726,60</w:t>
      </w:r>
    </w:p>
    <w:p>
      <w:pPr>
        <w:spacing w:before="160" w:after="40"/>
      </w:pPr>
      <w:r>
        <w:rPr>
          <w:rFonts w:ascii="Arial" w:hAnsi="Arial"/>
          <w:b/>
          <w:color w:val="1D3A78"/>
          <w:sz w:val="22"/>
        </w:rPr>
        <w:t>Passo 6 — Publicação Extraordinária</w:t>
      </w:r>
    </w:p>
    <w:p>
      <w:pPr>
        <w:spacing w:before="0" w:after="80"/>
      </w:pPr>
      <w:r>
        <w:rPr>
          <w:rFonts w:ascii="Arial" w:hAnsi="Arial"/>
          <w:i w:val="0"/>
          <w:sz w:val="22"/>
        </w:rPr>
        <w:t>Multa não foi limitada (Cenário A). Alíquota de referência = 6,0% → faixa "maior que 5,0% até 7,5%" → PRAZO: 60 DIAS.</w:t>
      </w:r>
    </w:p>
    <w:p>
      <w:pPr>
        <w:spacing w:before="240" w:after="80"/>
        <w:pBdr>
          <w:bottom w:val="single" w:sz="6" w:space="1" w:color="64A70B"/>
        </w:pBdr>
      </w:pPr>
      <w:r>
        <w:rPr>
          <w:rFonts w:ascii="Arial" w:hAnsi="Arial"/>
          <w:b/>
          <w:color w:val="1D3A78"/>
          <w:sz w:val="23"/>
        </w:rPr>
        <w:t>14.2 Caso II — Mesmo Cenário, Vantagem Auferida Integral (Piso Forçado)</w:t>
      </w:r>
    </w:p>
    <w:p>
      <w:pPr>
        <w:spacing w:before="160" w:after="40"/>
      </w:pPr>
      <w:r>
        <w:rPr>
          <w:rFonts w:ascii="Arial" w:hAnsi="Arial"/>
          <w:b/>
          <w:color w:val="1D3A78"/>
          <w:sz w:val="22"/>
        </w:rPr>
        <w:t>Variante</w:t>
      </w:r>
    </w:p>
    <w:p>
      <w:pPr>
        <w:spacing w:before="0" w:after="80"/>
      </w:pPr>
      <w:r>
        <w:rPr>
          <w:rFonts w:ascii="Arial" w:hAnsi="Arial"/>
          <w:i w:val="0"/>
          <w:sz w:val="22"/>
        </w:rPr>
        <w:t>A vantagem auferida permanece em R$ 90.000.000,00 (sem redução pela refiscalização).</w:t>
      </w:r>
    </w:p>
    <w:tbl>
      <w:tblPr>
        <w:tblStyle w:val="TableGrid"/>
        <w:tblW w:type="auto" w:w="0"/>
        <w:jc w:val="left"/>
        <w:tblLook w:firstColumn="1" w:firstRow="1" w:lastColumn="0" w:lastRow="0" w:noHBand="0" w:noVBand="1" w:val="04A0"/>
      </w:tblPr>
      <w:tblGrid>
        <w:gridCol w:w="4702"/>
        <w:gridCol w:w="4702"/>
      </w:tblGrid>
      <w:tr>
        <w:tc>
          <w:tcPr>
            <w:tcW w:type="dxa" w:w="5102"/>
            <w:shd w:val="clear" w:color="auto" w:fill="00205B"/>
          </w:tcPr>
          <w:p>
            <w:pPr>
              <w:jc w:val="center"/>
            </w:pPr>
            <w:r>
              <w:rPr>
                <w:rFonts w:ascii="Arial" w:hAnsi="Arial"/>
                <w:b/>
                <w:color w:val="FFFFFF"/>
                <w:sz w:val="20"/>
              </w:rPr>
              <w:t>Limite</w:t>
            </w:r>
          </w:p>
        </w:tc>
        <w:tc>
          <w:tcPr>
            <w:tcW w:type="dxa" w:w="4535"/>
            <w:shd w:val="clear" w:color="auto" w:fill="00205B"/>
          </w:tcPr>
          <w:p>
            <w:pPr>
              <w:jc w:val="center"/>
            </w:pPr>
            <w:r>
              <w:rPr>
                <w:rFonts w:ascii="Arial" w:hAnsi="Arial"/>
                <w:b/>
                <w:color w:val="FFFFFF"/>
                <w:sz w:val="20"/>
              </w:rPr>
              <w:t>Valor</w:t>
            </w:r>
          </w:p>
        </w:tc>
      </w:tr>
      <w:tr>
        <w:tc>
          <w:tcPr>
            <w:tcW w:type="dxa" w:w="5102"/>
            <w:shd w:val="clear" w:color="auto" w:fill="F2F2F2"/>
          </w:tcPr>
          <w:p>
            <w:pPr>
              <w:jc w:val="left"/>
            </w:pPr>
            <w:r>
              <w:rPr>
                <w:rFonts w:ascii="Arial" w:hAnsi="Arial"/>
                <w:sz w:val="20"/>
              </w:rPr>
              <w:t>Piso (vantagem auferida integral)</w:t>
            </w:r>
          </w:p>
        </w:tc>
        <w:tc>
          <w:tcPr>
            <w:tcW w:type="dxa" w:w="4535"/>
            <w:shd w:val="clear" w:color="auto" w:fill="F2F2F2"/>
          </w:tcPr>
          <w:p>
            <w:pPr>
              <w:jc w:val="center"/>
            </w:pPr>
            <w:r>
              <w:rPr>
                <w:rFonts w:ascii="Arial" w:hAnsi="Arial"/>
                <w:sz w:val="20"/>
              </w:rPr>
              <w:t>R$ 90.000.000,00</w:t>
            </w:r>
          </w:p>
        </w:tc>
      </w:tr>
      <w:tr>
        <w:tc>
          <w:tcPr>
            <w:tcW w:type="dxa" w:w="5102"/>
            <w:shd w:val="clear" w:color="auto" w:fill="FFFFFF"/>
          </w:tcPr>
          <w:p>
            <w:pPr>
              <w:jc w:val="left"/>
            </w:pPr>
            <w:r>
              <w:rPr>
                <w:rFonts w:ascii="Arial" w:hAnsi="Arial"/>
                <w:sz w:val="20"/>
              </w:rPr>
              <w:t>Teto (20% do Faturamento)</w:t>
            </w:r>
          </w:p>
        </w:tc>
        <w:tc>
          <w:tcPr>
            <w:tcW w:type="dxa" w:w="4535"/>
            <w:shd w:val="clear" w:color="auto" w:fill="FFFFFF"/>
          </w:tcPr>
          <w:p>
            <w:pPr>
              <w:jc w:val="center"/>
            </w:pPr>
            <w:r>
              <w:rPr>
                <w:rFonts w:ascii="Arial" w:hAnsi="Arial"/>
                <w:sz w:val="20"/>
              </w:rPr>
              <w:t>R$ 212.022.422,00</w:t>
            </w:r>
          </w:p>
        </w:tc>
      </w:tr>
    </w:tbl>
    <w:p/>
    <w:p>
      <w:pPr>
        <w:spacing w:before="0" w:after="80"/>
      </w:pPr>
      <w:r>
        <w:rPr>
          <w:rFonts w:ascii="Arial" w:hAnsi="Arial"/>
          <w:i w:val="0"/>
          <w:sz w:val="22"/>
        </w:rPr>
        <w:t>Multa Preliminar de R$ 63.606.726,60 ficou abaixo do piso legal (R$ 90M). A multa é elevada obrigatoriamente ao piso:</w:t>
      </w:r>
    </w:p>
    <w:p>
      <w:pPr>
        <w:spacing w:before="80" w:after="80"/>
        <w:ind w:left="850" w:right="567"/>
      </w:pPr>
      <w:r>
        <w:rPr>
          <w:rFonts w:ascii="Arial" w:hAnsi="Arial"/>
          <w:i/>
          <w:color w:val="333366"/>
          <w:sz w:val="20"/>
        </w:rPr>
        <w:t>MULTA FINAL (Caso II)  =  R$ 90.000.000,00</w:t>
      </w:r>
    </w:p>
    <w:p>
      <w:pPr>
        <w:spacing w:before="160" w:after="40"/>
      </w:pPr>
      <w:r>
        <w:rPr>
          <w:rFonts w:ascii="Arial" w:hAnsi="Arial"/>
          <w:b/>
          <w:color w:val="1D3A78"/>
          <w:sz w:val="22"/>
        </w:rPr>
        <w:t>Publicação com Proporção Recalculada (Cenário B)</w:t>
      </w:r>
    </w:p>
    <w:p>
      <w:pPr>
        <w:spacing w:before="80" w:after="80"/>
        <w:ind w:left="850" w:right="567"/>
      </w:pPr>
      <w:r>
        <w:rPr>
          <w:rFonts w:ascii="Arial" w:hAnsi="Arial"/>
          <w:i/>
          <w:color w:val="333366"/>
          <w:sz w:val="20"/>
        </w:rPr>
        <w:t>Alíquota de Proporção  =  R$ 90.000.000,00 ÷ R$ 1.060.112.110,00  ≈  8,5%  →  PRAZO: 75 DIAS</w:t>
      </w:r>
    </w:p>
    <w:tbl>
      <w:tblPr>
        <w:tblStyle w:val="TableGrid"/>
        <w:tblW w:type="auto" w:w="0"/>
        <w:tblLook w:firstColumn="1" w:firstRow="1" w:lastColumn="0" w:lastRow="0" w:noHBand="0" w:noVBand="1" w:val="04A0"/>
      </w:tblPr>
      <w:tblGrid>
        <w:gridCol w:w="9405"/>
      </w:tblGrid>
      <w:tr>
        <w:tc>
          <w:tcPr>
            <w:tcW w:type="dxa" w:w="9405"/>
            <w:shd w:val="clear" w:color="auto" w:fill="F2F2F2"/>
            <w:tcBorders>
              <w:bottom w:val="single" w:sz="6" w:space="0" w:color="64A70B"/>
            </w:tcBorders>
          </w:tcPr>
          <w:p>
            <w:r>
              <w:rPr>
                <w:rFonts w:ascii="Arial" w:hAnsi="Arial"/>
                <w:color w:val="444400"/>
                <w:sz w:val="20"/>
              </w:rPr>
              <w:t>⚠  O prazo de publicação aumentou de 60 para 75 dias porque a gravidade proporcional da sanção cresceu quando a multa foi elevada ao piso.</w:t>
            </w:r>
          </w:p>
        </w:tc>
      </w:tr>
    </w:tbl>
    <w:p/>
    <w:p>
      <w:pPr>
        <w:spacing w:before="240" w:after="80"/>
        <w:pBdr>
          <w:bottom w:val="single" w:sz="6" w:space="1" w:color="64A70B"/>
        </w:pBdr>
      </w:pPr>
      <w:r>
        <w:rPr>
          <w:rFonts w:ascii="Arial" w:hAnsi="Arial"/>
          <w:b/>
          <w:color w:val="1D3A78"/>
          <w:sz w:val="23"/>
        </w:rPr>
        <w:t>14.3 Caso III — Empresa Cítrica: Sem Defesa, Empresa Fantasma</w:t>
      </w:r>
    </w:p>
    <w:p>
      <w:pPr>
        <w:spacing w:before="160" w:after="40"/>
      </w:pPr>
      <w:r>
        <w:rPr>
          <w:rFonts w:ascii="Arial" w:hAnsi="Arial"/>
          <w:b/>
          <w:color w:val="1D3A78"/>
          <w:sz w:val="22"/>
        </w:rPr>
        <w:t>Cenário</w:t>
      </w:r>
    </w:p>
    <w:p>
      <w:pPr>
        <w:spacing w:before="0" w:after="80"/>
      </w:pPr>
      <w:r>
        <w:rPr>
          <w:rFonts w:ascii="Arial" w:hAnsi="Arial"/>
          <w:i w:val="0"/>
          <w:sz w:val="22"/>
        </w:rPr>
        <w:t>Empresa-noteira que não apresentou defesa nem balanço. Faturamento: 2024 e 2025 = R$ 0. Faturamento histórico: 2018 (jan–mar) = R$ 53.500,00; 2017 = R$ 560.000,00.</w:t>
      </w:r>
    </w:p>
    <w:p>
      <w:pPr>
        <w:spacing w:before="160" w:after="40"/>
      </w:pPr>
      <w:r>
        <w:rPr>
          <w:rFonts w:ascii="Arial" w:hAnsi="Arial"/>
          <w:b/>
          <w:color w:val="1D3A78"/>
          <w:sz w:val="22"/>
        </w:rPr>
        <w:t>Retroação e Atualização (Art. 21)</w:t>
      </w:r>
    </w:p>
    <w:p>
      <w:pPr>
        <w:spacing w:before="80" w:after="80"/>
        <w:ind w:left="850" w:right="567"/>
      </w:pPr>
      <w:r>
        <w:rPr>
          <w:rFonts w:ascii="Arial" w:hAnsi="Arial"/>
          <w:i/>
          <w:color w:val="333366"/>
          <w:sz w:val="20"/>
        </w:rPr>
        <w:t>Base de Cálculo apurada e atualizada pelo IPCA até 31/12/2024  =  R$ 74.588,17</w:t>
      </w:r>
    </w:p>
    <w:p>
      <w:pPr>
        <w:spacing w:before="160" w:after="40"/>
      </w:pPr>
      <w:r>
        <w:rPr>
          <w:rFonts w:ascii="Arial" w:hAnsi="Arial"/>
          <w:b/>
          <w:color w:val="1D3A78"/>
          <w:sz w:val="22"/>
        </w:rPr>
        <w:t>Dosimetria</w:t>
      </w:r>
    </w:p>
    <w:tbl>
      <w:tblPr>
        <w:tblStyle w:val="TableGrid"/>
        <w:tblW w:type="auto" w:w="0"/>
        <w:jc w:val="left"/>
        <w:tblLook w:firstColumn="1" w:firstRow="1" w:lastColumn="0" w:lastRow="0" w:noHBand="0" w:noVBand="1" w:val="04A0"/>
      </w:tblPr>
      <w:tblGrid>
        <w:gridCol w:w="4702"/>
        <w:gridCol w:w="4702"/>
      </w:tblGrid>
      <w:tr>
        <w:tc>
          <w:tcPr>
            <w:tcW w:type="dxa" w:w="7370"/>
            <w:shd w:val="clear" w:color="auto" w:fill="00205B"/>
          </w:tcPr>
          <w:p>
            <w:pPr>
              <w:jc w:val="center"/>
            </w:pPr>
            <w:r>
              <w:rPr>
                <w:rFonts w:ascii="Arial" w:hAnsi="Arial"/>
                <w:b/>
                <w:color w:val="FFFFFF"/>
                <w:sz w:val="20"/>
              </w:rPr>
              <w:t>Circunstância</w:t>
            </w:r>
          </w:p>
        </w:tc>
        <w:tc>
          <w:tcPr>
            <w:tcW w:type="dxa" w:w="2268"/>
            <w:shd w:val="clear" w:color="auto" w:fill="00205B"/>
          </w:tcPr>
          <w:p>
            <w:pPr>
              <w:jc w:val="center"/>
            </w:pPr>
            <w:r>
              <w:rPr>
                <w:rFonts w:ascii="Arial" w:hAnsi="Arial"/>
                <w:b/>
                <w:color w:val="FFFFFF"/>
                <w:sz w:val="20"/>
              </w:rPr>
              <w:t>%</w:t>
            </w:r>
          </w:p>
        </w:tc>
      </w:tr>
      <w:tr>
        <w:tc>
          <w:tcPr>
            <w:tcW w:type="dxa" w:w="7370"/>
            <w:shd w:val="clear" w:color="auto" w:fill="F2F2F2"/>
          </w:tcPr>
          <w:p>
            <w:pPr>
              <w:jc w:val="left"/>
            </w:pPr>
            <w:r>
              <w:rPr>
                <w:rFonts w:ascii="Arial" w:hAnsi="Arial"/>
                <w:sz w:val="20"/>
              </w:rPr>
              <w:t>Agravantes</w:t>
            </w:r>
          </w:p>
        </w:tc>
        <w:tc>
          <w:tcPr>
            <w:tcW w:type="dxa" w:w="2268"/>
            <w:shd w:val="clear" w:color="auto" w:fill="F2F2F2"/>
          </w:tcPr>
          <w:p>
            <w:pPr>
              <w:jc w:val="center"/>
            </w:pPr>
            <w:r>
              <w:rPr>
                <w:rFonts w:ascii="Arial" w:hAnsi="Arial"/>
                <w:sz w:val="20"/>
              </w:rPr>
              <w:t>0%</w:t>
            </w:r>
          </w:p>
        </w:tc>
      </w:tr>
      <w:tr>
        <w:tc>
          <w:tcPr>
            <w:tcW w:type="dxa" w:w="7370"/>
            <w:shd w:val="clear" w:color="auto" w:fill="FFFFFF"/>
          </w:tcPr>
          <w:p>
            <w:pPr>
              <w:jc w:val="left"/>
            </w:pPr>
            <w:r>
              <w:rPr>
                <w:rFonts w:ascii="Arial" w:hAnsi="Arial"/>
                <w:sz w:val="20"/>
              </w:rPr>
              <w:t>Art. 23, II — Inexistência de vantagem/dano comprovado</w:t>
            </w:r>
          </w:p>
        </w:tc>
        <w:tc>
          <w:tcPr>
            <w:tcW w:type="dxa" w:w="2268"/>
            <w:shd w:val="clear" w:color="auto" w:fill="FFFFFF"/>
          </w:tcPr>
          <w:p>
            <w:pPr>
              <w:jc w:val="center"/>
            </w:pPr>
            <w:r>
              <w:rPr>
                <w:rFonts w:ascii="Arial" w:hAnsi="Arial"/>
                <w:sz w:val="20"/>
              </w:rPr>
              <w:t>−1,0%</w:t>
            </w:r>
          </w:p>
        </w:tc>
      </w:tr>
      <w:tr>
        <w:tc>
          <w:tcPr>
            <w:tcW w:type="dxa" w:w="7370"/>
            <w:shd w:val="clear" w:color="auto" w:fill="F2F2F2"/>
          </w:tcPr>
          <w:p>
            <w:pPr>
              <w:jc w:val="left"/>
            </w:pPr>
            <w:r>
              <w:rPr>
                <w:rFonts w:ascii="Arial" w:hAnsi="Arial"/>
                <w:sz w:val="20"/>
              </w:rPr>
              <w:t>Alíquota Final (atenuantes &gt; agravantes)</w:t>
            </w:r>
          </w:p>
        </w:tc>
        <w:tc>
          <w:tcPr>
            <w:tcW w:type="dxa" w:w="2268"/>
            <w:shd w:val="clear" w:color="auto" w:fill="F2F2F2"/>
          </w:tcPr>
          <w:p>
            <w:pPr>
              <w:jc w:val="center"/>
            </w:pPr>
            <w:r>
              <w:rPr>
                <w:rFonts w:ascii="Arial" w:hAnsi="Arial"/>
                <w:sz w:val="20"/>
              </w:rPr>
              <w:t>0%</w:t>
            </w:r>
          </w:p>
        </w:tc>
      </w:tr>
    </w:tbl>
    <w:p/>
    <w:p>
      <w:pPr>
        <w:spacing w:before="80" w:after="80"/>
        <w:ind w:left="850" w:right="567"/>
      </w:pPr>
      <w:r>
        <w:rPr>
          <w:rFonts w:ascii="Arial" w:hAnsi="Arial"/>
          <w:i/>
          <w:color w:val="333366"/>
          <w:sz w:val="20"/>
        </w:rPr>
        <w:t>Multa Preliminar  =  R$ 74.588,17 × 0%  =  R$ 0,00</w:t>
      </w:r>
    </w:p>
    <w:p>
      <w:pPr>
        <w:spacing w:before="0" w:after="80"/>
      </w:pPr>
      <w:r>
        <w:rPr>
          <w:rFonts w:ascii="Arial" w:hAnsi="Arial"/>
          <w:i w:val="0"/>
          <w:sz w:val="22"/>
        </w:rPr>
        <w:t>Piso absoluto (Art. 20, §4º, Lei nº 12.846/2013):</w:t>
      </w:r>
    </w:p>
    <w:p>
      <w:pPr>
        <w:spacing w:before="80" w:after="80"/>
        <w:ind w:left="850" w:right="567"/>
      </w:pPr>
      <w:r>
        <w:rPr>
          <w:rFonts w:ascii="Arial" w:hAnsi="Arial"/>
          <w:i/>
          <w:color w:val="333366"/>
          <w:sz w:val="20"/>
        </w:rPr>
        <w:t>MULTA FINAL (Caso III)  =  R$ 6.000,00</w:t>
      </w:r>
    </w:p>
    <w:p>
      <w:pPr>
        <w:spacing w:before="80" w:after="80"/>
        <w:ind w:left="850" w:right="567"/>
      </w:pPr>
      <w:r>
        <w:rPr>
          <w:rFonts w:ascii="Arial" w:hAnsi="Arial"/>
          <w:i/>
          <w:color w:val="333366"/>
          <w:sz w:val="20"/>
        </w:rPr>
        <w:t>Alíquota de Proporção  =  R$ 6.000,00 ÷ R$ 74.588,17  ≈  8,0%  →  PRAZO: 75 DIAS</w:t>
      </w:r>
    </w:p>
    <w:p>
      <w:pPr>
        <w:spacing w:before="240" w:after="80"/>
        <w:pBdr>
          <w:bottom w:val="single" w:sz="6" w:space="1" w:color="64A70B"/>
        </w:pBdr>
      </w:pPr>
      <w:r>
        <w:rPr>
          <w:rFonts w:ascii="Arial" w:hAnsi="Arial"/>
          <w:b/>
          <w:color w:val="1D3A78"/>
          <w:sz w:val="23"/>
        </w:rPr>
        <w:t>14.4 Caso IV — Empresa Gasparzinho: Estimativa Fundamentada</w:t>
      </w:r>
    </w:p>
    <w:p>
      <w:pPr>
        <w:spacing w:before="160" w:after="40"/>
      </w:pPr>
      <w:r>
        <w:rPr>
          <w:rFonts w:ascii="Arial" w:hAnsi="Arial"/>
          <w:b/>
          <w:color w:val="1D3A78"/>
          <w:sz w:val="22"/>
        </w:rPr>
        <w:t>Cenário</w:t>
      </w:r>
    </w:p>
    <w:p>
      <w:pPr>
        <w:spacing w:before="0" w:after="80"/>
      </w:pPr>
      <w:r>
        <w:rPr>
          <w:rFonts w:ascii="Arial" w:hAnsi="Arial"/>
          <w:i w:val="0"/>
          <w:sz w:val="22"/>
        </w:rPr>
        <w:t>Empresa sem qualquer dado de faturamento histórico. Capital social (2017): R$ 50.000,00. CNAE: 6204-0/00 (Consultoria em TI). Sede: Não-Me-Toque/RS. Regime: Lucro Presumido.</w:t>
      </w:r>
    </w:p>
    <w:tbl>
      <w:tblPr>
        <w:tblStyle w:val="TableGrid"/>
        <w:tblW w:type="auto" w:w="0"/>
        <w:jc w:val="left"/>
        <w:tblLook w:firstColumn="1" w:firstRow="1" w:lastColumn="0" w:lastRow="0" w:noHBand="0" w:noVBand="1" w:val="04A0"/>
      </w:tblPr>
      <w:tblGrid>
        <w:gridCol w:w="4702"/>
        <w:gridCol w:w="4702"/>
      </w:tblGrid>
      <w:tr>
        <w:tc>
          <w:tcPr>
            <w:tcW w:type="dxa" w:w="6236"/>
            <w:shd w:val="clear" w:color="auto" w:fill="00205B"/>
          </w:tcPr>
          <w:p>
            <w:pPr>
              <w:jc w:val="center"/>
            </w:pPr>
            <w:r>
              <w:rPr>
                <w:rFonts w:ascii="Arial" w:hAnsi="Arial"/>
                <w:b/>
                <w:color w:val="FFFFFF"/>
                <w:sz w:val="20"/>
              </w:rPr>
              <w:t>Item</w:t>
            </w:r>
          </w:p>
        </w:tc>
        <w:tc>
          <w:tcPr>
            <w:tcW w:type="dxa" w:w="3402"/>
            <w:shd w:val="clear" w:color="auto" w:fill="00205B"/>
          </w:tcPr>
          <w:p>
            <w:pPr>
              <w:jc w:val="center"/>
            </w:pPr>
            <w:r>
              <w:rPr>
                <w:rFonts w:ascii="Arial" w:hAnsi="Arial"/>
                <w:b/>
                <w:color w:val="FFFFFF"/>
                <w:sz w:val="20"/>
              </w:rPr>
              <w:t>Valor</w:t>
            </w:r>
          </w:p>
        </w:tc>
      </w:tr>
      <w:tr>
        <w:tc>
          <w:tcPr>
            <w:tcW w:type="dxa" w:w="6236"/>
            <w:shd w:val="clear" w:color="auto" w:fill="F2F2F2"/>
          </w:tcPr>
          <w:p>
            <w:pPr>
              <w:jc w:val="left"/>
            </w:pPr>
            <w:r>
              <w:rPr>
                <w:rFonts w:ascii="Arial" w:hAnsi="Arial"/>
                <w:sz w:val="20"/>
              </w:rPr>
              <w:t>Capital Social 2017 (proxy de faturamento)</w:t>
            </w:r>
          </w:p>
        </w:tc>
        <w:tc>
          <w:tcPr>
            <w:tcW w:type="dxa" w:w="3402"/>
            <w:shd w:val="clear" w:color="auto" w:fill="F2F2F2"/>
          </w:tcPr>
          <w:p>
            <w:pPr>
              <w:jc w:val="center"/>
            </w:pPr>
            <w:r>
              <w:rPr>
                <w:rFonts w:ascii="Arial" w:hAnsi="Arial"/>
                <w:sz w:val="20"/>
              </w:rPr>
              <w:t>R$ 50.000,00</w:t>
            </w:r>
          </w:p>
        </w:tc>
      </w:tr>
      <w:tr>
        <w:tc>
          <w:tcPr>
            <w:tcW w:type="dxa" w:w="6236"/>
            <w:shd w:val="clear" w:color="auto" w:fill="FFFFFF"/>
          </w:tcPr>
          <w:p>
            <w:pPr>
              <w:jc w:val="left"/>
            </w:pPr>
            <w:r>
              <w:rPr>
                <w:rFonts w:ascii="Arial" w:hAnsi="Arial"/>
                <w:sz w:val="20"/>
              </w:rPr>
              <w:t>(−) Tributos estimados: PIS 0,65% + COFINS 3% + ISS 3% = 6,65%</w:t>
            </w:r>
          </w:p>
        </w:tc>
        <w:tc>
          <w:tcPr>
            <w:tcW w:type="dxa" w:w="3402"/>
            <w:shd w:val="clear" w:color="auto" w:fill="FFFFFF"/>
          </w:tcPr>
          <w:p>
            <w:pPr>
              <w:jc w:val="center"/>
            </w:pPr>
            <w:r>
              <w:rPr>
                <w:rFonts w:ascii="Arial" w:hAnsi="Arial"/>
                <w:sz w:val="20"/>
              </w:rPr>
              <w:t>(R$ 3.325,00)</w:t>
            </w:r>
          </w:p>
        </w:tc>
      </w:tr>
      <w:tr>
        <w:tc>
          <w:tcPr>
            <w:tcW w:type="dxa" w:w="6236"/>
            <w:shd w:val="clear" w:color="auto" w:fill="F2F2F2"/>
          </w:tcPr>
          <w:p>
            <w:pPr>
              <w:jc w:val="left"/>
            </w:pPr>
            <w:r>
              <w:rPr>
                <w:rFonts w:ascii="Arial" w:hAnsi="Arial"/>
                <w:sz w:val="20"/>
              </w:rPr>
              <w:t>Base de Cálculo Histórica (2017)</w:t>
            </w:r>
          </w:p>
        </w:tc>
        <w:tc>
          <w:tcPr>
            <w:tcW w:type="dxa" w:w="3402"/>
            <w:shd w:val="clear" w:color="auto" w:fill="F2F2F2"/>
          </w:tcPr>
          <w:p>
            <w:pPr>
              <w:jc w:val="center"/>
            </w:pPr>
            <w:r>
              <w:rPr>
                <w:rFonts w:ascii="Arial" w:hAnsi="Arial"/>
                <w:sz w:val="20"/>
              </w:rPr>
              <w:t>R$ 46.675,00</w:t>
            </w:r>
          </w:p>
        </w:tc>
      </w:tr>
      <w:tr>
        <w:tc>
          <w:tcPr>
            <w:tcW w:type="dxa" w:w="6236"/>
            <w:shd w:val="clear" w:color="auto" w:fill="FFFFFF"/>
          </w:tcPr>
          <w:p>
            <w:pPr>
              <w:jc w:val="left"/>
            </w:pPr>
            <w:r>
              <w:rPr>
                <w:rFonts w:ascii="Arial" w:hAnsi="Arial"/>
                <w:sz w:val="20"/>
              </w:rPr>
              <w:t>Atualização IPCA até dez/2024</w:t>
            </w:r>
          </w:p>
        </w:tc>
        <w:tc>
          <w:tcPr>
            <w:tcW w:type="dxa" w:w="3402"/>
            <w:shd w:val="clear" w:color="auto" w:fill="FFFFFF"/>
          </w:tcPr>
          <w:p>
            <w:pPr>
              <w:jc w:val="center"/>
            </w:pPr>
            <w:r>
              <w:rPr>
                <w:rFonts w:ascii="Arial" w:hAnsi="Arial"/>
                <w:sz w:val="20"/>
              </w:rPr>
              <w:t>≈ R$ 67.417,43</w:t>
            </w:r>
          </w:p>
        </w:tc>
      </w:tr>
    </w:tbl>
    <w:p/>
    <w:p>
      <w:pPr>
        <w:spacing w:before="80" w:after="80"/>
        <w:ind w:left="850" w:right="567"/>
      </w:pPr>
      <w:r>
        <w:rPr>
          <w:rFonts w:ascii="Arial" w:hAnsi="Arial"/>
          <w:i/>
          <w:color w:val="333366"/>
          <w:sz w:val="20"/>
        </w:rPr>
        <w:t>BASE DE CÁLCULO OFICIAL  =  R$ 67.417,43</w:t>
      </w:r>
    </w:p>
    <w:p>
      <w:pPr>
        <w:spacing w:before="0" w:after="80"/>
      </w:pPr>
      <w:r>
        <w:rPr>
          <w:rFonts w:ascii="Arial" w:hAnsi="Arial"/>
          <w:i w:val="0"/>
          <w:sz w:val="22"/>
        </w:rPr>
        <w:t>A partir desse valor, a dosimetria (agravantes, atenuantes, limites legais) segue o fluxo padrão.</w:t>
      </w:r>
    </w:p>
    <w:tbl>
      <w:tblPr>
        <w:tblStyle w:val="TableGrid"/>
        <w:tblW w:type="auto" w:w="0"/>
        <w:tblLook w:firstColumn="1" w:firstRow="1" w:lastColumn="0" w:lastRow="0" w:noHBand="0" w:noVBand="1" w:val="04A0"/>
      </w:tblPr>
      <w:tblGrid>
        <w:gridCol w:w="9405"/>
      </w:tblGrid>
      <w:tr>
        <w:tc>
          <w:tcPr>
            <w:tcW w:type="dxa" w:w="9405"/>
            <w:shd w:val="clear" w:color="auto" w:fill="F2F2F2"/>
            <w:tcBorders>
              <w:bottom w:val="single" w:sz="6" w:space="0" w:color="64A70B"/>
            </w:tcBorders>
          </w:tcPr>
          <w:p>
            <w:r>
              <w:rPr>
                <w:rFonts w:ascii="Arial" w:hAnsi="Arial"/>
                <w:color w:val="444400"/>
                <w:sz w:val="20"/>
              </w:rPr>
              <w:t>⚠  Estimativa técnica não é arbitrária. Cada premissa (CNAE, carga tributária, capital social) deve ser formalmente documentada no processo.</w:t>
            </w:r>
          </w:p>
        </w:tc>
      </w:tr>
    </w:tbl>
    <w:p/>
    <w:p/>
    <w:p>
      <w:pPr>
        <w:jc w:val="center"/>
      </w:pPr>
      <w:r>
        <w:rPr>
          <w:rFonts w:ascii="Arial" w:hAnsi="Arial"/>
          <w:i/>
          <w:color w:val="888888"/>
          <w:sz w:val="18"/>
        </w:rPr>
        <w:t>Manual elaborado com base na Calculadora de Multa PAR — Corregedoria da Receita Federal do Brasil</w:t>
        <w:br/>
        <w:t>Fundamentos: Lei nº 12.846/2013 | Decreto nº 11.129/2022 | IN CGU nº 1/2015 | Manual CGU (3ª ed., jun/2026) | Portaria Conjunta CGU nº 6/2022</w:t>
      </w:r>
    </w:p>
    <w:sectPr w:rsidR="00FC693F" w:rsidRPr="0006063C" w:rsidSect="00034616">
      <w:pgSz w:w="12240" w:h="15840"/>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444444"/>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