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CONTEXTUALIZAÇÃO DO PROCESSO</w:t>
      </w:r>
    </w:p>
    <w:p/>
    <w:p>
      <w:r>
        <w:rPr>
          <w:b/>
        </w:rPr>
        <w:t xml:space="preserve">Código: </w:t>
      </w:r>
      <w:r>
        <w:t>07.08.01</w:t>
      </w:r>
    </w:p>
    <w:p>
      <w:r>
        <w:rPr>
          <w:b/>
        </w:rPr>
        <w:t xml:space="preserve">Processo: </w:t>
      </w:r>
      <w:r>
        <w:t>Prevenir Ilícitos Funcionais</w:t>
      </w:r>
    </w:p>
    <w:p>
      <w:r>
        <w:rPr>
          <w:b/>
        </w:rPr>
        <w:t xml:space="preserve">Órgão: </w:t>
      </w:r>
      <w:r>
        <w:t>Coger — Corregedoria da RFB</w:t>
      </w:r>
    </w:p>
    <w:p>
      <w:r>
        <w:rPr>
          <w:b/>
        </w:rPr>
        <w:t xml:space="preserve">Data: </w:t>
      </w:r>
      <w:r>
        <w:t>Junho/2026</w:t>
      </w:r>
    </w:p>
    <w:p/>
    <w:p>
      <w:pPr>
        <w:pStyle w:val="Heading1"/>
      </w:pPr>
      <w:r>
        <w:t>1. Objetivo Macro</w:t>
      </w:r>
    </w:p>
    <w:p>
      <w:r>
        <w:t>Desenvolver ações sistemáticas de prevenção a ilícitos funcionais no âmbito da RFB, por meio do controle correcional, capacitação ética, transparência e publicação de informações correcionais, em conformidade com os arts. 1º e 2º da PNU v5.1 e com as competências da Coger fixadas no novo Regimento Interno.</w:t>
      </w:r>
    </w:p>
    <w:p>
      <w:pPr>
        <w:pStyle w:val="Heading1"/>
      </w:pPr>
      <w:r>
        <w:t>2. Subprocessos</w:t>
      </w:r>
    </w:p>
    <w:p>
      <w:pPr>
        <w:pStyle w:val="ListBullet"/>
      </w:pPr>
      <w:r>
        <w:rPr>
          <w:b/>
        </w:rPr>
        <w:t xml:space="preserve">07.08.01-01 — Controle Correcional: </w:t>
      </w:r>
      <w:r>
        <w:t>Monitorar e atualizar sistemas correcionais (e-PAD, CGU-PAD, SEI) com dados de procedimentos disciplinares.</w:t>
      </w:r>
    </w:p>
    <w:p>
      <w:pPr>
        <w:pStyle w:val="ListBullet"/>
      </w:pPr>
      <w:r>
        <w:rPr>
          <w:b/>
        </w:rPr>
        <w:t xml:space="preserve">07.08.01-02 — Prevenção e Ética: </w:t>
      </w:r>
      <w:r>
        <w:t>Planejar e executar ações de capacitação ética e campanhas de prevenção a desvios funcionais.</w:t>
      </w:r>
    </w:p>
    <w:p>
      <w:pPr>
        <w:pStyle w:val="ListBullet"/>
      </w:pPr>
      <w:r>
        <w:rPr>
          <w:b/>
        </w:rPr>
        <w:t xml:space="preserve">07.08.01-03 — Atender Demandas Gerais e Modelar Fluxos: </w:t>
      </w:r>
      <w:r>
        <w:t>Receber e responder demandas externas e internas e manter os fluxos correcionais atualizados.</w:t>
      </w:r>
    </w:p>
    <w:p>
      <w:pPr>
        <w:pStyle w:val="ListBullet"/>
      </w:pPr>
      <w:r>
        <w:rPr>
          <w:b/>
        </w:rPr>
        <w:t xml:space="preserve">07.08.01-04 — Transparência Correcional: </w:t>
      </w:r>
      <w:r>
        <w:t>Produzir e publicar informações correcionais para a sociedade conforme LAI e diretrizes da CGU.</w:t>
      </w:r>
    </w:p>
    <w:p>
      <w:pPr>
        <w:pStyle w:val="ListBullet"/>
      </w:pPr>
      <w:r>
        <w:rPr>
          <w:b/>
        </w:rPr>
        <w:t xml:space="preserve">07.08.01-05 — Relatório Anual: </w:t>
      </w:r>
      <w:r>
        <w:t>Consolidar e publicar o Relatório Anual de Atividades Correcionais da Coger.</w:t>
      </w:r>
    </w:p>
    <w:p>
      <w:pPr>
        <w:pStyle w:val="Heading1"/>
      </w:pPr>
      <w:r>
        <w:t>3. Resultados Esperados</w:t>
      </w:r>
    </w:p>
    <w:p>
      <w:pPr>
        <w:pStyle w:val="ListBullet"/>
      </w:pPr>
      <w:r>
        <w:t>Sistemas correcionais atualizados e dados íntegros</w:t>
      </w:r>
    </w:p>
    <w:p>
      <w:pPr>
        <w:pStyle w:val="ListBullet"/>
      </w:pPr>
      <w:r>
        <w:t>Servidores capacitados em ética e conduta funcional</w:t>
      </w:r>
    </w:p>
    <w:p>
      <w:pPr>
        <w:pStyle w:val="ListBullet"/>
      </w:pPr>
      <w:r>
        <w:t>Demandas atendidas com tempestividade</w:t>
      </w:r>
    </w:p>
    <w:p>
      <w:pPr>
        <w:pStyle w:val="ListBullet"/>
      </w:pPr>
      <w:r>
        <w:t>Informações de transparência publicadas regularmente</w:t>
      </w:r>
    </w:p>
    <w:p>
      <w:pPr>
        <w:pStyle w:val="ListBullet"/>
      </w:pPr>
      <w:r>
        <w:t>Relatório Anual publicado no prazo</w:t>
      </w:r>
    </w:p>
    <w:p>
      <w:pPr>
        <w:pStyle w:val="Heading1"/>
      </w:pPr>
      <w:r>
        <w:t>4. Clientes do Processo</w:t>
      </w:r>
    </w:p>
    <w:p>
      <w:pPr>
        <w:pStyle w:val="ListBullet"/>
      </w:pPr>
      <w:r>
        <w:t>Servidores e unidades da RFB</w:t>
      </w:r>
    </w:p>
    <w:p>
      <w:pPr>
        <w:pStyle w:val="ListBullet"/>
      </w:pPr>
      <w:r>
        <w:t>Ministério da Fazenda / CGCO</w:t>
      </w:r>
    </w:p>
    <w:p>
      <w:pPr>
        <w:pStyle w:val="ListBullet"/>
      </w:pPr>
      <w:r>
        <w:t>CGU</w:t>
      </w:r>
    </w:p>
    <w:p>
      <w:pPr>
        <w:pStyle w:val="ListBullet"/>
      </w:pPr>
      <w:r>
        <w:t>Sociedade em geral</w:t>
      </w:r>
    </w:p>
    <w:p>
      <w:pPr>
        <w:pStyle w:val="Heading1"/>
      </w:pPr>
      <w:r>
        <w:t>5. Fornecedores / Insumos</w:t>
      </w:r>
    </w:p>
    <w:p>
      <w:pPr>
        <w:pStyle w:val="ListBullet"/>
      </w:pPr>
      <w:r>
        <w:t>Unidades da RFB — registros de procedimentos</w:t>
      </w:r>
    </w:p>
    <w:p>
      <w:pPr>
        <w:pStyle w:val="ListBullet"/>
      </w:pPr>
      <w:r>
        <w:t>CGU — sistemas e diretrizes</w:t>
      </w:r>
    </w:p>
    <w:p>
      <w:pPr>
        <w:pStyle w:val="ListBullet"/>
      </w:pPr>
      <w:r>
        <w:t>e-PAD / SEI</w:t>
      </w:r>
    </w:p>
    <w:p>
      <w:pPr>
        <w:pStyle w:val="ListBullet"/>
      </w:pPr>
      <w:r>
        <w:t>PNU v5.1</w:t>
      </w:r>
    </w:p>
    <w:p>
      <w:pPr>
        <w:pStyle w:val="Heading1"/>
      </w:pPr>
      <w:r>
        <w:t>6. Base Legal</w:t>
      </w:r>
    </w:p>
    <w:p>
      <w:pPr>
        <w:pStyle w:val="ListBullet"/>
      </w:pPr>
      <w:r>
        <w:t>PNU v5.1, arts. 1º e 2º</w:t>
      </w:r>
    </w:p>
    <w:p>
      <w:pPr>
        <w:pStyle w:val="ListBullet"/>
      </w:pPr>
      <w:r>
        <w:t>Lei nº 8.112/1990, arts. 143–182</w:t>
      </w:r>
    </w:p>
    <w:p>
      <w:pPr>
        <w:pStyle w:val="ListBullet"/>
      </w:pPr>
      <w:r>
        <w:t>Lei nº 12.527/2011 (LAI)</w:t>
      </w:r>
    </w:p>
    <w:p>
      <w:pPr>
        <w:pStyle w:val="ListBullet"/>
      </w:pPr>
      <w:r>
        <w:t>Regimento Interno Coger (v260924), arts. 15–20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