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CONTEXTUALIZAÇÃO DO PROCESSO</w:t>
      </w:r>
    </w:p>
    <w:p/>
    <w:p>
      <w:r>
        <w:rPr>
          <w:b/>
        </w:rPr>
        <w:t xml:space="preserve">Código: </w:t>
      </w:r>
      <w:r>
        <w:t>07.08.02</w:t>
      </w:r>
    </w:p>
    <w:p>
      <w:r>
        <w:rPr>
          <w:b/>
        </w:rPr>
        <w:t xml:space="preserve">Processo: </w:t>
      </w:r>
      <w:r>
        <w:t>Apurar Irregularidades Funcionais</w:t>
      </w:r>
    </w:p>
    <w:p>
      <w:r>
        <w:rPr>
          <w:b/>
        </w:rPr>
        <w:t xml:space="preserve">Órgão: </w:t>
      </w:r>
      <w:r>
        <w:t>Coger — Corregedoria da RFB</w:t>
      </w:r>
    </w:p>
    <w:p>
      <w:r>
        <w:rPr>
          <w:b/>
        </w:rPr>
        <w:t xml:space="preserve">Data: </w:t>
      </w:r>
      <w:r>
        <w:t>Junho/2026</w:t>
      </w:r>
    </w:p>
    <w:p/>
    <w:p>
      <w:pPr>
        <w:pStyle w:val="Heading1"/>
      </w:pPr>
      <w:r>
        <w:t>1. Objetivo Macro</w:t>
      </w:r>
    </w:p>
    <w:p>
      <w:r>
        <w:t>Apurar irregularidades funcionais praticadas por servidores da RFB, desde o recebimento e triagem das denúncias até a conclusão das investigações preliminares, com encaminhamento fundamentado ao juízo de admissibilidade ou ao arquivamento, conforme arts. 6º a 17 da PNU v5.1.</w:t>
      </w:r>
    </w:p>
    <w:p>
      <w:pPr>
        <w:pStyle w:val="Heading1"/>
      </w:pPr>
      <w:r>
        <w:t>2. Subprocessos</w:t>
      </w:r>
    </w:p>
    <w:p>
      <w:pPr>
        <w:pStyle w:val="ListBullet"/>
      </w:pPr>
      <w:r>
        <w:rPr>
          <w:b/>
        </w:rPr>
        <w:t xml:space="preserve">07.08.02-01 — Triagem de Demandas: </w:t>
      </w:r>
      <w:r>
        <w:t>Receber, classificar e distribuir demandas correcionais conforme competência e tipo de procedimento cabível.</w:t>
      </w:r>
    </w:p>
    <w:p>
      <w:pPr>
        <w:pStyle w:val="ListBullet"/>
      </w:pPr>
      <w:r>
        <w:rPr>
          <w:b/>
        </w:rPr>
        <w:t xml:space="preserve">07.08.02-02 — Apuração Preliminar de Ocorrências: </w:t>
      </w:r>
      <w:r>
        <w:t>Realizar apuração preliminar para verificar existência de indícios mínimos de irregularidade.</w:t>
      </w:r>
    </w:p>
    <w:p>
      <w:pPr>
        <w:pStyle w:val="ListBullet"/>
      </w:pPr>
      <w:r>
        <w:rPr>
          <w:b/>
        </w:rPr>
        <w:t xml:space="preserve">07.08.02-03 — Investigação Funcional: </w:t>
      </w:r>
      <w:r>
        <w:t>Conduzir investigação formal com coleta de provas e relatório conclusivo.</w:t>
      </w:r>
    </w:p>
    <w:p>
      <w:pPr>
        <w:pStyle w:val="Heading1"/>
      </w:pPr>
      <w:r>
        <w:t>3. Resultados Esperados</w:t>
      </w:r>
    </w:p>
    <w:p>
      <w:pPr>
        <w:pStyle w:val="ListBullet"/>
      </w:pPr>
      <w:r>
        <w:t>Demandas triadas e distribuídas com tempestividade</w:t>
      </w:r>
    </w:p>
    <w:p>
      <w:pPr>
        <w:pStyle w:val="ListBullet"/>
      </w:pPr>
      <w:r>
        <w:t>Apurações preliminares concluídas dentro do prazo</w:t>
      </w:r>
    </w:p>
    <w:p>
      <w:pPr>
        <w:pStyle w:val="ListBullet"/>
      </w:pPr>
      <w:r>
        <w:t>Relatórios de investigação conclusivos</w:t>
      </w:r>
    </w:p>
    <w:p>
      <w:pPr>
        <w:pStyle w:val="ListBullet"/>
      </w:pPr>
      <w:r>
        <w:t>Encaminhamentos ao PAD/PAR quando cabível</w:t>
      </w:r>
    </w:p>
    <w:p>
      <w:pPr>
        <w:pStyle w:val="Heading1"/>
      </w:pPr>
      <w:r>
        <w:t>4. Clientes do Processo</w:t>
      </w:r>
    </w:p>
    <w:p>
      <w:pPr>
        <w:pStyle w:val="ListBullet"/>
      </w:pPr>
      <w:r>
        <w:t>Autoridade Correcional</w:t>
      </w:r>
    </w:p>
    <w:p>
      <w:pPr>
        <w:pStyle w:val="ListBullet"/>
      </w:pPr>
      <w:r>
        <w:t>Secac</w:t>
      </w:r>
    </w:p>
    <w:p>
      <w:pPr>
        <w:pStyle w:val="ListBullet"/>
      </w:pPr>
      <w:r>
        <w:t>Subcorregedorias regionais</w:t>
      </w:r>
    </w:p>
    <w:p>
      <w:pPr>
        <w:pStyle w:val="ListBullet"/>
      </w:pPr>
      <w:r>
        <w:t>CGU</w:t>
      </w:r>
    </w:p>
    <w:p>
      <w:pPr>
        <w:pStyle w:val="Heading1"/>
      </w:pPr>
      <w:r>
        <w:t>5. Fornecedores / Insumos</w:t>
      </w:r>
    </w:p>
    <w:p>
      <w:pPr>
        <w:pStyle w:val="ListBullet"/>
      </w:pPr>
      <w:r>
        <w:t>Denunciantes (anônimos ou identificados)</w:t>
      </w:r>
    </w:p>
    <w:p>
      <w:pPr>
        <w:pStyle w:val="ListBullet"/>
      </w:pPr>
      <w:r>
        <w:t>Unidades da RFB</w:t>
      </w:r>
    </w:p>
    <w:p>
      <w:pPr>
        <w:pStyle w:val="ListBullet"/>
      </w:pPr>
      <w:r>
        <w:t>SEI</w:t>
      </w:r>
    </w:p>
    <w:p>
      <w:pPr>
        <w:pStyle w:val="ListBullet"/>
      </w:pPr>
      <w:r>
        <w:t>CGU/e-PAD</w:t>
      </w:r>
    </w:p>
    <w:p>
      <w:pPr>
        <w:pStyle w:val="Heading1"/>
      </w:pPr>
      <w:r>
        <w:t>6. Base Legal</w:t>
      </w:r>
    </w:p>
    <w:p>
      <w:pPr>
        <w:pStyle w:val="ListBullet"/>
      </w:pPr>
      <w:r>
        <w:t>PNU v5.1, arts. 6º a 17</w:t>
      </w:r>
    </w:p>
    <w:p>
      <w:pPr>
        <w:pStyle w:val="ListBullet"/>
      </w:pPr>
      <w:r>
        <w:t>Lei nº 8.112/1990, arts. 143–145</w:t>
      </w:r>
    </w:p>
    <w:p>
      <w:pPr>
        <w:pStyle w:val="ListBullet"/>
      </w:pPr>
      <w:r>
        <w:t>Regimento Interno Coger, arts. 21–26 (Divid, Seinv, Secac, Diaco, Seaco)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