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DESCRITIVO DO PROCESSO</w:t>
      </w:r>
    </w:p>
    <w:p/>
    <w:p>
      <w:r>
        <w:rPr>
          <w:b/>
        </w:rPr>
        <w:t xml:space="preserve">Código: </w:t>
      </w:r>
      <w:r>
        <w:t>07.08.02</w:t>
      </w:r>
    </w:p>
    <w:p>
      <w:r>
        <w:rPr>
          <w:b/>
        </w:rPr>
        <w:t xml:space="preserve">Processo: </w:t>
      </w:r>
      <w:r>
        <w:t>Apurar Irregularidades Funcionais</w:t>
      </w:r>
    </w:p>
    <w:p>
      <w:r>
        <w:rPr>
          <w:b/>
        </w:rPr>
        <w:t xml:space="preserve">Órgão: </w:t>
      </w:r>
      <w:r>
        <w:t>Coger — Corregedoria da RFB</w:t>
      </w:r>
    </w:p>
    <w:p/>
    <w:p>
      <w:pPr>
        <w:pStyle w:val="Heading1"/>
      </w:pPr>
      <w:r>
        <w:t>07.08.02-01 — Triagem de Demandas</w:t>
      </w:r>
    </w:p>
    <w:p>
      <w:r>
        <w:rPr>
          <w:b/>
        </w:rPr>
        <w:t xml:space="preserve">Objetivo: </w:t>
      </w:r>
      <w:r>
        <w:t>Receber, registrar, classificar e distribuir demandas correcionais.</w:t>
      </w:r>
    </w:p>
    <w:p>
      <w:r>
        <w:rPr>
          <w:b/>
        </w:rPr>
        <w:t xml:space="preserve">Responsável: </w:t>
      </w:r>
      <w:r>
        <w:t>Secac / Coger-Geral</w:t>
      </w:r>
    </w:p>
    <w:p>
      <w:r>
        <w:rPr>
          <w:b/>
        </w:rPr>
        <w:t xml:space="preserve">Entradas: </w:t>
      </w:r>
      <w:r>
        <w:t>Denúncias; Representações; Ofícios externos; Notas de inteligência</w:t>
      </w:r>
    </w:p>
    <w:p>
      <w:r>
        <w:rPr>
          <w:b/>
        </w:rPr>
        <w:t xml:space="preserve">Saídas: </w:t>
      </w:r>
      <w:r>
        <w:t>Demanda classificada; Processo SEI instaurado; Notificação de competência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Receber e registrar demanda</w:t>
            </w:r>
          </w:p>
        </w:tc>
        <w:tc>
          <w:tcPr>
            <w:tcW w:type="dxa" w:w="1728"/>
          </w:tcPr>
          <w:p>
            <w:r>
              <w:t>Coger/Geral</w:t>
            </w:r>
          </w:p>
        </w:tc>
        <w:tc>
          <w:tcPr>
            <w:tcW w:type="dxa" w:w="1728"/>
          </w:tcPr>
          <w:p>
            <w:r>
              <w:t>Receber denúncia ou representação e registrar no SEI.</w:t>
            </w:r>
          </w:p>
        </w:tc>
        <w:tc>
          <w:tcPr>
            <w:tcW w:type="dxa" w:w="1728"/>
          </w:tcPr>
          <w:p>
            <w:r>
              <w:t>PNU v5.1, art. 6º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Classificar demanda e verificar competência</w:t>
            </w:r>
          </w:p>
        </w:tc>
        <w:tc>
          <w:tcPr>
            <w:tcW w:type="dxa" w:w="1728"/>
          </w:tcPr>
          <w:p>
            <w:r>
              <w:t>Secac</w:t>
            </w:r>
          </w:p>
        </w:tc>
        <w:tc>
          <w:tcPr>
            <w:tcW w:type="dxa" w:w="1728"/>
          </w:tcPr>
          <w:p>
            <w:r>
              <w:t>Analisar o objeto e classificar a demanda; verificar competência da RFB.</w:t>
            </w:r>
          </w:p>
        </w:tc>
        <w:tc>
          <w:tcPr>
            <w:tcW w:type="dxa" w:w="1728"/>
          </w:tcPr>
          <w:p>
            <w:r>
              <w:t>PNU v5.1, art. 7º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Encaminhar se não competência RFB</w:t>
            </w:r>
          </w:p>
        </w:tc>
        <w:tc>
          <w:tcPr>
            <w:tcW w:type="dxa" w:w="1728"/>
          </w:tcPr>
          <w:p>
            <w:r>
              <w:t>Secac</w:t>
            </w:r>
          </w:p>
        </w:tc>
        <w:tc>
          <w:tcPr>
            <w:tcW w:type="dxa" w:w="1728"/>
          </w:tcPr>
          <w:p>
            <w:r>
              <w:t>Encaminhar ao órgão adequado e arquivar, se fora da competência.</w:t>
            </w:r>
          </w:p>
        </w:tc>
        <w:tc>
          <w:tcPr>
            <w:tcW w:type="dxa" w:w="1728"/>
          </w:tcPr>
          <w:p>
            <w:r>
              <w:t>PNU v5.1, art. 8º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Determinar tipo de procedimento</w:t>
            </w:r>
          </w:p>
        </w:tc>
        <w:tc>
          <w:tcPr>
            <w:tcW w:type="dxa" w:w="1728"/>
          </w:tcPr>
          <w:p>
            <w:r>
              <w:t>Secac</w:t>
            </w:r>
          </w:p>
        </w:tc>
        <w:tc>
          <w:tcPr>
            <w:tcW w:type="dxa" w:w="1728"/>
          </w:tcPr>
          <w:p>
            <w:r>
              <w:t>Definir se cabe INPRE, IPS ou SINVE.</w:t>
            </w:r>
          </w:p>
        </w:tc>
        <w:tc>
          <w:tcPr>
            <w:tcW w:type="dxa" w:w="1728"/>
          </w:tcPr>
          <w:p>
            <w:r>
              <w:t>PNU v5.1, arts. 9º–11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Instaurar procedimento</w:t>
            </w:r>
          </w:p>
        </w:tc>
        <w:tc>
          <w:tcPr>
            <w:tcW w:type="dxa" w:w="1728"/>
          </w:tcPr>
          <w:p>
            <w:r>
              <w:t>Secac/Seinv/Subcorregedorias</w:t>
            </w:r>
          </w:p>
        </w:tc>
        <w:tc>
          <w:tcPr>
            <w:tcW w:type="dxa" w:w="1728"/>
          </w:tcPr>
          <w:p>
            <w:r>
              <w:t>Instaurar o procedimento escolhido e distribuir ao responsável.</w:t>
            </w:r>
          </w:p>
        </w:tc>
        <w:tc>
          <w:tcPr>
            <w:tcW w:type="dxa" w:w="1728"/>
          </w:tcPr>
          <w:p>
            <w:r>
              <w:t>PNU v5.1, art. 12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Registrar no SEI</w:t>
            </w:r>
          </w:p>
        </w:tc>
        <w:tc>
          <w:tcPr>
            <w:tcW w:type="dxa" w:w="1728"/>
          </w:tcPr>
          <w:p>
            <w:r>
              <w:t>Coger/Geral</w:t>
            </w:r>
          </w:p>
        </w:tc>
        <w:tc>
          <w:tcPr>
            <w:tcW w:type="dxa" w:w="1728"/>
          </w:tcPr>
          <w:p>
            <w:r>
              <w:t>Registrar o procedimento instaurado e controlar prazos.</w:t>
            </w:r>
          </w:p>
        </w:tc>
        <w:tc>
          <w:tcPr>
            <w:tcW w:type="dxa" w:w="1728"/>
          </w:tcPr>
          <w:p>
            <w:r>
              <w:t>PNU v5.1, art. 13</w:t>
            </w:r>
          </w:p>
        </w:tc>
      </w:tr>
    </w:tbl>
    <w:p/>
    <w:p>
      <w:pPr>
        <w:pStyle w:val="Heading1"/>
      </w:pPr>
      <w:r>
        <w:t>07.08.02-02 — Apuração Preliminar de Ocorrências</w:t>
      </w:r>
    </w:p>
    <w:p>
      <w:r>
        <w:rPr>
          <w:b/>
        </w:rPr>
        <w:t xml:space="preserve">Objetivo: </w:t>
      </w:r>
      <w:r>
        <w:t>Verificar existência de indícios mínimos de irregularidade funcional.</w:t>
      </w:r>
    </w:p>
    <w:p>
      <w:r>
        <w:rPr>
          <w:b/>
        </w:rPr>
        <w:t xml:space="preserve">Responsável: </w:t>
      </w:r>
      <w:r>
        <w:t>Diaco / Seaco</w:t>
      </w:r>
    </w:p>
    <w:p>
      <w:r>
        <w:rPr>
          <w:b/>
        </w:rPr>
        <w:t xml:space="preserve">Entradas: </w:t>
      </w:r>
      <w:r>
        <w:t>Processo SEI instaurado; Documentos e informações iniciais</w:t>
      </w:r>
    </w:p>
    <w:p>
      <w:r>
        <w:rPr>
          <w:b/>
        </w:rPr>
        <w:t xml:space="preserve">Saídas: </w:t>
      </w:r>
      <w:r>
        <w:t>Relatório preliminar; Proposta de arquivamento ou IPS/PAD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Coletar documentos iniciais</w:t>
            </w:r>
          </w:p>
        </w:tc>
        <w:tc>
          <w:tcPr>
            <w:tcW w:type="dxa" w:w="1728"/>
          </w:tcPr>
          <w:p>
            <w:r>
              <w:t>Diaco/Seaco</w:t>
            </w:r>
          </w:p>
        </w:tc>
        <w:tc>
          <w:tcPr>
            <w:tcW w:type="dxa" w:w="1728"/>
          </w:tcPr>
          <w:p>
            <w:r>
              <w:t>Reunir documentos, sistemas e informações funcionais do investigado.</w:t>
            </w:r>
          </w:p>
        </w:tc>
        <w:tc>
          <w:tcPr>
            <w:tcW w:type="dxa" w:w="1728"/>
          </w:tcPr>
          <w:p>
            <w:r>
              <w:t>PNU v5.1, art. 14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Analisar indícios preliminares</w:t>
            </w:r>
          </w:p>
        </w:tc>
        <w:tc>
          <w:tcPr>
            <w:tcW w:type="dxa" w:w="1728"/>
          </w:tcPr>
          <w:p>
            <w:r>
              <w:t>Diaco/Seaco</w:t>
            </w:r>
          </w:p>
        </w:tc>
        <w:tc>
          <w:tcPr>
            <w:tcW w:type="dxa" w:w="1728"/>
          </w:tcPr>
          <w:p>
            <w:r>
              <w:t>Avaliar existência de indícios mínimos de irregularidade.</w:t>
            </w:r>
          </w:p>
        </w:tc>
        <w:tc>
          <w:tcPr>
            <w:tcW w:type="dxa" w:w="1728"/>
          </w:tcPr>
          <w:p>
            <w:r>
              <w:t>PNU v5.1, art. 15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Elaborar relatório preliminar</w:t>
            </w:r>
          </w:p>
        </w:tc>
        <w:tc>
          <w:tcPr>
            <w:tcW w:type="dxa" w:w="1728"/>
          </w:tcPr>
          <w:p>
            <w:r>
              <w:t>Diaco/Seaco</w:t>
            </w:r>
          </w:p>
        </w:tc>
        <w:tc>
          <w:tcPr>
            <w:tcW w:type="dxa" w:w="1728"/>
          </w:tcPr>
          <w:p>
            <w:r>
              <w:t>Consolidar os achados em relatório com proposta fundamentada.</w:t>
            </w:r>
          </w:p>
        </w:tc>
        <w:tc>
          <w:tcPr>
            <w:tcW w:type="dxa" w:w="1728"/>
          </w:tcPr>
          <w:p>
            <w:r>
              <w:t>PNU v5.1, art. 15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Propor arquivamento ou prosseguimento</w:t>
            </w:r>
          </w:p>
        </w:tc>
        <w:tc>
          <w:tcPr>
            <w:tcW w:type="dxa" w:w="1728"/>
          </w:tcPr>
          <w:p>
            <w:r>
              <w:t>Secac</w:t>
            </w:r>
          </w:p>
        </w:tc>
        <w:tc>
          <w:tcPr>
            <w:tcW w:type="dxa" w:w="1728"/>
          </w:tcPr>
          <w:p>
            <w:r>
              <w:t>Propor arquivamento (sem indícios) ou instauração de IPS/PAD.</w:t>
            </w:r>
          </w:p>
        </w:tc>
        <w:tc>
          <w:tcPr>
            <w:tcW w:type="dxa" w:w="1728"/>
          </w:tcPr>
          <w:p>
            <w:r>
              <w:t>PNU v5.1, arts. 16–17</w:t>
            </w:r>
          </w:p>
        </w:tc>
      </w:tr>
    </w:tbl>
    <w:p/>
    <w:p>
      <w:pPr>
        <w:pStyle w:val="Heading1"/>
      </w:pPr>
      <w:r>
        <w:t>07.08.02-03 — Investigação Funcional</w:t>
      </w:r>
    </w:p>
    <w:p>
      <w:r>
        <w:rPr>
          <w:b/>
        </w:rPr>
        <w:t xml:space="preserve">Objetivo: </w:t>
      </w:r>
      <w:r>
        <w:t>Conduzir investigação formal com coleta de provas e relatório conclusivo.</w:t>
      </w:r>
    </w:p>
    <w:p>
      <w:r>
        <w:rPr>
          <w:b/>
        </w:rPr>
        <w:t xml:space="preserve">Responsável: </w:t>
      </w:r>
      <w:r>
        <w:t>Seinv</w:t>
      </w:r>
    </w:p>
    <w:p>
      <w:r>
        <w:rPr>
          <w:b/>
        </w:rPr>
        <w:t xml:space="preserve">Entradas: </w:t>
      </w:r>
      <w:r>
        <w:t>IPS instaurado; Portaria de instauração</w:t>
      </w:r>
    </w:p>
    <w:p>
      <w:r>
        <w:rPr>
          <w:b/>
        </w:rPr>
        <w:t xml:space="preserve">Saídas: </w:t>
      </w:r>
      <w:r>
        <w:t>Relatório conclusivo; Proposta de PAD/PAR ou arquivamento</w:t>
      </w:r>
    </w:p>
    <w:p>
      <w:pPr>
        <w:pStyle w:val="Heading2"/>
      </w:pPr>
      <w:r>
        <w:t>Atividades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Seq.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 Legal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Intimar partes e testemunhas</w:t>
            </w:r>
          </w:p>
        </w:tc>
        <w:tc>
          <w:tcPr>
            <w:tcW w:type="dxa" w:w="1728"/>
          </w:tcPr>
          <w:p>
            <w:r>
              <w:t>Seinv</w:t>
            </w:r>
          </w:p>
        </w:tc>
        <w:tc>
          <w:tcPr>
            <w:tcW w:type="dxa" w:w="1728"/>
          </w:tcPr>
          <w:p>
            <w:r>
              <w:t>Intimar investigados, testemunhas e partes interessadas.</w:t>
            </w:r>
          </w:p>
        </w:tc>
        <w:tc>
          <w:tcPr>
            <w:tcW w:type="dxa" w:w="1728"/>
          </w:tcPr>
          <w:p>
            <w:r>
              <w:t>PNU v5.1, art. 18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Colher provas e depoimentos</w:t>
            </w:r>
          </w:p>
        </w:tc>
        <w:tc>
          <w:tcPr>
            <w:tcW w:type="dxa" w:w="1728"/>
          </w:tcPr>
          <w:p>
            <w:r>
              <w:t>Seinv</w:t>
            </w:r>
          </w:p>
        </w:tc>
        <w:tc>
          <w:tcPr>
            <w:tcW w:type="dxa" w:w="1728"/>
          </w:tcPr>
          <w:p>
            <w:r>
              <w:t>Realizar diligências, oitivas e coleta de documentos probatórios.</w:t>
            </w:r>
          </w:p>
        </w:tc>
        <w:tc>
          <w:tcPr>
            <w:tcW w:type="dxa" w:w="1728"/>
          </w:tcPr>
          <w:p>
            <w:r>
              <w:t>PNU v5.1, art. 19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Elaborar relatório conclusivo</w:t>
            </w:r>
          </w:p>
        </w:tc>
        <w:tc>
          <w:tcPr>
            <w:tcW w:type="dxa" w:w="1728"/>
          </w:tcPr>
          <w:p>
            <w:r>
              <w:t>Seinv</w:t>
            </w:r>
          </w:p>
        </w:tc>
        <w:tc>
          <w:tcPr>
            <w:tcW w:type="dxa" w:w="1728"/>
          </w:tcPr>
          <w:p>
            <w:r>
              <w:t>Redigir relatório com análise de provas, autoria e materialidade.</w:t>
            </w:r>
          </w:p>
        </w:tc>
        <w:tc>
          <w:tcPr>
            <w:tcW w:type="dxa" w:w="1728"/>
          </w:tcPr>
          <w:p>
            <w:r>
              <w:t>PNU v5.1, art. 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Encaminhar ao juízo de admissibilidade</w:t>
            </w:r>
          </w:p>
        </w:tc>
        <w:tc>
          <w:tcPr>
            <w:tcW w:type="dxa" w:w="1728"/>
          </w:tcPr>
          <w:p>
            <w:r>
              <w:t>Secac/Diaco</w:t>
            </w:r>
          </w:p>
        </w:tc>
        <w:tc>
          <w:tcPr>
            <w:tcW w:type="dxa" w:w="1728"/>
          </w:tcPr>
          <w:p>
            <w:r>
              <w:t>Se houver indícios suficientes, encaminhar para PAD/PAR.</w:t>
            </w:r>
          </w:p>
        </w:tc>
        <w:tc>
          <w:tcPr>
            <w:tcW w:type="dxa" w:w="1728"/>
          </w:tcPr>
          <w:p>
            <w:r>
              <w:t>PNU v5.1, art. 21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