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CONTEXTUALIZAÇÃO DO PROCESSO</w:t>
      </w:r>
    </w:p>
    <w:p/>
    <w:p>
      <w:r>
        <w:rPr>
          <w:b/>
        </w:rPr>
        <w:t xml:space="preserve">Código: </w:t>
      </w:r>
      <w:r>
        <w:t>07.08.03</w:t>
      </w:r>
    </w:p>
    <w:p>
      <w:r>
        <w:rPr>
          <w:b/>
        </w:rPr>
        <w:t xml:space="preserve">Processo: </w:t>
      </w:r>
      <w:r>
        <w:t>Apurar Responsabilidade Funcional</w:t>
      </w:r>
    </w:p>
    <w:p>
      <w:r>
        <w:rPr>
          <w:b/>
        </w:rPr>
        <w:t xml:space="preserve">Órgão: </w:t>
      </w:r>
      <w:r>
        <w:t>Coger — Corregedoria da RFB</w:t>
      </w:r>
    </w:p>
    <w:p>
      <w:r>
        <w:rPr>
          <w:b/>
        </w:rPr>
        <w:t xml:space="preserve">Data: </w:t>
      </w:r>
      <w:r>
        <w:t>Junho/2026</w:t>
      </w:r>
    </w:p>
    <w:p/>
    <w:p>
      <w:pPr>
        <w:pStyle w:val="Heading1"/>
      </w:pPr>
      <w:r>
        <w:t>1. Objetivo Macro</w:t>
      </w:r>
    </w:p>
    <w:p>
      <w:r>
        <w:t>Conduzir processos acusatórios disciplinares (PAD e PAR) contra servidores da RFB, assegurar contraditório e ampla defesa, analisar recursos e pareceres, acompanhar trâmite judicial e prestar apoio jurídico correcional, conforme arts. 18 a 22 da PNU v5.1 e Lei nº 8.112/1990.</w:t>
      </w:r>
    </w:p>
    <w:p>
      <w:pPr>
        <w:pStyle w:val="Heading1"/>
      </w:pPr>
      <w:r>
        <w:t>2. Subprocessos</w:t>
      </w:r>
    </w:p>
    <w:p>
      <w:pPr>
        <w:pStyle w:val="ListBullet"/>
      </w:pPr>
      <w:r>
        <w:rPr>
          <w:b/>
        </w:rPr>
        <w:t xml:space="preserve">07.08.03-01 — Processos Acusatórios PAD/PAR: </w:t>
      </w:r>
      <w:r>
        <w:t>Instaurar e conduzir PAD e PAR, nomear comissão, garantir contraditório e aplicar penalidade cabível.</w:t>
      </w:r>
    </w:p>
    <w:p>
      <w:pPr>
        <w:pStyle w:val="ListBullet"/>
      </w:pPr>
      <w:r>
        <w:rPr>
          <w:b/>
        </w:rPr>
        <w:t xml:space="preserve">07.08.03-02 — Análise de Pareceres e Recursos: </w:t>
      </w:r>
      <w:r>
        <w:t>Receber e analisar recursos e pedidos de reconsideração de processos disciplinares.</w:t>
      </w:r>
    </w:p>
    <w:p>
      <w:pPr>
        <w:pStyle w:val="ListBullet"/>
      </w:pPr>
      <w:r>
        <w:rPr>
          <w:b/>
        </w:rPr>
        <w:t xml:space="preserve">07.08.03-03 — Trâmite Judicial e Tomada de Contas: </w:t>
      </w:r>
      <w:r>
        <w:t>Acompanhar ações judiciais correcionais e atualizar TCEs.</w:t>
      </w:r>
    </w:p>
    <w:p>
      <w:pPr>
        <w:pStyle w:val="ListBullet"/>
      </w:pPr>
      <w:r>
        <w:rPr>
          <w:b/>
        </w:rPr>
        <w:t xml:space="preserve">07.08.03-04 — Apoio Jurídico Correcional: </w:t>
      </w:r>
      <w:r>
        <w:t>Emitir pareceres jurídicos em matéria correcional para subsidiar decisões da autoridade.</w:t>
      </w:r>
    </w:p>
    <w:p>
      <w:pPr>
        <w:pStyle w:val="Heading1"/>
      </w:pPr>
      <w:r>
        <w:t>3. Resultados Esperados</w:t>
      </w:r>
    </w:p>
    <w:p>
      <w:pPr>
        <w:pStyle w:val="ListBullet"/>
      </w:pPr>
      <w:r>
        <w:t>PAD/PAR concluídos com penalidades proporcionais</w:t>
      </w:r>
    </w:p>
    <w:p>
      <w:pPr>
        <w:pStyle w:val="ListBullet"/>
      </w:pPr>
      <w:r>
        <w:t>Recursos analisados com parecer no prazo</w:t>
      </w:r>
    </w:p>
    <w:p>
      <w:pPr>
        <w:pStyle w:val="ListBullet"/>
      </w:pPr>
      <w:r>
        <w:t>Ações judiciais acompanhadas</w:t>
      </w:r>
    </w:p>
    <w:p>
      <w:pPr>
        <w:pStyle w:val="ListBullet"/>
      </w:pPr>
      <w:r>
        <w:t>Pareceres jurídicos de qualidade disponíveis</w:t>
      </w:r>
    </w:p>
    <w:p>
      <w:pPr>
        <w:pStyle w:val="Heading1"/>
      </w:pPr>
      <w:r>
        <w:t>4. Clientes do Processo</w:t>
      </w:r>
    </w:p>
    <w:p>
      <w:pPr>
        <w:pStyle w:val="ListBullet"/>
      </w:pPr>
      <w:r>
        <w:t>Autoridade Correcional e Subcorregedorias</w:t>
      </w:r>
    </w:p>
    <w:p>
      <w:pPr>
        <w:pStyle w:val="ListBullet"/>
      </w:pPr>
      <w:r>
        <w:t>Servidores acusados</w:t>
      </w:r>
    </w:p>
    <w:p>
      <w:pPr>
        <w:pStyle w:val="ListBullet"/>
      </w:pPr>
      <w:r>
        <w:t>CGU e Ministério da Fazenda</w:t>
      </w:r>
    </w:p>
    <w:p>
      <w:pPr>
        <w:pStyle w:val="ListBullet"/>
      </w:pPr>
      <w:r>
        <w:t>Poder Judiciário</w:t>
      </w:r>
    </w:p>
    <w:p>
      <w:pPr>
        <w:pStyle w:val="Heading1"/>
      </w:pPr>
      <w:r>
        <w:t>5. Fornecedores / Insumos</w:t>
      </w:r>
    </w:p>
    <w:p>
      <w:pPr>
        <w:pStyle w:val="ListBullet"/>
      </w:pPr>
      <w:r>
        <w:t>Relatórios de investigação (07.08.02)</w:t>
      </w:r>
    </w:p>
    <w:p>
      <w:pPr>
        <w:pStyle w:val="ListBullet"/>
      </w:pPr>
      <w:r>
        <w:t>Comissões Processantes</w:t>
      </w:r>
    </w:p>
    <w:p>
      <w:pPr>
        <w:pStyle w:val="ListBullet"/>
      </w:pPr>
      <w:r>
        <w:t>DProc/Codaj</w:t>
      </w:r>
    </w:p>
    <w:p>
      <w:pPr>
        <w:pStyle w:val="ListBullet"/>
      </w:pPr>
      <w:r>
        <w:t>SEI</w:t>
      </w:r>
    </w:p>
    <w:p>
      <w:pPr>
        <w:pStyle w:val="Heading1"/>
      </w:pPr>
      <w:r>
        <w:t>6. Base Legal</w:t>
      </w:r>
    </w:p>
    <w:p>
      <w:pPr>
        <w:pStyle w:val="ListBullet"/>
      </w:pPr>
      <w:r>
        <w:t>PNU v5.1, arts. 18 a 22</w:t>
      </w:r>
    </w:p>
    <w:p>
      <w:pPr>
        <w:pStyle w:val="ListBullet"/>
      </w:pPr>
      <w:r>
        <w:t>Lei nº 8.112/1990, arts. 143–182</w:t>
      </w:r>
    </w:p>
    <w:p>
      <w:pPr>
        <w:pStyle w:val="ListBullet"/>
      </w:pPr>
      <w:r>
        <w:t>Lei nº 9.784/1999</w:t>
      </w:r>
    </w:p>
    <w:p>
      <w:pPr>
        <w:pStyle w:val="ListBullet"/>
      </w:pPr>
      <w:r>
        <w:t>Regimento Interno Coger, arts. 16, 24–28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