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CONTEXTUALIZAÇÃO DO PROCESSO</w:t>
      </w:r>
    </w:p>
    <w:p/>
    <w:p>
      <w:r>
        <w:rPr>
          <w:b/>
        </w:rPr>
        <w:t xml:space="preserve">Código: </w:t>
      </w:r>
      <w:r>
        <w:t>07.08.04</w:t>
      </w:r>
    </w:p>
    <w:p>
      <w:r>
        <w:rPr>
          <w:b/>
        </w:rPr>
        <w:t xml:space="preserve">Processo: </w:t>
      </w:r>
      <w:r>
        <w:t>Investigar Irregularidades de Pessoas Jurídicas</w:t>
      </w:r>
    </w:p>
    <w:p>
      <w:r>
        <w:rPr>
          <w:b/>
        </w:rPr>
        <w:t xml:space="preserve">Órgão: </w:t>
      </w:r>
      <w:r>
        <w:t>Coger — Corregedoria da RFB</w:t>
      </w:r>
    </w:p>
    <w:p>
      <w:r>
        <w:rPr>
          <w:b/>
        </w:rPr>
        <w:t xml:space="preserve">Data: </w:t>
      </w:r>
      <w:r>
        <w:t>Junho/2026</w:t>
      </w:r>
    </w:p>
    <w:p/>
    <w:p>
      <w:pPr>
        <w:pStyle w:val="Heading1"/>
      </w:pPr>
      <w:r>
        <w:t>1. Objetivo Macro</w:t>
      </w:r>
    </w:p>
    <w:p>
      <w:r>
        <w:t>Investigar irregularidades e fraudes praticadas por pessoas jurídicas em detrimento da Fazenda Nacional ou em relação com servidores da RFB, identificando responsáveis e propondo responsabilização administrativa, nos termos da Lei nº 12.846/2013 e do PNU v5.1.</w:t>
      </w:r>
    </w:p>
    <w:p>
      <w:pPr>
        <w:pStyle w:val="Heading1"/>
      </w:pPr>
      <w:r>
        <w:t>2. Subprocessos</w:t>
      </w:r>
    </w:p>
    <w:p>
      <w:pPr>
        <w:pStyle w:val="ListBullet"/>
      </w:pPr>
      <w:r>
        <w:rPr>
          <w:b/>
        </w:rPr>
        <w:t xml:space="preserve">07.08.04-01 — Investigação de Fraudes Praticadas por PJ: </w:t>
      </w:r>
      <w:r>
        <w:t>Receber denúncias, verificar competência, analisar risco, instaurar investigação e elaborar nota técnica conclusiva.</w:t>
      </w:r>
    </w:p>
    <w:p>
      <w:pPr>
        <w:pStyle w:val="Heading1"/>
      </w:pPr>
      <w:r>
        <w:t>3. Resultados Esperados</w:t>
      </w:r>
    </w:p>
    <w:p>
      <w:pPr>
        <w:pStyle w:val="ListBullet"/>
      </w:pPr>
      <w:r>
        <w:t>Fraudes de PJ investigadas com notas técnicas conclusivas</w:t>
      </w:r>
    </w:p>
    <w:p>
      <w:pPr>
        <w:pStyle w:val="ListBullet"/>
      </w:pPr>
      <w:r>
        <w:t>Encaminhamentos ao PAR quando cabível</w:t>
      </w:r>
    </w:p>
    <w:p>
      <w:pPr>
        <w:pStyle w:val="ListBullet"/>
      </w:pPr>
      <w:r>
        <w:t>Fatos de competência de outros órgãos devidamente encaminhados</w:t>
      </w:r>
    </w:p>
    <w:p>
      <w:pPr>
        <w:pStyle w:val="Heading1"/>
      </w:pPr>
      <w:r>
        <w:t>4. Clientes do Processo</w:t>
      </w:r>
    </w:p>
    <w:p>
      <w:pPr>
        <w:pStyle w:val="ListBullet"/>
      </w:pPr>
      <w:r>
        <w:t>Autoridade Correcional</w:t>
      </w:r>
    </w:p>
    <w:p>
      <w:pPr>
        <w:pStyle w:val="ListBullet"/>
      </w:pPr>
      <w:r>
        <w:t>CGU e TCU</w:t>
      </w:r>
    </w:p>
    <w:p>
      <w:pPr>
        <w:pStyle w:val="ListBullet"/>
      </w:pPr>
      <w:r>
        <w:t>Ministério Público Federal</w:t>
      </w:r>
    </w:p>
    <w:p>
      <w:pPr>
        <w:pStyle w:val="Heading1"/>
      </w:pPr>
      <w:r>
        <w:t>5. Fornecedores / Insumos</w:t>
      </w:r>
    </w:p>
    <w:p>
      <w:pPr>
        <w:pStyle w:val="ListBullet"/>
      </w:pPr>
      <w:r>
        <w:t>Denunciantes e Ouvidoria</w:t>
      </w:r>
    </w:p>
    <w:p>
      <w:pPr>
        <w:pStyle w:val="ListBullet"/>
      </w:pPr>
      <w:r>
        <w:t>Unidades fiscais da RFB</w:t>
      </w:r>
    </w:p>
    <w:p>
      <w:pPr>
        <w:pStyle w:val="ListBullet"/>
      </w:pPr>
      <w:r>
        <w:t>Divid/Seinv</w:t>
      </w:r>
    </w:p>
    <w:p>
      <w:pPr>
        <w:pStyle w:val="Heading1"/>
      </w:pPr>
      <w:r>
        <w:t>6. Base Legal</w:t>
      </w:r>
    </w:p>
    <w:p>
      <w:pPr>
        <w:pStyle w:val="ListBullet"/>
      </w:pPr>
      <w:r>
        <w:t>Lei nº 12.846/2013, arts. 1º–9º</w:t>
      </w:r>
    </w:p>
    <w:p>
      <w:pPr>
        <w:pStyle w:val="ListBullet"/>
      </w:pPr>
      <w:r>
        <w:t>Decreto nº 8.420/2015</w:t>
      </w:r>
    </w:p>
    <w:p>
      <w:pPr>
        <w:pStyle w:val="ListBullet"/>
      </w:pPr>
      <w:r>
        <w:t>PNU v5.1</w:t>
      </w:r>
    </w:p>
    <w:p>
      <w:pPr>
        <w:pStyle w:val="ListBullet"/>
      </w:pPr>
      <w:r>
        <w:t>Regimento Interno Coger, arts. 21 (Divid), 22 (Seinv), 23 (Seesp)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