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CONTEXTUALIZAÇÃO DO PROCESSO</w:t>
      </w:r>
    </w:p>
    <w:p/>
    <w:p>
      <w:r>
        <w:rPr>
          <w:b/>
        </w:rPr>
        <w:t xml:space="preserve">Código: </w:t>
      </w:r>
      <w:r>
        <w:t>07.08.05</w:t>
      </w:r>
    </w:p>
    <w:p>
      <w:r>
        <w:rPr>
          <w:b/>
        </w:rPr>
        <w:t xml:space="preserve">Processo: </w:t>
      </w:r>
      <w:r>
        <w:t>Apurar Responsabilidade de Pessoas Jurídicas</w:t>
      </w:r>
    </w:p>
    <w:p>
      <w:r>
        <w:rPr>
          <w:b/>
        </w:rPr>
        <w:t xml:space="preserve">Órgão: </w:t>
      </w:r>
      <w:r>
        <w:t>Coger — Corregedoria da RFB</w:t>
      </w:r>
    </w:p>
    <w:p>
      <w:r>
        <w:rPr>
          <w:b/>
        </w:rPr>
        <w:t xml:space="preserve">Data: </w:t>
      </w:r>
      <w:r>
        <w:t>Junho/2026</w:t>
      </w:r>
    </w:p>
    <w:p/>
    <w:p>
      <w:pPr>
        <w:pStyle w:val="Heading1"/>
      </w:pPr>
      <w:r>
        <w:t>1. Objetivo Macro</w:t>
      </w:r>
    </w:p>
    <w:p>
      <w:r>
        <w:t>Conduzir Processos Administrativos de Responsabilização (PAR) de pessoas jurídicas, desde a instauração, notificação e análise da defesa, até a aplicação e publicação das sanções da Lei nº 12.846/2013, incluindo a análise de recursos interpostos pelas PJs.</w:t>
      </w:r>
    </w:p>
    <w:p>
      <w:pPr>
        <w:pStyle w:val="Heading1"/>
      </w:pPr>
      <w:r>
        <w:t>2. Subprocessos</w:t>
      </w:r>
    </w:p>
    <w:p>
      <w:pPr>
        <w:pStyle w:val="ListBullet"/>
      </w:pPr>
      <w:r>
        <w:rPr>
          <w:b/>
        </w:rPr>
        <w:t xml:space="preserve">07.08.05-01 — Processos Administrativos de Responsabilização PAR: </w:t>
      </w:r>
      <w:r>
        <w:t>Instaurar e conduzir PAR, garantir contraditório da PJ, aplicar sanções e publicar no DOU/CEIS/CNEP.</w:t>
      </w:r>
    </w:p>
    <w:p>
      <w:pPr>
        <w:pStyle w:val="ListBullet"/>
      </w:pPr>
      <w:r>
        <w:rPr>
          <w:b/>
        </w:rPr>
        <w:t xml:space="preserve">07.08.05-02 — Análise de Pareceres e Recursos PAR: </w:t>
      </w:r>
      <w:r>
        <w:t>Receber e analisar recursos das PJs sancionadas, emitir parecer e manter ou reformar a sanção.</w:t>
      </w:r>
    </w:p>
    <w:p>
      <w:pPr>
        <w:pStyle w:val="Heading1"/>
      </w:pPr>
      <w:r>
        <w:t>3. Resultados Esperados</w:t>
      </w:r>
    </w:p>
    <w:p>
      <w:pPr>
        <w:pStyle w:val="ListBullet"/>
      </w:pPr>
      <w:r>
        <w:t>PAR concluídos com sanções proporcionais e publicadas</w:t>
      </w:r>
    </w:p>
    <w:p>
      <w:pPr>
        <w:pStyle w:val="ListBullet"/>
      </w:pPr>
      <w:r>
        <w:t>Registros no CEIS e CNEP atualizados</w:t>
      </w:r>
    </w:p>
    <w:p>
      <w:pPr>
        <w:pStyle w:val="ListBullet"/>
      </w:pPr>
      <w:r>
        <w:t>Recursos analisados dentro do prazo legal</w:t>
      </w:r>
    </w:p>
    <w:p>
      <w:pPr>
        <w:pStyle w:val="Heading1"/>
      </w:pPr>
      <w:r>
        <w:t>4. Clientes do Processo</w:t>
      </w:r>
    </w:p>
    <w:p>
      <w:pPr>
        <w:pStyle w:val="ListBullet"/>
      </w:pPr>
      <w:r>
        <w:t>Autoridade Correcional</w:t>
      </w:r>
    </w:p>
    <w:p>
      <w:pPr>
        <w:pStyle w:val="ListBullet"/>
      </w:pPr>
      <w:r>
        <w:t>CGU — CNEP</w:t>
      </w:r>
    </w:p>
    <w:p>
      <w:pPr>
        <w:pStyle w:val="ListBullet"/>
      </w:pPr>
      <w:r>
        <w:t>Pessoas jurídicas</w:t>
      </w:r>
    </w:p>
    <w:p>
      <w:pPr>
        <w:pStyle w:val="ListBullet"/>
      </w:pPr>
      <w:r>
        <w:t>Órgãos de controle externo</w:t>
      </w:r>
    </w:p>
    <w:p>
      <w:pPr>
        <w:pStyle w:val="Heading1"/>
      </w:pPr>
      <w:r>
        <w:t>5. Fornecedores / Insumos</w:t>
      </w:r>
    </w:p>
    <w:p>
      <w:pPr>
        <w:pStyle w:val="ListBullet"/>
      </w:pPr>
      <w:r>
        <w:t>Notas técnicas de investigação PJ (07.08.04)</w:t>
      </w:r>
    </w:p>
    <w:p>
      <w:pPr>
        <w:pStyle w:val="ListBullet"/>
      </w:pPr>
      <w:r>
        <w:t>Comissão PAR</w:t>
      </w:r>
    </w:p>
    <w:p>
      <w:pPr>
        <w:pStyle w:val="ListBullet"/>
      </w:pPr>
      <w:r>
        <w:t>DProc/Codaj</w:t>
      </w:r>
    </w:p>
    <w:p>
      <w:pPr>
        <w:pStyle w:val="ListBullet"/>
      </w:pPr>
      <w:r>
        <w:t>Imprensa Oficial — DOU</w:t>
      </w:r>
    </w:p>
    <w:p>
      <w:pPr>
        <w:pStyle w:val="Heading1"/>
      </w:pPr>
      <w:r>
        <w:t>6. Base Legal</w:t>
      </w:r>
    </w:p>
    <w:p>
      <w:pPr>
        <w:pStyle w:val="ListBullet"/>
      </w:pPr>
      <w:r>
        <w:t>Lei nº 12.846/2013, arts. 8º–15</w:t>
      </w:r>
    </w:p>
    <w:p>
      <w:pPr>
        <w:pStyle w:val="ListBullet"/>
      </w:pPr>
      <w:r>
        <w:t>Decreto nº 8.420/2015, arts. 5º–12</w:t>
      </w:r>
    </w:p>
    <w:p>
      <w:pPr>
        <w:pStyle w:val="ListBullet"/>
      </w:pPr>
      <w:r>
        <w:t>PNU v5.1</w:t>
      </w:r>
    </w:p>
    <w:p>
      <w:pPr>
        <w:pStyle w:val="ListBullet"/>
      </w:pPr>
      <w:r>
        <w:t>Regimento Interno Coger, arts. 16, 24, 27, 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