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b/>
          <w:i w:val="0"/>
          <w:color w:val="003366"/>
          <w:sz w:val="32"/>
        </w:rPr>
        <w:t>CALCULADORA DE DOSIMETRIA TAC</w:t>
      </w:r>
    </w:p>
    <w:p>
      <w:pPr>
        <w:jc w:val="center"/>
      </w:pPr>
      <w:r>
        <w:rPr>
          <w:b w:val="0"/>
          <w:i w:val="0"/>
          <w:color w:val="505050"/>
          <w:sz w:val="22"/>
        </w:rPr>
        <w:t>Receita Federal do Brasil — Corregedoria</w:t>
      </w:r>
    </w:p>
    <w:p>
      <w:pPr>
        <w:jc w:val="center"/>
      </w:pPr>
      <w:r>
        <w:rPr>
          <w:b/>
          <w:i w:val="0"/>
          <w:color w:val="003366"/>
          <w:sz w:val="22"/>
        </w:rPr>
        <w:t>Árvore Completa de Opções e Pontuações por Tela</w:t>
      </w:r>
    </w:p>
    <w:p/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Este documento lista todas as telas da calculadora, com cada campo, opção possível e pontuação correspondente.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Pontuação máxima total: 120 pts  (Natureza 30 + Gravidade 30 + Dano 30 + Circunstâncias ±15 + Antecedentes ±15)</w:t>
      </w:r>
    </w:p>
    <w:p/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0: IDENTIFICAÇÃO  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Campos informativos — sem pontuação.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Número do Processo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Preenchimento livre (texto/data)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Data do Ilícito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Preenchimento livre (texto/data)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Nome do Servidor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Preenchimento livre (texto/data)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Matrícula SIAPE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Preenchimento livre (texto/data)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Unidade / Delegacia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Preenchimento livre (texto/data)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Cargo / Função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Preenchimento livre (texto/data)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Confirmação de Escopo (checkbox obrigatório)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Preenchimento livre (texto/data)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1: CLASSIFICAÇÃO DA INFRAÇÃO  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Sem pontuação direta — define o regime e o enquadramento legal aplicável.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Regime da Infração</w:t>
      </w:r>
    </w:p>
    <w:p>
      <w:pPr>
        <w:spacing w:before="20" w:after="20"/>
        <w:ind w:left="567"/>
      </w:pPr>
      <w:r>
        <w:rPr>
          <w:b/>
          <w:i w:val="0"/>
          <w:sz w:val="18"/>
        </w:rPr>
        <w:t xml:space="preserve">  ●  A — Regime Geral</w:t>
      </w:r>
      <w:r>
        <w:rPr>
          <w:b w:val="0"/>
          <w:i/>
          <w:color w:val="505050"/>
          <w:sz w:val="18"/>
        </w:rPr>
        <w:t xml:space="preserve">  —  Art. 116/117 Lei 8.112/90 → Advertência ou Suspensão 1–90 dias</w:t>
      </w:r>
    </w:p>
    <w:p>
      <w:pPr>
        <w:spacing w:before="20" w:after="20"/>
        <w:ind w:left="567"/>
      </w:pPr>
      <w:r>
        <w:rPr>
          <w:b/>
          <w:i w:val="0"/>
          <w:sz w:val="18"/>
        </w:rPr>
        <w:t xml:space="preserve">  ●  B — Regime RE1</w:t>
      </w:r>
      <w:r>
        <w:rPr>
          <w:b w:val="0"/>
          <w:i/>
          <w:color w:val="505050"/>
          <w:sz w:val="18"/>
        </w:rPr>
        <w:t xml:space="preserve">  —  Art. 117 XVII–XVIII Lei 8.112/90 → Suspensão 1–90 dias</w:t>
      </w:r>
    </w:p>
    <w:p>
      <w:pPr>
        <w:spacing w:before="20" w:after="20"/>
        <w:ind w:left="567"/>
      </w:pPr>
      <w:r>
        <w:rPr>
          <w:b/>
          <w:i w:val="0"/>
          <w:sz w:val="18"/>
        </w:rPr>
        <w:t xml:space="preserve">  ●  C — Regime RE2</w:t>
      </w:r>
      <w:r>
        <w:rPr>
          <w:b w:val="0"/>
          <w:i/>
          <w:color w:val="505050"/>
          <w:sz w:val="18"/>
        </w:rPr>
        <w:t xml:space="preserve">  —  Art. 130, §1º Lei 8.112/90 → Suspensão 1–15 dias</w:t>
      </w:r>
    </w:p>
    <w:p>
      <w:pPr>
        <w:spacing w:before="20" w:after="20"/>
        <w:ind w:left="567"/>
      </w:pPr>
      <w:r>
        <w:rPr>
          <w:b/>
          <w:i w:val="0"/>
          <w:sz w:val="18"/>
        </w:rPr>
        <w:t xml:space="preserve">  ●  D — Regime RE3</w:t>
      </w:r>
      <w:r>
        <w:rPr>
          <w:b w:val="0"/>
          <w:i/>
          <w:color w:val="505050"/>
          <w:sz w:val="18"/>
        </w:rPr>
        <w:t xml:space="preserve">  —  Art. 32 Lei 12.527/2011 (LAI) → Suspensão 1–90 dias</w:t>
      </w:r>
    </w:p>
    <w:p>
      <w:pPr>
        <w:spacing w:before="20" w:after="20"/>
        <w:ind w:left="567"/>
      </w:pPr>
      <w:r>
        <w:rPr>
          <w:b/>
          <w:i w:val="0"/>
          <w:sz w:val="18"/>
        </w:rPr>
        <w:t xml:space="preserve">  ●  E — Concurso de Infrações</w:t>
      </w:r>
      <w:r>
        <w:rPr>
          <w:b w:val="0"/>
          <w:i/>
          <w:color w:val="505050"/>
          <w:sz w:val="18"/>
        </w:rPr>
        <w:t xml:space="preserve">  —  Múltiplas infrações — fluxo especial de cálculo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Após escolher o regime, abre modal para seleção do enquadramento legal (inciso/artigo específico).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2: NATUREZA DA INFRAÇÃO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Elemento 1 · Módulo 1.1 | TETO: 30 pontos  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SF1.1 — Elemento Subjetivo Principal  (0–20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CULPA LEVE  [faixa: 1–6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Descuido pontual, sem repercussão relevante</w:t>
      </w:r>
      <w:r>
        <w:rPr>
          <w:b/>
          <w:i w:val="0"/>
          <w:color w:val="B40000"/>
          <w:sz w:val="18"/>
        </w:rPr>
        <w:t xml:space="preserve">  →  2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Negligência perceptível, com alguma repercussão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Negligência acentuada, aquém do erro grosseiro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CULPA GRAVE / ERRO GROSSEIRO  [faixa: 7–14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Evidente para a maioria, com complexidade técnica</w:t>
      </w:r>
      <w:r>
        <w:rPr>
          <w:b/>
          <w:i w:val="0"/>
          <w:color w:val="B40000"/>
          <w:sz w:val="18"/>
        </w:rPr>
        <w:t xml:space="preserve">  →  8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Claramente evidente, sem complexidade técnica</w:t>
      </w:r>
      <w:r>
        <w:rPr>
          <w:b/>
          <w:i w:val="0"/>
          <w:color w:val="B40000"/>
          <w:sz w:val="18"/>
        </w:rPr>
        <w:t xml:space="preserve">  →  11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Evidente e extremamente grave</w:t>
      </w:r>
      <w:r>
        <w:rPr>
          <w:b/>
          <w:i w:val="0"/>
          <w:color w:val="B40000"/>
          <w:sz w:val="18"/>
        </w:rPr>
        <w:t xml:space="preserve">  →  14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DOLO  [faixa: 15–20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Dolo eventual (assumiu o risco)</w:t>
      </w:r>
      <w:r>
        <w:rPr>
          <w:b/>
          <w:i w:val="0"/>
          <w:color w:val="B40000"/>
          <w:sz w:val="18"/>
        </w:rPr>
        <w:t xml:space="preserve">  →  15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Dolo direto com resultado de menor gravidade</w:t>
      </w:r>
      <w:r>
        <w:rPr>
          <w:b/>
          <w:i w:val="0"/>
          <w:color w:val="B40000"/>
          <w:sz w:val="18"/>
        </w:rPr>
        <w:t xml:space="preserve">  →  17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Dolo direto com planejamento / alta gravidade</w:t>
      </w:r>
      <w:r>
        <w:rPr>
          <w:b/>
          <w:i w:val="0"/>
          <w:color w:val="B40000"/>
          <w:sz w:val="18"/>
        </w:rPr>
        <w:t xml:space="preserve">  →  20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SF1.2 — Consciência da Ilicitude  (0–6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SEM NORMA ACESSÍVEL  [faixa: 0–2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Ausência total de orientação formal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Havia referências informais</w:t>
      </w:r>
      <w:r>
        <w:rPr>
          <w:b/>
          <w:i w:val="0"/>
          <w:color w:val="B40000"/>
          <w:sz w:val="18"/>
        </w:rPr>
        <w:t xml:space="preserve">  →  2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HAVIA NORMA GERAL  [faixa: 3–4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Norma técnica de difícil compreensão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Norma clara e amplamente divulgada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NORMA + TREINAMENTO  [faixa: 5–6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Treinamento geral na área</w:t>
      </w:r>
      <w:r>
        <w:rPr>
          <w:b/>
          <w:i w:val="0"/>
          <w:color w:val="B40000"/>
          <w:sz w:val="18"/>
        </w:rPr>
        <w:t xml:space="preserve">  →  5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Treinamento específico documentado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SF1.3 — Modalidade do Dolo  (0–4 pts)  ⚠ Exibido apenas se SF1.1 ≥ 15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DOLO EVENTUAL  [faixa: 1–2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Risco previsível, mas não plenamente dimensionado</w:t>
      </w:r>
      <w:r>
        <w:rPr>
          <w:b/>
          <w:i w:val="0"/>
          <w:color w:val="B40000"/>
          <w:sz w:val="18"/>
        </w:rPr>
        <w:t xml:space="preserve">  →  1 pt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Risco claramente previsível e conscientemente desconsiderado</w:t>
      </w:r>
      <w:r>
        <w:rPr>
          <w:b/>
          <w:i w:val="0"/>
          <w:color w:val="B40000"/>
          <w:sz w:val="18"/>
        </w:rPr>
        <w:t xml:space="preserve">  →  2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DOLO DIRETO  [faixa: 3–4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Resultado buscado, sem evidência de planejamento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Resultado buscado com planejamento verificável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3: GRAVIDADE DA INFRAÇÃO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Elemento 2 · Módulo 1.2 | TETO: 30 pontos  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SF2.1 — Hierarquia do Bem Jurídico Protegido  (1–10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BAIXA PROTEÇÃO  [faixa: 1–3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Não tem reflexo na imagem da unidade</w:t>
      </w:r>
      <w:r>
        <w:rPr>
          <w:b/>
          <w:i w:val="0"/>
          <w:color w:val="B40000"/>
          <w:sz w:val="18"/>
        </w:rPr>
        <w:t xml:space="preserve">  →  1 pt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Algum reflexo na imagem da unidade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MÉDIA PROTEÇÃO  [faixa: 4–7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Procedimental sem impacto direto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Integra sistema de controle interno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Integra cadeia de responsabilização formal</w:t>
      </w:r>
      <w:r>
        <w:rPr>
          <w:b/>
          <w:i w:val="0"/>
          <w:color w:val="B40000"/>
          <w:sz w:val="18"/>
        </w:rPr>
        <w:t xml:space="preserve">  →  7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ALTA PROTEÇÃO  [faixa: 8–10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Regularidade formal fiscal / aduaneira</w:t>
      </w:r>
      <w:r>
        <w:rPr>
          <w:b/>
          <w:i w:val="0"/>
          <w:color w:val="B40000"/>
          <w:sz w:val="18"/>
        </w:rPr>
        <w:t xml:space="preserve">  →  8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Integridade competitiva de licitações</w:t>
      </w:r>
      <w:r>
        <w:rPr>
          <w:b/>
          <w:i w:val="0"/>
          <w:color w:val="B40000"/>
          <w:sz w:val="18"/>
        </w:rPr>
        <w:t xml:space="preserve">  →  9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Sigilo fiscal / segurança de sistemas</w:t>
      </w:r>
      <w:r>
        <w:rPr>
          <w:b/>
          <w:i w:val="0"/>
          <w:color w:val="B40000"/>
          <w:sz w:val="18"/>
        </w:rPr>
        <w:t xml:space="preserve">  →  10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SF2.2 — Caráter Temporal da Conduta  (1–8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ISOLADA  [faixa: 1–3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Episódio único, interrompido voluntariamente</w:t>
      </w:r>
      <w:r>
        <w:rPr>
          <w:b/>
          <w:i w:val="0"/>
          <w:color w:val="B40000"/>
          <w:sz w:val="18"/>
        </w:rPr>
        <w:t xml:space="preserve">  →  1 pt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Episódio único, sem voluntariedade</w:t>
      </w:r>
      <w:r>
        <w:rPr>
          <w:b/>
          <w:i w:val="0"/>
          <w:color w:val="B40000"/>
          <w:sz w:val="18"/>
        </w:rPr>
        <w:t xml:space="preserve">  →  2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Episódio único, mas se repetiria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REITERADA  [faixa: 4–6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2–3 episódios em até 3 meses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4+ episódios ou período &gt;3 meses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CONTINUADA  [faixa: 6–8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Até 6 meses de continuidade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Mais de 6 meses de continuidade</w:t>
      </w:r>
      <w:r>
        <w:rPr>
          <w:b/>
          <w:i w:val="0"/>
          <w:color w:val="B40000"/>
          <w:sz w:val="18"/>
        </w:rPr>
        <w:t xml:space="preserve">  →  8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SF2.3 — Alcance da Conduta  (1–7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RESTRITO  [faixa: 1–2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Exclusivamente individual</w:t>
      </w:r>
      <w:r>
        <w:rPr>
          <w:b/>
          <w:i w:val="0"/>
          <w:color w:val="B40000"/>
          <w:sz w:val="18"/>
        </w:rPr>
        <w:t xml:space="preserve">  →  1 pt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Algum impacto na unidade imediata</w:t>
      </w:r>
      <w:r>
        <w:rPr>
          <w:b/>
          <w:i w:val="0"/>
          <w:color w:val="B40000"/>
          <w:sz w:val="18"/>
        </w:rPr>
        <w:t xml:space="preserve">  →  2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AFETOU O ÓRGÃO  [faixa: 3–5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Afetou outras unidades pontualmente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Afetou área ou divisão com abrangência</w:t>
      </w:r>
      <w:r>
        <w:rPr>
          <w:b/>
          <w:i w:val="0"/>
          <w:color w:val="B40000"/>
          <w:sz w:val="18"/>
        </w:rPr>
        <w:t xml:space="preserve">  →  5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AFETOU EXTERNOS  [faixa: 5–7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Afetou contribuinte identificável</w:t>
      </w:r>
      <w:r>
        <w:rPr>
          <w:b/>
          <w:i w:val="0"/>
          <w:color w:val="B40000"/>
          <w:sz w:val="18"/>
        </w:rPr>
        <w:t xml:space="preserve">  →  5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Afetou grupo ou gerou repercussão externa</w:t>
      </w:r>
      <w:r>
        <w:rPr>
          <w:b/>
          <w:i w:val="0"/>
          <w:color w:val="B40000"/>
          <w:sz w:val="18"/>
        </w:rPr>
        <w:t xml:space="preserve">  →  7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SF2.4 — Concurso de Dispositivos Violados  (0–5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Um único dispositivo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Dois dispositivos</w:t>
      </w:r>
      <w:r>
        <w:rPr>
          <w:b/>
          <w:i w:val="0"/>
          <w:color w:val="B40000"/>
          <w:sz w:val="18"/>
        </w:rPr>
        <w:t xml:space="preserve">  →  2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Três dispositivos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Quatro dispositivos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Cinco ou mais dispositivos</w:t>
      </w:r>
      <w:r>
        <w:rPr>
          <w:b/>
          <w:i w:val="0"/>
          <w:color w:val="B40000"/>
          <w:sz w:val="18"/>
        </w:rPr>
        <w:t xml:space="preserve">  →  5 pts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4: DANO MATERIAL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Subelemento 3A · Módulo 1.3A | TETO individual: 30 pts | Teto conjunto c/ dano imaterial: 30 pts  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SF3A.1 — Existência e Extensão do Dano Patrimonial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SEM DANO MATERIAL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DANO POTENCIAL  [faixa: 3–8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Baixo impacto potencial (&lt;5% do valor em risco)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Médio impacto potencial (5–25%)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Alto impacto potencial (&gt;25%)</w:t>
      </w:r>
      <w:r>
        <w:rPr>
          <w:b/>
          <w:i w:val="0"/>
          <w:color w:val="B40000"/>
          <w:sz w:val="18"/>
        </w:rPr>
        <w:t xml:space="preserve">  →  8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DANO EFETIVO — IMPACTO BAIXO  [faixa: 9–15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Integralmente ressarcido</w:t>
      </w:r>
      <w:r>
        <w:rPr>
          <w:b/>
          <w:i w:val="0"/>
          <w:color w:val="B40000"/>
          <w:sz w:val="18"/>
        </w:rPr>
        <w:t xml:space="preserve">  →  9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Parcialmente reparado</w:t>
      </w:r>
      <w:r>
        <w:rPr>
          <w:b/>
          <w:i w:val="0"/>
          <w:color w:val="B40000"/>
          <w:sz w:val="18"/>
        </w:rPr>
        <w:t xml:space="preserve">  →  12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Não ressarcido</w:t>
      </w:r>
      <w:r>
        <w:rPr>
          <w:b/>
          <w:i w:val="0"/>
          <w:color w:val="B40000"/>
          <w:sz w:val="18"/>
        </w:rPr>
        <w:t xml:space="preserve">  →  15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DANO EFETIVO — IMPACTO MÉDIO  [faixa: 16–22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Integralmente ressarcido</w:t>
      </w:r>
      <w:r>
        <w:rPr>
          <w:b/>
          <w:i w:val="0"/>
          <w:color w:val="B40000"/>
          <w:sz w:val="18"/>
        </w:rPr>
        <w:t xml:space="preserve">  →  16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Parcialmente reparado</w:t>
      </w:r>
      <w:r>
        <w:rPr>
          <w:b/>
          <w:i w:val="0"/>
          <w:color w:val="B40000"/>
          <w:sz w:val="18"/>
        </w:rPr>
        <w:t xml:space="preserve">  →  19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Não ressarcido</w:t>
      </w:r>
      <w:r>
        <w:rPr>
          <w:b/>
          <w:i w:val="0"/>
          <w:color w:val="B40000"/>
          <w:sz w:val="18"/>
        </w:rPr>
        <w:t xml:space="preserve">  →  22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DANO EFETIVO — IMPACTO ALTO  [faixa: 23–30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Integralmente ressarcido</w:t>
      </w:r>
      <w:r>
        <w:rPr>
          <w:b/>
          <w:i w:val="0"/>
          <w:color w:val="B40000"/>
          <w:sz w:val="18"/>
        </w:rPr>
        <w:t xml:space="preserve">  →  23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Parcialmente reparado</w:t>
      </w:r>
      <w:r>
        <w:rPr>
          <w:b/>
          <w:i w:val="0"/>
          <w:color w:val="B40000"/>
          <w:sz w:val="18"/>
        </w:rPr>
        <w:t xml:space="preserve">  →  27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Não ressarcido / irreversível</w:t>
      </w:r>
      <w:r>
        <w:rPr>
          <w:b/>
          <w:i w:val="0"/>
          <w:color w:val="B40000"/>
          <w:sz w:val="18"/>
        </w:rPr>
        <w:t xml:space="preserve">  →  30 pts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5: DANO IMATERIAL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Subelemento 3B · Módulo 1.3B | TETO individual: 30 pts | Teto conjunto c/ dano material: 30 pts  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SF3B.1 — Impacto na Imagem / Credibilidade da RFB  (0–20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Sem impacto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REPERCUSSÃO LIMITADA  [faixa: 4–12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Restrito à unidade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Repercussão regional</w:t>
      </w:r>
      <w:r>
        <w:rPr>
          <w:b/>
          <w:i w:val="0"/>
          <w:color w:val="B40000"/>
          <w:sz w:val="18"/>
        </w:rPr>
        <w:t xml:space="preserve">  →  8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Repercussão institucional (RFB como um todo)</w:t>
      </w:r>
      <w:r>
        <w:rPr>
          <w:b/>
          <w:i w:val="0"/>
          <w:color w:val="B40000"/>
          <w:sz w:val="18"/>
        </w:rPr>
        <w:t xml:space="preserve">  →  12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REPERCUSSÃO AMPLA  [faixa: 13–20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Potencial concreto de repercussão, sem efetivação</w:t>
      </w:r>
      <w:r>
        <w:rPr>
          <w:b/>
          <w:i w:val="0"/>
          <w:color w:val="B40000"/>
          <w:sz w:val="18"/>
        </w:rPr>
        <w:t xml:space="preserve">  →  13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Repercussão efetiva verificada</w:t>
      </w:r>
      <w:r>
        <w:rPr>
          <w:b/>
          <w:i w:val="0"/>
          <w:color w:val="B40000"/>
          <w:sz w:val="18"/>
        </w:rPr>
        <w:t xml:space="preserve">  →  20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SF3B.2 — Impacto na Regularidade do Serviço Tributário / Aduaneiro  (0–10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Sem impacto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TURBAÇÃO PONTUAL  [faixa: 3–6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Turbação, mas resultado preservado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Resultado parcialmente comprometido</w:t>
      </w:r>
      <w:r>
        <w:rPr>
          <w:b/>
          <w:i w:val="0"/>
          <w:color w:val="B40000"/>
          <w:sz w:val="18"/>
        </w:rPr>
        <w:t xml:space="preserve">  →  5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Resultado comprometido, com necessidade de revisão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COMPROMETIMENTO EFETIVO  [faixa: 7–10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Sem impacto na arrecadação</w:t>
      </w:r>
      <w:r>
        <w:rPr>
          <w:b/>
          <w:i w:val="0"/>
          <w:color w:val="B40000"/>
          <w:sz w:val="18"/>
        </w:rPr>
        <w:t xml:space="preserve">  →  7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Com impacto direto na arrecadação</w:t>
      </w:r>
      <w:r>
        <w:rPr>
          <w:b/>
          <w:i w:val="0"/>
          <w:color w:val="B40000"/>
          <w:sz w:val="18"/>
        </w:rPr>
        <w:t xml:space="preserve">  →  10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SF3B.3 — Impacto sobre Contribuintes / Usuários / Terceiros  (0–10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Sem impacto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INDIVIDUAL  [faixa: 2–5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Perturbação sem prejuízo concreto</w:t>
      </w:r>
      <w:r>
        <w:rPr>
          <w:b/>
          <w:i w:val="0"/>
          <w:color w:val="B40000"/>
          <w:sz w:val="18"/>
        </w:rPr>
        <w:t xml:space="preserve">  →  2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Prejuízo concreto verificado</w:t>
      </w:r>
      <w:r>
        <w:rPr>
          <w:b/>
          <w:i w:val="0"/>
          <w:color w:val="B40000"/>
          <w:sz w:val="18"/>
        </w:rPr>
        <w:t xml:space="preserve">  →  5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DIFUSO  [faixa: 6–10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Grupo identificável afetado</w:t>
      </w:r>
      <w:r>
        <w:rPr>
          <w:b/>
          <w:i w:val="0"/>
          <w:color w:val="B40000"/>
          <w:sz w:val="18"/>
        </w:rPr>
        <w:t xml:space="preserve">  →  6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Impacto difuso sobre coletividade</w:t>
      </w:r>
      <w:r>
        <w:rPr>
          <w:b/>
          <w:i w:val="0"/>
          <w:color w:val="B40000"/>
          <w:sz w:val="18"/>
        </w:rPr>
        <w:t xml:space="preserve">  →  10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SF3B.4a — Comprometimento do Sigilo Fiscal  (0–20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Sem comprometimento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RISCO CONCRETO  [faixa: 4–8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Acesso indevido a dados de contribuinte individual</w:t>
      </w:r>
      <w:r>
        <w:rPr>
          <w:b/>
          <w:i w:val="0"/>
          <w:color w:val="B40000"/>
          <w:sz w:val="18"/>
        </w:rPr>
        <w:t xml:space="preserve">  →  4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Acesso indevido a dados de grupo de contribuintes</w:t>
      </w:r>
      <w:r>
        <w:rPr>
          <w:b/>
          <w:i w:val="0"/>
          <w:color w:val="B40000"/>
          <w:sz w:val="18"/>
        </w:rPr>
        <w:t xml:space="preserve">  →  8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EXPOSIÇÃO EFETIVA  [faixa: 9–20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Exposição de dados de contribuinte individual</w:t>
      </w:r>
      <w:r>
        <w:rPr>
          <w:b/>
          <w:i w:val="0"/>
          <w:color w:val="B40000"/>
          <w:sz w:val="18"/>
        </w:rPr>
        <w:t xml:space="preserve">  →  9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Exposição de dados de grupo de contribuintes</w:t>
      </w:r>
      <w:r>
        <w:rPr>
          <w:b/>
          <w:i w:val="0"/>
          <w:color w:val="B40000"/>
          <w:sz w:val="18"/>
        </w:rPr>
        <w:t xml:space="preserve">  →  14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Exposição ampla / uso ilícito das informações</w:t>
      </w:r>
      <w:r>
        <w:rPr>
          <w:b/>
          <w:i w:val="0"/>
          <w:color w:val="B40000"/>
          <w:sz w:val="18"/>
        </w:rPr>
        <w:t xml:space="preserve">  →  20 pts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SF3B.4b — Comprometimento do Processo Tributário / Aduaneiro  (0–20 pts)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Sem comprometimento</w:t>
      </w:r>
      <w:r>
        <w:rPr>
          <w:b/>
          <w:i w:val="0"/>
          <w:color w:val="B40000"/>
          <w:sz w:val="18"/>
        </w:rPr>
        <w:t xml:space="preserve">  →  0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RISCO À ISONOMIA  [faixa: 3–8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Risco hipotético à isonomia</w:t>
      </w:r>
      <w:r>
        <w:rPr>
          <w:b/>
          <w:i w:val="0"/>
          <w:color w:val="B40000"/>
          <w:sz w:val="18"/>
        </w:rPr>
        <w:t xml:space="preserve">  →  3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Risco iminente à isonomia</w:t>
      </w:r>
      <w:r>
        <w:rPr>
          <w:b/>
          <w:i w:val="0"/>
          <w:color w:val="B40000"/>
          <w:sz w:val="18"/>
        </w:rPr>
        <w:t xml:space="preserve">  →  8 pts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COMPROMETIMENTO DIRETO  [faixa: 9–20 pts]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Sem vantagem indevida para o infrator</w:t>
      </w:r>
      <w:r>
        <w:rPr>
          <w:b/>
          <w:i w:val="0"/>
          <w:color w:val="B40000"/>
          <w:sz w:val="18"/>
        </w:rPr>
        <w:t xml:space="preserve">  →  9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Com vantagem indevida para o infrator</w:t>
      </w:r>
      <w:r>
        <w:rPr>
          <w:b/>
          <w:i w:val="0"/>
          <w:color w:val="B40000"/>
          <w:sz w:val="18"/>
        </w:rPr>
        <w:t xml:space="preserve">  →  14 pts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>Com prejuízo direto à arrecadação</w:t>
      </w:r>
      <w:r>
        <w:rPr>
          <w:b/>
          <w:i w:val="0"/>
          <w:color w:val="B40000"/>
          <w:sz w:val="18"/>
        </w:rPr>
        <w:t xml:space="preserve">  →  20 pts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6: CIRCUNSTÂNCIAS AGRAVANTES E ATENUANTES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Elemento 4 · Módulo 1.4 | Modificador: até +15 pts (agravantes) / até −15 pts (atenuantes)  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Cada circunstância possui uma faixa de pontos e um valor padrão (default). O usuário pode ajustar dentro da faixa.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AGRAVANTES  (somam pontos — teto acumulado: +15 pts)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[AG1]  </w:t>
      </w:r>
      <w:r>
        <w:rPr>
          <w:b w:val="0"/>
          <w:i w:val="0"/>
          <w:sz w:val="18"/>
        </w:rPr>
        <w:t>Capacitação específica documentada para a função</w:t>
      </w:r>
      <w:r>
        <w:rPr>
          <w:b/>
          <w:i w:val="0"/>
          <w:color w:val="B40000"/>
          <w:sz w:val="18"/>
        </w:rPr>
        <w:t xml:space="preserve">   Faixa: 3–5 pts  |  padrão: 4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[AG2]  </w:t>
      </w:r>
      <w:r>
        <w:rPr>
          <w:b w:val="0"/>
          <w:i w:val="0"/>
          <w:sz w:val="18"/>
        </w:rPr>
        <w:t>Longa experiência no cargo (&gt;3 anos)</w:t>
      </w:r>
      <w:r>
        <w:rPr>
          <w:b/>
          <w:i w:val="0"/>
          <w:color w:val="B40000"/>
          <w:sz w:val="18"/>
        </w:rPr>
        <w:t xml:space="preserve">   Faixa: 3–4 pts  |  padrão: 3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[AG3]  </w:t>
      </w:r>
      <w:r>
        <w:rPr>
          <w:b w:val="0"/>
          <w:i w:val="0"/>
          <w:sz w:val="18"/>
        </w:rPr>
        <w:t>Exercício de cargo de confiança / chefia</w:t>
      </w:r>
      <w:r>
        <w:rPr>
          <w:b/>
          <w:i w:val="0"/>
          <w:color w:val="B40000"/>
          <w:sz w:val="18"/>
        </w:rPr>
        <w:t xml:space="preserve">   Faixa: 3–5 pts  |  padrão: 4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[AG4]  </w:t>
      </w:r>
      <w:r>
        <w:rPr>
          <w:b w:val="0"/>
          <w:i w:val="0"/>
          <w:sz w:val="18"/>
        </w:rPr>
        <w:t>Interesse fútil ou inescusável na infração</w:t>
      </w:r>
      <w:r>
        <w:rPr>
          <w:b/>
          <w:i w:val="0"/>
          <w:color w:val="B40000"/>
          <w:sz w:val="18"/>
        </w:rPr>
        <w:t xml:space="preserve">   Faixa: 2–4 pts  |  padrão: 3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[AG5]  </w:t>
      </w:r>
      <w:r>
        <w:rPr>
          <w:b w:val="0"/>
          <w:i w:val="0"/>
          <w:sz w:val="18"/>
        </w:rPr>
        <w:t>Infraestrutura favorável disponível não utilizada corretamente</w:t>
      </w:r>
      <w:r>
        <w:rPr>
          <w:b/>
          <w:i w:val="0"/>
          <w:color w:val="B40000"/>
          <w:sz w:val="18"/>
        </w:rPr>
        <w:t xml:space="preserve">   Faixa: 2–3 pts  |  padrão: 2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[AG6]  </w:t>
      </w:r>
      <w:r>
        <w:rPr>
          <w:b w:val="0"/>
          <w:i w:val="0"/>
          <w:sz w:val="18"/>
        </w:rPr>
        <w:t>Conduta em detrimento de pessoa vulnerável</w:t>
      </w:r>
      <w:r>
        <w:rPr>
          <w:b/>
          <w:i w:val="0"/>
          <w:color w:val="B40000"/>
          <w:sz w:val="18"/>
        </w:rPr>
        <w:t xml:space="preserve">   Faixa: 2–4 pts  |  padrão: 3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ATENUANTES  (reduzem pontos — teto acumulado: −15 pts)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[AT1]  </w:t>
      </w:r>
      <w:r>
        <w:rPr>
          <w:b w:val="0"/>
          <w:i w:val="0"/>
          <w:sz w:val="18"/>
        </w:rPr>
        <w:t>Ausência de capacitação específica documentada</w:t>
      </w:r>
      <w:r>
        <w:rPr>
          <w:b/>
          <w:i w:val="0"/>
          <w:color w:val="007800"/>
          <w:sz w:val="18"/>
        </w:rPr>
        <w:t xml:space="preserve">   Faixa: −3–5 pts  |  padrão: 4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[AT2]  </w:t>
      </w:r>
      <w:r>
        <w:rPr>
          <w:b w:val="0"/>
          <w:i w:val="0"/>
          <w:sz w:val="18"/>
        </w:rPr>
        <w:t>Pouco tempo de serviço no cargo (&lt;2 anos)</w:t>
      </w:r>
      <w:r>
        <w:rPr>
          <w:b/>
          <w:i w:val="0"/>
          <w:color w:val="007800"/>
          <w:sz w:val="18"/>
        </w:rPr>
        <w:t xml:space="preserve">   Faixa: −3–4 pts  |  padrão: 3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[AT3]  </w:t>
      </w:r>
      <w:r>
        <w:rPr>
          <w:b w:val="0"/>
          <w:i w:val="0"/>
          <w:sz w:val="18"/>
        </w:rPr>
        <w:t>Sobrecarga de trabalho documentada</w:t>
      </w:r>
      <w:r>
        <w:rPr>
          <w:b/>
          <w:i w:val="0"/>
          <w:color w:val="007800"/>
          <w:sz w:val="18"/>
        </w:rPr>
        <w:t xml:space="preserve">   Faixa: −2–4 pts  |  padrão: 3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[AT4]  </w:t>
      </w:r>
      <w:r>
        <w:rPr>
          <w:b w:val="0"/>
          <w:i w:val="0"/>
          <w:sz w:val="18"/>
        </w:rPr>
        <w:t>Condições precárias de infraestrutura comprovadas</w:t>
      </w:r>
      <w:r>
        <w:rPr>
          <w:b/>
          <w:i w:val="0"/>
          <w:color w:val="007800"/>
          <w:sz w:val="18"/>
        </w:rPr>
        <w:t xml:space="preserve">   Faixa: −2–3 pts  |  padrão: 2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[AT5]  </w:t>
      </w:r>
      <w:r>
        <w:rPr>
          <w:b w:val="0"/>
          <w:i w:val="0"/>
          <w:sz w:val="18"/>
        </w:rPr>
        <w:t>Confissão espontânea da infração</w:t>
      </w:r>
      <w:r>
        <w:rPr>
          <w:b/>
          <w:i w:val="0"/>
          <w:color w:val="007800"/>
          <w:sz w:val="18"/>
        </w:rPr>
        <w:t xml:space="preserve">   Faixa: −2–3 pts  |  padrão: 2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[AT6]  </w:t>
      </w:r>
      <w:r>
        <w:rPr>
          <w:b w:val="0"/>
          <w:i w:val="0"/>
          <w:sz w:val="18"/>
        </w:rPr>
        <w:t>Reparação voluntária do dano antes da instauração</w:t>
      </w:r>
      <w:r>
        <w:rPr>
          <w:b/>
          <w:i w:val="0"/>
          <w:color w:val="007800"/>
          <w:sz w:val="18"/>
        </w:rPr>
        <w:t xml:space="preserve">   Faixa: −2–4 pts  |  padrão: 3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[AT7]  </w:t>
      </w:r>
      <w:r>
        <w:rPr>
          <w:b w:val="0"/>
          <w:i w:val="0"/>
          <w:sz w:val="18"/>
        </w:rPr>
        <w:t>Problemas pessoais documentados que influenciaram a conduta</w:t>
      </w:r>
      <w:r>
        <w:rPr>
          <w:b/>
          <w:i w:val="0"/>
          <w:color w:val="007800"/>
          <w:sz w:val="18"/>
        </w:rPr>
        <w:t xml:space="preserve">   Faixa: −2–3 pts  |  padrão: 2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[AT8]  </w:t>
      </w:r>
      <w:r>
        <w:rPr>
          <w:b w:val="0"/>
          <w:i w:val="0"/>
          <w:sz w:val="18"/>
        </w:rPr>
        <w:t>Contexto de urgência / emergência que motivou a conduta</w:t>
      </w:r>
      <w:r>
        <w:rPr>
          <w:b/>
          <w:i w:val="0"/>
          <w:color w:val="007800"/>
          <w:sz w:val="18"/>
        </w:rPr>
        <w:t xml:space="preserve">   Faixa: −2–4 pts  |  padrão: 3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7: ANTECEDENTES FUNCIONAIS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Elemento 5 · Módulo 1.5 | Modificador: até −15 pts (bons) / até +15 pts (maus)  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BONS ANTECEDENTES  (reduzem pontos — teto acumulado: −15 pts)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[BA1]  </w:t>
      </w:r>
      <w:r>
        <w:rPr>
          <w:b w:val="0"/>
          <w:i w:val="0"/>
          <w:sz w:val="18"/>
        </w:rPr>
        <w:t>Elogios simples registrados nos assentamentos</w:t>
      </w:r>
      <w:r>
        <w:rPr>
          <w:b/>
          <w:i w:val="0"/>
          <w:color w:val="007800"/>
          <w:sz w:val="18"/>
        </w:rPr>
        <w:t xml:space="preserve">   Faixa: −2–4 pts  |  padrão: 3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[BA2]  </w:t>
      </w:r>
      <w:r>
        <w:rPr>
          <w:b w:val="0"/>
          <w:i w:val="0"/>
          <w:sz w:val="18"/>
        </w:rPr>
        <w:t>Menção honrosa ou prêmio formal</w:t>
      </w:r>
      <w:r>
        <w:rPr>
          <w:b/>
          <w:i w:val="0"/>
          <w:color w:val="007800"/>
          <w:sz w:val="18"/>
        </w:rPr>
        <w:t xml:space="preserve">   Faixa: −4–7 pts  |  padrão: 5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[BA3]  </w:t>
      </w:r>
      <w:r>
        <w:rPr>
          <w:b w:val="0"/>
          <w:i w:val="0"/>
          <w:sz w:val="18"/>
        </w:rPr>
        <w:t>Registro formal de serviço relevante / destaque</w:t>
      </w:r>
      <w:r>
        <w:rPr>
          <w:b/>
          <w:i w:val="0"/>
          <w:color w:val="007800"/>
          <w:sz w:val="18"/>
        </w:rPr>
        <w:t xml:space="preserve">   Faixa: −5–10 pts  |  padrão: 7</w:t>
      </w:r>
    </w:p>
    <w:p>
      <w:pPr>
        <w:spacing w:before="40" w:after="20"/>
        <w:ind w:left="567"/>
      </w:pPr>
      <w:r>
        <w:rPr>
          <w:b/>
          <w:i w:val="0"/>
          <w:color w:val="007800"/>
          <w:sz w:val="18"/>
        </w:rPr>
        <w:t xml:space="preserve">  ●  [BA4]  </w:t>
      </w:r>
      <w:r>
        <w:rPr>
          <w:b w:val="0"/>
          <w:i w:val="0"/>
          <w:sz w:val="18"/>
        </w:rPr>
        <w:t>Longa carreira sem ocorrências (&gt;10 anos)</w:t>
      </w:r>
      <w:r>
        <w:rPr>
          <w:b/>
          <w:i w:val="0"/>
          <w:color w:val="007800"/>
          <w:sz w:val="18"/>
        </w:rPr>
        <w:t xml:space="preserve">   Faixa: −3–6 pts  |  padrão: 4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MAUS ANTECEDENTES  (aumentam pontos — teto acumulado: +15 pts)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[MA1]  </w:t>
      </w:r>
      <w:r>
        <w:rPr>
          <w:b w:val="0"/>
          <w:i w:val="0"/>
          <w:sz w:val="18"/>
        </w:rPr>
        <w:t>Atrasos / faltas não justificadas registrados</w:t>
      </w:r>
      <w:r>
        <w:rPr>
          <w:b/>
          <w:i w:val="0"/>
          <w:color w:val="B40000"/>
          <w:sz w:val="18"/>
        </w:rPr>
        <w:t xml:space="preserve">   Faixa: +2–4 pts  |  padrão: 3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[MA2]  </w:t>
      </w:r>
      <w:r>
        <w:rPr>
          <w:b w:val="0"/>
          <w:i w:val="0"/>
          <w:sz w:val="18"/>
        </w:rPr>
        <w:t>Descumprimento de TAC anterior</w:t>
      </w:r>
      <w:r>
        <w:rPr>
          <w:b/>
          <w:i w:val="0"/>
          <w:color w:val="B40000"/>
          <w:sz w:val="18"/>
        </w:rPr>
        <w:t xml:space="preserve">   Faixa: +4–7 pts  |  padrão: 5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[MA3]  </w:t>
      </w:r>
      <w:r>
        <w:rPr>
          <w:b w:val="0"/>
          <w:i w:val="0"/>
          <w:sz w:val="18"/>
        </w:rPr>
        <w:t>Sanção disciplinar anterior ainda não cancelada</w:t>
      </w:r>
      <w:r>
        <w:rPr>
          <w:b/>
          <w:i w:val="0"/>
          <w:color w:val="B40000"/>
          <w:sz w:val="18"/>
        </w:rPr>
        <w:t xml:space="preserve">   Faixa: +4–10 pts  |  padrão: 6</w:t>
      </w:r>
    </w:p>
    <w:p>
      <w:pPr>
        <w:spacing w:before="40" w:after="20"/>
        <w:ind w:left="567"/>
      </w:pPr>
      <w:r>
        <w:rPr>
          <w:b/>
          <w:i w:val="0"/>
          <w:color w:val="B40000"/>
          <w:sz w:val="18"/>
        </w:rPr>
        <w:t xml:space="preserve">  ●  [MA4]  </w:t>
      </w:r>
      <w:r>
        <w:rPr>
          <w:b w:val="0"/>
          <w:i w:val="0"/>
          <w:sz w:val="18"/>
        </w:rPr>
        <w:t>Outros registros desabonadores nos assentamentos</w:t>
      </w:r>
      <w:r>
        <w:rPr>
          <w:b/>
          <w:i w:val="0"/>
          <w:color w:val="B40000"/>
          <w:sz w:val="18"/>
        </w:rPr>
        <w:t xml:space="preserve">   Faixa: +2–4 pts  |  padrão: 3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8: DADOS PARA ELEGIBILIDADE DO TAC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Módulo 5 · Etapa 5.0 — Verificação de Admissibilidade  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Sem pontuação — campos determinam se o TAC é admissível.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5.0.A — Vínculo do Servidor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Efetivo (cargo permanente)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Não efetivo (cargo em comissão, contrato etc.)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5.0.B — Registro Vigente de Penalidade Disciplinar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Sim — impede ou condiciona elegibilidade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Não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5.0.C — TAC Celebrado nos Últimos 2 Anos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Não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Sim  →  subcampo: infração anterior ao TAC vigente?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 xml:space="preserve">    Sim (infração anterior ao TAC)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 xml:space="preserve">    Não (infração posterior ao TAC)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5.0.D — Dano e Ressarcimento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Não houve dano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Houve dano  →  subcampo: ressarcimento?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 xml:space="preserve">    Sim — dano ressarcido</w:t>
      </w:r>
    </w:p>
    <w:p>
      <w:pPr>
        <w:spacing w:before="20" w:after="20"/>
        <w:ind w:left="1134"/>
      </w:pPr>
      <w:r>
        <w:rPr>
          <w:b w:val="0"/>
          <w:i w:val="0"/>
          <w:sz w:val="18"/>
        </w:rPr>
        <w:t xml:space="preserve">  ○  </w:t>
      </w:r>
      <w:r>
        <w:rPr>
          <w:b w:val="0"/>
          <w:i w:val="0"/>
          <w:sz w:val="18"/>
        </w:rPr>
        <w:t xml:space="preserve">    Não — dano não ressarcido (pode inviabilizar TAC)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5.0.E — Dados para Geração do Instrumento (preenchimento livre)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Nome da Autoridade Compromitente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Cargo / Função da Autoridade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Nome do Chefe Imediato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Cargo do Chefe Imediato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Descrição dos Fatos (narrativa livre)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Cidade / UF de Celebração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Data de Celebração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9: RESULTADO DA DOSIMETRIA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Módulos 2 + 3 + 5 — Cálculo Final e Enquadramento da Penalidade  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Reincidência — 2ª Fase da Dosimetria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Não há registro vigente de advertência (&lt;3 anos) ou suspensão (&lt;5 anos)</w:t>
      </w:r>
      <w:r>
        <w:rPr>
          <w:b/>
          <w:i w:val="0"/>
          <w:color w:val="B40000"/>
          <w:sz w:val="18"/>
        </w:rPr>
        <w:t xml:space="preserve">  →  Sem acréscimo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Há registro vigente de advertência ou suspensão</w:t>
      </w:r>
      <w:r>
        <w:rPr>
          <w:b/>
          <w:i w:val="0"/>
          <w:color w:val="B40000"/>
          <w:sz w:val="18"/>
        </w:rPr>
        <w:t xml:space="preserve">  →  Agrava penalidade conforme regras de reincidência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Saídas calculadas automaticamente (sem escolha do usuário)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Pontuação Total (soma de todos os módulos)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Penalidade cabível: Advertência  ou  Suspensão X dias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Viabilidade do TAC: Admissível / Não admissível / Admissível com condições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Geração da Minuta do TAC (botão)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10: REVISÃO DAS OBRIGAÇÕES DO TAC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Módulo 5 · Etapa 5.3 — Catálogo de Obrigações (9 opções)  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As obrigações sugeridas variam conforme a faixa da penalidade (leve / leve_media / limite).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Para cada obrigação selecionada: preencher Descrição, Prazo, Forma de Comprovação e Responsável pela Fiscalização.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[OB-01]  Reparação do Dano</w:t>
      </w:r>
      <w:r>
        <w:rPr>
          <w:b w:val="0"/>
          <w:i/>
          <w:color w:val="505050"/>
          <w:sz w:val="17"/>
        </w:rPr>
        <w:t xml:space="preserve">   |  Faixas: leve, leve_media, limite  |  Prazo padrão: 6 meses  |  Base: Art. 68, §1º, I — Portaria CGU 27/2022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[OB-02]  Retratação Formal</w:t>
      </w:r>
      <w:r>
        <w:rPr>
          <w:b w:val="0"/>
          <w:i/>
          <w:color w:val="505050"/>
          <w:sz w:val="17"/>
        </w:rPr>
        <w:t xml:space="preserve">   |  Faixas: leve, leve_media, limite  |  Prazo padrão: 1 mês  |  Base: Art. 68, §1º, II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[OB-03]  Capacitação Específica</w:t>
      </w:r>
      <w:r>
        <w:rPr>
          <w:b w:val="0"/>
          <w:i/>
          <w:color w:val="505050"/>
          <w:sz w:val="17"/>
        </w:rPr>
        <w:t xml:space="preserve">   |  Faixas: leve, leve_media, limite  |  Prazo padrão: 6 meses  |  Base: Art. 68, §1º, III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[OB-04]  Curso de Ética</w:t>
      </w:r>
      <w:r>
        <w:rPr>
          <w:b w:val="0"/>
          <w:i/>
          <w:color w:val="505050"/>
          <w:sz w:val="17"/>
        </w:rPr>
        <w:t xml:space="preserve">   |  Faixas: leve, leve_media  |  Prazo padrão: 6 meses  |  Base: Art. 68, §1º, III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[OB-05]  Acordo de Gestão de Horário</w:t>
      </w:r>
      <w:r>
        <w:rPr>
          <w:b w:val="0"/>
          <w:i/>
          <w:color w:val="505050"/>
          <w:sz w:val="17"/>
        </w:rPr>
        <w:t xml:space="preserve">   |  Faixas: leve  |  Prazo padrão: 12 meses  |  Base: Art. 68, §1º, IV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[OB-06]  Metas de Desempenho</w:t>
      </w:r>
      <w:r>
        <w:rPr>
          <w:b w:val="0"/>
          <w:i/>
          <w:color w:val="505050"/>
          <w:sz w:val="17"/>
        </w:rPr>
        <w:t xml:space="preserve">   |  Faixas: leve_media, limite  |  Prazo padrão: 12 meses  |  Base: Art. 68, §1º, V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[OB-07]  Monitoramento de Acessos a Sistemas</w:t>
      </w:r>
      <w:r>
        <w:rPr>
          <w:b w:val="0"/>
          <w:i/>
          <w:color w:val="505050"/>
          <w:sz w:val="17"/>
        </w:rPr>
        <w:t xml:space="preserve">   |  Faixas: leve_media, limite  |  Prazo padrão: 18 meses  |  Base: Art. 68, §1º, VI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[OB-08]  Relatório Periódico de Atividades</w:t>
      </w:r>
      <w:r>
        <w:rPr>
          <w:b w:val="0"/>
          <w:i/>
          <w:color w:val="505050"/>
          <w:sz w:val="17"/>
        </w:rPr>
        <w:t xml:space="preserve">   |  Faixas: limite  |  Prazo padrão: 24 meses  |  Base: Art. 68, §1º, VI</w:t>
      </w:r>
    </w:p>
    <w:p>
      <w:pPr>
        <w:spacing w:before="60" w:after="20"/>
        <w:ind w:left="283"/>
      </w:pPr>
      <w:r>
        <w:rPr>
          <w:b/>
          <w:i w:val="0"/>
          <w:sz w:val="18"/>
        </w:rPr>
        <w:t xml:space="preserve">  ●  [OB-09]  Comunicação à Corregedoria</w:t>
      </w:r>
      <w:r>
        <w:rPr>
          <w:b w:val="0"/>
          <w:i/>
          <w:color w:val="505050"/>
          <w:sz w:val="17"/>
        </w:rPr>
        <w:t xml:space="preserve">   |  Faixas: limite  |  Prazo padrão: Contínuo  |  Base: Art. 68, §1º, VI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Para cada obrigação selecionada — subcampos (preenchimento livre):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Descrição da Obrigação Efetiva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Prazo Individual (1–24 meses)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Forma de Comprovação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Responsável pela Fiscalização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11: RELATÓRIO FINAL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Geração automática — resumo completo da dosimetria  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Tela de visualização e exportação. Sem campos de pontuação adicionais.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1. Identificação (Processo, Servidor, Data, Unidade, Cargo)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2. Escopo e Enquadramento Legal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3. Dosimetria — 1ª Fase (detalhamento por módulo e subfator)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4. Cálculo da Penalidade Bruta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5. 2ª Fase — Reincidência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6. Penalidade Final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7. Análise de Admissibilidade do TAC (3 camadas de verificação)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8. Consulta LINDB — opção de conversão em multa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9. Análise de Erro Escusável (Nota Técnica Coger/RFB nº 12/2021) — opcional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40"/>
        <w:shd w:val="clear" w:color="auto" w:fill="003366"/>
      </w:pPr>
      <w:r>
        <w:rPr>
          <w:b/>
          <w:i w:val="0"/>
          <w:color w:val="FFFFFF"/>
          <w:sz w:val="24"/>
        </w:rPr>
        <w:t xml:space="preserve">  TELA E: CONCURSO DE INFRAÇÕES  (Regime E)  </w:t>
      </w:r>
    </w:p>
    <w:p>
      <w:pPr>
        <w:spacing w:before="120" w:after="40"/>
        <w:shd w:val="clear" w:color="auto" w:fill="D0E4F7"/>
      </w:pPr>
      <w:r>
        <w:rPr>
          <w:b/>
          <w:i w:val="0"/>
          <w:color w:val="003366"/>
          <w:sz w:val="20"/>
        </w:rPr>
        <w:t xml:space="preserve">  Fluxo especial — exibido quando o usuário seleciona Regime E na Tela 1  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Permite cadastrar múltiplas infrações (mínimo 2) e calcular penalidade conjunta.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Para cada infração cadastrada: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Regime da infração individual (A, B, C ou D)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Pontuação calculada da infração individual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Reincidência nesta infração (Sim / Não)</w:t>
      </w:r>
    </w:p>
    <w:p>
      <w:pPr>
        <w:spacing w:before="80" w:after="20"/>
        <w:ind w:left="283"/>
      </w:pPr>
      <w:r>
        <w:rPr>
          <w:b/>
          <w:i w:val="0"/>
          <w:color w:val="0050A0"/>
          <w:sz w:val="19"/>
        </w:rPr>
        <w:t>▶  Regras de cálculo do concurso (automático)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Advertência + Advertência → Suspensão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Advertência + Suspensão → Suspensão (soma de dias)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Suspensão + Suspensão → Suspensão (soma de dias)</w:t>
      </w:r>
    </w:p>
    <w:p>
      <w:pPr>
        <w:spacing w:before="20" w:after="20"/>
        <w:ind w:left="567"/>
      </w:pPr>
      <w:r>
        <w:rPr>
          <w:b w:val="0"/>
          <w:i w:val="0"/>
          <w:sz w:val="18"/>
        </w:rPr>
        <w:t xml:space="preserve">  ●  </w:t>
      </w:r>
      <w:r>
        <w:rPr>
          <w:b w:val="0"/>
          <w:i w:val="0"/>
          <w:sz w:val="18"/>
        </w:rPr>
        <w:t>Teto absoluto: 90 dias de suspensão</w:t>
      </w:r>
    </w:p>
    <w:p>
      <w:pPr>
        <w:spacing w:before="40" w:after="40"/>
      </w:pPr>
      <w:r>
        <w:rPr>
          <w:b w:val="0"/>
          <w:i w:val="0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120" w:after="80"/>
        <w:jc w:val="center"/>
      </w:pPr>
      <w:r>
        <w:rPr>
          <w:b/>
          <w:i w:val="0"/>
          <w:color w:val="003366"/>
          <w:sz w:val="32"/>
        </w:rPr>
        <w:t>TABELA RESUMO — PONTUAÇÕES MÁXIMAS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rPr>
                <w:b/>
              </w:rPr>
              <w:t>Módulo / Elemento</w:t>
            </w:r>
          </w:p>
        </w:tc>
        <w:tc>
          <w:tcPr>
            <w:tcW w:type="dxa" w:w="2410"/>
          </w:tcPr>
          <w:p>
            <w:r>
              <w:rPr>
                <w:b/>
              </w:rPr>
              <w:t>Subfatores</w:t>
            </w:r>
          </w:p>
        </w:tc>
        <w:tc>
          <w:tcPr>
            <w:tcW w:type="dxa" w:w="2410"/>
          </w:tcPr>
          <w:p>
            <w:r>
              <w:rPr>
                <w:b/>
              </w:rPr>
              <w:t>Mín.</w:t>
            </w:r>
          </w:p>
        </w:tc>
        <w:tc>
          <w:tcPr>
            <w:tcW w:type="dxa" w:w="2410"/>
          </w:tcPr>
          <w:p>
            <w:r>
              <w:rPr>
                <w:b/>
              </w:rPr>
              <w:t>Máx.</w:t>
            </w:r>
          </w:p>
        </w:tc>
      </w:tr>
      <w:tr>
        <w:tc>
          <w:tcPr>
            <w:tcW w:type="dxa" w:w="2410"/>
          </w:tcPr>
          <w:p>
            <w:r>
              <w:t>Módulo 1.1 — Natureza da Infração</w:t>
            </w:r>
          </w:p>
        </w:tc>
        <w:tc>
          <w:tcPr>
            <w:tcW w:type="dxa" w:w="2410"/>
          </w:tcPr>
          <w:p>
            <w:r>
              <w:t>SF1.1 + SF1.2 + SF1.3</w:t>
            </w:r>
          </w:p>
        </w:tc>
        <w:tc>
          <w:tcPr>
            <w:tcW w:type="dxa" w:w="2410"/>
          </w:tcPr>
          <w:p>
            <w:r>
              <w:t>0</w:t>
            </w:r>
          </w:p>
        </w:tc>
        <w:tc>
          <w:tcPr>
            <w:tcW w:type="dxa" w:w="2410"/>
          </w:tcPr>
          <w:p>
            <w:r>
              <w:t>30</w:t>
            </w:r>
          </w:p>
        </w:tc>
      </w:tr>
      <w:tr>
        <w:tc>
          <w:tcPr>
            <w:tcW w:type="dxa" w:w="2410"/>
          </w:tcPr>
          <w:p>
            <w:r>
              <w:t>Módulo 1.2 — Gravidade da Infração</w:t>
            </w:r>
          </w:p>
        </w:tc>
        <w:tc>
          <w:tcPr>
            <w:tcW w:type="dxa" w:w="2410"/>
          </w:tcPr>
          <w:p>
            <w:r>
              <w:t>SF2.1 + SF2.2 + SF2.3 + SF2.4</w:t>
            </w:r>
          </w:p>
        </w:tc>
        <w:tc>
          <w:tcPr>
            <w:tcW w:type="dxa" w:w="2410"/>
          </w:tcPr>
          <w:p>
            <w:r>
              <w:t>4</w:t>
            </w:r>
          </w:p>
        </w:tc>
        <w:tc>
          <w:tcPr>
            <w:tcW w:type="dxa" w:w="2410"/>
          </w:tcPr>
          <w:p>
            <w:r>
              <w:t>30</w:t>
            </w:r>
          </w:p>
        </w:tc>
      </w:tr>
      <w:tr>
        <w:tc>
          <w:tcPr>
            <w:tcW w:type="dxa" w:w="2410"/>
          </w:tcPr>
          <w:p>
            <w:r>
              <w:t>Módulo 1.3A — Dano Material</w:t>
            </w:r>
          </w:p>
        </w:tc>
        <w:tc>
          <w:tcPr>
            <w:tcW w:type="dxa" w:w="2410"/>
          </w:tcPr>
          <w:p>
            <w:r>
              <w:t>SF3A.1</w:t>
            </w:r>
          </w:p>
        </w:tc>
        <w:tc>
          <w:tcPr>
            <w:tcW w:type="dxa" w:w="2410"/>
          </w:tcPr>
          <w:p>
            <w:r>
              <w:t>0</w:t>
            </w:r>
          </w:p>
        </w:tc>
        <w:tc>
          <w:tcPr>
            <w:tcW w:type="dxa" w:w="2410"/>
          </w:tcPr>
          <w:p>
            <w:r>
              <w:t>30</w:t>
            </w:r>
          </w:p>
        </w:tc>
      </w:tr>
      <w:tr>
        <w:tc>
          <w:tcPr>
            <w:tcW w:type="dxa" w:w="2410"/>
          </w:tcPr>
          <w:p>
            <w:r>
              <w:t>Módulo 1.3B — Dano Imaterial</w:t>
            </w:r>
          </w:p>
        </w:tc>
        <w:tc>
          <w:tcPr>
            <w:tcW w:type="dxa" w:w="2410"/>
          </w:tcPr>
          <w:p>
            <w:r>
              <w:t>SF3B.1 + SF3B.2 + SF3B.3 + SF3B.4a/b</w:t>
            </w:r>
          </w:p>
        </w:tc>
        <w:tc>
          <w:tcPr>
            <w:tcW w:type="dxa" w:w="2410"/>
          </w:tcPr>
          <w:p>
            <w:r>
              <w:t>0</w:t>
            </w:r>
          </w:p>
        </w:tc>
        <w:tc>
          <w:tcPr>
            <w:tcW w:type="dxa" w:w="2410"/>
          </w:tcPr>
          <w:p>
            <w:r>
              <w:t>30</w:t>
            </w:r>
          </w:p>
        </w:tc>
      </w:tr>
      <w:tr>
        <w:tc>
          <w:tcPr>
            <w:tcW w:type="dxa" w:w="2410"/>
          </w:tcPr>
          <w:p>
            <w:r>
              <w:t xml:space="preserve">  Teto conjunto 1.3A + 1.3B</w:t>
            </w:r>
          </w:p>
        </w:tc>
        <w:tc>
          <w:tcPr>
            <w:tcW w:type="dxa" w:w="2410"/>
          </w:tcPr>
          <w:p>
            <w:r>
              <w:t>—</w:t>
            </w:r>
          </w:p>
        </w:tc>
        <w:tc>
          <w:tcPr>
            <w:tcW w:type="dxa" w:w="2410"/>
          </w:tcPr>
          <w:p>
            <w:r>
              <w:t>—</w:t>
            </w:r>
          </w:p>
        </w:tc>
        <w:tc>
          <w:tcPr>
            <w:tcW w:type="dxa" w:w="2410"/>
          </w:tcPr>
          <w:p>
            <w:r>
              <w:t>30</w:t>
            </w:r>
          </w:p>
        </w:tc>
      </w:tr>
      <w:tr>
        <w:tc>
          <w:tcPr>
            <w:tcW w:type="dxa" w:w="2410"/>
          </w:tcPr>
          <w:p>
            <w:r>
              <w:t>Módulo 1.4 — Circunstâncias</w:t>
            </w:r>
          </w:p>
        </w:tc>
        <w:tc>
          <w:tcPr>
            <w:tcW w:type="dxa" w:w="2410"/>
          </w:tcPr>
          <w:p>
            <w:r>
              <w:t>AG1–AG6 / AT1–AT8</w:t>
            </w:r>
          </w:p>
        </w:tc>
        <w:tc>
          <w:tcPr>
            <w:tcW w:type="dxa" w:w="2410"/>
          </w:tcPr>
          <w:p>
            <w:r>
              <w:t>−15</w:t>
            </w:r>
          </w:p>
        </w:tc>
        <w:tc>
          <w:tcPr>
            <w:tcW w:type="dxa" w:w="2410"/>
          </w:tcPr>
          <w:p>
            <w:r>
              <w:t>+15</w:t>
            </w:r>
          </w:p>
        </w:tc>
      </w:tr>
      <w:tr>
        <w:tc>
          <w:tcPr>
            <w:tcW w:type="dxa" w:w="2410"/>
          </w:tcPr>
          <w:p>
            <w:r>
              <w:t>Módulo 1.5 — Antecedentes</w:t>
            </w:r>
          </w:p>
        </w:tc>
        <w:tc>
          <w:tcPr>
            <w:tcW w:type="dxa" w:w="2410"/>
          </w:tcPr>
          <w:p>
            <w:r>
              <w:t>BA1–BA4 / MA1–MA4</w:t>
            </w:r>
          </w:p>
        </w:tc>
        <w:tc>
          <w:tcPr>
            <w:tcW w:type="dxa" w:w="2410"/>
          </w:tcPr>
          <w:p>
            <w:r>
              <w:t>−15</w:t>
            </w:r>
          </w:p>
        </w:tc>
        <w:tc>
          <w:tcPr>
            <w:tcW w:type="dxa" w:w="2410"/>
          </w:tcPr>
          <w:p>
            <w:r>
              <w:t>+15</w:t>
            </w:r>
          </w:p>
        </w:tc>
      </w:tr>
      <w:tr>
        <w:tc>
          <w:tcPr>
            <w:tcW w:type="dxa" w:w="2410"/>
          </w:tcPr>
          <w:p>
            <w:r>
              <w:rPr>
                <w:b/>
              </w:rPr>
              <w:t>TOTAL MÁXIMO POSSÍVEL</w:t>
            </w:r>
          </w:p>
        </w:tc>
        <w:tc>
          <w:tcPr>
            <w:tcW w:type="dxa" w:w="241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41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410"/>
          </w:tcPr>
          <w:p>
            <w:r>
              <w:rPr>
                <w:b/>
              </w:rPr>
              <w:t>120</w:t>
            </w:r>
          </w:p>
        </w:tc>
      </w:tr>
    </w:tbl>
    <w:p/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A penalidade de Advertência corresponde a pontuações baixas; Suspensão 1–90 dias para pontuações mais elevadas.</w:t>
      </w:r>
    </w:p>
    <w:p>
      <w:pPr>
        <w:spacing w:before="20" w:after="20"/>
        <w:ind w:left="283"/>
      </w:pPr>
      <w:r>
        <w:rPr>
          <w:b w:val="0"/>
          <w:i/>
          <w:color w:val="646464"/>
          <w:sz w:val="17"/>
        </w:rPr>
        <w:t>ℹ  O TAC é admissível quando a penalidade cabível é Advertência ou Suspensão de até determinado limite, conforme critérios de elegibilidade da Tela 8.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